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0829AA" w14:textId="551D6BFD" w:rsidR="00F943A5" w:rsidRPr="006D0AA4" w:rsidRDefault="006D0AA4" w:rsidP="006D0AA4">
      <w:pPr>
        <w:spacing w:line="240" w:lineRule="auto"/>
        <w:jc w:val="center"/>
        <w:rPr>
          <w:rFonts w:ascii="Times New Roman" w:hAnsi="Times New Roman"/>
          <w:sz w:val="28"/>
          <w:szCs w:val="24"/>
        </w:rPr>
      </w:pPr>
      <w:r w:rsidRPr="006D0AA4">
        <w:rPr>
          <w:rFonts w:ascii="Times New Roman" w:hAnsi="Times New Roman"/>
          <w:b/>
          <w:sz w:val="28"/>
          <w:szCs w:val="24"/>
        </w:rPr>
        <w:t xml:space="preserve">Influence of </w:t>
      </w:r>
      <w:r w:rsidR="0013611D">
        <w:rPr>
          <w:rFonts w:ascii="Times New Roman" w:hAnsi="Times New Roman"/>
          <w:b/>
          <w:sz w:val="28"/>
          <w:szCs w:val="24"/>
        </w:rPr>
        <w:t>asset tangibility</w:t>
      </w:r>
      <w:r w:rsidRPr="006D0AA4">
        <w:rPr>
          <w:rFonts w:ascii="Times New Roman" w:hAnsi="Times New Roman"/>
          <w:b/>
          <w:sz w:val="28"/>
          <w:szCs w:val="24"/>
        </w:rPr>
        <w:t xml:space="preserve"> on financial performance of non-listed building and construction</w:t>
      </w:r>
      <w:r w:rsidR="00534FB6" w:rsidRPr="006D0AA4">
        <w:rPr>
          <w:rFonts w:ascii="Times New Roman" w:hAnsi="Times New Roman"/>
          <w:b/>
          <w:sz w:val="28"/>
          <w:szCs w:val="24"/>
        </w:rPr>
        <w:t xml:space="preserve"> </w:t>
      </w:r>
      <w:r w:rsidRPr="006D0AA4">
        <w:rPr>
          <w:rFonts w:ascii="Times New Roman" w:hAnsi="Times New Roman"/>
          <w:b/>
          <w:sz w:val="28"/>
          <w:szCs w:val="24"/>
        </w:rPr>
        <w:t>firms</w:t>
      </w:r>
      <w:r>
        <w:rPr>
          <w:rFonts w:ascii="Times New Roman" w:hAnsi="Times New Roman"/>
          <w:b/>
          <w:sz w:val="28"/>
          <w:szCs w:val="24"/>
        </w:rPr>
        <w:t xml:space="preserve"> in K</w:t>
      </w:r>
      <w:r w:rsidRPr="006D0AA4">
        <w:rPr>
          <w:rFonts w:ascii="Times New Roman" w:hAnsi="Times New Roman"/>
          <w:b/>
          <w:sz w:val="28"/>
          <w:szCs w:val="24"/>
        </w:rPr>
        <w:t>enya</w:t>
      </w:r>
    </w:p>
    <w:p w14:paraId="5AE2F3B7" w14:textId="5AF238AC" w:rsidR="00756B0E" w:rsidRPr="006D0AA4" w:rsidRDefault="00756B0E" w:rsidP="00756B0E">
      <w:pPr>
        <w:spacing w:line="240" w:lineRule="auto"/>
        <w:jc w:val="center"/>
        <w:rPr>
          <w:rFonts w:ascii="Times New Roman" w:hAnsi="Times New Roman"/>
          <w:b/>
          <w:sz w:val="24"/>
          <w:szCs w:val="24"/>
          <w:vertAlign w:val="superscript"/>
        </w:rPr>
      </w:pPr>
      <w:bookmarkStart w:id="0" w:name="_Toc150939164"/>
      <w:bookmarkStart w:id="1" w:name="_Toc150942656"/>
      <w:bookmarkStart w:id="2" w:name="_Toc150944461"/>
      <w:proofErr w:type="spellStart"/>
      <w:r w:rsidRPr="006D0AA4">
        <w:rPr>
          <w:rFonts w:ascii="Times New Roman" w:hAnsi="Times New Roman"/>
          <w:b/>
          <w:sz w:val="24"/>
          <w:szCs w:val="24"/>
        </w:rPr>
        <w:t/>
      </w:r>
      <w:proofErr w:type="spellEnd"/>
      <w:r w:rsidRPr="006D0AA4">
        <w:rPr>
          <w:rFonts w:ascii="Times New Roman" w:hAnsi="Times New Roman"/>
          <w:b/>
          <w:sz w:val="24"/>
          <w:szCs w:val="24"/>
        </w:rPr>
        <w:t xml:space="preserve"/>
      </w:r>
      <w:proofErr w:type="spellStart"/>
      <w:r w:rsidRPr="006D0AA4">
        <w:rPr>
          <w:rFonts w:ascii="Times New Roman" w:hAnsi="Times New Roman"/>
          <w:b/>
          <w:sz w:val="24"/>
          <w:szCs w:val="24"/>
        </w:rPr>
        <w:t/>
      </w:r>
      <w:proofErr w:type="spellEnd"/>
      <w:r w:rsidRPr="006D0AA4">
        <w:rPr>
          <w:rFonts w:ascii="Times New Roman" w:hAnsi="Times New Roman"/>
          <w:b/>
          <w:sz w:val="24"/>
          <w:szCs w:val="24"/>
        </w:rPr>
        <w:t xml:space="preserve"/>
      </w:r>
      <w:r>
        <w:rPr>
          <w:rFonts w:ascii="Times New Roman" w:hAnsi="Times New Roman"/>
          <w:b/>
          <w:sz w:val="24"/>
          <w:szCs w:val="24"/>
          <w:vertAlign w:val="superscript"/>
        </w:rPr>
        <w:t/>
      </w:r>
      <w:r>
        <w:rPr>
          <w:rFonts w:ascii="Times New Roman" w:hAnsi="Times New Roman"/>
          <w:b/>
          <w:sz w:val="24"/>
          <w:szCs w:val="24"/>
        </w:rPr>
        <w:t/>
      </w:r>
      <w:r>
        <w:rPr>
          <w:rFonts w:ascii="Times New Roman" w:hAnsi="Times New Roman"/>
          <w:b/>
          <w:sz w:val="24"/>
          <w:szCs w:val="24"/>
          <w:vertAlign w:val="superscript"/>
        </w:rPr>
        <w:t/>
      </w:r>
      <w:r>
        <w:rPr>
          <w:rFonts w:ascii="Times New Roman" w:hAnsi="Times New Roman"/>
          <w:b/>
          <w:sz w:val="24"/>
          <w:szCs w:val="24"/>
        </w:rPr>
        <w:t/>
      </w:r>
      <w:r w:rsidRPr="009767B6">
        <w:rPr>
          <w:rFonts w:ascii="Times New Roman" w:hAnsi="Times New Roman"/>
          <w:b/>
          <w:sz w:val="24"/>
          <w:szCs w:val="24"/>
        </w:rPr>
        <w:t xml:space="preserve"/>
      </w:r>
      <w:r>
        <w:rPr>
          <w:rFonts w:ascii="Times New Roman" w:hAnsi="Times New Roman"/>
          <w:b/>
          <w:sz w:val="24"/>
          <w:szCs w:val="24"/>
        </w:rPr>
        <w:t xml:space="preserve"/>
      </w:r>
      <w:bookmarkStart w:id="3" w:name="_GoBack"/>
      <w:bookmarkEnd w:id="3"/>
      <w:r>
        <w:rPr>
          <w:rFonts w:ascii="Times New Roman" w:hAnsi="Times New Roman"/>
          <w:b/>
          <w:sz w:val="24"/>
          <w:szCs w:val="24"/>
        </w:rPr>
        <w:t/>
      </w:r>
      <w:r>
        <w:rPr>
          <w:rFonts w:ascii="Times New Roman" w:hAnsi="Times New Roman"/>
          <w:b/>
          <w:sz w:val="24"/>
          <w:szCs w:val="24"/>
          <w:vertAlign w:val="superscript"/>
        </w:rPr>
        <w:t/>
      </w:r>
    </w:p>
    <w:p w14:paraId="4FACA811" w14:textId="77777777" w:rsidR="00756B0E" w:rsidRDefault="00756B0E" w:rsidP="00756B0E">
      <w:pPr>
        <w:widowControl w:val="0"/>
        <w:autoSpaceDE w:val="0"/>
        <w:spacing w:after="0" w:line="240" w:lineRule="auto"/>
        <w:jc w:val="center"/>
        <w:rPr>
          <w:rFonts w:ascii="Times New Roman" w:hAnsi="Times New Roman"/>
          <w:bCs/>
          <w:i/>
          <w:sz w:val="24"/>
          <w:szCs w:val="24"/>
        </w:rPr>
      </w:pPr>
      <w:r>
        <w:rPr>
          <w:rFonts w:ascii="Times New Roman" w:hAnsi="Times New Roman"/>
          <w:bCs/>
          <w:i/>
          <w:sz w:val="24"/>
          <w:szCs w:val="24"/>
          <w:vertAlign w:val="superscript"/>
        </w:rPr>
        <w:t/>
      </w:r>
      <w:r w:rsidRPr="006D0AA4">
        <w:rPr>
          <w:rFonts w:ascii="Times New Roman" w:hAnsi="Times New Roman"/>
          <w:bCs/>
          <w:i/>
          <w:sz w:val="24"/>
          <w:szCs w:val="24"/>
        </w:rPr>
        <w:t xml:space="preserve"/>
      </w:r>
      <w:r>
        <w:rPr>
          <w:rFonts w:ascii="Times New Roman" w:hAnsi="Times New Roman"/>
          <w:bCs/>
          <w:i/>
          <w:sz w:val="24"/>
          <w:szCs w:val="24"/>
        </w:rPr>
        <w:t/>
      </w:r>
      <w:r w:rsidRPr="006D0AA4">
        <w:rPr>
          <w:rFonts w:ascii="Times New Roman" w:hAnsi="Times New Roman"/>
          <w:bCs/>
          <w:i/>
          <w:sz w:val="24"/>
          <w:szCs w:val="24"/>
        </w:rPr>
        <w:t xml:space="preserve"/>
      </w:r>
      <w:r>
        <w:rPr>
          <w:rFonts w:ascii="Times New Roman" w:hAnsi="Times New Roman"/>
          <w:bCs/>
          <w:i/>
          <w:sz w:val="24"/>
          <w:szCs w:val="24"/>
        </w:rPr>
        <w:t/>
      </w:r>
      <w:r w:rsidRPr="006D0AA4">
        <w:rPr>
          <w:rFonts w:ascii="Times New Roman" w:hAnsi="Times New Roman"/>
          <w:bCs/>
          <w:i/>
          <w:sz w:val="24"/>
          <w:szCs w:val="24"/>
        </w:rPr>
        <w:t xml:space="preserve"/>
      </w:r>
      <w:r>
        <w:rPr>
          <w:rFonts w:ascii="Times New Roman" w:hAnsi="Times New Roman"/>
          <w:bCs/>
          <w:i/>
          <w:sz w:val="24"/>
          <w:szCs w:val="24"/>
        </w:rPr>
        <w:t/>
      </w:r>
      <w:r w:rsidRPr="006D0AA4">
        <w:rPr>
          <w:rFonts w:ascii="Times New Roman" w:hAnsi="Times New Roman"/>
          <w:bCs/>
          <w:i/>
          <w:sz w:val="24"/>
          <w:szCs w:val="24"/>
        </w:rPr>
        <w:t/>
      </w:r>
    </w:p>
    <w:p w14:paraId="2DB8864B" w14:textId="77777777" w:rsidR="00756B0E" w:rsidRPr="006D0AA4" w:rsidRDefault="00756B0E" w:rsidP="00756B0E">
      <w:pPr>
        <w:widowControl w:val="0"/>
        <w:autoSpaceDE w:val="0"/>
        <w:spacing w:after="0" w:line="240" w:lineRule="auto"/>
        <w:jc w:val="center"/>
        <w:rPr>
          <w:rFonts w:ascii="Times New Roman" w:hAnsi="Times New Roman"/>
          <w:i/>
          <w:sz w:val="24"/>
          <w:szCs w:val="24"/>
        </w:rPr>
      </w:pPr>
      <w:r w:rsidRPr="009767B6">
        <w:rPr>
          <w:rFonts w:ascii="Times New Roman" w:hAnsi="Times New Roman"/>
          <w:bCs/>
          <w:i/>
          <w:sz w:val="24"/>
          <w:szCs w:val="24"/>
          <w:vertAlign w:val="superscript"/>
        </w:rPr>
        <w:t/>
      </w:r>
      <w:r>
        <w:rPr>
          <w:rFonts w:ascii="Times New Roman" w:hAnsi="Times New Roman"/>
          <w:bCs/>
          <w:i/>
          <w:sz w:val="24"/>
          <w:szCs w:val="24"/>
        </w:rPr>
        <w:t/>
      </w:r>
    </w:p>
    <w:p w14:paraId="1B04B73A" w14:textId="77777777" w:rsidR="00756B0E" w:rsidRPr="006D0AA4" w:rsidRDefault="00756B0E" w:rsidP="00756B0E">
      <w:pPr>
        <w:widowControl w:val="0"/>
        <w:autoSpaceDE w:val="0"/>
        <w:spacing w:after="0" w:line="240" w:lineRule="auto"/>
        <w:jc w:val="center"/>
        <w:rPr>
          <w:rFonts w:ascii="Times New Roman" w:hAnsi="Times New Roman"/>
          <w:i/>
          <w:sz w:val="24"/>
          <w:szCs w:val="24"/>
        </w:rPr>
      </w:pPr>
      <w:r>
        <w:rPr>
          <w:rFonts w:ascii="Times New Roman" w:hAnsi="Times New Roman"/>
          <w:bCs/>
          <w:i/>
          <w:sz w:val="24"/>
          <w:szCs w:val="24"/>
          <w:vertAlign w:val="superscript"/>
        </w:rPr>
        <w:t/>
      </w:r>
      <w:r>
        <w:rPr>
          <w:rFonts w:ascii="Times New Roman" w:hAnsi="Times New Roman"/>
          <w:bCs/>
          <w:i/>
          <w:sz w:val="24"/>
          <w:szCs w:val="24"/>
        </w:rPr>
        <w:t xml:space="preserve"/>
      </w:r>
      <w:proofErr w:type="spellStart"/>
      <w:r>
        <w:rPr>
          <w:rFonts w:ascii="Times New Roman" w:hAnsi="Times New Roman"/>
          <w:bCs/>
          <w:i/>
          <w:sz w:val="24"/>
          <w:szCs w:val="24"/>
        </w:rPr>
        <w:t/>
      </w:r>
      <w:proofErr w:type="spellEnd"/>
      <w:r>
        <w:rPr>
          <w:rFonts w:ascii="Times New Roman" w:hAnsi="Times New Roman"/>
          <w:bCs/>
          <w:i/>
          <w:sz w:val="24"/>
          <w:szCs w:val="24"/>
        </w:rPr>
        <w:t xml:space="preserve"/>
      </w:r>
    </w:p>
    <w:p w14:paraId="2E922D5A" w14:textId="67B2702E" w:rsidR="00DF0174" w:rsidRPr="006D0AA4" w:rsidRDefault="006D0AA4" w:rsidP="006D0AA4">
      <w:pPr>
        <w:pStyle w:val="Heading1"/>
        <w:spacing w:line="240" w:lineRule="auto"/>
        <w:rPr>
          <w:rFonts w:eastAsia="Calibri"/>
          <w:sz w:val="24"/>
          <w:lang w:eastAsia="zh-CN"/>
        </w:rPr>
      </w:pPr>
      <w:r w:rsidRPr="006D0AA4">
        <w:rPr>
          <w:rFonts w:eastAsia="Calibri"/>
          <w:sz w:val="24"/>
          <w:lang w:eastAsia="zh-CN"/>
        </w:rPr>
        <w:t>Abstract</w:t>
      </w:r>
      <w:bookmarkEnd w:id="0"/>
      <w:bookmarkEnd w:id="1"/>
      <w:bookmarkEnd w:id="2"/>
    </w:p>
    <w:p w14:paraId="495F3273" w14:textId="4E4DD73B" w:rsidR="00692E37" w:rsidRPr="0013611D" w:rsidRDefault="0013611D" w:rsidP="006D0AA4">
      <w:pPr>
        <w:tabs>
          <w:tab w:val="left" w:pos="567"/>
        </w:tabs>
        <w:suppressAutoHyphens/>
        <w:spacing w:after="200" w:line="240" w:lineRule="auto"/>
        <w:ind w:right="20"/>
        <w:jc w:val="both"/>
        <w:rPr>
          <w:rFonts w:ascii="Times New Roman" w:eastAsia="Calibri" w:hAnsi="Times New Roman"/>
          <w:i/>
          <w:sz w:val="24"/>
          <w:szCs w:val="24"/>
          <w:lang w:eastAsia="zh-CN"/>
        </w:rPr>
      </w:pPr>
      <w:bookmarkStart w:id="4" w:name="_Toc141874725"/>
      <w:r w:rsidRPr="0013611D">
        <w:rPr>
          <w:rFonts w:ascii="Times New Roman" w:eastAsia="Calibri" w:hAnsi="Times New Roman"/>
          <w:i/>
          <w:sz w:val="24"/>
          <w:szCs w:val="24"/>
          <w:lang w:eastAsia="zh-CN"/>
        </w:rPr>
        <w:t>Asset tangibility constitutes a fundamental determinant through which business entities secure financing and enhance their operational capacity, thus necessitating strategic management of tangible asset portfolios. The principal challenge resides in optimizing the utilization of fixed assets to generate superior financial returns while maintaining adequate collateral value for borrowing purposes. Kenya’s building and construction industry recorded performance metrics of 3.2/3.5 in third order during the 2014/2016 study period, representing a notable decline when juxtaposed against the 5.8 and 6.0 percentages achieved during 2005/2006. This suboptimal performance trajectory within the construction sector, according to extant literature, was attributable to the asset composition and utilization patterns among industry participants. This circumstance prompted the current investigation into the effect of asset tangibility on the financial performance of non-listed building and construction enterprises operating in Kenya. The research endeavor sought to assess the influence of asset tangibility ratios on profitability metrics of these non-listed construction firms. The study employed Return on Assets (ROA) and Return on Equity (ROE) as proxies for financial performance evaluation. The investigation covered the period spanning 2014 to 2016. The theoretical framework incorporated Pecking Order theory. A descriptive survey design was adopted as the research methodology. Secondary data were extracted from consolidated financial statement records maintained at the National Construction Authority and the Kenya Association of Manufacturers. The target population encompassed all 10 Tier 1 non-listed building and construction firms registered with the National Construction Authority during the three-year study window. The sample size corresponded to the entire target population, with secondary data serving as the primary information source. Analytical techniques comprised mean calculations, correlation regression modeling, and ANOVA (F-test). Findings were interpreted and presented through tabular and graphical representations, utilizing SPSS software version 2.1 for efficient data processing. The outcomes derived from this analysis demonstrated that asset tangibility exerts a discernible influence on the financial standing of non-listed building and construction firms in Kenya. The evidence indicated that financial performance tends to improve when tangible assets are effectively managed and utilized within the capital structure of the respective firm. This observation provides compelling justification for strategic investment in fixed assets as opposed to maintaining excessive liquid holdings. Proper asset management proved to enhance operational efficiency as it facilitates access to credit through collateralization while generating productive capacity that exceeds the benefits expected of holding non-productive assets. The findings of this study will enable management and financial practitioners to evaluate corporate growth characteristics, asset utilization efficiency, and financial performance metrics to project future enterprise value. The research recommends that business entities should work on optimizing asset tangibility ratios within their capital structures as a strategy for enhancing financial performance and maximizing shareholder wealth creation.</w:t>
      </w:r>
    </w:p>
    <w:p w14:paraId="415CAD40" w14:textId="770FD1D8" w:rsidR="0013611D" w:rsidRPr="006D0AA4" w:rsidRDefault="0013611D" w:rsidP="006D0AA4">
      <w:pPr>
        <w:tabs>
          <w:tab w:val="left" w:pos="567"/>
        </w:tabs>
        <w:suppressAutoHyphens/>
        <w:spacing w:after="200" w:line="240" w:lineRule="auto"/>
        <w:ind w:right="20"/>
        <w:jc w:val="both"/>
        <w:rPr>
          <w:sz w:val="24"/>
          <w:szCs w:val="24"/>
        </w:rPr>
      </w:pPr>
      <w:r w:rsidRPr="0013611D">
        <w:rPr>
          <w:rFonts w:ascii="Times New Roman" w:eastAsia="Calibri" w:hAnsi="Times New Roman"/>
          <w:b/>
          <w:sz w:val="24"/>
          <w:szCs w:val="24"/>
          <w:lang w:eastAsia="zh-CN"/>
        </w:rPr>
        <w:t>Keywords:</w:t>
      </w:r>
      <w:r>
        <w:rPr>
          <w:rFonts w:ascii="Times New Roman" w:eastAsia="Calibri" w:hAnsi="Times New Roman"/>
          <w:sz w:val="24"/>
          <w:szCs w:val="24"/>
          <w:lang w:eastAsia="zh-CN"/>
        </w:rPr>
        <w:t xml:space="preserve"> </w:t>
      </w:r>
      <w:r w:rsidRPr="0013611D">
        <w:rPr>
          <w:rFonts w:ascii="Times New Roman" w:eastAsia="Calibri" w:hAnsi="Times New Roman"/>
          <w:sz w:val="24"/>
          <w:szCs w:val="24"/>
          <w:lang w:eastAsia="zh-CN"/>
        </w:rPr>
        <w:t>asset tangibility</w:t>
      </w:r>
      <w:r>
        <w:rPr>
          <w:rFonts w:ascii="Times New Roman" w:eastAsia="Calibri" w:hAnsi="Times New Roman"/>
          <w:sz w:val="24"/>
          <w:szCs w:val="24"/>
          <w:lang w:eastAsia="zh-CN"/>
        </w:rPr>
        <w:t>,</w:t>
      </w:r>
      <w:r w:rsidRPr="0013611D">
        <w:rPr>
          <w:rFonts w:ascii="Times New Roman" w:eastAsia="Calibri" w:hAnsi="Times New Roman"/>
          <w:sz w:val="24"/>
          <w:szCs w:val="24"/>
          <w:lang w:eastAsia="zh-CN"/>
        </w:rPr>
        <w:t xml:space="preserve"> financial performance</w:t>
      </w:r>
      <w:r>
        <w:rPr>
          <w:rFonts w:ascii="Times New Roman" w:eastAsia="Calibri" w:hAnsi="Times New Roman"/>
          <w:sz w:val="24"/>
          <w:szCs w:val="24"/>
          <w:lang w:eastAsia="zh-CN"/>
        </w:rPr>
        <w:t>,</w:t>
      </w:r>
      <w:r w:rsidRPr="0013611D">
        <w:rPr>
          <w:rFonts w:ascii="Times New Roman" w:eastAsia="Calibri" w:hAnsi="Times New Roman"/>
          <w:sz w:val="24"/>
          <w:szCs w:val="24"/>
          <w:lang w:eastAsia="zh-CN"/>
        </w:rPr>
        <w:t xml:space="preserve"> non-listed building and construction firms</w:t>
      </w:r>
      <w:r>
        <w:rPr>
          <w:rFonts w:ascii="Times New Roman" w:eastAsia="Calibri" w:hAnsi="Times New Roman"/>
          <w:sz w:val="24"/>
          <w:szCs w:val="24"/>
          <w:lang w:eastAsia="zh-CN"/>
        </w:rPr>
        <w:t>,</w:t>
      </w:r>
      <w:r w:rsidRPr="0013611D">
        <w:rPr>
          <w:rFonts w:ascii="Times New Roman" w:eastAsia="Calibri" w:hAnsi="Times New Roman"/>
          <w:sz w:val="24"/>
          <w:szCs w:val="24"/>
          <w:lang w:eastAsia="zh-CN"/>
        </w:rPr>
        <w:t xml:space="preserve"> Kenya</w:t>
      </w:r>
    </w:p>
    <w:p w14:paraId="137E38D5" w14:textId="0CBF4BED" w:rsidR="0078153A" w:rsidRPr="006D0AA4" w:rsidRDefault="00BF587C" w:rsidP="006D0AA4">
      <w:pPr>
        <w:pStyle w:val="Heading2"/>
        <w:numPr>
          <w:ilvl w:val="0"/>
          <w:numId w:val="0"/>
        </w:numPr>
        <w:spacing w:line="240" w:lineRule="auto"/>
        <w:rPr>
          <w:sz w:val="24"/>
        </w:rPr>
      </w:pPr>
      <w:bookmarkStart w:id="5" w:name="_Toc150939166"/>
      <w:bookmarkStart w:id="6" w:name="_Toc150942658"/>
      <w:bookmarkStart w:id="7" w:name="_Toc150944463"/>
      <w:r w:rsidRPr="006D0AA4">
        <w:rPr>
          <w:sz w:val="24"/>
        </w:rPr>
        <w:t xml:space="preserve">1.0 </w:t>
      </w:r>
      <w:r w:rsidR="00131B1D" w:rsidRPr="006D0AA4">
        <w:rPr>
          <w:sz w:val="24"/>
        </w:rPr>
        <w:t>Introduction</w:t>
      </w:r>
      <w:bookmarkEnd w:id="4"/>
      <w:bookmarkEnd w:id="5"/>
      <w:bookmarkEnd w:id="6"/>
      <w:bookmarkEnd w:id="7"/>
    </w:p>
    <w:p w14:paraId="6C56EE03" w14:textId="21D07EE5" w:rsidR="00534FB6" w:rsidRPr="006D0AA4" w:rsidRDefault="00534FB6" w:rsidP="006D0AA4">
      <w:pPr>
        <w:pStyle w:val="Heading2"/>
        <w:spacing w:line="240" w:lineRule="auto"/>
        <w:rPr>
          <w:sz w:val="24"/>
        </w:rPr>
      </w:pPr>
      <w:bookmarkStart w:id="8" w:name="_Toc141874726"/>
      <w:bookmarkStart w:id="9" w:name="_Toc150939167"/>
      <w:bookmarkStart w:id="10" w:name="_Toc150942659"/>
      <w:bookmarkStart w:id="11" w:name="_Toc150944464"/>
      <w:r w:rsidRPr="006D0AA4">
        <w:rPr>
          <w:sz w:val="24"/>
        </w:rPr>
        <w:lastRenderedPageBreak/>
        <w:t>Background of the study</w:t>
      </w:r>
      <w:bookmarkEnd w:id="8"/>
      <w:bookmarkEnd w:id="9"/>
      <w:bookmarkEnd w:id="10"/>
      <w:bookmarkEnd w:id="11"/>
      <w:r w:rsidR="00692E37" w:rsidRPr="006D0AA4">
        <w:rPr>
          <w:color w:val="FF0000"/>
          <w:sz w:val="24"/>
        </w:rPr>
        <w:t xml:space="preserve"> </w:t>
      </w:r>
    </w:p>
    <w:p w14:paraId="7B7D3380" w14:textId="16642A58" w:rsidR="0013611D" w:rsidRDefault="0013611D" w:rsidP="002554A7">
      <w:pPr>
        <w:widowControl w:val="0"/>
        <w:overflowPunct w:val="0"/>
        <w:autoSpaceDE w:val="0"/>
        <w:spacing w:after="0" w:line="240" w:lineRule="auto"/>
        <w:ind w:right="20"/>
        <w:jc w:val="both"/>
        <w:rPr>
          <w:rFonts w:ascii="Times New Roman" w:hAnsi="Times New Roman"/>
          <w:color w:val="202124"/>
          <w:sz w:val="24"/>
          <w:szCs w:val="24"/>
          <w:shd w:val="clear" w:color="auto" w:fill="FFFFFF"/>
        </w:rPr>
      </w:pPr>
      <w:r>
        <w:rPr>
          <w:rFonts w:ascii="Times New Roman" w:hAnsi="Times New Roman"/>
          <w:sz w:val="24"/>
          <w:szCs w:val="24"/>
        </w:rPr>
        <w:t>Determining optimal levels of asset tangibility consistently presents a significant consideration for corporate managers, as imprudent asset acquisition and management decisions can adversely affect organizational performance unless thorough due diligence precedes the adoption of a viable asset structure. Whenever an enterprise requires capital to sustain its operations and fund capital expenditures, deliberations regarding asset composition inevitably emerge. Asset tangibility represents the proportion of a firm’s total assets that are comprised of tangible fixed assets such as property, plant, and equipment, reflecting the extent to which an organization possesses physical assets that can serve as collateral or generate productive capacity (Myers, 2014). Business activities cannot proceed without adequate physical resources, making the availability of tangible assets indispensable for organizational functionality. Every investment decision concerning fixed assets necessitates concurrent consideration of funding mechanisms, given the direct implications for corporate profitability. Various theoretical perspectives offer divergent views on the optimal asset composition, underscoring the importance of rigorous analysis in formulating asset management policies that can serve as strategic guides for enhancing corporate performance and delivering superior shareholder returns (</w:t>
      </w:r>
      <w:proofErr w:type="spellStart"/>
      <w:r>
        <w:rPr>
          <w:rFonts w:ascii="Times New Roman" w:hAnsi="Times New Roman"/>
          <w:sz w:val="24"/>
          <w:szCs w:val="24"/>
        </w:rPr>
        <w:t>Mwangi</w:t>
      </w:r>
      <w:proofErr w:type="spellEnd"/>
      <w:r>
        <w:rPr>
          <w:rFonts w:ascii="Times New Roman" w:hAnsi="Times New Roman"/>
          <w:sz w:val="24"/>
          <w:szCs w:val="24"/>
        </w:rPr>
        <w:t xml:space="preserve"> et al, 2014).</w:t>
      </w:r>
    </w:p>
    <w:p w14:paraId="52A3942E" w14:textId="029BDE0A" w:rsidR="0013611D" w:rsidRDefault="0013611D" w:rsidP="002554A7">
      <w:pPr>
        <w:widowControl w:val="0"/>
        <w:overflowPunct w:val="0"/>
        <w:autoSpaceDE w:val="0"/>
        <w:spacing w:after="0" w:line="240" w:lineRule="auto"/>
        <w:ind w:right="20"/>
        <w:jc w:val="both"/>
        <w:rPr>
          <w:rFonts w:ascii="Times New Roman" w:hAnsi="Times New Roman"/>
          <w:color w:val="202124"/>
          <w:sz w:val="24"/>
          <w:szCs w:val="24"/>
          <w:shd w:val="clear" w:color="auto" w:fill="FFFFFF"/>
        </w:rPr>
      </w:pPr>
      <w:r>
        <w:rPr>
          <w:rFonts w:ascii="Times New Roman" w:hAnsi="Times New Roman"/>
          <w:color w:val="202124"/>
          <w:sz w:val="24"/>
          <w:szCs w:val="24"/>
          <w:shd w:val="clear" w:color="auto" w:fill="FFFFFF"/>
        </w:rPr>
        <w:t>Asset tangibility quantification is accomplished through the comparative analysis of fixed assets against total assets, expressed as a ratio or percentage. Well-managed enterprises typically integrate both tangible and intangible assets as complementary elements of their financial strategy (</w:t>
      </w:r>
      <w:proofErr w:type="spellStart"/>
      <w:r>
        <w:rPr>
          <w:rFonts w:ascii="Times New Roman" w:hAnsi="Times New Roman"/>
          <w:color w:val="202124"/>
          <w:sz w:val="24"/>
          <w:szCs w:val="24"/>
          <w:shd w:val="clear" w:color="auto" w:fill="FFFFFF"/>
        </w:rPr>
        <w:t>Dawar</w:t>
      </w:r>
      <w:proofErr w:type="spellEnd"/>
      <w:r>
        <w:rPr>
          <w:rFonts w:ascii="Times New Roman" w:hAnsi="Times New Roman"/>
          <w:color w:val="202124"/>
          <w:sz w:val="24"/>
          <w:szCs w:val="24"/>
          <w:shd w:val="clear" w:color="auto" w:fill="FFFFFF"/>
        </w:rPr>
        <w:t>, 2014).</w:t>
      </w:r>
      <w:r w:rsidR="002554A7">
        <w:rPr>
          <w:rFonts w:ascii="Times New Roman" w:hAnsi="Times New Roman"/>
          <w:color w:val="202124"/>
          <w:sz w:val="24"/>
          <w:szCs w:val="24"/>
          <w:shd w:val="clear" w:color="auto" w:fill="FFFFFF"/>
        </w:rPr>
        <w:t xml:space="preserve"> </w:t>
      </w:r>
      <w:r>
        <w:rPr>
          <w:rFonts w:ascii="Times New Roman" w:hAnsi="Times New Roman"/>
          <w:color w:val="202124"/>
          <w:sz w:val="24"/>
          <w:szCs w:val="24"/>
          <w:shd w:val="clear" w:color="auto" w:fill="FFFFFF"/>
        </w:rPr>
        <w:t>Theoretical discourse surrounding asset structure and profitability has remained particularly significant since Modigliani and Miller (1958) posited that, in the absence of corporate taxes, bankruptcy costs, information asymmetry, market inefficiencies, and transaction costs, firm value would ultimately remain indifferent to asset composition decisions (</w:t>
      </w:r>
      <w:proofErr w:type="spellStart"/>
      <w:r>
        <w:rPr>
          <w:rFonts w:ascii="Times New Roman" w:hAnsi="Times New Roman"/>
          <w:color w:val="202124"/>
          <w:sz w:val="24"/>
          <w:szCs w:val="24"/>
          <w:shd w:val="clear" w:color="auto" w:fill="FFFFFF"/>
        </w:rPr>
        <w:t>Jermias</w:t>
      </w:r>
      <w:proofErr w:type="spellEnd"/>
      <w:r>
        <w:rPr>
          <w:rFonts w:ascii="Times New Roman" w:hAnsi="Times New Roman"/>
          <w:color w:val="202124"/>
          <w:sz w:val="24"/>
          <w:szCs w:val="24"/>
          <w:shd w:val="clear" w:color="auto" w:fill="FFFFFF"/>
        </w:rPr>
        <w:t>, 2008). Collateral value can be enhanced through tangible asset accumulation, suggesting that appropriate asset structure could optimize corporate value. Numerous theoretical frameworks have subsequently emerged to elucidate corporate asset management patterns. Understanding the composition and utilization of assets is essential, as this knowledge directly influences a firm’s competitive positioning within its industry. It therefore falls upon corporate management to determine the optimal asset mix that will maximize financial performance (</w:t>
      </w:r>
      <w:proofErr w:type="spellStart"/>
      <w:r>
        <w:rPr>
          <w:rFonts w:ascii="Times New Roman" w:hAnsi="Times New Roman"/>
          <w:color w:val="202124"/>
          <w:sz w:val="24"/>
          <w:szCs w:val="24"/>
          <w:shd w:val="clear" w:color="auto" w:fill="FFFFFF"/>
        </w:rPr>
        <w:t>Abor</w:t>
      </w:r>
      <w:proofErr w:type="spellEnd"/>
      <w:r>
        <w:rPr>
          <w:rFonts w:ascii="Times New Roman" w:hAnsi="Times New Roman"/>
          <w:color w:val="202124"/>
          <w:sz w:val="24"/>
          <w:szCs w:val="24"/>
          <w:shd w:val="clear" w:color="auto" w:fill="FFFFFF"/>
        </w:rPr>
        <w:t>, 2007).</w:t>
      </w:r>
    </w:p>
    <w:p w14:paraId="53A7F006" w14:textId="654CD6B8" w:rsidR="0013611D" w:rsidRDefault="0013611D" w:rsidP="002554A7">
      <w:pPr>
        <w:widowControl w:val="0"/>
        <w:overflowPunct w:val="0"/>
        <w:autoSpaceDE w:val="0"/>
        <w:spacing w:after="0" w:line="240" w:lineRule="auto"/>
        <w:ind w:right="20"/>
        <w:jc w:val="both"/>
        <w:rPr>
          <w:rFonts w:ascii="Times New Roman" w:hAnsi="Times New Roman"/>
          <w:color w:val="202124"/>
          <w:sz w:val="24"/>
          <w:szCs w:val="24"/>
          <w:shd w:val="clear" w:color="auto" w:fill="FFFFFF"/>
        </w:rPr>
      </w:pPr>
      <w:r>
        <w:rPr>
          <w:rFonts w:ascii="Times New Roman" w:hAnsi="Times New Roman"/>
          <w:color w:val="202124"/>
          <w:sz w:val="24"/>
          <w:szCs w:val="24"/>
          <w:shd w:val="clear" w:color="auto" w:fill="FFFFFF"/>
        </w:rPr>
        <w:t>Asset acquisition and management through securities exchange markets has gained increasing prevalence in Kenya. Non-listed building and construction firms have accumulated substantial tangible asset portfolios as a mechanism for raising operational capital through collateralization and asset-backed financing (</w:t>
      </w:r>
      <w:proofErr w:type="spellStart"/>
      <w:r>
        <w:rPr>
          <w:rFonts w:ascii="Times New Roman" w:hAnsi="Times New Roman"/>
          <w:color w:val="202124"/>
          <w:sz w:val="24"/>
          <w:szCs w:val="24"/>
          <w:shd w:val="clear" w:color="auto" w:fill="FFFFFF"/>
        </w:rPr>
        <w:t>Anyanzwa</w:t>
      </w:r>
      <w:proofErr w:type="spellEnd"/>
      <w:r>
        <w:rPr>
          <w:rFonts w:ascii="Times New Roman" w:hAnsi="Times New Roman"/>
          <w:color w:val="202124"/>
          <w:sz w:val="24"/>
          <w:szCs w:val="24"/>
          <w:shd w:val="clear" w:color="auto" w:fill="FFFFFF"/>
        </w:rPr>
        <w:t xml:space="preserve">, 2015). Many organizations employ asset tangibility to leverage their capital base with the objective of enhancing profitability. Nevertheless, the efficacy of tangible assets in improving corporate financial health varies considerably across enterprises, contingent upon prevailing economic conditions and asset utilization efficiency at any given time (Maher &amp; </w:t>
      </w:r>
      <w:proofErr w:type="spellStart"/>
      <w:r>
        <w:rPr>
          <w:rFonts w:ascii="Times New Roman" w:hAnsi="Times New Roman"/>
          <w:color w:val="202124"/>
          <w:sz w:val="24"/>
          <w:szCs w:val="24"/>
          <w:shd w:val="clear" w:color="auto" w:fill="FFFFFF"/>
        </w:rPr>
        <w:t>Andersson</w:t>
      </w:r>
      <w:proofErr w:type="spellEnd"/>
      <w:r>
        <w:rPr>
          <w:rFonts w:ascii="Times New Roman" w:hAnsi="Times New Roman"/>
          <w:color w:val="202124"/>
          <w:sz w:val="24"/>
          <w:szCs w:val="24"/>
          <w:shd w:val="clear" w:color="auto" w:fill="FFFFFF"/>
        </w:rPr>
        <w:t>, 2013). Asset tangibility fundamentally represents the share of a firm’s assets that are physical and can serve as collateral, encompassing land, buildings, machinery, equipment, and vehicles. This metric has direct implications for organizational financial health and shareholder returns. The increasing reliance on tangible asset accumulation by non-listed companies provided the impetus for investigating its effects on financial position, constituting the primary motivation for this research. Furthermore, the absence of consolidated theoretical perspectives on the causal chains linking asset tangibility to financial performance reinforced the necessity for this investigative undertaking.</w:t>
      </w:r>
    </w:p>
    <w:p w14:paraId="6BDCBF1E" w14:textId="2EEAACEE" w:rsidR="0013611D" w:rsidRDefault="0013611D" w:rsidP="002554A7">
      <w:pPr>
        <w:widowControl w:val="0"/>
        <w:overflowPunct w:val="0"/>
        <w:autoSpaceDE w:val="0"/>
        <w:spacing w:after="0" w:line="240" w:lineRule="auto"/>
        <w:ind w:right="20"/>
        <w:jc w:val="both"/>
        <w:rPr>
          <w:rFonts w:ascii="Times New Roman" w:hAnsi="Times New Roman"/>
          <w:color w:val="202124"/>
          <w:sz w:val="24"/>
          <w:szCs w:val="24"/>
          <w:shd w:val="clear" w:color="auto" w:fill="FFFFFF"/>
        </w:rPr>
      </w:pPr>
      <w:r>
        <w:rPr>
          <w:rFonts w:ascii="Times New Roman" w:hAnsi="Times New Roman"/>
          <w:color w:val="202124"/>
          <w:sz w:val="24"/>
          <w:szCs w:val="24"/>
          <w:shd w:val="clear" w:color="auto" w:fill="FFFFFF"/>
        </w:rPr>
        <w:t xml:space="preserve">The manner in which an organization structures its asset portfolio fundamentally shapes its financial profile and performance trajectory. This represents one of the most consequential financial decisions confronting management, as it determines the enterprise’s capacity to satisfy the diverse expectations of its stakeholders (Jensen, 2015). Asset tangibility involves the </w:t>
      </w:r>
      <w:r>
        <w:rPr>
          <w:rFonts w:ascii="Times New Roman" w:hAnsi="Times New Roman"/>
          <w:color w:val="202124"/>
          <w:sz w:val="24"/>
          <w:szCs w:val="24"/>
          <w:shd w:val="clear" w:color="auto" w:fill="FFFFFF"/>
        </w:rPr>
        <w:lastRenderedPageBreak/>
        <w:t>acquisition and maintenance of physical resources such as land, buildings, machinery, and equipment. Unlike liquid assets, tangible assets provide collateral value that can facilitate access to credit while simultaneously generating productive capacity. The organization bears the obligation to maintain and depreciate these assets while ensuring they generate sufficient returns to justify their acquisition costs. Inefficient asset utilization can result in reduced profitability, liquidity constraints, or business collapse (</w:t>
      </w:r>
      <w:proofErr w:type="spellStart"/>
      <w:r>
        <w:rPr>
          <w:rFonts w:ascii="Times New Roman" w:hAnsi="Times New Roman"/>
          <w:color w:val="202124"/>
          <w:sz w:val="24"/>
          <w:szCs w:val="24"/>
          <w:shd w:val="clear" w:color="auto" w:fill="FFFFFF"/>
        </w:rPr>
        <w:t>Bichsel</w:t>
      </w:r>
      <w:proofErr w:type="spellEnd"/>
      <w:r>
        <w:rPr>
          <w:rFonts w:ascii="Times New Roman" w:hAnsi="Times New Roman"/>
          <w:color w:val="202124"/>
          <w:sz w:val="24"/>
          <w:szCs w:val="24"/>
          <w:shd w:val="clear" w:color="auto" w:fill="FFFFFF"/>
        </w:rPr>
        <w:t xml:space="preserve"> &amp; Blum, 2015). Tangible assets present both advantages and disadvantages that affect organizational growth and long-term viability.</w:t>
      </w:r>
    </w:p>
    <w:p w14:paraId="6E862D0D" w14:textId="1525C05D" w:rsidR="0013611D" w:rsidRDefault="0013611D" w:rsidP="002554A7">
      <w:pPr>
        <w:widowControl w:val="0"/>
        <w:overflowPunct w:val="0"/>
        <w:autoSpaceDE w:val="0"/>
        <w:spacing w:after="0" w:line="240" w:lineRule="auto"/>
        <w:ind w:right="20"/>
        <w:jc w:val="both"/>
        <w:rPr>
          <w:rFonts w:ascii="Times New Roman" w:hAnsi="Times New Roman"/>
          <w:color w:val="202124"/>
          <w:sz w:val="24"/>
          <w:szCs w:val="24"/>
          <w:shd w:val="clear" w:color="auto" w:fill="FFFFFF"/>
        </w:rPr>
      </w:pPr>
      <w:r>
        <w:rPr>
          <w:rFonts w:ascii="Times New Roman" w:hAnsi="Times New Roman"/>
          <w:color w:val="202124"/>
          <w:sz w:val="24"/>
          <w:szCs w:val="24"/>
          <w:shd w:val="clear" w:color="auto" w:fill="FFFFFF"/>
        </w:rPr>
        <w:t>The utilization of tangible assets can confer certain benefits, including collateral provision for borrowing, enhanced operational capacity, and improved creditor confidence, while simultaneously reducing the risk of financial distress through productive asset deployment (</w:t>
      </w:r>
      <w:proofErr w:type="spellStart"/>
      <w:r>
        <w:rPr>
          <w:rFonts w:ascii="Times New Roman" w:hAnsi="Times New Roman"/>
          <w:color w:val="202124"/>
          <w:sz w:val="24"/>
          <w:szCs w:val="24"/>
          <w:shd w:val="clear" w:color="auto" w:fill="FFFFFF"/>
        </w:rPr>
        <w:t>Fama</w:t>
      </w:r>
      <w:proofErr w:type="spellEnd"/>
      <w:r>
        <w:rPr>
          <w:rFonts w:ascii="Times New Roman" w:hAnsi="Times New Roman"/>
          <w:color w:val="202124"/>
          <w:sz w:val="24"/>
          <w:szCs w:val="24"/>
          <w:shd w:val="clear" w:color="auto" w:fill="FFFFFF"/>
        </w:rPr>
        <w:t xml:space="preserve"> &amp; French, 2010). Prudent management dictates that executives should carefully balance such benefits against the costs of asset acquisition and maintenance, making judicious decisions regarding asset composition to optimize performance (Krause &amp; </w:t>
      </w:r>
      <w:proofErr w:type="spellStart"/>
      <w:r>
        <w:rPr>
          <w:rFonts w:ascii="Times New Roman" w:hAnsi="Times New Roman"/>
          <w:color w:val="202124"/>
          <w:sz w:val="24"/>
          <w:szCs w:val="24"/>
          <w:shd w:val="clear" w:color="auto" w:fill="FFFFFF"/>
        </w:rPr>
        <w:t>Litzenberger</w:t>
      </w:r>
      <w:proofErr w:type="spellEnd"/>
      <w:r>
        <w:rPr>
          <w:rFonts w:ascii="Times New Roman" w:hAnsi="Times New Roman"/>
          <w:color w:val="202124"/>
          <w:sz w:val="24"/>
          <w:szCs w:val="24"/>
          <w:shd w:val="clear" w:color="auto" w:fill="FFFFFF"/>
        </w:rPr>
        <w:t>, 2010). Asset tangibility ratios serve as the primary metrics for evaluating asset structure, enabling comparison of fixed assets against total assets. Lower ratios indicate greater reliance on intangible or liquid assets, whereas higher percentages reflect substantial investment in physical assets.</w:t>
      </w:r>
    </w:p>
    <w:p w14:paraId="453E92D5" w14:textId="3FF01A08" w:rsidR="0013611D" w:rsidRDefault="0013611D" w:rsidP="002554A7">
      <w:pPr>
        <w:widowControl w:val="0"/>
        <w:overflowPunct w:val="0"/>
        <w:autoSpaceDE w:val="0"/>
        <w:spacing w:after="0" w:line="240" w:lineRule="auto"/>
        <w:ind w:right="20"/>
        <w:jc w:val="both"/>
        <w:rPr>
          <w:rFonts w:ascii="Times New Roman" w:hAnsi="Times New Roman"/>
          <w:color w:val="202124"/>
          <w:sz w:val="24"/>
          <w:szCs w:val="24"/>
          <w:shd w:val="clear" w:color="auto" w:fill="FFFFFF"/>
        </w:rPr>
      </w:pPr>
      <w:r>
        <w:rPr>
          <w:rFonts w:ascii="Times New Roman" w:hAnsi="Times New Roman"/>
          <w:color w:val="202124"/>
          <w:sz w:val="24"/>
          <w:szCs w:val="24"/>
          <w:shd w:val="clear" w:color="auto" w:fill="FFFFFF"/>
        </w:rPr>
        <w:t>Financial performance essentially represents an organization’s effectiveness in utilizing available resources to generate revenue. It provides a basis for informed decision-making regarding business expansion strategies, asset acquisition, and management oversight (</w:t>
      </w:r>
      <w:proofErr w:type="spellStart"/>
      <w:r>
        <w:rPr>
          <w:rFonts w:ascii="Times New Roman" w:hAnsi="Times New Roman"/>
          <w:color w:val="202124"/>
          <w:sz w:val="24"/>
          <w:szCs w:val="24"/>
          <w:shd w:val="clear" w:color="auto" w:fill="FFFFFF"/>
        </w:rPr>
        <w:t>Tehrani</w:t>
      </w:r>
      <w:proofErr w:type="spellEnd"/>
      <w:r>
        <w:rPr>
          <w:rFonts w:ascii="Times New Roman" w:hAnsi="Times New Roman"/>
          <w:color w:val="202124"/>
          <w:sz w:val="24"/>
          <w:szCs w:val="24"/>
          <w:shd w:val="clear" w:color="auto" w:fill="FFFFFF"/>
        </w:rPr>
        <w:t xml:space="preserve"> &amp; </w:t>
      </w:r>
      <w:proofErr w:type="spellStart"/>
      <w:r>
        <w:rPr>
          <w:rFonts w:ascii="Times New Roman" w:hAnsi="Times New Roman"/>
          <w:color w:val="202124"/>
          <w:sz w:val="24"/>
          <w:szCs w:val="24"/>
          <w:shd w:val="clear" w:color="auto" w:fill="FFFFFF"/>
        </w:rPr>
        <w:t>Rahnama</w:t>
      </w:r>
      <w:proofErr w:type="spellEnd"/>
      <w:r>
        <w:rPr>
          <w:rFonts w:ascii="Times New Roman" w:hAnsi="Times New Roman"/>
          <w:color w:val="202124"/>
          <w:sz w:val="24"/>
          <w:szCs w:val="24"/>
          <w:shd w:val="clear" w:color="auto" w:fill="FFFFFF"/>
        </w:rPr>
        <w:t xml:space="preserve">, 2016). Performance measurement reflects managerial accomplishments in quantitative terms over specified periods, enabling comparisons with industry competitors. According to </w:t>
      </w:r>
      <w:proofErr w:type="spellStart"/>
      <w:r>
        <w:rPr>
          <w:rFonts w:ascii="Times New Roman" w:hAnsi="Times New Roman"/>
          <w:color w:val="202124"/>
          <w:sz w:val="24"/>
          <w:szCs w:val="24"/>
          <w:shd w:val="clear" w:color="auto" w:fill="FFFFFF"/>
        </w:rPr>
        <w:t>Ongeri</w:t>
      </w:r>
      <w:proofErr w:type="spellEnd"/>
      <w:r>
        <w:rPr>
          <w:rFonts w:ascii="Times New Roman" w:hAnsi="Times New Roman"/>
          <w:color w:val="202124"/>
          <w:sz w:val="24"/>
          <w:szCs w:val="24"/>
          <w:shd w:val="clear" w:color="auto" w:fill="FFFFFF"/>
        </w:rPr>
        <w:t xml:space="preserve"> (2014), financial performance constitutes the monetary expression through which business activities can be evaluated. It illustrates the extent to which shareholders have experienced financial improvement over a given trading or accounting period compared to their initial position. This can be effectively demonstrated through financial ratios derived from financial statements or market share price movements. The primary corporate objective centers on maximizing shareholder wealth, with performance measurement essentially assessing how much richer shareholders have become as a consequence of prudent investment decisions over time (Barger &amp; </w:t>
      </w:r>
      <w:proofErr w:type="spellStart"/>
      <w:r>
        <w:rPr>
          <w:rFonts w:ascii="Times New Roman" w:hAnsi="Times New Roman"/>
          <w:color w:val="202124"/>
          <w:sz w:val="24"/>
          <w:szCs w:val="24"/>
          <w:shd w:val="clear" w:color="auto" w:fill="FFFFFF"/>
        </w:rPr>
        <w:t>Pati</w:t>
      </w:r>
      <w:proofErr w:type="spellEnd"/>
      <w:r>
        <w:rPr>
          <w:rFonts w:ascii="Times New Roman" w:hAnsi="Times New Roman"/>
          <w:color w:val="202124"/>
          <w:sz w:val="24"/>
          <w:szCs w:val="24"/>
          <w:shd w:val="clear" w:color="auto" w:fill="FFFFFF"/>
        </w:rPr>
        <w:t>, 2013).</w:t>
      </w:r>
    </w:p>
    <w:p w14:paraId="25B5B115" w14:textId="45C53063" w:rsidR="0013611D" w:rsidRDefault="0013611D" w:rsidP="002554A7">
      <w:pPr>
        <w:widowControl w:val="0"/>
        <w:overflowPunct w:val="0"/>
        <w:autoSpaceDE w:val="0"/>
        <w:spacing w:after="0" w:line="240" w:lineRule="auto"/>
        <w:ind w:right="20"/>
        <w:jc w:val="both"/>
        <w:rPr>
          <w:rFonts w:ascii="Times New Roman" w:hAnsi="Times New Roman"/>
          <w:color w:val="202124"/>
          <w:sz w:val="24"/>
          <w:szCs w:val="24"/>
          <w:shd w:val="clear" w:color="auto" w:fill="FFFFFF"/>
        </w:rPr>
      </w:pPr>
      <w:r>
        <w:rPr>
          <w:rFonts w:ascii="Times New Roman" w:hAnsi="Times New Roman"/>
          <w:color w:val="202124"/>
          <w:sz w:val="24"/>
          <w:szCs w:val="24"/>
          <w:shd w:val="clear" w:color="auto" w:fill="FFFFFF"/>
        </w:rPr>
        <w:t>Various absolute and relative indicators serve as measures of financial performance, including expenses, earnings before tax and interest (EBTI), revenues, income levels, returns on assets, and returns on equity. The most commonly employed performance metrics are ROA and ROE (Reese &amp; Cool, 2016). Return on Equity reflects the returns generated for shareholders, calculated by dividing net profit after tax (NPAT) by total equity capital (TEC). This indicator demonstrates a firm’s profitability relative to the total shareholder investment. Similarly, Return on Assets reveals the returns generated by all assets employed, serving as a comprehensive index of financial health. This is computed by dividing net income after tax (NIAT) by total assets (TA) (</w:t>
      </w:r>
      <w:proofErr w:type="spellStart"/>
      <w:r>
        <w:rPr>
          <w:rFonts w:ascii="Times New Roman" w:hAnsi="Times New Roman"/>
          <w:color w:val="202124"/>
          <w:sz w:val="24"/>
          <w:szCs w:val="24"/>
          <w:shd w:val="clear" w:color="auto" w:fill="FFFFFF"/>
        </w:rPr>
        <w:t>Khrawish</w:t>
      </w:r>
      <w:proofErr w:type="spellEnd"/>
      <w:r>
        <w:rPr>
          <w:rFonts w:ascii="Times New Roman" w:hAnsi="Times New Roman"/>
          <w:color w:val="202124"/>
          <w:sz w:val="24"/>
          <w:szCs w:val="24"/>
          <w:shd w:val="clear" w:color="auto" w:fill="FFFFFF"/>
        </w:rPr>
        <w:t>, 2014). For the purposes of this investigation, ROA was utilized to measure the performance of non-listed building and construction firms.</w:t>
      </w:r>
      <w:r w:rsidR="002554A7">
        <w:rPr>
          <w:rFonts w:ascii="Times New Roman" w:hAnsi="Times New Roman"/>
          <w:color w:val="202124"/>
          <w:sz w:val="24"/>
          <w:szCs w:val="24"/>
          <w:shd w:val="clear" w:color="auto" w:fill="FFFFFF"/>
        </w:rPr>
        <w:t xml:space="preserve"> </w:t>
      </w:r>
    </w:p>
    <w:p w14:paraId="5E69FCD1" w14:textId="0B2D479C" w:rsidR="0013611D" w:rsidRDefault="0013611D" w:rsidP="002554A7">
      <w:pPr>
        <w:widowControl w:val="0"/>
        <w:overflowPunct w:val="0"/>
        <w:autoSpaceDE w:val="0"/>
        <w:spacing w:after="0" w:line="240" w:lineRule="auto"/>
        <w:ind w:right="20"/>
        <w:jc w:val="both"/>
        <w:rPr>
          <w:rFonts w:ascii="Times New Roman" w:hAnsi="Times New Roman"/>
          <w:color w:val="202124"/>
          <w:sz w:val="24"/>
          <w:szCs w:val="24"/>
          <w:shd w:val="clear" w:color="auto" w:fill="FFFFFF"/>
        </w:rPr>
      </w:pPr>
      <w:r>
        <w:rPr>
          <w:rFonts w:ascii="Times New Roman" w:hAnsi="Times New Roman"/>
          <w:color w:val="202124"/>
          <w:sz w:val="24"/>
          <w:szCs w:val="24"/>
          <w:shd w:val="clear" w:color="auto" w:fill="FFFFFF"/>
        </w:rPr>
        <w:t>Kenya hosts a well-established and progressive construction industry within the East African region. The sector encompasses enterprises engaged in the construction of commercial and residential structures, engineering projects, and related trade services. The construction industry makes substantial contributions to the national Gross Domestic Product (GDP), serving not merely as a significant economic player but also as a catalyst for broader economic growth. According to the Kenya National Bureau of Statistics (KNBS), the construction and real estate sectors have emerged as the most significant drivers of Kenya’s economic expansion over the past five years. The sector contributed 7 percent of the country’s GDP in 2015, establishing its status among the nation’s most developed industries.</w:t>
      </w:r>
    </w:p>
    <w:p w14:paraId="675B7527" w14:textId="79ABE2F2" w:rsidR="0013611D" w:rsidRDefault="0013611D" w:rsidP="002554A7">
      <w:pPr>
        <w:widowControl w:val="0"/>
        <w:overflowPunct w:val="0"/>
        <w:autoSpaceDE w:val="0"/>
        <w:spacing w:after="0" w:line="240" w:lineRule="auto"/>
        <w:ind w:right="20"/>
        <w:jc w:val="both"/>
        <w:rPr>
          <w:rFonts w:ascii="Times New Roman" w:hAnsi="Times New Roman"/>
          <w:color w:val="202124"/>
          <w:sz w:val="24"/>
          <w:szCs w:val="24"/>
          <w:shd w:val="clear" w:color="auto" w:fill="FFFFFF"/>
        </w:rPr>
      </w:pPr>
      <w:r>
        <w:rPr>
          <w:rFonts w:ascii="Times New Roman" w:hAnsi="Times New Roman"/>
          <w:color w:val="202124"/>
          <w:sz w:val="24"/>
          <w:szCs w:val="24"/>
          <w:shd w:val="clear" w:color="auto" w:fill="FFFFFF"/>
        </w:rPr>
        <w:t xml:space="preserve">The construction sector has prioritized the maintenance of existing infrastructure while simultaneously integrating efficient and safer transportation systems and benchmarking </w:t>
      </w:r>
      <w:r>
        <w:rPr>
          <w:rFonts w:ascii="Times New Roman" w:hAnsi="Times New Roman"/>
          <w:color w:val="202124"/>
          <w:sz w:val="24"/>
          <w:szCs w:val="24"/>
          <w:shd w:val="clear" w:color="auto" w:fill="FFFFFF"/>
        </w:rPr>
        <w:lastRenderedPageBreak/>
        <w:t xml:space="preserve">infrastructural services against international standards. The industry seeks to establish globally accepted performance standards that ensure customer satisfaction and attract private sector participation in infrastructure provision, complementing government interventions. As documented in the Economic Survey 2016 published by KNBS, the economy experienced significant growth within the construction sector in 2015, registering a 13.06 percent increase in value addition. Employment within the sector also grew by 11.4 percent, reaching 148.00 thousand employees in 2015 compared to 132.90 thousand in the preceding year. </w:t>
      </w:r>
      <w:proofErr w:type="gramStart"/>
      <w:r>
        <w:rPr>
          <w:rFonts w:ascii="Times New Roman" w:hAnsi="Times New Roman"/>
          <w:color w:val="202124"/>
          <w:sz w:val="24"/>
          <w:szCs w:val="24"/>
          <w:shd w:val="clear" w:color="auto" w:fill="FFFFFF"/>
        </w:rPr>
        <w:t>Road expenditure increased by 79.2 percent during the same period.</w:t>
      </w:r>
      <w:proofErr w:type="gramEnd"/>
      <w:r>
        <w:rPr>
          <w:rFonts w:ascii="Times New Roman" w:hAnsi="Times New Roman"/>
          <w:color w:val="202124"/>
          <w:sz w:val="24"/>
          <w:szCs w:val="24"/>
          <w:shd w:val="clear" w:color="auto" w:fill="FFFFFF"/>
        </w:rPr>
        <w:t xml:space="preserve"> The Government’s expenditure index rose from 263.4 in 2014 to approximately 386.7 in 2015, reflecting support for various projects. The sector expanded by 9.2 percent in 2016 compared to the slightly higher growth rate of 13.9 percent recorded in 2015. The moderated growth rate was attributable to reduced activity levels within the sector, partly due to the nearing completion of the Standard Gauge Railway (SGR) project.</w:t>
      </w:r>
    </w:p>
    <w:p w14:paraId="3C298C4D" w14:textId="2EA72E0E" w:rsidR="0013611D" w:rsidRDefault="0013611D" w:rsidP="002554A7">
      <w:pPr>
        <w:widowControl w:val="0"/>
        <w:overflowPunct w:val="0"/>
        <w:autoSpaceDE w:val="0"/>
        <w:spacing w:after="0" w:line="240" w:lineRule="auto"/>
        <w:ind w:right="20"/>
        <w:jc w:val="both"/>
        <w:rPr>
          <w:rFonts w:ascii="Times New Roman" w:hAnsi="Times New Roman"/>
          <w:color w:val="202124"/>
          <w:sz w:val="24"/>
          <w:szCs w:val="24"/>
          <w:shd w:val="clear" w:color="auto" w:fill="FFFFFF"/>
        </w:rPr>
      </w:pPr>
      <w:r>
        <w:rPr>
          <w:rFonts w:ascii="Times New Roman" w:hAnsi="Times New Roman"/>
          <w:color w:val="202124"/>
          <w:sz w:val="24"/>
          <w:szCs w:val="24"/>
          <w:shd w:val="clear" w:color="auto" w:fill="FFFFFF"/>
        </w:rPr>
        <w:t>Building and construction firms operate within a regulated environment, with the National Construction Authority (NCA) serving as the primary regulatory body for standardization purposes within the industry. The NCA was established through an Act of Parliament and mandated with the responsibility of streamlining, regulating, and building capacity within the construction sector. This regulatory framework encompasses project registration, worker and supervisor accreditation, and contractor registration processes. The NCA maintains comprehensive records of individual firms, serving as the final reference in case of disputes.</w:t>
      </w:r>
    </w:p>
    <w:p w14:paraId="205E156D" w14:textId="47EB49FA" w:rsidR="00534FB6" w:rsidRPr="006D0AA4" w:rsidRDefault="003465EC" w:rsidP="006D0AA4">
      <w:pPr>
        <w:pStyle w:val="Heading2"/>
        <w:spacing w:line="240" w:lineRule="auto"/>
        <w:rPr>
          <w:sz w:val="24"/>
        </w:rPr>
      </w:pPr>
      <w:bookmarkStart w:id="12" w:name="_Toc141874732"/>
      <w:bookmarkStart w:id="13" w:name="_Toc150939171"/>
      <w:bookmarkStart w:id="14" w:name="_Toc150942663"/>
      <w:bookmarkStart w:id="15" w:name="_Toc150944468"/>
      <w:r w:rsidRPr="006D0AA4">
        <w:rPr>
          <w:sz w:val="24"/>
        </w:rPr>
        <w:t>Research</w:t>
      </w:r>
      <w:r w:rsidR="00534FB6" w:rsidRPr="006D0AA4">
        <w:rPr>
          <w:sz w:val="24"/>
        </w:rPr>
        <w:t xml:space="preserve"> Problem</w:t>
      </w:r>
      <w:bookmarkEnd w:id="12"/>
      <w:bookmarkEnd w:id="13"/>
      <w:bookmarkEnd w:id="14"/>
      <w:bookmarkEnd w:id="15"/>
    </w:p>
    <w:p w14:paraId="4CCAB4B1" w14:textId="77777777" w:rsidR="002554A7" w:rsidRDefault="002554A7" w:rsidP="002554A7">
      <w:pPr>
        <w:widowControl w:val="0"/>
        <w:overflowPunct w:val="0"/>
        <w:autoSpaceDE w:val="0"/>
        <w:spacing w:after="0" w:line="240" w:lineRule="auto"/>
        <w:ind w:right="20"/>
        <w:jc w:val="both"/>
        <w:rPr>
          <w:rFonts w:ascii="Times New Roman" w:hAnsi="Times New Roman"/>
          <w:color w:val="202124"/>
          <w:sz w:val="24"/>
          <w:szCs w:val="24"/>
          <w:shd w:val="clear" w:color="auto" w:fill="FFFFFF"/>
        </w:rPr>
      </w:pPr>
      <w:r>
        <w:rPr>
          <w:rFonts w:ascii="Times New Roman" w:hAnsi="Times New Roman"/>
          <w:color w:val="202124"/>
          <w:sz w:val="24"/>
          <w:szCs w:val="24"/>
          <w:shd w:val="clear" w:color="auto" w:fill="FFFFFF"/>
        </w:rPr>
        <w:t>Asset tangibility plays a significant role in revealing the financial condition of enterprises, provided that the results are accurately analyzed and applied. Nevertheless, determining what constitutes an optimal asset structure remains an unresolved paradox within financial circles (</w:t>
      </w:r>
      <w:proofErr w:type="spellStart"/>
      <w:r>
        <w:rPr>
          <w:rFonts w:ascii="Times New Roman" w:hAnsi="Times New Roman"/>
          <w:color w:val="202124"/>
          <w:sz w:val="24"/>
          <w:szCs w:val="24"/>
          <w:shd w:val="clear" w:color="auto" w:fill="FFFFFF"/>
        </w:rPr>
        <w:t>Kajola</w:t>
      </w:r>
      <w:proofErr w:type="spellEnd"/>
      <w:r>
        <w:rPr>
          <w:rFonts w:ascii="Times New Roman" w:hAnsi="Times New Roman"/>
          <w:color w:val="202124"/>
          <w:sz w:val="24"/>
          <w:szCs w:val="24"/>
          <w:shd w:val="clear" w:color="auto" w:fill="FFFFFF"/>
        </w:rPr>
        <w:t xml:space="preserve">, 2010). The relationship between asset composition and profitability continues to generate debate, with prevailing theories and empirical studies offering inconsistent conclusions. Modigliani and Miller (1984) proposed that asset structure may not affect firm value in perfect markets. Conversely, other theoretical perspectives suggest that tangible assets enhance firm value through collateral provision and operational efficiency. Jensen and </w:t>
      </w:r>
      <w:proofErr w:type="spellStart"/>
      <w:r>
        <w:rPr>
          <w:rFonts w:ascii="Times New Roman" w:hAnsi="Times New Roman"/>
          <w:color w:val="202124"/>
          <w:sz w:val="24"/>
          <w:szCs w:val="24"/>
          <w:shd w:val="clear" w:color="auto" w:fill="FFFFFF"/>
        </w:rPr>
        <w:t>Meckling</w:t>
      </w:r>
      <w:proofErr w:type="spellEnd"/>
      <w:r>
        <w:rPr>
          <w:rFonts w:ascii="Times New Roman" w:hAnsi="Times New Roman"/>
          <w:color w:val="202124"/>
          <w:sz w:val="24"/>
          <w:szCs w:val="24"/>
          <w:shd w:val="clear" w:color="auto" w:fill="FFFFFF"/>
        </w:rPr>
        <w:t xml:space="preserve"> (2010) supported this perspective by characterizing tangible assets as a mechanism that reduces information asymmetry and enhances creditor confidence, thereby positively influencing financial performance. These theoretical contradictions and the ongoing debate provided the impetus for further investigation, motivating the present research.</w:t>
      </w:r>
    </w:p>
    <w:p w14:paraId="1782CCE9" w14:textId="77777777" w:rsidR="002554A7" w:rsidRDefault="002554A7" w:rsidP="002554A7">
      <w:pPr>
        <w:widowControl w:val="0"/>
        <w:overflowPunct w:val="0"/>
        <w:autoSpaceDE w:val="0"/>
        <w:spacing w:after="0" w:line="240" w:lineRule="auto"/>
        <w:ind w:right="20"/>
        <w:jc w:val="both"/>
        <w:rPr>
          <w:rFonts w:ascii="Times New Roman" w:hAnsi="Times New Roman"/>
          <w:color w:val="202124"/>
          <w:sz w:val="24"/>
          <w:szCs w:val="24"/>
          <w:shd w:val="clear" w:color="auto" w:fill="FFFFFF"/>
        </w:rPr>
      </w:pPr>
      <w:r>
        <w:rPr>
          <w:rFonts w:ascii="Times New Roman" w:hAnsi="Times New Roman"/>
          <w:color w:val="202124"/>
          <w:sz w:val="24"/>
          <w:szCs w:val="24"/>
          <w:shd w:val="clear" w:color="auto" w:fill="FFFFFF"/>
        </w:rPr>
        <w:t>The government’s commitment to undertaking major construction projects as part of its development agenda has prompted many non-listed building and construction companies to pursue enhanced performance through substantial asset accumulation. There exists considerable argumentation regarding asset tangibility as a mechanism for enhancing profitability, provided that assets are acquired at favorable terms and deployed productively. Tangible assets facilitate access to financing through collateralization while generating productive capacity that can improve organizational performance if efficiently utilized (</w:t>
      </w:r>
      <w:proofErr w:type="spellStart"/>
      <w:r>
        <w:rPr>
          <w:rFonts w:ascii="Times New Roman" w:hAnsi="Times New Roman"/>
          <w:color w:val="202124"/>
          <w:sz w:val="24"/>
          <w:szCs w:val="24"/>
          <w:shd w:val="clear" w:color="auto" w:fill="FFFFFF"/>
        </w:rPr>
        <w:t>Anyanzwa</w:t>
      </w:r>
      <w:proofErr w:type="spellEnd"/>
      <w:r>
        <w:rPr>
          <w:rFonts w:ascii="Times New Roman" w:hAnsi="Times New Roman"/>
          <w:color w:val="202124"/>
          <w:sz w:val="24"/>
          <w:szCs w:val="24"/>
          <w:shd w:val="clear" w:color="auto" w:fill="FFFFFF"/>
        </w:rPr>
        <w:t xml:space="preserve">, 2015). However, many non-listed companies that have accumulated substantial fixed assets to improve their financial health have failed to achieve their objectives, instead experiencing significant losses and eventual dissolution, as exemplified by </w:t>
      </w:r>
      <w:proofErr w:type="spellStart"/>
      <w:r>
        <w:rPr>
          <w:rFonts w:ascii="Times New Roman" w:hAnsi="Times New Roman"/>
          <w:color w:val="202124"/>
          <w:sz w:val="24"/>
          <w:szCs w:val="24"/>
          <w:shd w:val="clear" w:color="auto" w:fill="FFFFFF"/>
        </w:rPr>
        <w:t>Athi</w:t>
      </w:r>
      <w:proofErr w:type="spellEnd"/>
      <w:r>
        <w:rPr>
          <w:rFonts w:ascii="Times New Roman" w:hAnsi="Times New Roman"/>
          <w:color w:val="202124"/>
          <w:sz w:val="24"/>
          <w:szCs w:val="24"/>
          <w:shd w:val="clear" w:color="auto" w:fill="FFFFFF"/>
        </w:rPr>
        <w:t xml:space="preserve"> River Mining Company, a cement manufacturer (</w:t>
      </w:r>
      <w:proofErr w:type="spellStart"/>
      <w:r>
        <w:rPr>
          <w:rFonts w:ascii="Times New Roman" w:hAnsi="Times New Roman"/>
          <w:color w:val="202124"/>
          <w:sz w:val="24"/>
          <w:szCs w:val="24"/>
          <w:shd w:val="clear" w:color="auto" w:fill="FFFFFF"/>
        </w:rPr>
        <w:t>Juma</w:t>
      </w:r>
      <w:proofErr w:type="spellEnd"/>
      <w:r>
        <w:rPr>
          <w:rFonts w:ascii="Times New Roman" w:hAnsi="Times New Roman"/>
          <w:color w:val="202124"/>
          <w:sz w:val="24"/>
          <w:szCs w:val="24"/>
          <w:shd w:val="clear" w:color="auto" w:fill="FFFFFF"/>
        </w:rPr>
        <w:t>, 2016). The poor performance of such non-listed entities despite substantial asset holdings underscores the necessity of investigating whether asset tangibility genuinely affects performance outcomes.</w:t>
      </w:r>
    </w:p>
    <w:p w14:paraId="0FFBBB9F" w14:textId="77777777" w:rsidR="002554A7" w:rsidRDefault="002554A7" w:rsidP="002554A7">
      <w:pPr>
        <w:widowControl w:val="0"/>
        <w:overflowPunct w:val="0"/>
        <w:autoSpaceDE w:val="0"/>
        <w:spacing w:after="0" w:line="240" w:lineRule="auto"/>
        <w:ind w:right="20"/>
        <w:jc w:val="both"/>
        <w:rPr>
          <w:rFonts w:ascii="Times New Roman" w:hAnsi="Times New Roman"/>
          <w:color w:val="202124"/>
          <w:sz w:val="24"/>
          <w:szCs w:val="24"/>
          <w:shd w:val="clear" w:color="auto" w:fill="FFFFFF"/>
        </w:rPr>
      </w:pPr>
      <w:r>
        <w:rPr>
          <w:rFonts w:ascii="Times New Roman" w:hAnsi="Times New Roman"/>
          <w:color w:val="202124"/>
          <w:sz w:val="24"/>
          <w:szCs w:val="24"/>
          <w:shd w:val="clear" w:color="auto" w:fill="FFFFFF"/>
        </w:rPr>
        <w:t xml:space="preserve">Empirical investigations have produced divergent findings. </w:t>
      </w:r>
      <w:proofErr w:type="spellStart"/>
      <w:r>
        <w:rPr>
          <w:rFonts w:ascii="Times New Roman" w:hAnsi="Times New Roman"/>
          <w:color w:val="202124"/>
          <w:sz w:val="24"/>
          <w:szCs w:val="24"/>
          <w:shd w:val="clear" w:color="auto" w:fill="FFFFFF"/>
        </w:rPr>
        <w:t>Abor</w:t>
      </w:r>
      <w:proofErr w:type="spellEnd"/>
      <w:r>
        <w:rPr>
          <w:rFonts w:ascii="Times New Roman" w:hAnsi="Times New Roman"/>
          <w:color w:val="202124"/>
          <w:sz w:val="24"/>
          <w:szCs w:val="24"/>
          <w:shd w:val="clear" w:color="auto" w:fill="FFFFFF"/>
        </w:rPr>
        <w:t xml:space="preserve"> (2010) examined the relationship between asset structure and profitability among listed Ghanaian corporations, finding a positive correlation between tangible asset utilization and financial position. </w:t>
      </w:r>
      <w:proofErr w:type="spellStart"/>
      <w:r>
        <w:rPr>
          <w:rFonts w:ascii="Times New Roman" w:hAnsi="Times New Roman"/>
          <w:color w:val="202124"/>
          <w:sz w:val="24"/>
          <w:szCs w:val="24"/>
          <w:shd w:val="clear" w:color="auto" w:fill="FFFFFF"/>
        </w:rPr>
        <w:t>Kajirwa</w:t>
      </w:r>
      <w:proofErr w:type="spellEnd"/>
      <w:r>
        <w:rPr>
          <w:rFonts w:ascii="Times New Roman" w:hAnsi="Times New Roman"/>
          <w:color w:val="202124"/>
          <w:sz w:val="24"/>
          <w:szCs w:val="24"/>
          <w:shd w:val="clear" w:color="auto" w:fill="FFFFFF"/>
        </w:rPr>
        <w:t xml:space="preserve"> (2016) investigated the impact of asset structure on the performance of Kenyan banks listed on </w:t>
      </w:r>
      <w:r>
        <w:rPr>
          <w:rFonts w:ascii="Times New Roman" w:hAnsi="Times New Roman"/>
          <w:color w:val="202124"/>
          <w:sz w:val="24"/>
          <w:szCs w:val="24"/>
          <w:shd w:val="clear" w:color="auto" w:fill="FFFFFF"/>
        </w:rPr>
        <w:lastRenderedPageBreak/>
        <w:t>the Nairobi Securities Exchange (NSE) using secondary data and qualitative analysis techniques. The findings revealed a positive effect of tangible assets on bank profitability, leading to recommendations for strategic asset acquisition.</w:t>
      </w:r>
    </w:p>
    <w:p w14:paraId="47598659" w14:textId="77777777" w:rsidR="002554A7" w:rsidRPr="006D0AA4" w:rsidRDefault="002554A7" w:rsidP="002554A7">
      <w:pPr>
        <w:widowControl w:val="0"/>
        <w:overflowPunct w:val="0"/>
        <w:autoSpaceDE w:val="0"/>
        <w:spacing w:after="0" w:line="240" w:lineRule="auto"/>
        <w:ind w:right="20"/>
        <w:jc w:val="both"/>
        <w:rPr>
          <w:rFonts w:ascii="Times New Roman" w:hAnsi="Times New Roman"/>
          <w:color w:val="202124"/>
          <w:sz w:val="24"/>
          <w:szCs w:val="24"/>
          <w:shd w:val="clear" w:color="auto" w:fill="FFFFFF"/>
        </w:rPr>
      </w:pPr>
      <w:r>
        <w:rPr>
          <w:rFonts w:ascii="Times New Roman" w:hAnsi="Times New Roman"/>
          <w:color w:val="202124"/>
          <w:sz w:val="24"/>
          <w:szCs w:val="24"/>
          <w:shd w:val="clear" w:color="auto" w:fill="FFFFFF"/>
        </w:rPr>
        <w:t xml:space="preserve">Gleason (2011) conducted a study on performance and asset structure using data from 2008-2009 across 14 European Union countries, utilizing ROA as the performance metric. The results indicated that asset tangibility significantly affected firm performance as measured by ROA. </w:t>
      </w:r>
      <w:proofErr w:type="spellStart"/>
      <w:r>
        <w:rPr>
          <w:rFonts w:ascii="Times New Roman" w:hAnsi="Times New Roman"/>
          <w:color w:val="202124"/>
          <w:sz w:val="24"/>
          <w:szCs w:val="24"/>
          <w:shd w:val="clear" w:color="auto" w:fill="FFFFFF"/>
        </w:rPr>
        <w:t>Abor</w:t>
      </w:r>
      <w:proofErr w:type="spellEnd"/>
      <w:r>
        <w:rPr>
          <w:rFonts w:ascii="Times New Roman" w:hAnsi="Times New Roman"/>
          <w:color w:val="202124"/>
          <w:sz w:val="24"/>
          <w:szCs w:val="24"/>
          <w:shd w:val="clear" w:color="auto" w:fill="FFFFFF"/>
        </w:rPr>
        <w:t xml:space="preserve"> (2010) similarly investigated the relationship between asset structure and profitability among listed Ghanaian firms, finding substantial significance for both parameters. </w:t>
      </w:r>
      <w:proofErr w:type="spellStart"/>
      <w:r>
        <w:rPr>
          <w:rFonts w:ascii="Times New Roman" w:hAnsi="Times New Roman"/>
          <w:color w:val="202124"/>
          <w:sz w:val="24"/>
          <w:szCs w:val="24"/>
          <w:shd w:val="clear" w:color="auto" w:fill="FFFFFF"/>
        </w:rPr>
        <w:t>Kaumbuthu</w:t>
      </w:r>
      <w:proofErr w:type="spellEnd"/>
      <w:r>
        <w:rPr>
          <w:rFonts w:ascii="Times New Roman" w:hAnsi="Times New Roman"/>
          <w:color w:val="202124"/>
          <w:sz w:val="24"/>
          <w:szCs w:val="24"/>
          <w:shd w:val="clear" w:color="auto" w:fill="FFFFFF"/>
        </w:rPr>
        <w:t xml:space="preserve"> (2010) examined the effects of asset structure on the financial performance of manufacturing firms listed on the NSE, revealing a positive asset tangibility relationship. </w:t>
      </w:r>
      <w:proofErr w:type="spellStart"/>
      <w:r>
        <w:rPr>
          <w:rFonts w:ascii="Times New Roman" w:hAnsi="Times New Roman"/>
          <w:color w:val="202124"/>
          <w:sz w:val="24"/>
          <w:szCs w:val="24"/>
          <w:shd w:val="clear" w:color="auto" w:fill="FFFFFF"/>
        </w:rPr>
        <w:t>Raza</w:t>
      </w:r>
      <w:proofErr w:type="spellEnd"/>
      <w:r>
        <w:rPr>
          <w:rFonts w:ascii="Times New Roman" w:hAnsi="Times New Roman"/>
          <w:color w:val="202124"/>
          <w:sz w:val="24"/>
          <w:szCs w:val="24"/>
          <w:shd w:val="clear" w:color="auto" w:fill="FFFFFF"/>
        </w:rPr>
        <w:t xml:space="preserve"> (2013) studied the impact of asset structure on firm performance among construction companies listed on the Karachi Stock Exchange in Pakistan over the period 2004-2009, confirming that tangible assets positively affected firm performance. These findings collectively reveal an empirical gap regarding the optimal asset composition and its subsequent effects on financial performance.</w:t>
      </w:r>
    </w:p>
    <w:p w14:paraId="2FD8A14B" w14:textId="2022AAB0" w:rsidR="0078153A" w:rsidRPr="006D0AA4" w:rsidRDefault="00BF587C" w:rsidP="006D0AA4">
      <w:pPr>
        <w:pStyle w:val="Heading1"/>
        <w:spacing w:line="240" w:lineRule="auto"/>
        <w:jc w:val="left"/>
        <w:rPr>
          <w:sz w:val="24"/>
        </w:rPr>
      </w:pPr>
      <w:bookmarkStart w:id="16" w:name="_Toc141874735"/>
      <w:bookmarkStart w:id="17" w:name="_Toc150939174"/>
      <w:bookmarkStart w:id="18" w:name="_Toc150942666"/>
      <w:bookmarkStart w:id="19" w:name="_Toc150944471"/>
      <w:r w:rsidRPr="006D0AA4">
        <w:rPr>
          <w:sz w:val="24"/>
        </w:rPr>
        <w:t>2.0 Literature Review</w:t>
      </w:r>
      <w:bookmarkEnd w:id="16"/>
      <w:bookmarkEnd w:id="17"/>
      <w:bookmarkEnd w:id="18"/>
      <w:bookmarkEnd w:id="19"/>
    </w:p>
    <w:p w14:paraId="24B0760A" w14:textId="77777777" w:rsidR="003443C3" w:rsidRPr="006D0AA4" w:rsidRDefault="003443C3" w:rsidP="006D0AA4">
      <w:pPr>
        <w:pStyle w:val="ListParagraph"/>
        <w:widowControl w:val="0"/>
        <w:numPr>
          <w:ilvl w:val="0"/>
          <w:numId w:val="3"/>
        </w:numPr>
        <w:autoSpaceDE w:val="0"/>
        <w:spacing w:after="0" w:line="240" w:lineRule="auto"/>
        <w:jc w:val="both"/>
        <w:outlineLvl w:val="1"/>
        <w:rPr>
          <w:rFonts w:ascii="Times New Roman" w:hAnsi="Times New Roman"/>
          <w:b/>
          <w:bCs/>
          <w:vanish/>
          <w:sz w:val="24"/>
          <w:szCs w:val="24"/>
        </w:rPr>
      </w:pPr>
      <w:bookmarkStart w:id="20" w:name="_Toc121252393"/>
      <w:bookmarkStart w:id="21" w:name="_Toc130544682"/>
      <w:bookmarkStart w:id="22" w:name="_Toc141870986"/>
      <w:bookmarkStart w:id="23" w:name="_Toc141871867"/>
      <w:bookmarkStart w:id="24" w:name="_Toc141873892"/>
      <w:bookmarkStart w:id="25" w:name="_Toc141874736"/>
      <w:bookmarkStart w:id="26" w:name="_Toc150938589"/>
      <w:bookmarkStart w:id="27" w:name="_Toc150938783"/>
      <w:bookmarkStart w:id="28" w:name="_Toc150938947"/>
      <w:bookmarkStart w:id="29" w:name="_Toc150939175"/>
      <w:bookmarkStart w:id="30" w:name="_Toc150942667"/>
      <w:bookmarkStart w:id="31" w:name="_Toc150944472"/>
      <w:bookmarkEnd w:id="20"/>
      <w:bookmarkEnd w:id="21"/>
      <w:bookmarkEnd w:id="22"/>
      <w:bookmarkEnd w:id="23"/>
      <w:bookmarkEnd w:id="24"/>
      <w:bookmarkEnd w:id="25"/>
      <w:bookmarkEnd w:id="26"/>
      <w:bookmarkEnd w:id="27"/>
      <w:bookmarkEnd w:id="28"/>
      <w:bookmarkEnd w:id="29"/>
      <w:bookmarkEnd w:id="30"/>
      <w:bookmarkEnd w:id="31"/>
    </w:p>
    <w:p w14:paraId="5BE0B3B1" w14:textId="6B1A79A7" w:rsidR="009C3C18" w:rsidRPr="006D0AA4" w:rsidRDefault="009C3C18" w:rsidP="006D0AA4">
      <w:pPr>
        <w:pStyle w:val="Heading2"/>
        <w:spacing w:before="240" w:line="240" w:lineRule="auto"/>
        <w:rPr>
          <w:sz w:val="24"/>
        </w:rPr>
      </w:pPr>
      <w:bookmarkStart w:id="32" w:name="_Toc141874738"/>
      <w:bookmarkStart w:id="33" w:name="_Toc150939177"/>
      <w:bookmarkStart w:id="34" w:name="_Toc150942669"/>
      <w:bookmarkStart w:id="35" w:name="_Toc150944474"/>
      <w:r w:rsidRPr="006D0AA4">
        <w:rPr>
          <w:sz w:val="24"/>
        </w:rPr>
        <w:t>Theoretical Literature Review</w:t>
      </w:r>
      <w:bookmarkEnd w:id="32"/>
      <w:bookmarkEnd w:id="33"/>
      <w:bookmarkEnd w:id="34"/>
      <w:bookmarkEnd w:id="35"/>
      <w:r w:rsidRPr="006D0AA4">
        <w:rPr>
          <w:sz w:val="24"/>
        </w:rPr>
        <w:t xml:space="preserve"> </w:t>
      </w:r>
    </w:p>
    <w:p w14:paraId="227E3C12" w14:textId="77777777" w:rsidR="00534FB6" w:rsidRPr="006D0AA4" w:rsidRDefault="00534FB6" w:rsidP="006D0AA4">
      <w:pPr>
        <w:pStyle w:val="Heading3"/>
        <w:spacing w:line="240" w:lineRule="auto"/>
        <w:rPr>
          <w:sz w:val="24"/>
        </w:rPr>
      </w:pPr>
      <w:bookmarkStart w:id="36" w:name="_Toc141874741"/>
      <w:bookmarkStart w:id="37" w:name="_Toc150939180"/>
      <w:bookmarkStart w:id="38" w:name="_Toc150942672"/>
      <w:bookmarkStart w:id="39" w:name="_Toc150944477"/>
      <w:r w:rsidRPr="006D0AA4">
        <w:rPr>
          <w:sz w:val="24"/>
        </w:rPr>
        <w:t>Pecking Order Theory</w:t>
      </w:r>
      <w:bookmarkEnd w:id="36"/>
      <w:bookmarkEnd w:id="37"/>
      <w:bookmarkEnd w:id="38"/>
      <w:bookmarkEnd w:id="39"/>
    </w:p>
    <w:p w14:paraId="245DC546" w14:textId="77777777" w:rsidR="002554A7" w:rsidRDefault="002554A7" w:rsidP="006D0AA4">
      <w:pPr>
        <w:widowControl w:val="0"/>
        <w:overflowPunct w:val="0"/>
        <w:autoSpaceDE w:val="0"/>
        <w:spacing w:after="0" w:line="240" w:lineRule="auto"/>
        <w:ind w:right="20"/>
        <w:jc w:val="both"/>
        <w:rPr>
          <w:rFonts w:ascii="Times New Roman" w:hAnsi="Times New Roman"/>
          <w:sz w:val="24"/>
          <w:szCs w:val="24"/>
        </w:rPr>
      </w:pPr>
      <w:r>
        <w:rPr>
          <w:rFonts w:ascii="Times New Roman" w:hAnsi="Times New Roman"/>
          <w:sz w:val="24"/>
          <w:szCs w:val="24"/>
        </w:rPr>
        <w:t xml:space="preserve">This significant theoretical framework was primarily developed by Myers and </w:t>
      </w:r>
      <w:proofErr w:type="spellStart"/>
      <w:r>
        <w:rPr>
          <w:rFonts w:ascii="Times New Roman" w:hAnsi="Times New Roman"/>
          <w:sz w:val="24"/>
          <w:szCs w:val="24"/>
        </w:rPr>
        <w:t>Majluf</w:t>
      </w:r>
      <w:proofErr w:type="spellEnd"/>
      <w:r>
        <w:rPr>
          <w:rFonts w:ascii="Times New Roman" w:hAnsi="Times New Roman"/>
          <w:sz w:val="24"/>
          <w:szCs w:val="24"/>
        </w:rPr>
        <w:t xml:space="preserve"> in 1984. It posits that organizations consistently prefer to utilize internal resources before considering external borrowing. When companies require financing, they typically favor long-term tangible asset investment over short-term liquid asset accumulation. Tangible assets are generally regarded as a preferred investment option due to their collateral value. Due to information asymmetry, firms maintain a distinct hierarchy of asset preferences, typically investing in fixed assets to enhance long-term operational capacity.</w:t>
      </w:r>
    </w:p>
    <w:p w14:paraId="65ABD52B" w14:textId="6EB85B0C" w:rsidR="002554A7" w:rsidRDefault="002554A7" w:rsidP="002554A7">
      <w:pPr>
        <w:widowControl w:val="0"/>
        <w:overflowPunct w:val="0"/>
        <w:autoSpaceDE w:val="0"/>
        <w:spacing w:after="0" w:line="240" w:lineRule="auto"/>
        <w:ind w:right="20"/>
        <w:jc w:val="both"/>
        <w:rPr>
          <w:rFonts w:ascii="Times New Roman" w:hAnsi="Times New Roman"/>
          <w:sz w:val="24"/>
          <w:szCs w:val="24"/>
        </w:rPr>
      </w:pPr>
      <w:r>
        <w:rPr>
          <w:rFonts w:ascii="Times New Roman" w:hAnsi="Times New Roman"/>
          <w:sz w:val="24"/>
          <w:szCs w:val="24"/>
        </w:rPr>
        <w:t xml:space="preserve">The theory further illustrates that companies maintain a preferred order of asset investment when funding their operations (Cooper &amp; Holmberg, 2015). In the absence of adequate information about investment opportunities, firms prefer investing in tangible assets over intangible alternatives. Myers and </w:t>
      </w:r>
      <w:proofErr w:type="spellStart"/>
      <w:r>
        <w:rPr>
          <w:rFonts w:ascii="Times New Roman" w:hAnsi="Times New Roman"/>
          <w:sz w:val="24"/>
          <w:szCs w:val="24"/>
        </w:rPr>
        <w:t>Majluf</w:t>
      </w:r>
      <w:proofErr w:type="spellEnd"/>
      <w:r>
        <w:rPr>
          <w:rFonts w:ascii="Times New Roman" w:hAnsi="Times New Roman"/>
          <w:sz w:val="24"/>
          <w:szCs w:val="24"/>
        </w:rPr>
        <w:t xml:space="preserve"> further argued that by investing in tangible assets, firms can mitigate information asymmetry problems. This explains why tangible asset investments are particularly valuable, as information asymmetry between internal and external dimensions is reduced through the observable nature of physical assets. The theory recommends that companies with substantial information asymmetry should consider tangible asset investment, which provides collateral and signals financial strength.</w:t>
      </w:r>
    </w:p>
    <w:p w14:paraId="79D2FDEF" w14:textId="68EC877C" w:rsidR="002554A7" w:rsidRDefault="002554A7" w:rsidP="002554A7">
      <w:pPr>
        <w:widowControl w:val="0"/>
        <w:overflowPunct w:val="0"/>
        <w:autoSpaceDE w:val="0"/>
        <w:spacing w:after="0" w:line="240" w:lineRule="auto"/>
        <w:ind w:right="20"/>
        <w:jc w:val="both"/>
        <w:rPr>
          <w:rFonts w:ascii="Times New Roman" w:hAnsi="Times New Roman"/>
          <w:sz w:val="24"/>
          <w:szCs w:val="24"/>
        </w:rPr>
      </w:pPr>
      <w:proofErr w:type="spellStart"/>
      <w:r>
        <w:rPr>
          <w:rFonts w:ascii="Times New Roman" w:hAnsi="Times New Roman"/>
          <w:sz w:val="24"/>
          <w:szCs w:val="24"/>
        </w:rPr>
        <w:t>Bhaduri</w:t>
      </w:r>
      <w:proofErr w:type="spellEnd"/>
      <w:r>
        <w:rPr>
          <w:rFonts w:ascii="Times New Roman" w:hAnsi="Times New Roman"/>
          <w:sz w:val="24"/>
          <w:szCs w:val="24"/>
        </w:rPr>
        <w:t xml:space="preserve"> (2012) confirmed that when firms require external capital, they exhibit a preference for tangible asset investment as a signal of creditworthiness. This creates a hierarchy of preference: fixed assets followed by other investment types as an extreme choice. Regardless of the specific preference order, the critical element remains the availability of financing sources. Internal earnings are preferred when available, but when external financing is required, tangible assets become more attractive as they facilitate borrowing. </w:t>
      </w:r>
      <w:proofErr w:type="spellStart"/>
      <w:r>
        <w:rPr>
          <w:rFonts w:ascii="Times New Roman" w:hAnsi="Times New Roman"/>
          <w:sz w:val="24"/>
          <w:szCs w:val="24"/>
        </w:rPr>
        <w:t>Pandey</w:t>
      </w:r>
      <w:proofErr w:type="spellEnd"/>
      <w:r>
        <w:rPr>
          <w:rFonts w:ascii="Times New Roman" w:hAnsi="Times New Roman"/>
          <w:sz w:val="24"/>
          <w:szCs w:val="24"/>
        </w:rPr>
        <w:t xml:space="preserve"> (2010) concurred with the pecking order proposition that corporate managers first resort to internally generated resources, only considering external financing as a last option, with tangible assets serving as important collateral.</w:t>
      </w:r>
    </w:p>
    <w:p w14:paraId="65C3786F" w14:textId="71D97FA0" w:rsidR="002554A7" w:rsidRPr="006D0AA4" w:rsidRDefault="002554A7" w:rsidP="006D0AA4">
      <w:pPr>
        <w:widowControl w:val="0"/>
        <w:overflowPunct w:val="0"/>
        <w:autoSpaceDE w:val="0"/>
        <w:spacing w:after="0" w:line="240" w:lineRule="auto"/>
        <w:ind w:right="20"/>
        <w:jc w:val="both"/>
        <w:rPr>
          <w:rFonts w:ascii="Times New Roman" w:hAnsi="Times New Roman"/>
          <w:sz w:val="24"/>
          <w:szCs w:val="24"/>
        </w:rPr>
      </w:pPr>
      <w:r>
        <w:rPr>
          <w:rFonts w:ascii="Times New Roman" w:hAnsi="Times New Roman"/>
          <w:sz w:val="24"/>
          <w:szCs w:val="24"/>
        </w:rPr>
        <w:t xml:space="preserve">However, this theory has attracted criticism regarding its specific and general propositions. </w:t>
      </w:r>
      <w:proofErr w:type="spellStart"/>
      <w:r>
        <w:rPr>
          <w:rFonts w:ascii="Times New Roman" w:hAnsi="Times New Roman"/>
          <w:sz w:val="24"/>
          <w:szCs w:val="24"/>
        </w:rPr>
        <w:t>Adedji</w:t>
      </w:r>
      <w:proofErr w:type="spellEnd"/>
      <w:r>
        <w:rPr>
          <w:rFonts w:ascii="Times New Roman" w:hAnsi="Times New Roman"/>
          <w:sz w:val="24"/>
          <w:szCs w:val="24"/>
        </w:rPr>
        <w:t xml:space="preserve"> (2013) argued that the theory’s assertion that tangible assets serve as optimal motivators for resource mobilization is problematic, as it fails to account for other significant factors in asset investment decisions, including depreciation rates, maintenance costs, and regulatory authority interventions. Cull and </w:t>
      </w:r>
      <w:proofErr w:type="spellStart"/>
      <w:r>
        <w:rPr>
          <w:rFonts w:ascii="Times New Roman" w:hAnsi="Times New Roman"/>
          <w:sz w:val="24"/>
          <w:szCs w:val="24"/>
        </w:rPr>
        <w:t>Xu</w:t>
      </w:r>
      <w:proofErr w:type="spellEnd"/>
      <w:r>
        <w:rPr>
          <w:rFonts w:ascii="Times New Roman" w:hAnsi="Times New Roman"/>
          <w:sz w:val="24"/>
          <w:szCs w:val="24"/>
        </w:rPr>
        <w:t xml:space="preserve"> (2014) confirmed that the utilization of tangible assets remains contingent upon the firm’s ability to mobilize funds from external sources and maintain asset efficiency.</w:t>
      </w:r>
    </w:p>
    <w:p w14:paraId="5B36A1FB" w14:textId="77777777" w:rsidR="005104E7" w:rsidRPr="006D0AA4" w:rsidRDefault="005104E7" w:rsidP="006D0AA4">
      <w:pPr>
        <w:widowControl w:val="0"/>
        <w:overflowPunct w:val="0"/>
        <w:autoSpaceDE w:val="0"/>
        <w:spacing w:after="0" w:line="240" w:lineRule="auto"/>
        <w:ind w:right="20"/>
        <w:jc w:val="both"/>
        <w:rPr>
          <w:rFonts w:ascii="Times New Roman" w:hAnsi="Times New Roman"/>
          <w:sz w:val="24"/>
          <w:szCs w:val="24"/>
        </w:rPr>
      </w:pPr>
    </w:p>
    <w:p w14:paraId="7F2C699F" w14:textId="77777777" w:rsidR="00534FB6" w:rsidRPr="006D0AA4" w:rsidRDefault="00420F03" w:rsidP="006D0AA4">
      <w:pPr>
        <w:pStyle w:val="Heading2"/>
        <w:spacing w:line="240" w:lineRule="auto"/>
        <w:rPr>
          <w:sz w:val="24"/>
        </w:rPr>
      </w:pPr>
      <w:r w:rsidRPr="006D0AA4">
        <w:rPr>
          <w:sz w:val="24"/>
        </w:rPr>
        <w:t xml:space="preserve"> </w:t>
      </w:r>
      <w:bookmarkStart w:id="40" w:name="_Toc141874747"/>
      <w:bookmarkStart w:id="41" w:name="_Toc150939186"/>
      <w:bookmarkStart w:id="42" w:name="_Toc150942678"/>
      <w:bookmarkStart w:id="43" w:name="_Toc150944483"/>
      <w:r w:rsidR="00534FB6" w:rsidRPr="006D0AA4">
        <w:rPr>
          <w:sz w:val="24"/>
        </w:rPr>
        <w:t>Empirical Literature Review</w:t>
      </w:r>
      <w:bookmarkEnd w:id="40"/>
      <w:bookmarkEnd w:id="41"/>
      <w:bookmarkEnd w:id="42"/>
      <w:bookmarkEnd w:id="43"/>
      <w:r w:rsidR="00534FB6" w:rsidRPr="006D0AA4">
        <w:rPr>
          <w:sz w:val="24"/>
        </w:rPr>
        <w:t xml:space="preserve"> </w:t>
      </w:r>
    </w:p>
    <w:p w14:paraId="2461C703" w14:textId="4B1F0A41" w:rsidR="002554A7" w:rsidRDefault="002554A7" w:rsidP="002554A7">
      <w:pPr>
        <w:spacing w:after="1" w:line="240" w:lineRule="auto"/>
        <w:ind w:hanging="10"/>
        <w:jc w:val="both"/>
        <w:rPr>
          <w:rFonts w:ascii="Times New Roman" w:hAnsi="Times New Roman"/>
          <w:color w:val="000000"/>
          <w:sz w:val="24"/>
          <w:szCs w:val="24"/>
        </w:rPr>
      </w:pPr>
      <w:r>
        <w:rPr>
          <w:rFonts w:ascii="Times New Roman" w:hAnsi="Times New Roman"/>
          <w:color w:val="000000"/>
          <w:sz w:val="24"/>
          <w:szCs w:val="24"/>
        </w:rPr>
        <w:t xml:space="preserve">Al-Tal (2014) investigated the relationship between profitability and asset structure among Ghanaian listed firms over the period 1998-2002. The findings indicated that tangible assets positively correlate with profitability due to enhanced operational capacity and collateral value. The study also found a positive relationship between asset tangibility and profitability, attributed to the operational efficiency generated by fixed asset investment. </w:t>
      </w:r>
      <w:proofErr w:type="spellStart"/>
      <w:r>
        <w:rPr>
          <w:rFonts w:ascii="Times New Roman" w:hAnsi="Times New Roman"/>
          <w:color w:val="000000"/>
          <w:sz w:val="24"/>
          <w:szCs w:val="24"/>
        </w:rPr>
        <w:t>Adekunle</w:t>
      </w:r>
      <w:proofErr w:type="spellEnd"/>
      <w:r>
        <w:rPr>
          <w:rFonts w:ascii="Times New Roman" w:hAnsi="Times New Roman"/>
          <w:color w:val="000000"/>
          <w:sz w:val="24"/>
          <w:szCs w:val="24"/>
        </w:rPr>
        <w:t xml:space="preserve"> (2014) examined the effects of asset structure on profitability among non-financial Nigerian listed firms during 2001-2007. Utilizing secondary data and asset tangibility ratios as independent variables with ROE and ROA as dependent indicators, the ordinary least squares estimation revealed that asset tangibility ratios have a significant positive impact on firm performance.</w:t>
      </w:r>
    </w:p>
    <w:p w14:paraId="4CF0AA83" w14:textId="0BC589E3" w:rsidR="002554A7" w:rsidRDefault="002554A7" w:rsidP="002554A7">
      <w:pPr>
        <w:spacing w:after="1" w:line="240" w:lineRule="auto"/>
        <w:ind w:hanging="10"/>
        <w:jc w:val="both"/>
        <w:rPr>
          <w:rFonts w:ascii="Times New Roman" w:hAnsi="Times New Roman"/>
          <w:color w:val="000000"/>
          <w:sz w:val="24"/>
          <w:szCs w:val="24"/>
        </w:rPr>
      </w:pPr>
      <w:proofErr w:type="spellStart"/>
      <w:r>
        <w:rPr>
          <w:rFonts w:ascii="Times New Roman" w:hAnsi="Times New Roman"/>
          <w:color w:val="000000"/>
          <w:sz w:val="24"/>
          <w:szCs w:val="24"/>
        </w:rPr>
        <w:t>Dufera</w:t>
      </w:r>
      <w:proofErr w:type="spellEnd"/>
      <w:r>
        <w:rPr>
          <w:rFonts w:ascii="Times New Roman" w:hAnsi="Times New Roman"/>
          <w:color w:val="000000"/>
          <w:sz w:val="24"/>
          <w:szCs w:val="24"/>
        </w:rPr>
        <w:t xml:space="preserve"> (2010) conducted research on asset structure effects on profitability among Nigerian listed entities over 2001-2007. The investigation targeted 30 companies, employing asset tangibility ratios as independent variables and ROE and ROA as dependent measures. Secondary data analysis revealed positive effects of asset tangibility on profitability for the sampled firms. </w:t>
      </w:r>
      <w:proofErr w:type="spellStart"/>
      <w:r>
        <w:rPr>
          <w:rFonts w:ascii="Times New Roman" w:hAnsi="Times New Roman"/>
          <w:color w:val="000000"/>
          <w:sz w:val="24"/>
          <w:szCs w:val="24"/>
        </w:rPr>
        <w:t>Aliu</w:t>
      </w:r>
      <w:proofErr w:type="spellEnd"/>
      <w:r>
        <w:rPr>
          <w:rFonts w:ascii="Times New Roman" w:hAnsi="Times New Roman"/>
          <w:color w:val="000000"/>
          <w:sz w:val="24"/>
          <w:szCs w:val="24"/>
        </w:rPr>
        <w:t xml:space="preserve"> (2015) examined asset structure determinants among manufacturing corporations across America, France, Britain, Japan, and Italy, sampling 4,557 manufacturing firms and utilizing secondary data. The findings indicated that asset tangibility positively correlates with profitability, although the impact varies with firm size.</w:t>
      </w:r>
    </w:p>
    <w:p w14:paraId="29144BAB" w14:textId="508749E1" w:rsidR="002554A7" w:rsidRDefault="002554A7" w:rsidP="006D0AA4">
      <w:pPr>
        <w:spacing w:after="1" w:line="240" w:lineRule="auto"/>
        <w:ind w:hanging="10"/>
        <w:jc w:val="both"/>
        <w:rPr>
          <w:rFonts w:ascii="Times New Roman" w:hAnsi="Times New Roman"/>
          <w:color w:val="000000"/>
          <w:sz w:val="24"/>
          <w:szCs w:val="24"/>
        </w:rPr>
      </w:pPr>
      <w:r>
        <w:rPr>
          <w:rFonts w:ascii="Times New Roman" w:hAnsi="Times New Roman"/>
          <w:color w:val="000000"/>
          <w:sz w:val="24"/>
          <w:szCs w:val="24"/>
        </w:rPr>
        <w:t xml:space="preserve">Langat et al. (2014) assessed the effect of asset structure on profitability among Kenyan tea manufacturing companies. The study concluded that fixed asset investment positively relates to profitability at 1% and 5% significance levels respectively. </w:t>
      </w:r>
      <w:proofErr w:type="spellStart"/>
      <w:r>
        <w:rPr>
          <w:rFonts w:ascii="Times New Roman" w:hAnsi="Times New Roman"/>
          <w:color w:val="000000"/>
          <w:sz w:val="24"/>
          <w:szCs w:val="24"/>
        </w:rPr>
        <w:t>Pouraghajan</w:t>
      </w:r>
      <w:proofErr w:type="spellEnd"/>
      <w:r>
        <w:rPr>
          <w:rFonts w:ascii="Times New Roman" w:hAnsi="Times New Roman"/>
          <w:color w:val="000000"/>
          <w:sz w:val="24"/>
          <w:szCs w:val="24"/>
        </w:rPr>
        <w:t xml:space="preserve"> and </w:t>
      </w:r>
      <w:proofErr w:type="spellStart"/>
      <w:r>
        <w:rPr>
          <w:rFonts w:ascii="Times New Roman" w:hAnsi="Times New Roman"/>
          <w:color w:val="000000"/>
          <w:sz w:val="24"/>
          <w:szCs w:val="24"/>
        </w:rPr>
        <w:t>Malekian</w:t>
      </w:r>
      <w:proofErr w:type="spellEnd"/>
      <w:r>
        <w:rPr>
          <w:rFonts w:ascii="Times New Roman" w:hAnsi="Times New Roman"/>
          <w:color w:val="000000"/>
          <w:sz w:val="24"/>
          <w:szCs w:val="24"/>
        </w:rPr>
        <w:t xml:space="preserve"> (2012) investigated how asset structure affects profitability, establishing a positive correlation between asset tangibility and corporate profitability among 100 Iranian-listed construction firms. </w:t>
      </w:r>
      <w:proofErr w:type="spellStart"/>
      <w:r>
        <w:rPr>
          <w:rFonts w:ascii="Times New Roman" w:hAnsi="Times New Roman"/>
          <w:color w:val="000000"/>
          <w:sz w:val="24"/>
          <w:szCs w:val="24"/>
        </w:rPr>
        <w:t>Muchugia</w:t>
      </w:r>
      <w:proofErr w:type="spellEnd"/>
      <w:r>
        <w:rPr>
          <w:rFonts w:ascii="Times New Roman" w:hAnsi="Times New Roman"/>
          <w:color w:val="000000"/>
          <w:sz w:val="24"/>
          <w:szCs w:val="24"/>
        </w:rPr>
        <w:t xml:space="preserve"> (2013) examined the effects of asset structure on Kenyan commercial bank financial performance. The study utilized firm size, tangible assets, and fixed assets as independent variables with ROE as the dependent measure across 46 banks. The findings indicated that tangible assets positively affect profitability. </w:t>
      </w:r>
      <w:proofErr w:type="spellStart"/>
      <w:r>
        <w:rPr>
          <w:rFonts w:ascii="Times New Roman" w:hAnsi="Times New Roman"/>
          <w:color w:val="000000"/>
          <w:sz w:val="24"/>
          <w:szCs w:val="24"/>
        </w:rPr>
        <w:t>Masiega</w:t>
      </w:r>
      <w:proofErr w:type="spellEnd"/>
      <w:r>
        <w:rPr>
          <w:rFonts w:ascii="Times New Roman" w:hAnsi="Times New Roman"/>
          <w:color w:val="000000"/>
          <w:sz w:val="24"/>
          <w:szCs w:val="24"/>
        </w:rPr>
        <w:t xml:space="preserve"> et al. (2013) investigated asset structure effects on profitability among Kenyan listed manufacturing firms over 2007-2011, sampling 30 companies. The results demonstrated a positive correlation between asset tangibility and performance, with positive performance impacts.</w:t>
      </w:r>
    </w:p>
    <w:p w14:paraId="37DC5274" w14:textId="77777777" w:rsidR="002554A7" w:rsidRPr="006D0AA4" w:rsidRDefault="002554A7" w:rsidP="006D0AA4">
      <w:pPr>
        <w:spacing w:after="1" w:line="240" w:lineRule="auto"/>
        <w:ind w:hanging="10"/>
        <w:jc w:val="both"/>
        <w:rPr>
          <w:rFonts w:ascii="Times New Roman" w:hAnsi="Times New Roman"/>
          <w:color w:val="000000"/>
          <w:sz w:val="24"/>
          <w:szCs w:val="24"/>
        </w:rPr>
      </w:pPr>
    </w:p>
    <w:p w14:paraId="741E1100" w14:textId="3D35E22F" w:rsidR="00E900C7" w:rsidRPr="006D0AA4" w:rsidRDefault="00FA72A4" w:rsidP="006D0AA4">
      <w:pPr>
        <w:pStyle w:val="Heading1"/>
        <w:spacing w:line="240" w:lineRule="auto"/>
        <w:jc w:val="left"/>
        <w:rPr>
          <w:sz w:val="24"/>
        </w:rPr>
      </w:pPr>
      <w:bookmarkStart w:id="44" w:name="_Toc141874751"/>
      <w:bookmarkStart w:id="45" w:name="_Toc150939190"/>
      <w:bookmarkStart w:id="46" w:name="_Toc150942682"/>
      <w:bookmarkStart w:id="47" w:name="_Toc150944487"/>
      <w:r w:rsidRPr="006D0AA4">
        <w:rPr>
          <w:sz w:val="24"/>
        </w:rPr>
        <w:t>3.0 Research Methodology</w:t>
      </w:r>
      <w:bookmarkEnd w:id="44"/>
      <w:bookmarkEnd w:id="45"/>
      <w:bookmarkEnd w:id="46"/>
      <w:bookmarkEnd w:id="47"/>
    </w:p>
    <w:p w14:paraId="407F34D8" w14:textId="77777777" w:rsidR="00420F03" w:rsidRPr="006D0AA4" w:rsidRDefault="00420F03" w:rsidP="006D0AA4">
      <w:pPr>
        <w:pStyle w:val="ListParagraph"/>
        <w:widowControl w:val="0"/>
        <w:numPr>
          <w:ilvl w:val="0"/>
          <w:numId w:val="3"/>
        </w:numPr>
        <w:autoSpaceDE w:val="0"/>
        <w:spacing w:after="0" w:line="240" w:lineRule="auto"/>
        <w:jc w:val="both"/>
        <w:outlineLvl w:val="1"/>
        <w:rPr>
          <w:rFonts w:ascii="Times New Roman" w:hAnsi="Times New Roman"/>
          <w:b/>
          <w:bCs/>
          <w:vanish/>
          <w:sz w:val="24"/>
          <w:szCs w:val="24"/>
        </w:rPr>
      </w:pPr>
      <w:bookmarkStart w:id="48" w:name="_Toc121252409"/>
      <w:bookmarkStart w:id="49" w:name="_Toc130544698"/>
      <w:bookmarkStart w:id="50" w:name="_Toc141871002"/>
      <w:bookmarkStart w:id="51" w:name="_Toc141871883"/>
      <w:bookmarkStart w:id="52" w:name="_Toc141873908"/>
      <w:bookmarkStart w:id="53" w:name="_Toc141874752"/>
      <w:bookmarkStart w:id="54" w:name="_Toc150938604"/>
      <w:bookmarkStart w:id="55" w:name="_Toc150938798"/>
      <w:bookmarkStart w:id="56" w:name="_Toc150938962"/>
      <w:bookmarkStart w:id="57" w:name="_Toc150939191"/>
      <w:bookmarkStart w:id="58" w:name="_Toc150942683"/>
      <w:bookmarkStart w:id="59" w:name="_Toc150944488"/>
      <w:bookmarkEnd w:id="48"/>
      <w:bookmarkEnd w:id="49"/>
      <w:bookmarkEnd w:id="50"/>
      <w:bookmarkEnd w:id="51"/>
      <w:bookmarkEnd w:id="52"/>
      <w:bookmarkEnd w:id="53"/>
      <w:bookmarkEnd w:id="54"/>
      <w:bookmarkEnd w:id="55"/>
      <w:bookmarkEnd w:id="56"/>
      <w:bookmarkEnd w:id="57"/>
      <w:bookmarkEnd w:id="58"/>
      <w:bookmarkEnd w:id="59"/>
    </w:p>
    <w:p w14:paraId="743FD72F" w14:textId="6BBD8886" w:rsidR="00CD7D14" w:rsidRPr="006D0AA4" w:rsidRDefault="005B5D2F" w:rsidP="006D0AA4">
      <w:pPr>
        <w:widowControl w:val="0"/>
        <w:overflowPunct w:val="0"/>
        <w:autoSpaceDE w:val="0"/>
        <w:spacing w:after="0" w:line="240" w:lineRule="auto"/>
        <w:jc w:val="both"/>
        <w:rPr>
          <w:rFonts w:ascii="Times New Roman" w:hAnsi="Times New Roman"/>
          <w:sz w:val="24"/>
          <w:szCs w:val="24"/>
        </w:rPr>
      </w:pPr>
      <w:r w:rsidRPr="006D0AA4">
        <w:rPr>
          <w:rFonts w:ascii="Times New Roman" w:hAnsi="Times New Roman"/>
          <w:sz w:val="24"/>
          <w:szCs w:val="24"/>
        </w:rPr>
        <w:t xml:space="preserve">The selected </w:t>
      </w:r>
      <w:r w:rsidR="000E453C" w:rsidRPr="006D0AA4">
        <w:rPr>
          <w:rFonts w:ascii="Times New Roman" w:hAnsi="Times New Roman"/>
          <w:sz w:val="24"/>
          <w:szCs w:val="24"/>
        </w:rPr>
        <w:t>design of research</w:t>
      </w:r>
      <w:r w:rsidR="009122F1" w:rsidRPr="006D0AA4">
        <w:rPr>
          <w:rFonts w:ascii="Times New Roman" w:hAnsi="Times New Roman"/>
          <w:sz w:val="24"/>
          <w:szCs w:val="24"/>
        </w:rPr>
        <w:t xml:space="preserve"> was</w:t>
      </w:r>
      <w:r w:rsidRPr="006D0AA4">
        <w:rPr>
          <w:rFonts w:ascii="Times New Roman" w:hAnsi="Times New Roman"/>
          <w:sz w:val="24"/>
          <w:szCs w:val="24"/>
        </w:rPr>
        <w:t xml:space="preserve"> descriptive </w:t>
      </w:r>
      <w:r w:rsidR="00903872" w:rsidRPr="006D0AA4">
        <w:rPr>
          <w:rFonts w:ascii="Times New Roman" w:hAnsi="Times New Roman"/>
          <w:sz w:val="24"/>
          <w:szCs w:val="24"/>
        </w:rPr>
        <w:t>with</w:t>
      </w:r>
      <w:r w:rsidRPr="006D0AA4">
        <w:rPr>
          <w:rFonts w:ascii="Times New Roman" w:hAnsi="Times New Roman"/>
          <w:sz w:val="24"/>
          <w:szCs w:val="24"/>
        </w:rPr>
        <w:t xml:space="preserve"> a significant set of quantitative analysis </w:t>
      </w:r>
      <w:r w:rsidR="00BE5241" w:rsidRPr="006D0AA4">
        <w:rPr>
          <w:rFonts w:ascii="Times New Roman" w:hAnsi="Times New Roman"/>
          <w:sz w:val="24"/>
          <w:szCs w:val="24"/>
        </w:rPr>
        <w:t>(</w:t>
      </w:r>
      <w:proofErr w:type="spellStart"/>
      <w:r w:rsidR="00BE5241" w:rsidRPr="006D0AA4">
        <w:rPr>
          <w:rFonts w:ascii="Times New Roman" w:hAnsi="Times New Roman"/>
          <w:sz w:val="24"/>
          <w:szCs w:val="24"/>
        </w:rPr>
        <w:t>Abubakar</w:t>
      </w:r>
      <w:proofErr w:type="spellEnd"/>
      <w:r w:rsidR="0048603E" w:rsidRPr="006D0AA4">
        <w:rPr>
          <w:rFonts w:ascii="Times New Roman" w:hAnsi="Times New Roman"/>
          <w:sz w:val="24"/>
          <w:szCs w:val="24"/>
        </w:rPr>
        <w:t>, 2015</w:t>
      </w:r>
      <w:r w:rsidR="000E1C51" w:rsidRPr="006D0AA4">
        <w:rPr>
          <w:rFonts w:ascii="Times New Roman" w:hAnsi="Times New Roman"/>
          <w:sz w:val="24"/>
          <w:szCs w:val="24"/>
        </w:rPr>
        <w:t xml:space="preserve">). </w:t>
      </w:r>
      <w:r w:rsidR="009122F1" w:rsidRPr="006D0AA4">
        <w:rPr>
          <w:rFonts w:ascii="Times New Roman" w:hAnsi="Times New Roman"/>
          <w:sz w:val="24"/>
          <w:szCs w:val="24"/>
        </w:rPr>
        <w:t>This type of research design was</w:t>
      </w:r>
      <w:r w:rsidRPr="006D0AA4">
        <w:rPr>
          <w:rFonts w:ascii="Times New Roman" w:hAnsi="Times New Roman"/>
          <w:sz w:val="24"/>
          <w:szCs w:val="24"/>
        </w:rPr>
        <w:t xml:space="preserve"> selected owing to its enabling nature of giving descriptions on a given research area, making an establishment on a relationship</w:t>
      </w:r>
      <w:r w:rsidR="00903872" w:rsidRPr="006D0AA4">
        <w:rPr>
          <w:rFonts w:ascii="Times New Roman" w:hAnsi="Times New Roman"/>
          <w:sz w:val="24"/>
          <w:szCs w:val="24"/>
        </w:rPr>
        <w:t>,</w:t>
      </w:r>
      <w:r w:rsidRPr="006D0AA4">
        <w:rPr>
          <w:rFonts w:ascii="Times New Roman" w:hAnsi="Times New Roman"/>
          <w:sz w:val="24"/>
          <w:szCs w:val="24"/>
        </w:rPr>
        <w:t xml:space="preserve"> and giving explanations on collected data in order to pay a</w:t>
      </w:r>
      <w:r w:rsidR="00903872" w:rsidRPr="006D0AA4">
        <w:rPr>
          <w:rFonts w:ascii="Times New Roman" w:hAnsi="Times New Roman"/>
          <w:sz w:val="24"/>
          <w:szCs w:val="24"/>
        </w:rPr>
        <w:t>ttention to</w:t>
      </w:r>
      <w:r w:rsidRPr="006D0AA4">
        <w:rPr>
          <w:rFonts w:ascii="Times New Roman" w:hAnsi="Times New Roman"/>
          <w:sz w:val="24"/>
          <w:szCs w:val="24"/>
        </w:rPr>
        <w:t xml:space="preserve"> and prosecute both the differences and </w:t>
      </w:r>
      <w:r w:rsidRPr="006D0AA4">
        <w:rPr>
          <w:rFonts w:ascii="Times New Roman" w:hAnsi="Times New Roman"/>
          <w:color w:val="000000" w:themeColor="text1"/>
          <w:sz w:val="24"/>
          <w:szCs w:val="24"/>
        </w:rPr>
        <w:t>prevalent similarities on the subject referen</w:t>
      </w:r>
      <w:r w:rsidR="00F94B4C" w:rsidRPr="006D0AA4">
        <w:rPr>
          <w:rFonts w:ascii="Times New Roman" w:hAnsi="Times New Roman"/>
          <w:color w:val="000000" w:themeColor="text1"/>
          <w:sz w:val="24"/>
          <w:szCs w:val="24"/>
        </w:rPr>
        <w:t xml:space="preserve">ces over a stipulated </w:t>
      </w:r>
      <w:r w:rsidRPr="006D0AA4">
        <w:rPr>
          <w:rFonts w:ascii="Times New Roman" w:hAnsi="Times New Roman"/>
          <w:color w:val="000000" w:themeColor="text1"/>
          <w:sz w:val="24"/>
          <w:szCs w:val="24"/>
        </w:rPr>
        <w:t>time</w:t>
      </w:r>
      <w:r w:rsidR="00F94B4C" w:rsidRPr="006D0AA4">
        <w:rPr>
          <w:rFonts w:ascii="Times New Roman" w:hAnsi="Times New Roman"/>
          <w:color w:val="000000" w:themeColor="text1"/>
          <w:sz w:val="24"/>
          <w:szCs w:val="24"/>
        </w:rPr>
        <w:t xml:space="preserve"> scope. </w:t>
      </w:r>
      <w:r w:rsidR="00903872" w:rsidRPr="006D0AA4">
        <w:rPr>
          <w:rFonts w:ascii="Times New Roman" w:hAnsi="Times New Roman"/>
          <w:color w:val="000000" w:themeColor="text1"/>
          <w:sz w:val="24"/>
          <w:szCs w:val="24"/>
        </w:rPr>
        <w:t>The m</w:t>
      </w:r>
      <w:r w:rsidR="00F94B4C" w:rsidRPr="006D0AA4">
        <w:rPr>
          <w:rFonts w:ascii="Times New Roman" w:hAnsi="Times New Roman"/>
          <w:color w:val="000000" w:themeColor="text1"/>
          <w:sz w:val="24"/>
          <w:szCs w:val="24"/>
        </w:rPr>
        <w:t xml:space="preserve">ain focus </w:t>
      </w:r>
      <w:r w:rsidR="00423F20" w:rsidRPr="006D0AA4">
        <w:rPr>
          <w:rFonts w:ascii="Times New Roman" w:hAnsi="Times New Roman"/>
          <w:color w:val="000000" w:themeColor="text1"/>
          <w:sz w:val="24"/>
          <w:szCs w:val="24"/>
        </w:rPr>
        <w:t>was to establish the relationship between capital structure and financial performance of the firms.</w:t>
      </w:r>
      <w:r w:rsidR="00FA72A4" w:rsidRPr="006D0AA4">
        <w:rPr>
          <w:rFonts w:ascii="Times New Roman" w:hAnsi="Times New Roman"/>
          <w:color w:val="000000" w:themeColor="text1"/>
          <w:sz w:val="24"/>
          <w:szCs w:val="24"/>
        </w:rPr>
        <w:t xml:space="preserve"> </w:t>
      </w:r>
      <w:r w:rsidR="00F25F6C" w:rsidRPr="006D0AA4">
        <w:rPr>
          <w:rFonts w:ascii="Times New Roman" w:hAnsi="Times New Roman"/>
          <w:sz w:val="24"/>
          <w:szCs w:val="24"/>
        </w:rPr>
        <w:t xml:space="preserve">In accordance to Construction Kenya, there are 10 tier one construction companies in Kenya. </w:t>
      </w:r>
      <w:r w:rsidR="00534FB6" w:rsidRPr="006D0AA4">
        <w:rPr>
          <w:rFonts w:ascii="Times New Roman" w:hAnsi="Times New Roman"/>
          <w:sz w:val="24"/>
          <w:szCs w:val="24"/>
        </w:rPr>
        <w:t>The intended populati</w:t>
      </w:r>
      <w:r w:rsidR="00487762" w:rsidRPr="006D0AA4">
        <w:rPr>
          <w:rFonts w:ascii="Times New Roman" w:hAnsi="Times New Roman"/>
          <w:sz w:val="24"/>
          <w:szCs w:val="24"/>
        </w:rPr>
        <w:t>on of this work</w:t>
      </w:r>
      <w:r w:rsidR="000B1086" w:rsidRPr="006D0AA4">
        <w:rPr>
          <w:rFonts w:ascii="Times New Roman" w:hAnsi="Times New Roman"/>
          <w:sz w:val="24"/>
          <w:szCs w:val="24"/>
        </w:rPr>
        <w:t xml:space="preserve"> include</w:t>
      </w:r>
      <w:r w:rsidR="00487762" w:rsidRPr="006D0AA4">
        <w:rPr>
          <w:rFonts w:ascii="Times New Roman" w:hAnsi="Times New Roman"/>
          <w:sz w:val="24"/>
          <w:szCs w:val="24"/>
        </w:rPr>
        <w:t>d</w:t>
      </w:r>
      <w:r w:rsidR="000B1086" w:rsidRPr="006D0AA4">
        <w:rPr>
          <w:rFonts w:ascii="Times New Roman" w:hAnsi="Times New Roman"/>
          <w:sz w:val="24"/>
          <w:szCs w:val="24"/>
        </w:rPr>
        <w:t xml:space="preserve"> all the 10 Tier 1 building and construction non-listed </w:t>
      </w:r>
      <w:r w:rsidR="00413CFD" w:rsidRPr="006D0AA4">
        <w:rPr>
          <w:rFonts w:ascii="Times New Roman" w:hAnsi="Times New Roman"/>
          <w:sz w:val="24"/>
          <w:szCs w:val="24"/>
        </w:rPr>
        <w:t>firms</w:t>
      </w:r>
      <w:r w:rsidR="000B1086" w:rsidRPr="006D0AA4">
        <w:rPr>
          <w:rFonts w:ascii="Times New Roman" w:hAnsi="Times New Roman"/>
          <w:sz w:val="24"/>
          <w:szCs w:val="24"/>
        </w:rPr>
        <w:t xml:space="preserve"> registered and regulated by the National Construction Authority within the </w:t>
      </w:r>
      <w:r w:rsidR="00057DBB" w:rsidRPr="006D0AA4">
        <w:rPr>
          <w:rFonts w:ascii="Times New Roman" w:hAnsi="Times New Roman"/>
          <w:sz w:val="24"/>
          <w:szCs w:val="24"/>
        </w:rPr>
        <w:t>three-year</w:t>
      </w:r>
      <w:r w:rsidR="000B1086" w:rsidRPr="006D0AA4">
        <w:rPr>
          <w:rFonts w:ascii="Times New Roman" w:hAnsi="Times New Roman"/>
          <w:sz w:val="24"/>
          <w:szCs w:val="24"/>
        </w:rPr>
        <w:t xml:space="preserve"> </w:t>
      </w:r>
      <w:r w:rsidR="00FE488D" w:rsidRPr="006D0AA4">
        <w:rPr>
          <w:rFonts w:ascii="Times New Roman" w:hAnsi="Times New Roman"/>
          <w:sz w:val="24"/>
          <w:szCs w:val="24"/>
        </w:rPr>
        <w:t xml:space="preserve">study </w:t>
      </w:r>
      <w:r w:rsidR="000B1086" w:rsidRPr="006D0AA4">
        <w:rPr>
          <w:rFonts w:ascii="Times New Roman" w:hAnsi="Times New Roman"/>
          <w:sz w:val="24"/>
          <w:szCs w:val="24"/>
        </w:rPr>
        <w:t>period of 2014 to 201</w:t>
      </w:r>
      <w:r w:rsidR="00AD6500" w:rsidRPr="006D0AA4">
        <w:rPr>
          <w:rFonts w:ascii="Times New Roman" w:hAnsi="Times New Roman"/>
          <w:sz w:val="24"/>
          <w:szCs w:val="24"/>
        </w:rPr>
        <w:t>8</w:t>
      </w:r>
      <w:r w:rsidR="000B1086" w:rsidRPr="006D0AA4">
        <w:rPr>
          <w:rFonts w:ascii="Times New Roman" w:hAnsi="Times New Roman"/>
          <w:sz w:val="24"/>
          <w:szCs w:val="24"/>
        </w:rPr>
        <w:t>.</w:t>
      </w:r>
      <w:r w:rsidR="005102D7" w:rsidRPr="006D0AA4">
        <w:rPr>
          <w:rFonts w:ascii="Times New Roman" w:hAnsi="Times New Roman"/>
          <w:sz w:val="24"/>
          <w:szCs w:val="24"/>
        </w:rPr>
        <w:t xml:space="preserve"> </w:t>
      </w:r>
      <w:r w:rsidR="00CD7D14" w:rsidRPr="006D0AA4">
        <w:rPr>
          <w:rFonts w:ascii="Times New Roman" w:hAnsi="Times New Roman"/>
          <w:sz w:val="24"/>
          <w:szCs w:val="24"/>
        </w:rPr>
        <w:t xml:space="preserve">All 10 tier 1 firms </w:t>
      </w:r>
      <w:r w:rsidR="00851488" w:rsidRPr="006D0AA4">
        <w:rPr>
          <w:rFonts w:ascii="Times New Roman" w:hAnsi="Times New Roman"/>
          <w:sz w:val="24"/>
          <w:szCs w:val="24"/>
        </w:rPr>
        <w:t>were</w:t>
      </w:r>
      <w:r w:rsidR="00CD7D14" w:rsidRPr="006D0AA4">
        <w:rPr>
          <w:rFonts w:ascii="Times New Roman" w:hAnsi="Times New Roman"/>
          <w:sz w:val="24"/>
          <w:szCs w:val="24"/>
        </w:rPr>
        <w:t xml:space="preserve"> included</w:t>
      </w:r>
      <w:r w:rsidR="00851488" w:rsidRPr="006D0AA4">
        <w:rPr>
          <w:rFonts w:ascii="Times New Roman" w:hAnsi="Times New Roman"/>
          <w:sz w:val="24"/>
          <w:szCs w:val="24"/>
        </w:rPr>
        <w:t>, therefore arose no</w:t>
      </w:r>
      <w:r w:rsidR="00CD7D14" w:rsidRPr="006D0AA4">
        <w:rPr>
          <w:rFonts w:ascii="Times New Roman" w:hAnsi="Times New Roman"/>
          <w:sz w:val="24"/>
          <w:szCs w:val="24"/>
        </w:rPr>
        <w:t xml:space="preserve"> need </w:t>
      </w:r>
      <w:r w:rsidR="00851488" w:rsidRPr="006D0AA4">
        <w:rPr>
          <w:rFonts w:ascii="Times New Roman" w:hAnsi="Times New Roman"/>
          <w:sz w:val="24"/>
          <w:szCs w:val="24"/>
        </w:rPr>
        <w:t>for</w:t>
      </w:r>
      <w:r w:rsidR="00CD7D14" w:rsidRPr="006D0AA4">
        <w:rPr>
          <w:rFonts w:ascii="Times New Roman" w:hAnsi="Times New Roman"/>
          <w:sz w:val="24"/>
          <w:szCs w:val="24"/>
        </w:rPr>
        <w:t xml:space="preserve"> sampling.</w:t>
      </w:r>
    </w:p>
    <w:p w14:paraId="53EAAD2A" w14:textId="6878D915" w:rsidR="00196CEC" w:rsidRPr="006D0AA4" w:rsidRDefault="00FA72A4" w:rsidP="006D0AA4">
      <w:pPr>
        <w:widowControl w:val="0"/>
        <w:overflowPunct w:val="0"/>
        <w:autoSpaceDE w:val="0"/>
        <w:spacing w:after="0" w:line="240" w:lineRule="auto"/>
        <w:jc w:val="both"/>
        <w:rPr>
          <w:rFonts w:ascii="Times New Roman" w:hAnsi="Times New Roman"/>
          <w:sz w:val="24"/>
          <w:szCs w:val="24"/>
        </w:rPr>
      </w:pPr>
      <w:r w:rsidRPr="006D0AA4">
        <w:rPr>
          <w:rFonts w:ascii="Times New Roman" w:hAnsi="Times New Roman"/>
          <w:sz w:val="24"/>
          <w:szCs w:val="24"/>
        </w:rPr>
        <w:t>The s</w:t>
      </w:r>
      <w:r w:rsidR="00FE488D" w:rsidRPr="006D0AA4">
        <w:rPr>
          <w:rFonts w:ascii="Times New Roman" w:hAnsi="Times New Roman"/>
          <w:sz w:val="24"/>
          <w:szCs w:val="24"/>
        </w:rPr>
        <w:t>tudy</w:t>
      </w:r>
      <w:r w:rsidR="000665C3" w:rsidRPr="006D0AA4">
        <w:rPr>
          <w:rFonts w:ascii="Times New Roman" w:hAnsi="Times New Roman"/>
          <w:sz w:val="24"/>
          <w:szCs w:val="24"/>
        </w:rPr>
        <w:t xml:space="preserve"> employed the use of</w:t>
      </w:r>
      <w:r w:rsidR="00FE488D" w:rsidRPr="006D0AA4">
        <w:rPr>
          <w:rFonts w:ascii="Times New Roman" w:hAnsi="Times New Roman"/>
          <w:sz w:val="24"/>
          <w:szCs w:val="24"/>
        </w:rPr>
        <w:t xml:space="preserve"> predominantly</w:t>
      </w:r>
      <w:r w:rsidR="000665C3" w:rsidRPr="006D0AA4">
        <w:rPr>
          <w:rFonts w:ascii="Times New Roman" w:hAnsi="Times New Roman"/>
          <w:sz w:val="24"/>
          <w:szCs w:val="24"/>
        </w:rPr>
        <w:t xml:space="preserve"> data which is secondary</w:t>
      </w:r>
      <w:r w:rsidR="00FE488D" w:rsidRPr="006D0AA4">
        <w:rPr>
          <w:rFonts w:ascii="Times New Roman" w:hAnsi="Times New Roman"/>
          <w:sz w:val="24"/>
          <w:szCs w:val="24"/>
        </w:rPr>
        <w:t>.</w:t>
      </w:r>
      <w:r w:rsidR="00445398" w:rsidRPr="006D0AA4">
        <w:rPr>
          <w:rFonts w:ascii="Times New Roman" w:hAnsi="Times New Roman"/>
          <w:sz w:val="24"/>
          <w:szCs w:val="24"/>
        </w:rPr>
        <w:t xml:space="preserve"> </w:t>
      </w:r>
      <w:r w:rsidR="000665C3" w:rsidRPr="006D0AA4">
        <w:rPr>
          <w:rFonts w:ascii="Times New Roman" w:hAnsi="Times New Roman"/>
          <w:sz w:val="24"/>
          <w:szCs w:val="24"/>
        </w:rPr>
        <w:t>D</w:t>
      </w:r>
      <w:r w:rsidR="004C50AC" w:rsidRPr="006D0AA4">
        <w:rPr>
          <w:rFonts w:ascii="Times New Roman" w:hAnsi="Times New Roman"/>
          <w:sz w:val="24"/>
          <w:szCs w:val="24"/>
        </w:rPr>
        <w:t>ata</w:t>
      </w:r>
      <w:r w:rsidR="000665C3" w:rsidRPr="006D0AA4">
        <w:rPr>
          <w:rFonts w:ascii="Times New Roman" w:hAnsi="Times New Roman"/>
          <w:sz w:val="24"/>
          <w:szCs w:val="24"/>
        </w:rPr>
        <w:t xml:space="preserve"> thus was collected through yearly</w:t>
      </w:r>
      <w:r w:rsidR="004C50AC" w:rsidRPr="006D0AA4">
        <w:rPr>
          <w:rFonts w:ascii="Times New Roman" w:hAnsi="Times New Roman"/>
          <w:sz w:val="24"/>
          <w:szCs w:val="24"/>
        </w:rPr>
        <w:t xml:space="preserve"> reports </w:t>
      </w:r>
      <w:r w:rsidR="00F55E58" w:rsidRPr="006D0AA4">
        <w:rPr>
          <w:rFonts w:ascii="Times New Roman" w:hAnsi="Times New Roman"/>
          <w:sz w:val="24"/>
          <w:szCs w:val="24"/>
        </w:rPr>
        <w:t>which</w:t>
      </w:r>
      <w:r w:rsidR="001526A6" w:rsidRPr="006D0AA4">
        <w:rPr>
          <w:rFonts w:ascii="Times New Roman" w:hAnsi="Times New Roman"/>
          <w:sz w:val="24"/>
          <w:szCs w:val="24"/>
        </w:rPr>
        <w:t xml:space="preserve"> include</w:t>
      </w:r>
      <w:r w:rsidR="00487762" w:rsidRPr="006D0AA4">
        <w:rPr>
          <w:rFonts w:ascii="Times New Roman" w:hAnsi="Times New Roman"/>
          <w:sz w:val="24"/>
          <w:szCs w:val="24"/>
        </w:rPr>
        <w:t>d</w:t>
      </w:r>
      <w:r w:rsidR="001526A6" w:rsidRPr="006D0AA4">
        <w:rPr>
          <w:rFonts w:ascii="Times New Roman" w:hAnsi="Times New Roman"/>
          <w:sz w:val="24"/>
          <w:szCs w:val="24"/>
        </w:rPr>
        <w:t xml:space="preserve"> stat</w:t>
      </w:r>
      <w:r w:rsidR="000665C3" w:rsidRPr="006D0AA4">
        <w:rPr>
          <w:rFonts w:ascii="Times New Roman" w:hAnsi="Times New Roman"/>
          <w:sz w:val="24"/>
          <w:szCs w:val="24"/>
        </w:rPr>
        <w:t>ements of financial position including</w:t>
      </w:r>
      <w:r w:rsidR="001526A6" w:rsidRPr="006D0AA4">
        <w:rPr>
          <w:rFonts w:ascii="Times New Roman" w:hAnsi="Times New Roman"/>
          <w:sz w:val="24"/>
          <w:szCs w:val="24"/>
        </w:rPr>
        <w:t xml:space="preserve"> all other corresponding relevant reports published within study period of 2014- 2018. Such relevant financial information</w:t>
      </w:r>
      <w:r w:rsidR="00487762" w:rsidRPr="006D0AA4">
        <w:rPr>
          <w:rFonts w:ascii="Times New Roman" w:hAnsi="Times New Roman"/>
          <w:sz w:val="24"/>
          <w:szCs w:val="24"/>
        </w:rPr>
        <w:t xml:space="preserve"> </w:t>
      </w:r>
      <w:r w:rsidR="00024416" w:rsidRPr="006D0AA4">
        <w:rPr>
          <w:rFonts w:ascii="Times New Roman" w:hAnsi="Times New Roman"/>
          <w:sz w:val="24"/>
          <w:szCs w:val="24"/>
        </w:rPr>
        <w:t>was</w:t>
      </w:r>
      <w:r w:rsidR="00CF2FBF" w:rsidRPr="006D0AA4">
        <w:rPr>
          <w:rFonts w:ascii="Times New Roman" w:hAnsi="Times New Roman"/>
          <w:sz w:val="24"/>
          <w:szCs w:val="24"/>
        </w:rPr>
        <w:t xml:space="preserve"> </w:t>
      </w:r>
      <w:r w:rsidR="000665C3" w:rsidRPr="006D0AA4">
        <w:rPr>
          <w:rFonts w:ascii="Times New Roman" w:hAnsi="Times New Roman"/>
          <w:sz w:val="24"/>
          <w:szCs w:val="24"/>
        </w:rPr>
        <w:t>thus collected from</w:t>
      </w:r>
      <w:r w:rsidR="00F25F6C" w:rsidRPr="006D0AA4">
        <w:rPr>
          <w:rFonts w:ascii="Times New Roman" w:hAnsi="Times New Roman"/>
          <w:sz w:val="24"/>
          <w:szCs w:val="24"/>
        </w:rPr>
        <w:t xml:space="preserve"> </w:t>
      </w:r>
      <w:r w:rsidR="000665C3" w:rsidRPr="006D0AA4">
        <w:rPr>
          <w:rFonts w:ascii="Times New Roman" w:hAnsi="Times New Roman"/>
          <w:sz w:val="24"/>
          <w:szCs w:val="24"/>
        </w:rPr>
        <w:t>stored</w:t>
      </w:r>
      <w:r w:rsidR="00CF2FBF" w:rsidRPr="006D0AA4">
        <w:rPr>
          <w:rFonts w:ascii="Times New Roman" w:hAnsi="Times New Roman"/>
          <w:sz w:val="24"/>
          <w:szCs w:val="24"/>
        </w:rPr>
        <w:t xml:space="preserve"> </w:t>
      </w:r>
      <w:r w:rsidR="00F55E58" w:rsidRPr="006D0AA4">
        <w:rPr>
          <w:rFonts w:ascii="Times New Roman" w:hAnsi="Times New Roman"/>
          <w:sz w:val="24"/>
          <w:szCs w:val="24"/>
        </w:rPr>
        <w:t>sampled</w:t>
      </w:r>
      <w:r w:rsidR="00F25F6C" w:rsidRPr="006D0AA4">
        <w:rPr>
          <w:rFonts w:ascii="Times New Roman" w:hAnsi="Times New Roman"/>
          <w:sz w:val="24"/>
          <w:szCs w:val="24"/>
        </w:rPr>
        <w:t xml:space="preserve"> companies’</w:t>
      </w:r>
      <w:r w:rsidR="002D3E70" w:rsidRPr="006D0AA4">
        <w:rPr>
          <w:rFonts w:ascii="Times New Roman" w:hAnsi="Times New Roman"/>
          <w:sz w:val="24"/>
          <w:szCs w:val="24"/>
        </w:rPr>
        <w:t xml:space="preserve"> </w:t>
      </w:r>
      <w:r w:rsidR="000665C3" w:rsidRPr="006D0AA4">
        <w:rPr>
          <w:rFonts w:ascii="Times New Roman" w:hAnsi="Times New Roman"/>
          <w:sz w:val="24"/>
          <w:szCs w:val="24"/>
        </w:rPr>
        <w:t>finance</w:t>
      </w:r>
      <w:r w:rsidR="00487762" w:rsidRPr="006D0AA4">
        <w:rPr>
          <w:rFonts w:ascii="Times New Roman" w:hAnsi="Times New Roman"/>
          <w:sz w:val="24"/>
          <w:szCs w:val="24"/>
        </w:rPr>
        <w:t xml:space="preserve"> statements from the </w:t>
      </w:r>
      <w:r w:rsidR="002D3E70" w:rsidRPr="006D0AA4">
        <w:rPr>
          <w:rFonts w:ascii="Times New Roman" w:hAnsi="Times New Roman"/>
          <w:sz w:val="24"/>
          <w:szCs w:val="24"/>
        </w:rPr>
        <w:t>in</w:t>
      </w:r>
      <w:r w:rsidR="00F25F6C" w:rsidRPr="006D0AA4">
        <w:rPr>
          <w:rFonts w:ascii="Times New Roman" w:hAnsi="Times New Roman"/>
          <w:sz w:val="24"/>
          <w:szCs w:val="24"/>
        </w:rPr>
        <w:t xml:space="preserve">formation desk upon </w:t>
      </w:r>
      <w:r w:rsidR="00F55E58" w:rsidRPr="006D0AA4">
        <w:rPr>
          <w:rFonts w:ascii="Times New Roman" w:hAnsi="Times New Roman"/>
          <w:sz w:val="24"/>
          <w:szCs w:val="24"/>
        </w:rPr>
        <w:t xml:space="preserve">submission </w:t>
      </w:r>
      <w:r w:rsidR="002D3E70" w:rsidRPr="006D0AA4">
        <w:rPr>
          <w:rFonts w:ascii="Times New Roman" w:hAnsi="Times New Roman"/>
          <w:sz w:val="24"/>
          <w:szCs w:val="24"/>
        </w:rPr>
        <w:t>of an introductory letter from the school</w:t>
      </w:r>
      <w:r w:rsidR="00FE488D" w:rsidRPr="006D0AA4">
        <w:rPr>
          <w:rFonts w:ascii="Times New Roman" w:hAnsi="Times New Roman"/>
          <w:sz w:val="24"/>
          <w:szCs w:val="24"/>
        </w:rPr>
        <w:t>.</w:t>
      </w:r>
      <w:r w:rsidR="002D3E70" w:rsidRPr="006D0AA4">
        <w:rPr>
          <w:rFonts w:ascii="Times New Roman" w:hAnsi="Times New Roman"/>
          <w:sz w:val="24"/>
          <w:szCs w:val="24"/>
        </w:rPr>
        <w:t xml:space="preserve"> </w:t>
      </w:r>
      <w:r w:rsidR="00487762" w:rsidRPr="006D0AA4">
        <w:rPr>
          <w:rFonts w:ascii="Times New Roman" w:hAnsi="Times New Roman"/>
          <w:sz w:val="24"/>
          <w:szCs w:val="24"/>
        </w:rPr>
        <w:t>A</w:t>
      </w:r>
      <w:r w:rsidR="00237306" w:rsidRPr="006D0AA4">
        <w:rPr>
          <w:rFonts w:ascii="Times New Roman" w:hAnsi="Times New Roman"/>
          <w:sz w:val="24"/>
          <w:szCs w:val="24"/>
        </w:rPr>
        <w:t xml:space="preserve"> lette</w:t>
      </w:r>
      <w:r w:rsidR="00487762" w:rsidRPr="006D0AA4">
        <w:rPr>
          <w:rFonts w:ascii="Times New Roman" w:hAnsi="Times New Roman"/>
          <w:sz w:val="24"/>
          <w:szCs w:val="24"/>
        </w:rPr>
        <w:t>r of introduction</w:t>
      </w:r>
      <w:r w:rsidR="00237306" w:rsidRPr="006D0AA4">
        <w:rPr>
          <w:rFonts w:ascii="Times New Roman" w:hAnsi="Times New Roman"/>
          <w:sz w:val="24"/>
          <w:szCs w:val="24"/>
        </w:rPr>
        <w:t xml:space="preserve"> handed to t</w:t>
      </w:r>
      <w:r w:rsidR="00487762" w:rsidRPr="006D0AA4">
        <w:rPr>
          <w:rFonts w:ascii="Times New Roman" w:hAnsi="Times New Roman"/>
          <w:sz w:val="24"/>
          <w:szCs w:val="24"/>
        </w:rPr>
        <w:t>he researcher by the school was in turn</w:t>
      </w:r>
      <w:r w:rsidR="00237306" w:rsidRPr="006D0AA4">
        <w:rPr>
          <w:rFonts w:ascii="Times New Roman" w:hAnsi="Times New Roman"/>
          <w:sz w:val="24"/>
          <w:szCs w:val="24"/>
        </w:rPr>
        <w:t xml:space="preserve"> presented to respective non-listed </w:t>
      </w:r>
      <w:r w:rsidR="00237306" w:rsidRPr="006D0AA4">
        <w:rPr>
          <w:rFonts w:ascii="Times New Roman" w:hAnsi="Times New Roman"/>
          <w:sz w:val="24"/>
          <w:szCs w:val="24"/>
        </w:rPr>
        <w:lastRenderedPageBreak/>
        <w:t>building and construction firms’ managers for purposes of gaining both consent and access to publi</w:t>
      </w:r>
      <w:r w:rsidR="00F55E58" w:rsidRPr="006D0AA4">
        <w:rPr>
          <w:rFonts w:ascii="Times New Roman" w:hAnsi="Times New Roman"/>
          <w:sz w:val="24"/>
          <w:szCs w:val="24"/>
        </w:rPr>
        <w:t>shed</w:t>
      </w:r>
      <w:r w:rsidR="00237306" w:rsidRPr="006D0AA4">
        <w:rPr>
          <w:rFonts w:ascii="Times New Roman" w:hAnsi="Times New Roman"/>
          <w:sz w:val="24"/>
          <w:szCs w:val="24"/>
        </w:rPr>
        <w:t xml:space="preserve"> statements of financial position for the sole purpose of </w:t>
      </w:r>
      <w:r w:rsidR="000665C3" w:rsidRPr="006D0AA4">
        <w:rPr>
          <w:rFonts w:ascii="Times New Roman" w:hAnsi="Times New Roman"/>
          <w:sz w:val="24"/>
          <w:szCs w:val="24"/>
        </w:rPr>
        <w:t>due</w:t>
      </w:r>
      <w:r w:rsidR="00CF2FBF" w:rsidRPr="006D0AA4">
        <w:rPr>
          <w:rFonts w:ascii="Times New Roman" w:hAnsi="Times New Roman"/>
          <w:sz w:val="24"/>
          <w:szCs w:val="24"/>
        </w:rPr>
        <w:t xml:space="preserve"> </w:t>
      </w:r>
      <w:r w:rsidR="00237306" w:rsidRPr="006D0AA4">
        <w:rPr>
          <w:rFonts w:ascii="Times New Roman" w:hAnsi="Times New Roman"/>
          <w:sz w:val="24"/>
          <w:szCs w:val="24"/>
        </w:rPr>
        <w:t>analysis.</w:t>
      </w:r>
    </w:p>
    <w:p w14:paraId="5892876E" w14:textId="7F2CEF37" w:rsidR="00D77FC1" w:rsidRPr="006D0AA4" w:rsidRDefault="000665C3" w:rsidP="006D0AA4">
      <w:pPr>
        <w:widowControl w:val="0"/>
        <w:overflowPunct w:val="0"/>
        <w:autoSpaceDE w:val="0"/>
        <w:spacing w:line="240" w:lineRule="auto"/>
        <w:jc w:val="both"/>
        <w:rPr>
          <w:rFonts w:ascii="Times New Roman" w:hAnsi="Times New Roman"/>
          <w:sz w:val="24"/>
          <w:szCs w:val="24"/>
        </w:rPr>
      </w:pPr>
      <w:r w:rsidRPr="006D0AA4">
        <w:rPr>
          <w:rFonts w:ascii="Times New Roman" w:hAnsi="Times New Roman"/>
          <w:sz w:val="24"/>
          <w:szCs w:val="24"/>
        </w:rPr>
        <w:t>C</w:t>
      </w:r>
      <w:r w:rsidR="00A512F5" w:rsidRPr="006D0AA4">
        <w:rPr>
          <w:rFonts w:ascii="Times New Roman" w:hAnsi="Times New Roman"/>
          <w:sz w:val="24"/>
          <w:szCs w:val="24"/>
        </w:rPr>
        <w:t>ollected</w:t>
      </w:r>
      <w:r w:rsidRPr="006D0AA4">
        <w:rPr>
          <w:rFonts w:ascii="Times New Roman" w:hAnsi="Times New Roman"/>
          <w:sz w:val="24"/>
          <w:szCs w:val="24"/>
        </w:rPr>
        <w:t xml:space="preserve"> data</w:t>
      </w:r>
      <w:r w:rsidR="00A512F5" w:rsidRPr="006D0AA4">
        <w:rPr>
          <w:rFonts w:ascii="Times New Roman" w:hAnsi="Times New Roman"/>
          <w:sz w:val="24"/>
          <w:szCs w:val="24"/>
        </w:rPr>
        <w:t xml:space="preserve"> were </w:t>
      </w:r>
      <w:r w:rsidRPr="006D0AA4">
        <w:rPr>
          <w:rFonts w:ascii="Times New Roman" w:hAnsi="Times New Roman"/>
          <w:sz w:val="24"/>
          <w:szCs w:val="24"/>
        </w:rPr>
        <w:t xml:space="preserve">however </w:t>
      </w:r>
      <w:r w:rsidR="00A512F5" w:rsidRPr="006D0AA4">
        <w:rPr>
          <w:rFonts w:ascii="Times New Roman" w:hAnsi="Times New Roman"/>
          <w:sz w:val="24"/>
          <w:szCs w:val="24"/>
        </w:rPr>
        <w:t>analyzed</w:t>
      </w:r>
      <w:r w:rsidR="00534FB6" w:rsidRPr="006D0AA4">
        <w:rPr>
          <w:rFonts w:ascii="Times New Roman" w:hAnsi="Times New Roman"/>
          <w:sz w:val="24"/>
          <w:szCs w:val="24"/>
        </w:rPr>
        <w:t xml:space="preserve"> </w:t>
      </w:r>
      <w:r w:rsidRPr="006D0AA4">
        <w:rPr>
          <w:rFonts w:ascii="Times New Roman" w:hAnsi="Times New Roman"/>
          <w:sz w:val="24"/>
          <w:szCs w:val="24"/>
        </w:rPr>
        <w:t>by clear use of</w:t>
      </w:r>
      <w:r w:rsidR="00534FB6" w:rsidRPr="006D0AA4">
        <w:rPr>
          <w:rFonts w:ascii="Times New Roman" w:hAnsi="Times New Roman"/>
          <w:sz w:val="24"/>
          <w:szCs w:val="24"/>
        </w:rPr>
        <w:t xml:space="preserve"> mean, correlation</w:t>
      </w:r>
      <w:r w:rsidR="001D7791" w:rsidRPr="006D0AA4">
        <w:rPr>
          <w:rFonts w:ascii="Times New Roman" w:hAnsi="Times New Roman"/>
          <w:sz w:val="24"/>
          <w:szCs w:val="24"/>
        </w:rPr>
        <w:t xml:space="preserve"> (Pearson’s)</w:t>
      </w:r>
      <w:r w:rsidR="00534FB6" w:rsidRPr="006D0AA4">
        <w:rPr>
          <w:rFonts w:ascii="Times New Roman" w:hAnsi="Times New Roman"/>
          <w:sz w:val="24"/>
          <w:szCs w:val="24"/>
        </w:rPr>
        <w:t xml:space="preserve">, </w:t>
      </w:r>
      <w:r w:rsidR="00F55E58" w:rsidRPr="006D0AA4">
        <w:rPr>
          <w:rFonts w:ascii="Times New Roman" w:hAnsi="Times New Roman"/>
          <w:sz w:val="24"/>
          <w:szCs w:val="24"/>
        </w:rPr>
        <w:t xml:space="preserve">and the </w:t>
      </w:r>
      <w:r w:rsidR="00534FB6" w:rsidRPr="006D0AA4">
        <w:rPr>
          <w:rFonts w:ascii="Times New Roman" w:hAnsi="Times New Roman"/>
          <w:sz w:val="24"/>
          <w:szCs w:val="24"/>
        </w:rPr>
        <w:t>r</w:t>
      </w:r>
      <w:r w:rsidR="00CB0F30" w:rsidRPr="006D0AA4">
        <w:rPr>
          <w:rFonts w:ascii="Times New Roman" w:hAnsi="Times New Roman"/>
          <w:sz w:val="24"/>
          <w:szCs w:val="24"/>
        </w:rPr>
        <w:t>e</w:t>
      </w:r>
      <w:r w:rsidR="009122F1" w:rsidRPr="006D0AA4">
        <w:rPr>
          <w:rFonts w:ascii="Times New Roman" w:hAnsi="Times New Roman"/>
          <w:sz w:val="24"/>
          <w:szCs w:val="24"/>
        </w:rPr>
        <w:t xml:space="preserve">gression model. Analyzed data </w:t>
      </w:r>
      <w:r w:rsidR="00A512F5" w:rsidRPr="006D0AA4">
        <w:rPr>
          <w:rFonts w:ascii="Times New Roman" w:hAnsi="Times New Roman"/>
          <w:sz w:val="24"/>
          <w:szCs w:val="24"/>
        </w:rPr>
        <w:t>were</w:t>
      </w:r>
      <w:r w:rsidR="00CB0F30" w:rsidRPr="006D0AA4">
        <w:rPr>
          <w:rFonts w:ascii="Times New Roman" w:hAnsi="Times New Roman"/>
          <w:sz w:val="24"/>
          <w:szCs w:val="24"/>
        </w:rPr>
        <w:t xml:space="preserve"> interpreted and</w:t>
      </w:r>
      <w:r w:rsidR="00A512F5" w:rsidRPr="006D0AA4">
        <w:rPr>
          <w:rFonts w:ascii="Times New Roman" w:hAnsi="Times New Roman"/>
          <w:sz w:val="24"/>
          <w:szCs w:val="24"/>
        </w:rPr>
        <w:t xml:space="preserve"> presented</w:t>
      </w:r>
      <w:r w:rsidR="00CB0F30" w:rsidRPr="006D0AA4">
        <w:rPr>
          <w:rFonts w:ascii="Times New Roman" w:hAnsi="Times New Roman"/>
          <w:sz w:val="24"/>
          <w:szCs w:val="24"/>
        </w:rPr>
        <w:t xml:space="preserve"> us</w:t>
      </w:r>
      <w:r w:rsidR="00A512F5" w:rsidRPr="006D0AA4">
        <w:rPr>
          <w:rFonts w:ascii="Times New Roman" w:hAnsi="Times New Roman"/>
          <w:sz w:val="24"/>
          <w:szCs w:val="24"/>
        </w:rPr>
        <w:t>ing</w:t>
      </w:r>
      <w:r w:rsidR="00CB0F30" w:rsidRPr="006D0AA4">
        <w:rPr>
          <w:rFonts w:ascii="Times New Roman" w:hAnsi="Times New Roman"/>
          <w:sz w:val="24"/>
          <w:szCs w:val="24"/>
        </w:rPr>
        <w:t xml:space="preserve"> figures and tables. A </w:t>
      </w:r>
      <w:r w:rsidR="00A512F5" w:rsidRPr="006D0AA4">
        <w:rPr>
          <w:rFonts w:ascii="Times New Roman" w:hAnsi="Times New Roman"/>
          <w:sz w:val="24"/>
          <w:szCs w:val="24"/>
        </w:rPr>
        <w:t xml:space="preserve">correlation </w:t>
      </w:r>
      <w:r w:rsidR="00445398" w:rsidRPr="006D0AA4">
        <w:rPr>
          <w:rFonts w:ascii="Times New Roman" w:hAnsi="Times New Roman"/>
          <w:sz w:val="24"/>
          <w:szCs w:val="24"/>
        </w:rPr>
        <w:t>technique was</w:t>
      </w:r>
      <w:r w:rsidR="00CB0F30" w:rsidRPr="006D0AA4">
        <w:rPr>
          <w:rFonts w:ascii="Times New Roman" w:hAnsi="Times New Roman"/>
          <w:sz w:val="24"/>
          <w:szCs w:val="24"/>
        </w:rPr>
        <w:t xml:space="preserve"> </w:t>
      </w:r>
      <w:r w:rsidR="00E3468D" w:rsidRPr="006D0AA4">
        <w:rPr>
          <w:rFonts w:ascii="Times New Roman" w:hAnsi="Times New Roman"/>
          <w:sz w:val="24"/>
          <w:szCs w:val="24"/>
        </w:rPr>
        <w:t>used</w:t>
      </w:r>
      <w:r w:rsidR="00CB0F30" w:rsidRPr="006D0AA4">
        <w:rPr>
          <w:rFonts w:ascii="Times New Roman" w:hAnsi="Times New Roman"/>
          <w:sz w:val="24"/>
          <w:szCs w:val="24"/>
        </w:rPr>
        <w:t xml:space="preserve"> </w:t>
      </w:r>
      <w:r w:rsidR="00A512F5" w:rsidRPr="006D0AA4">
        <w:rPr>
          <w:rFonts w:ascii="Times New Roman" w:hAnsi="Times New Roman"/>
          <w:sz w:val="24"/>
          <w:szCs w:val="24"/>
        </w:rPr>
        <w:t>to illustrate</w:t>
      </w:r>
      <w:r w:rsidR="00CB0F30" w:rsidRPr="006D0AA4">
        <w:rPr>
          <w:rFonts w:ascii="Times New Roman" w:hAnsi="Times New Roman"/>
          <w:sz w:val="24"/>
          <w:szCs w:val="24"/>
        </w:rPr>
        <w:t xml:space="preserve"> the level of relationship among the </w:t>
      </w:r>
      <w:r w:rsidR="00A512F5" w:rsidRPr="006D0AA4">
        <w:rPr>
          <w:rFonts w:ascii="Times New Roman" w:hAnsi="Times New Roman"/>
          <w:sz w:val="24"/>
          <w:szCs w:val="24"/>
        </w:rPr>
        <w:t xml:space="preserve">identified </w:t>
      </w:r>
      <w:r w:rsidR="00445398" w:rsidRPr="006D0AA4">
        <w:rPr>
          <w:rFonts w:ascii="Times New Roman" w:hAnsi="Times New Roman"/>
          <w:sz w:val="24"/>
          <w:szCs w:val="24"/>
        </w:rPr>
        <w:t>variables.</w:t>
      </w:r>
      <w:r w:rsidR="00CB0F30" w:rsidRPr="006D0AA4">
        <w:rPr>
          <w:rFonts w:ascii="Times New Roman" w:hAnsi="Times New Roman"/>
          <w:sz w:val="24"/>
          <w:szCs w:val="24"/>
        </w:rPr>
        <w:t xml:space="preserve"> </w:t>
      </w:r>
      <w:r w:rsidR="008B77EC" w:rsidRPr="006D0AA4">
        <w:rPr>
          <w:rFonts w:ascii="Times New Roman" w:hAnsi="Times New Roman"/>
          <w:color w:val="202124"/>
          <w:sz w:val="24"/>
          <w:szCs w:val="24"/>
          <w:shd w:val="clear" w:color="auto" w:fill="FFFFFF"/>
        </w:rPr>
        <w:t>Correlational technique</w:t>
      </w:r>
      <w:r w:rsidR="00A512F5" w:rsidRPr="006D0AA4">
        <w:rPr>
          <w:rFonts w:ascii="Times New Roman" w:hAnsi="Times New Roman"/>
          <w:color w:val="202124"/>
          <w:sz w:val="24"/>
          <w:szCs w:val="24"/>
          <w:shd w:val="clear" w:color="auto" w:fill="FFFFFF"/>
        </w:rPr>
        <w:t xml:space="preserve"> is important</w:t>
      </w:r>
      <w:r w:rsidR="008B77EC" w:rsidRPr="006D0AA4">
        <w:rPr>
          <w:rFonts w:ascii="Times New Roman" w:hAnsi="Times New Roman"/>
          <w:color w:val="202124"/>
          <w:sz w:val="24"/>
          <w:szCs w:val="24"/>
          <w:shd w:val="clear" w:color="auto" w:fill="FFFFFF"/>
        </w:rPr>
        <w:t xml:space="preserve"> </w:t>
      </w:r>
      <w:r w:rsidR="00A512F5" w:rsidRPr="006D0AA4">
        <w:rPr>
          <w:rFonts w:ascii="Times New Roman" w:hAnsi="Times New Roman"/>
          <w:color w:val="202124"/>
          <w:sz w:val="24"/>
          <w:szCs w:val="24"/>
          <w:shd w:val="clear" w:color="auto" w:fill="FFFFFF"/>
        </w:rPr>
        <w:t xml:space="preserve">in research </w:t>
      </w:r>
      <w:r w:rsidR="008B77EC" w:rsidRPr="006D0AA4">
        <w:rPr>
          <w:rFonts w:ascii="Times New Roman" w:hAnsi="Times New Roman"/>
          <w:color w:val="202124"/>
          <w:sz w:val="24"/>
          <w:szCs w:val="24"/>
          <w:shd w:val="clear" w:color="auto" w:fill="FFFFFF"/>
        </w:rPr>
        <w:t>as it </w:t>
      </w:r>
      <w:r w:rsidR="00445398" w:rsidRPr="006D0AA4">
        <w:rPr>
          <w:rFonts w:ascii="Times New Roman" w:hAnsi="Times New Roman"/>
          <w:bCs/>
          <w:color w:val="202124"/>
          <w:sz w:val="24"/>
          <w:szCs w:val="24"/>
          <w:shd w:val="clear" w:color="auto" w:fill="FFFFFF"/>
        </w:rPr>
        <w:t>aids knowing</w:t>
      </w:r>
      <w:r w:rsidR="00CB0F30" w:rsidRPr="006D0AA4">
        <w:rPr>
          <w:rFonts w:ascii="Times New Roman" w:hAnsi="Times New Roman"/>
          <w:bCs/>
          <w:color w:val="202124"/>
          <w:sz w:val="24"/>
          <w:szCs w:val="24"/>
          <w:shd w:val="clear" w:color="auto" w:fill="FFFFFF"/>
        </w:rPr>
        <w:t xml:space="preserve"> the level </w:t>
      </w:r>
      <w:r w:rsidR="00CF2FBF" w:rsidRPr="006D0AA4">
        <w:rPr>
          <w:rFonts w:ascii="Times New Roman" w:hAnsi="Times New Roman"/>
          <w:bCs/>
          <w:color w:val="202124"/>
          <w:sz w:val="24"/>
          <w:szCs w:val="24"/>
          <w:shd w:val="clear" w:color="auto" w:fill="FFFFFF"/>
        </w:rPr>
        <w:t>and nature in</w:t>
      </w:r>
      <w:r w:rsidR="00CB0F30" w:rsidRPr="006D0AA4">
        <w:rPr>
          <w:rFonts w:ascii="Times New Roman" w:hAnsi="Times New Roman"/>
          <w:bCs/>
          <w:color w:val="202124"/>
          <w:sz w:val="24"/>
          <w:szCs w:val="24"/>
          <w:shd w:val="clear" w:color="auto" w:fill="FFFFFF"/>
        </w:rPr>
        <w:t xml:space="preserve"> relation</w:t>
      </w:r>
      <w:r w:rsidR="00E3468D" w:rsidRPr="006D0AA4">
        <w:rPr>
          <w:rFonts w:ascii="Times New Roman" w:hAnsi="Times New Roman"/>
          <w:bCs/>
          <w:color w:val="202124"/>
          <w:sz w:val="24"/>
          <w:szCs w:val="24"/>
          <w:shd w:val="clear" w:color="auto" w:fill="FFFFFF"/>
        </w:rPr>
        <w:t>ship</w:t>
      </w:r>
      <w:r w:rsidR="00CF2FBF" w:rsidRPr="006D0AA4">
        <w:rPr>
          <w:rFonts w:ascii="Times New Roman" w:hAnsi="Times New Roman"/>
          <w:bCs/>
          <w:color w:val="202124"/>
          <w:sz w:val="24"/>
          <w:szCs w:val="24"/>
          <w:shd w:val="clear" w:color="auto" w:fill="FFFFFF"/>
        </w:rPr>
        <w:t xml:space="preserve"> over</w:t>
      </w:r>
      <w:r w:rsidR="00CB0F30" w:rsidRPr="006D0AA4">
        <w:rPr>
          <w:rFonts w:ascii="Times New Roman" w:hAnsi="Times New Roman"/>
          <w:bCs/>
          <w:color w:val="202124"/>
          <w:sz w:val="24"/>
          <w:szCs w:val="24"/>
          <w:shd w:val="clear" w:color="auto" w:fill="FFFFFF"/>
        </w:rPr>
        <w:t xml:space="preserve"> the list of variables </w:t>
      </w:r>
      <w:r w:rsidR="00CF2FBF" w:rsidRPr="006D0AA4">
        <w:rPr>
          <w:rFonts w:ascii="Times New Roman" w:hAnsi="Times New Roman"/>
          <w:bCs/>
          <w:color w:val="202124"/>
          <w:sz w:val="24"/>
          <w:szCs w:val="24"/>
          <w:shd w:val="clear" w:color="auto" w:fill="FFFFFF"/>
        </w:rPr>
        <w:t xml:space="preserve">used in the </w:t>
      </w:r>
      <w:r w:rsidR="00E3468D" w:rsidRPr="006D0AA4">
        <w:rPr>
          <w:rFonts w:ascii="Times New Roman" w:hAnsi="Times New Roman"/>
          <w:bCs/>
          <w:color w:val="202124"/>
          <w:sz w:val="24"/>
          <w:szCs w:val="24"/>
          <w:shd w:val="clear" w:color="auto" w:fill="FFFFFF"/>
        </w:rPr>
        <w:t>study.</w:t>
      </w:r>
      <w:r w:rsidR="00A428F0" w:rsidRPr="006D0AA4">
        <w:rPr>
          <w:rFonts w:ascii="Times New Roman" w:hAnsi="Times New Roman"/>
          <w:bCs/>
          <w:color w:val="202124"/>
          <w:sz w:val="24"/>
          <w:szCs w:val="24"/>
          <w:shd w:val="clear" w:color="auto" w:fill="FFFFFF"/>
        </w:rPr>
        <w:t xml:space="preserve"> </w:t>
      </w:r>
      <w:r w:rsidR="00A512F5" w:rsidRPr="006D0AA4">
        <w:rPr>
          <w:rFonts w:ascii="Times New Roman" w:hAnsi="Times New Roman"/>
          <w:bCs/>
          <w:color w:val="202124"/>
          <w:sz w:val="24"/>
          <w:szCs w:val="24"/>
          <w:shd w:val="clear" w:color="auto" w:fill="FFFFFF"/>
        </w:rPr>
        <w:t>Correlation results are</w:t>
      </w:r>
      <w:r w:rsidR="00CB0F30" w:rsidRPr="006D0AA4">
        <w:rPr>
          <w:rFonts w:ascii="Times New Roman" w:hAnsi="Times New Roman"/>
          <w:bCs/>
          <w:color w:val="202124"/>
          <w:sz w:val="24"/>
          <w:szCs w:val="24"/>
          <w:shd w:val="clear" w:color="auto" w:fill="FFFFFF"/>
        </w:rPr>
        <w:t xml:space="preserve"> also easier </w:t>
      </w:r>
      <w:r w:rsidR="00A512F5" w:rsidRPr="006D0AA4">
        <w:rPr>
          <w:rFonts w:ascii="Times New Roman" w:hAnsi="Times New Roman"/>
          <w:bCs/>
          <w:color w:val="202124"/>
          <w:sz w:val="24"/>
          <w:szCs w:val="24"/>
          <w:shd w:val="clear" w:color="auto" w:fill="FFFFFF"/>
        </w:rPr>
        <w:t xml:space="preserve">to </w:t>
      </w:r>
      <w:r w:rsidR="00445398" w:rsidRPr="006D0AA4">
        <w:rPr>
          <w:rFonts w:ascii="Times New Roman" w:hAnsi="Times New Roman"/>
          <w:bCs/>
          <w:color w:val="202124"/>
          <w:sz w:val="24"/>
          <w:szCs w:val="24"/>
          <w:shd w:val="clear" w:color="auto" w:fill="FFFFFF"/>
        </w:rPr>
        <w:t>interpret, cost</w:t>
      </w:r>
      <w:r w:rsidR="00CB0F30" w:rsidRPr="006D0AA4">
        <w:rPr>
          <w:rFonts w:ascii="Times New Roman" w:hAnsi="Times New Roman"/>
          <w:bCs/>
          <w:color w:val="202124"/>
          <w:sz w:val="24"/>
          <w:szCs w:val="24"/>
          <w:shd w:val="clear" w:color="auto" w:fill="FFFFFF"/>
        </w:rPr>
        <w:t xml:space="preserve"> friendly</w:t>
      </w:r>
      <w:r w:rsidR="00E3468D" w:rsidRPr="006D0AA4">
        <w:rPr>
          <w:rFonts w:ascii="Times New Roman" w:hAnsi="Times New Roman"/>
          <w:bCs/>
          <w:color w:val="202124"/>
          <w:sz w:val="24"/>
          <w:szCs w:val="24"/>
          <w:shd w:val="clear" w:color="auto" w:fill="FFFFFF"/>
        </w:rPr>
        <w:t>,</w:t>
      </w:r>
      <w:r w:rsidR="00CB0F30" w:rsidRPr="006D0AA4">
        <w:rPr>
          <w:rFonts w:ascii="Times New Roman" w:hAnsi="Times New Roman"/>
          <w:bCs/>
          <w:color w:val="202124"/>
          <w:sz w:val="24"/>
          <w:szCs w:val="24"/>
          <w:shd w:val="clear" w:color="auto" w:fill="FFFFFF"/>
        </w:rPr>
        <w:t xml:space="preserve"> and is commonly used in modern day to day decision making among business entities.  </w:t>
      </w:r>
      <w:r w:rsidR="00CF2FBF" w:rsidRPr="006D0AA4">
        <w:rPr>
          <w:rFonts w:ascii="Times New Roman" w:hAnsi="Times New Roman"/>
          <w:sz w:val="24"/>
          <w:szCs w:val="24"/>
        </w:rPr>
        <w:t xml:space="preserve">For </w:t>
      </w:r>
      <w:r w:rsidR="009B1FF7" w:rsidRPr="006D0AA4">
        <w:rPr>
          <w:rFonts w:ascii="Times New Roman" w:hAnsi="Times New Roman"/>
          <w:sz w:val="24"/>
          <w:szCs w:val="24"/>
        </w:rPr>
        <w:t xml:space="preserve">the </w:t>
      </w:r>
      <w:r w:rsidR="00CF2FBF" w:rsidRPr="006D0AA4">
        <w:rPr>
          <w:rFonts w:ascii="Times New Roman" w:hAnsi="Times New Roman"/>
          <w:sz w:val="24"/>
          <w:szCs w:val="24"/>
        </w:rPr>
        <w:t>purposes of testing this respective research activity</w:t>
      </w:r>
      <w:r w:rsidR="006C47B2" w:rsidRPr="006D0AA4">
        <w:rPr>
          <w:rFonts w:ascii="Times New Roman" w:hAnsi="Times New Roman"/>
          <w:sz w:val="24"/>
          <w:szCs w:val="24"/>
        </w:rPr>
        <w:t xml:space="preserve"> </w:t>
      </w:r>
      <w:r w:rsidR="00B42485" w:rsidRPr="006D0AA4">
        <w:rPr>
          <w:rFonts w:ascii="Times New Roman" w:hAnsi="Times New Roman"/>
          <w:sz w:val="24"/>
          <w:szCs w:val="24"/>
        </w:rPr>
        <w:t>hypotheses, adoption</w:t>
      </w:r>
      <w:r w:rsidR="00CF2FBF" w:rsidRPr="006D0AA4">
        <w:rPr>
          <w:rFonts w:ascii="Times New Roman" w:hAnsi="Times New Roman"/>
          <w:sz w:val="24"/>
          <w:szCs w:val="24"/>
        </w:rPr>
        <w:t xml:space="preserve"> of </w:t>
      </w:r>
      <w:r w:rsidR="006C47B2" w:rsidRPr="006D0AA4">
        <w:rPr>
          <w:rFonts w:ascii="Times New Roman" w:hAnsi="Times New Roman"/>
          <w:sz w:val="24"/>
          <w:szCs w:val="24"/>
        </w:rPr>
        <w:t xml:space="preserve">descriptive </w:t>
      </w:r>
      <w:r w:rsidR="00CF2FBF" w:rsidRPr="006D0AA4">
        <w:rPr>
          <w:rFonts w:ascii="Times New Roman" w:hAnsi="Times New Roman"/>
          <w:sz w:val="24"/>
          <w:szCs w:val="24"/>
        </w:rPr>
        <w:t>type</w:t>
      </w:r>
      <w:r w:rsidRPr="006D0AA4">
        <w:rPr>
          <w:rFonts w:ascii="Times New Roman" w:hAnsi="Times New Roman"/>
          <w:sz w:val="24"/>
          <w:szCs w:val="24"/>
        </w:rPr>
        <w:t xml:space="preserve"> of </w:t>
      </w:r>
      <w:r w:rsidR="00851488" w:rsidRPr="006D0AA4">
        <w:rPr>
          <w:rFonts w:ascii="Times New Roman" w:hAnsi="Times New Roman"/>
          <w:sz w:val="24"/>
          <w:szCs w:val="24"/>
        </w:rPr>
        <w:t>data analysis</w:t>
      </w:r>
      <w:r w:rsidR="006C47B2" w:rsidRPr="006D0AA4">
        <w:rPr>
          <w:rFonts w:ascii="Times New Roman" w:hAnsi="Times New Roman"/>
          <w:sz w:val="24"/>
          <w:szCs w:val="24"/>
        </w:rPr>
        <w:t>; Pearson’s</w:t>
      </w:r>
      <w:r w:rsidRPr="006D0AA4">
        <w:rPr>
          <w:rFonts w:ascii="Times New Roman" w:hAnsi="Times New Roman"/>
          <w:sz w:val="24"/>
          <w:szCs w:val="24"/>
        </w:rPr>
        <w:t xml:space="preserve"> means of correlation,</w:t>
      </w:r>
      <w:r w:rsidR="006C47B2" w:rsidRPr="006D0AA4">
        <w:rPr>
          <w:rFonts w:ascii="Times New Roman" w:hAnsi="Times New Roman"/>
          <w:sz w:val="24"/>
          <w:szCs w:val="24"/>
        </w:rPr>
        <w:t xml:space="preserve"> multiple regression analysis </w:t>
      </w:r>
      <w:r w:rsidR="00851488" w:rsidRPr="006D0AA4">
        <w:rPr>
          <w:rFonts w:ascii="Times New Roman" w:hAnsi="Times New Roman"/>
          <w:sz w:val="24"/>
          <w:szCs w:val="24"/>
        </w:rPr>
        <w:t>was</w:t>
      </w:r>
      <w:r w:rsidRPr="006D0AA4">
        <w:rPr>
          <w:rFonts w:ascii="Times New Roman" w:hAnsi="Times New Roman"/>
          <w:sz w:val="24"/>
          <w:szCs w:val="24"/>
        </w:rPr>
        <w:t xml:space="preserve"> also</w:t>
      </w:r>
      <w:r w:rsidR="00CF2FBF" w:rsidRPr="006D0AA4">
        <w:rPr>
          <w:rFonts w:ascii="Times New Roman" w:hAnsi="Times New Roman"/>
          <w:sz w:val="24"/>
          <w:szCs w:val="24"/>
        </w:rPr>
        <w:t xml:space="preserve"> made</w:t>
      </w:r>
      <w:r w:rsidRPr="006D0AA4">
        <w:rPr>
          <w:rFonts w:ascii="Times New Roman" w:hAnsi="Times New Roman"/>
          <w:sz w:val="24"/>
          <w:szCs w:val="24"/>
        </w:rPr>
        <w:t xml:space="preserve"> use of in order </w:t>
      </w:r>
      <w:r w:rsidR="006C47B2" w:rsidRPr="006D0AA4">
        <w:rPr>
          <w:rFonts w:ascii="Times New Roman" w:hAnsi="Times New Roman"/>
          <w:sz w:val="24"/>
          <w:szCs w:val="24"/>
        </w:rPr>
        <w:t xml:space="preserve">to test the relation between liquidity, asset tangibility and </w:t>
      </w:r>
      <w:r w:rsidR="00CF2FBF" w:rsidRPr="006D0AA4">
        <w:rPr>
          <w:rFonts w:ascii="Times New Roman" w:hAnsi="Times New Roman"/>
          <w:sz w:val="24"/>
          <w:szCs w:val="24"/>
        </w:rPr>
        <w:t>ratios of debt</w:t>
      </w:r>
      <w:r w:rsidR="006C47B2" w:rsidRPr="006D0AA4">
        <w:rPr>
          <w:rFonts w:ascii="Times New Roman" w:hAnsi="Times New Roman"/>
          <w:sz w:val="24"/>
          <w:szCs w:val="24"/>
        </w:rPr>
        <w:t xml:space="preserve"> on firm performance.</w:t>
      </w:r>
      <w:r w:rsidR="00E65C75" w:rsidRPr="006D0AA4">
        <w:rPr>
          <w:rFonts w:ascii="Times New Roman" w:hAnsi="Times New Roman"/>
          <w:sz w:val="24"/>
          <w:szCs w:val="24"/>
        </w:rPr>
        <w:t xml:space="preserve"> The significance of regression co-efficient was established by looking at t-values </w:t>
      </w:r>
      <w:r w:rsidR="00564F62" w:rsidRPr="006D0AA4">
        <w:rPr>
          <w:rFonts w:ascii="Times New Roman" w:hAnsi="Times New Roman"/>
          <w:sz w:val="24"/>
          <w:szCs w:val="24"/>
        </w:rPr>
        <w:t xml:space="preserve"> </w:t>
      </w:r>
      <w:bookmarkStart w:id="60" w:name="_Toc57045"/>
    </w:p>
    <w:p w14:paraId="6241ADEF" w14:textId="02E13311" w:rsidR="00564F62" w:rsidRPr="006D0AA4" w:rsidRDefault="00FA72A4" w:rsidP="006D0AA4">
      <w:pPr>
        <w:pStyle w:val="Heading1"/>
        <w:spacing w:line="240" w:lineRule="auto"/>
        <w:jc w:val="left"/>
        <w:rPr>
          <w:sz w:val="24"/>
        </w:rPr>
      </w:pPr>
      <w:bookmarkStart w:id="61" w:name="_Toc141874759"/>
      <w:bookmarkStart w:id="62" w:name="_Toc150939198"/>
      <w:bookmarkStart w:id="63" w:name="_Toc150942690"/>
      <w:bookmarkStart w:id="64" w:name="_Toc150944495"/>
      <w:r w:rsidRPr="006D0AA4">
        <w:rPr>
          <w:sz w:val="24"/>
        </w:rPr>
        <w:t>4.0 Data Analysis and Research Findings</w:t>
      </w:r>
      <w:bookmarkEnd w:id="61"/>
      <w:bookmarkEnd w:id="62"/>
      <w:bookmarkEnd w:id="63"/>
      <w:bookmarkEnd w:id="64"/>
      <w:r w:rsidRPr="006D0AA4">
        <w:rPr>
          <w:sz w:val="24"/>
        </w:rPr>
        <w:t xml:space="preserve"> </w:t>
      </w:r>
      <w:bookmarkEnd w:id="60"/>
    </w:p>
    <w:p w14:paraId="6E0CF724" w14:textId="457926BB" w:rsidR="00377208" w:rsidRPr="006D0AA4" w:rsidRDefault="00582DE0" w:rsidP="006D0AA4">
      <w:pPr>
        <w:pStyle w:val="Heading2"/>
        <w:numPr>
          <w:ilvl w:val="0"/>
          <w:numId w:val="0"/>
        </w:numPr>
        <w:spacing w:before="240" w:line="240" w:lineRule="auto"/>
        <w:jc w:val="left"/>
        <w:rPr>
          <w:color w:val="000000"/>
          <w:sz w:val="24"/>
        </w:rPr>
      </w:pPr>
      <w:bookmarkStart w:id="65" w:name="_Toc141874762"/>
      <w:bookmarkStart w:id="66" w:name="_Toc150939201"/>
      <w:bookmarkStart w:id="67" w:name="_Toc150942693"/>
      <w:bookmarkStart w:id="68" w:name="_Toc150944499"/>
      <w:bookmarkStart w:id="69" w:name="_Toc57047"/>
      <w:r w:rsidRPr="006D0AA4">
        <w:rPr>
          <w:color w:val="000000"/>
          <w:sz w:val="24"/>
        </w:rPr>
        <w:t>4.</w:t>
      </w:r>
      <w:r w:rsidR="00FA72A4" w:rsidRPr="006D0AA4">
        <w:rPr>
          <w:color w:val="000000"/>
          <w:sz w:val="24"/>
        </w:rPr>
        <w:t>1</w:t>
      </w:r>
      <w:r w:rsidR="00C65CC7" w:rsidRPr="006D0AA4">
        <w:rPr>
          <w:color w:val="000000"/>
          <w:sz w:val="24"/>
        </w:rPr>
        <w:t xml:space="preserve"> </w:t>
      </w:r>
      <w:r w:rsidR="00564F62" w:rsidRPr="006D0AA4">
        <w:rPr>
          <w:color w:val="000000"/>
          <w:sz w:val="24"/>
        </w:rPr>
        <w:t>Descriptive Statistics</w:t>
      </w:r>
      <w:bookmarkEnd w:id="65"/>
      <w:bookmarkEnd w:id="66"/>
      <w:bookmarkEnd w:id="67"/>
      <w:bookmarkEnd w:id="68"/>
      <w:r w:rsidR="00564F62" w:rsidRPr="006D0AA4">
        <w:rPr>
          <w:color w:val="000000"/>
          <w:sz w:val="24"/>
        </w:rPr>
        <w:t xml:space="preserve"> </w:t>
      </w:r>
      <w:bookmarkEnd w:id="69"/>
    </w:p>
    <w:p w14:paraId="46A778D8" w14:textId="1737274F" w:rsidR="004F6F22" w:rsidRPr="006D0AA4" w:rsidRDefault="001B5CC5" w:rsidP="006D0AA4">
      <w:pPr>
        <w:spacing w:line="240" w:lineRule="auto"/>
        <w:jc w:val="both"/>
        <w:rPr>
          <w:rFonts w:ascii="Times New Roman" w:hAnsi="Times New Roman"/>
          <w:sz w:val="24"/>
          <w:szCs w:val="24"/>
        </w:rPr>
      </w:pPr>
      <w:bookmarkStart w:id="70" w:name="_Toc141871012"/>
      <w:bookmarkStart w:id="71" w:name="_Toc141873919"/>
      <w:bookmarkStart w:id="72" w:name="_Toc141874763"/>
      <w:r w:rsidRPr="006D0AA4">
        <w:rPr>
          <w:rFonts w:ascii="Times New Roman" w:hAnsi="Times New Roman"/>
          <w:sz w:val="24"/>
          <w:szCs w:val="24"/>
        </w:rPr>
        <w:t>The d</w:t>
      </w:r>
      <w:r w:rsidR="00362E62" w:rsidRPr="006D0AA4">
        <w:rPr>
          <w:rFonts w:ascii="Times New Roman" w:hAnsi="Times New Roman"/>
          <w:sz w:val="24"/>
          <w:szCs w:val="24"/>
        </w:rPr>
        <w:t xml:space="preserve">escriptive </w:t>
      </w:r>
      <w:r w:rsidR="00504D9F" w:rsidRPr="006D0AA4">
        <w:rPr>
          <w:rFonts w:ascii="Times New Roman" w:hAnsi="Times New Roman"/>
          <w:sz w:val="24"/>
          <w:szCs w:val="24"/>
        </w:rPr>
        <w:t>statistics</w:t>
      </w:r>
      <w:r w:rsidR="005F637B" w:rsidRPr="006D0AA4">
        <w:rPr>
          <w:rFonts w:ascii="Times New Roman" w:hAnsi="Times New Roman"/>
          <w:sz w:val="24"/>
          <w:szCs w:val="24"/>
        </w:rPr>
        <w:t xml:space="preserve"> </w:t>
      </w:r>
      <w:r w:rsidRPr="006D0AA4">
        <w:rPr>
          <w:rFonts w:ascii="Times New Roman" w:hAnsi="Times New Roman"/>
          <w:sz w:val="24"/>
          <w:szCs w:val="24"/>
        </w:rPr>
        <w:t xml:space="preserve">in this section </w:t>
      </w:r>
      <w:r w:rsidR="00504D9F" w:rsidRPr="006D0AA4">
        <w:rPr>
          <w:rFonts w:ascii="Times New Roman" w:hAnsi="Times New Roman"/>
          <w:sz w:val="24"/>
          <w:szCs w:val="24"/>
        </w:rPr>
        <w:t>la</w:t>
      </w:r>
      <w:r w:rsidR="00362E62" w:rsidRPr="006D0AA4">
        <w:rPr>
          <w:rFonts w:ascii="Times New Roman" w:hAnsi="Times New Roman"/>
          <w:sz w:val="24"/>
          <w:szCs w:val="24"/>
        </w:rPr>
        <w:t>id</w:t>
      </w:r>
      <w:r w:rsidR="005F637B" w:rsidRPr="006D0AA4">
        <w:rPr>
          <w:rFonts w:ascii="Times New Roman" w:hAnsi="Times New Roman"/>
          <w:sz w:val="24"/>
          <w:szCs w:val="24"/>
        </w:rPr>
        <w:t xml:space="preserve"> down</w:t>
      </w:r>
      <w:r w:rsidR="00504D9F" w:rsidRPr="006D0AA4">
        <w:rPr>
          <w:rFonts w:ascii="Times New Roman" w:hAnsi="Times New Roman"/>
          <w:sz w:val="24"/>
          <w:szCs w:val="24"/>
        </w:rPr>
        <w:t xml:space="preserve"> maximum, minimum, mean</w:t>
      </w:r>
      <w:r w:rsidRPr="006D0AA4">
        <w:rPr>
          <w:rFonts w:ascii="Times New Roman" w:hAnsi="Times New Roman"/>
          <w:sz w:val="24"/>
          <w:szCs w:val="24"/>
        </w:rPr>
        <w:t>,</w:t>
      </w:r>
      <w:r w:rsidR="00504D9F" w:rsidRPr="006D0AA4">
        <w:rPr>
          <w:rFonts w:ascii="Times New Roman" w:hAnsi="Times New Roman"/>
          <w:sz w:val="24"/>
          <w:szCs w:val="24"/>
        </w:rPr>
        <w:t xml:space="preserve"> and the</w:t>
      </w:r>
      <w:r w:rsidR="00362E62" w:rsidRPr="006D0AA4">
        <w:rPr>
          <w:rFonts w:ascii="Times New Roman" w:hAnsi="Times New Roman"/>
          <w:sz w:val="24"/>
          <w:szCs w:val="24"/>
        </w:rPr>
        <w:t xml:space="preserve"> standard</w:t>
      </w:r>
      <w:r w:rsidR="00504D9F" w:rsidRPr="006D0AA4">
        <w:rPr>
          <w:rFonts w:ascii="Times New Roman" w:hAnsi="Times New Roman"/>
          <w:sz w:val="24"/>
          <w:szCs w:val="24"/>
        </w:rPr>
        <w:t xml:space="preserve"> deviations </w:t>
      </w:r>
      <w:r w:rsidR="00362E62" w:rsidRPr="006D0AA4">
        <w:rPr>
          <w:rFonts w:ascii="Times New Roman" w:hAnsi="Times New Roman"/>
          <w:sz w:val="24"/>
          <w:szCs w:val="24"/>
        </w:rPr>
        <w:t>used</w:t>
      </w:r>
      <w:r w:rsidR="00504D9F" w:rsidRPr="006D0AA4">
        <w:rPr>
          <w:rFonts w:ascii="Times New Roman" w:hAnsi="Times New Roman"/>
          <w:sz w:val="24"/>
          <w:szCs w:val="24"/>
        </w:rPr>
        <w:t xml:space="preserve"> in describing data. </w:t>
      </w:r>
      <w:r w:rsidR="00362E62" w:rsidRPr="006D0AA4">
        <w:rPr>
          <w:rFonts w:ascii="Times New Roman" w:hAnsi="Times New Roman"/>
          <w:sz w:val="24"/>
          <w:szCs w:val="24"/>
        </w:rPr>
        <w:t xml:space="preserve">It </w:t>
      </w:r>
      <w:r w:rsidR="00504D9F" w:rsidRPr="006D0AA4">
        <w:rPr>
          <w:rFonts w:ascii="Times New Roman" w:hAnsi="Times New Roman"/>
          <w:sz w:val="24"/>
          <w:szCs w:val="24"/>
        </w:rPr>
        <w:t>summarize</w:t>
      </w:r>
      <w:r w:rsidRPr="006D0AA4">
        <w:rPr>
          <w:rFonts w:ascii="Times New Roman" w:hAnsi="Times New Roman"/>
          <w:sz w:val="24"/>
          <w:szCs w:val="24"/>
        </w:rPr>
        <w:t>d</w:t>
      </w:r>
      <w:r w:rsidR="00504D9F" w:rsidRPr="006D0AA4">
        <w:rPr>
          <w:rFonts w:ascii="Times New Roman" w:hAnsi="Times New Roman"/>
          <w:sz w:val="24"/>
          <w:szCs w:val="24"/>
        </w:rPr>
        <w:t xml:space="preserve"> the sampled information. It </w:t>
      </w:r>
      <w:r w:rsidR="00362E62" w:rsidRPr="006D0AA4">
        <w:rPr>
          <w:rFonts w:ascii="Times New Roman" w:hAnsi="Times New Roman"/>
          <w:sz w:val="24"/>
          <w:szCs w:val="24"/>
        </w:rPr>
        <w:t xml:space="preserve">simplifies </w:t>
      </w:r>
      <w:r w:rsidR="00504D9F" w:rsidRPr="006D0AA4">
        <w:rPr>
          <w:rFonts w:ascii="Times New Roman" w:hAnsi="Times New Roman"/>
          <w:sz w:val="24"/>
          <w:szCs w:val="24"/>
        </w:rPr>
        <w:t xml:space="preserve">the information for ease </w:t>
      </w:r>
      <w:r w:rsidR="00362E62" w:rsidRPr="006D0AA4">
        <w:rPr>
          <w:rFonts w:ascii="Times New Roman" w:hAnsi="Times New Roman"/>
          <w:sz w:val="24"/>
          <w:szCs w:val="24"/>
        </w:rPr>
        <w:t>of</w:t>
      </w:r>
      <w:r w:rsidR="00504D9F" w:rsidRPr="006D0AA4">
        <w:rPr>
          <w:rFonts w:ascii="Times New Roman" w:hAnsi="Times New Roman"/>
          <w:sz w:val="24"/>
          <w:szCs w:val="24"/>
        </w:rPr>
        <w:t xml:space="preserve"> understanding of the used data, by </w:t>
      </w:r>
      <w:r w:rsidR="00362E62" w:rsidRPr="006D0AA4">
        <w:rPr>
          <w:rFonts w:ascii="Times New Roman" w:hAnsi="Times New Roman"/>
          <w:sz w:val="24"/>
          <w:szCs w:val="24"/>
        </w:rPr>
        <w:t>displaying</w:t>
      </w:r>
      <w:r w:rsidR="005F637B" w:rsidRPr="006D0AA4">
        <w:rPr>
          <w:rFonts w:ascii="Times New Roman" w:hAnsi="Times New Roman"/>
          <w:sz w:val="24"/>
          <w:szCs w:val="24"/>
        </w:rPr>
        <w:t xml:space="preserve"> the</w:t>
      </w:r>
      <w:r w:rsidR="00504D9F" w:rsidRPr="006D0AA4">
        <w:rPr>
          <w:rFonts w:ascii="Times New Roman" w:hAnsi="Times New Roman"/>
          <w:sz w:val="24"/>
          <w:szCs w:val="24"/>
        </w:rPr>
        <w:t xml:space="preserve"> standard deviation, </w:t>
      </w:r>
      <w:r w:rsidR="005F637B" w:rsidRPr="006D0AA4">
        <w:rPr>
          <w:rFonts w:ascii="Times New Roman" w:hAnsi="Times New Roman"/>
          <w:sz w:val="24"/>
          <w:szCs w:val="24"/>
        </w:rPr>
        <w:t>mean,</w:t>
      </w:r>
      <w:r w:rsidR="00504D9F" w:rsidRPr="006D0AA4">
        <w:rPr>
          <w:rFonts w:ascii="Times New Roman" w:hAnsi="Times New Roman"/>
          <w:sz w:val="24"/>
          <w:szCs w:val="24"/>
        </w:rPr>
        <w:t xml:space="preserve"> maximum </w:t>
      </w:r>
      <w:r w:rsidR="005F637B" w:rsidRPr="006D0AA4">
        <w:rPr>
          <w:rFonts w:ascii="Times New Roman" w:hAnsi="Times New Roman"/>
          <w:sz w:val="24"/>
          <w:szCs w:val="24"/>
        </w:rPr>
        <w:t xml:space="preserve">and minimum </w:t>
      </w:r>
      <w:r w:rsidR="00504D9F" w:rsidRPr="006D0AA4">
        <w:rPr>
          <w:rFonts w:ascii="Times New Roman" w:hAnsi="Times New Roman"/>
          <w:sz w:val="24"/>
          <w:szCs w:val="24"/>
        </w:rPr>
        <w:t>of the sampled set of data</w:t>
      </w:r>
      <w:bookmarkStart w:id="73" w:name="_Toc141873920"/>
      <w:bookmarkStart w:id="74" w:name="_Toc141874764"/>
      <w:bookmarkEnd w:id="70"/>
      <w:bookmarkEnd w:id="71"/>
      <w:bookmarkEnd w:id="72"/>
      <w:r w:rsidR="006F2B4B" w:rsidRPr="006D0AA4">
        <w:rPr>
          <w:rFonts w:ascii="Times New Roman" w:hAnsi="Times New Roman"/>
          <w:sz w:val="24"/>
          <w:szCs w:val="24"/>
        </w:rPr>
        <w:t>.</w:t>
      </w:r>
      <w:bookmarkEnd w:id="73"/>
      <w:bookmarkEnd w:id="74"/>
    </w:p>
    <w:tbl>
      <w:tblPr>
        <w:tblW w:w="85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961"/>
        <w:gridCol w:w="1178"/>
        <w:gridCol w:w="1240"/>
        <w:gridCol w:w="1277"/>
        <w:gridCol w:w="1179"/>
        <w:gridCol w:w="1669"/>
      </w:tblGrid>
      <w:tr w:rsidR="006F2B4B" w:rsidRPr="006D0AA4" w14:paraId="37ABF7F1" w14:textId="77777777" w:rsidTr="004303BD">
        <w:trPr>
          <w:cantSplit/>
          <w:trHeight w:val="518"/>
          <w:tblHeader/>
        </w:trPr>
        <w:tc>
          <w:tcPr>
            <w:tcW w:w="8504" w:type="dxa"/>
            <w:gridSpan w:val="6"/>
            <w:tcBorders>
              <w:top w:val="nil"/>
              <w:left w:val="nil"/>
              <w:bottom w:val="nil"/>
              <w:right w:val="nil"/>
            </w:tcBorders>
            <w:shd w:val="clear" w:color="auto" w:fill="FFFFFF"/>
            <w:tcMar>
              <w:top w:w="30" w:type="dxa"/>
              <w:left w:w="30" w:type="dxa"/>
              <w:bottom w:w="30" w:type="dxa"/>
              <w:right w:w="30" w:type="dxa"/>
            </w:tcMar>
            <w:vAlign w:val="center"/>
          </w:tcPr>
          <w:p w14:paraId="200D420F" w14:textId="6DBF02BA" w:rsidR="006F2B4B" w:rsidRPr="006D0AA4" w:rsidRDefault="006F2B4B" w:rsidP="006D0AA4">
            <w:pPr>
              <w:pStyle w:val="Heading3"/>
              <w:numPr>
                <w:ilvl w:val="0"/>
                <w:numId w:val="0"/>
              </w:numPr>
              <w:spacing w:line="240" w:lineRule="auto"/>
              <w:ind w:left="720" w:hanging="720"/>
              <w:rPr>
                <w:rFonts w:eastAsia="Calibri"/>
                <w:sz w:val="24"/>
              </w:rPr>
            </w:pPr>
            <w:bookmarkStart w:id="75" w:name="_Toc150939202"/>
            <w:bookmarkStart w:id="76" w:name="_Toc150942694"/>
            <w:bookmarkStart w:id="77" w:name="_Toc150944500"/>
            <w:proofErr w:type="gramStart"/>
            <w:r w:rsidRPr="006D0AA4">
              <w:rPr>
                <w:rFonts w:eastAsia="Calibri"/>
                <w:sz w:val="24"/>
              </w:rPr>
              <w:t>Table</w:t>
            </w:r>
            <w:r w:rsidR="009F6633" w:rsidRPr="006D0AA4">
              <w:rPr>
                <w:rFonts w:eastAsia="Calibri"/>
                <w:sz w:val="24"/>
              </w:rPr>
              <w:t xml:space="preserve"> 1.</w:t>
            </w:r>
            <w:proofErr w:type="gramEnd"/>
            <w:r w:rsidRPr="006D0AA4">
              <w:rPr>
                <w:rFonts w:eastAsia="Calibri"/>
                <w:sz w:val="24"/>
              </w:rPr>
              <w:t xml:space="preserve"> Descriptive Statistics</w:t>
            </w:r>
            <w:bookmarkEnd w:id="75"/>
            <w:bookmarkEnd w:id="76"/>
            <w:bookmarkEnd w:id="77"/>
          </w:p>
        </w:tc>
      </w:tr>
      <w:tr w:rsidR="006F2B4B" w:rsidRPr="006D0AA4" w14:paraId="7EA80B8A" w14:textId="77777777" w:rsidTr="002554A7">
        <w:trPr>
          <w:cantSplit/>
          <w:trHeight w:val="426"/>
          <w:tblHeader/>
        </w:trPr>
        <w:tc>
          <w:tcPr>
            <w:tcW w:w="196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5B539EC2" w14:textId="77777777" w:rsidR="006F2B4B" w:rsidRPr="006D0AA4" w:rsidRDefault="006F2B4B" w:rsidP="006D0AA4">
            <w:pPr>
              <w:spacing w:after="160" w:line="240" w:lineRule="auto"/>
              <w:rPr>
                <w:rFonts w:ascii="Times New Roman" w:eastAsia="Calibri" w:hAnsi="Times New Roman"/>
                <w:b/>
                <w:sz w:val="24"/>
                <w:szCs w:val="24"/>
              </w:rPr>
            </w:pPr>
          </w:p>
        </w:tc>
        <w:tc>
          <w:tcPr>
            <w:tcW w:w="1178"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31FE59E2" w14:textId="77777777" w:rsidR="006F2B4B" w:rsidRPr="006D0AA4" w:rsidRDefault="006F2B4B" w:rsidP="006D0AA4">
            <w:pPr>
              <w:spacing w:after="160" w:line="240" w:lineRule="auto"/>
              <w:rPr>
                <w:rFonts w:ascii="Times New Roman" w:eastAsia="Calibri" w:hAnsi="Times New Roman"/>
                <w:b/>
                <w:sz w:val="24"/>
                <w:szCs w:val="24"/>
              </w:rPr>
            </w:pPr>
            <w:r w:rsidRPr="006D0AA4">
              <w:rPr>
                <w:rFonts w:ascii="Times New Roman" w:eastAsia="Calibri" w:hAnsi="Times New Roman"/>
                <w:b/>
                <w:sz w:val="24"/>
                <w:szCs w:val="24"/>
              </w:rPr>
              <w:t>N</w:t>
            </w:r>
          </w:p>
        </w:tc>
        <w:tc>
          <w:tcPr>
            <w:tcW w:w="12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5CB120A" w14:textId="77777777" w:rsidR="006F2B4B" w:rsidRPr="006D0AA4" w:rsidRDefault="006F2B4B" w:rsidP="006D0AA4">
            <w:pPr>
              <w:spacing w:after="160" w:line="240" w:lineRule="auto"/>
              <w:rPr>
                <w:rFonts w:ascii="Times New Roman" w:eastAsia="Calibri" w:hAnsi="Times New Roman"/>
                <w:b/>
                <w:sz w:val="24"/>
                <w:szCs w:val="24"/>
              </w:rPr>
            </w:pPr>
            <w:r w:rsidRPr="006D0AA4">
              <w:rPr>
                <w:rFonts w:ascii="Times New Roman" w:eastAsia="Calibri" w:hAnsi="Times New Roman"/>
                <w:b/>
                <w:sz w:val="24"/>
                <w:szCs w:val="24"/>
              </w:rPr>
              <w:t>Minimum</w:t>
            </w:r>
          </w:p>
        </w:tc>
        <w:tc>
          <w:tcPr>
            <w:tcW w:w="127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A7FC26D" w14:textId="77777777" w:rsidR="006F2B4B" w:rsidRPr="006D0AA4" w:rsidRDefault="006F2B4B" w:rsidP="006D0AA4">
            <w:pPr>
              <w:spacing w:after="160" w:line="240" w:lineRule="auto"/>
              <w:rPr>
                <w:rFonts w:ascii="Times New Roman" w:eastAsia="Calibri" w:hAnsi="Times New Roman"/>
                <w:b/>
                <w:sz w:val="24"/>
                <w:szCs w:val="24"/>
              </w:rPr>
            </w:pPr>
            <w:r w:rsidRPr="006D0AA4">
              <w:rPr>
                <w:rFonts w:ascii="Times New Roman" w:eastAsia="Calibri" w:hAnsi="Times New Roman"/>
                <w:b/>
                <w:sz w:val="24"/>
                <w:szCs w:val="24"/>
              </w:rPr>
              <w:t>Maximum</w:t>
            </w:r>
          </w:p>
        </w:tc>
        <w:tc>
          <w:tcPr>
            <w:tcW w:w="117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252C3A9" w14:textId="77777777" w:rsidR="006F2B4B" w:rsidRPr="006D0AA4" w:rsidRDefault="006F2B4B" w:rsidP="006D0AA4">
            <w:pPr>
              <w:spacing w:after="160" w:line="240" w:lineRule="auto"/>
              <w:rPr>
                <w:rFonts w:ascii="Times New Roman" w:eastAsia="Calibri" w:hAnsi="Times New Roman"/>
                <w:b/>
                <w:sz w:val="24"/>
                <w:szCs w:val="24"/>
              </w:rPr>
            </w:pPr>
            <w:r w:rsidRPr="006D0AA4">
              <w:rPr>
                <w:rFonts w:ascii="Times New Roman" w:eastAsia="Calibri" w:hAnsi="Times New Roman"/>
                <w:b/>
                <w:sz w:val="24"/>
                <w:szCs w:val="24"/>
              </w:rPr>
              <w:t>Mean</w:t>
            </w:r>
          </w:p>
        </w:tc>
        <w:tc>
          <w:tcPr>
            <w:tcW w:w="166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C291218" w14:textId="77777777" w:rsidR="006F2B4B" w:rsidRPr="006D0AA4" w:rsidRDefault="006F2B4B" w:rsidP="006D0AA4">
            <w:pPr>
              <w:spacing w:after="160" w:line="240" w:lineRule="auto"/>
              <w:rPr>
                <w:rFonts w:ascii="Times New Roman" w:eastAsia="Calibri" w:hAnsi="Times New Roman"/>
                <w:b/>
                <w:sz w:val="24"/>
                <w:szCs w:val="24"/>
              </w:rPr>
            </w:pPr>
            <w:r w:rsidRPr="006D0AA4">
              <w:rPr>
                <w:rFonts w:ascii="Times New Roman" w:eastAsia="Calibri" w:hAnsi="Times New Roman"/>
                <w:b/>
                <w:sz w:val="24"/>
                <w:szCs w:val="24"/>
              </w:rPr>
              <w:t>Std. Deviation</w:t>
            </w:r>
          </w:p>
        </w:tc>
      </w:tr>
      <w:tr w:rsidR="006F2B4B" w:rsidRPr="006D0AA4" w14:paraId="05E472E1" w14:textId="77777777" w:rsidTr="002554A7">
        <w:trPr>
          <w:cantSplit/>
          <w:trHeight w:val="442"/>
          <w:tblHeader/>
        </w:trPr>
        <w:tc>
          <w:tcPr>
            <w:tcW w:w="1961"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31CAF119" w14:textId="77777777" w:rsidR="006F2B4B" w:rsidRPr="006D0AA4" w:rsidRDefault="006F2B4B" w:rsidP="006D0AA4">
            <w:pPr>
              <w:spacing w:after="160" w:line="240" w:lineRule="auto"/>
              <w:rPr>
                <w:rFonts w:ascii="Times New Roman" w:eastAsia="Calibri" w:hAnsi="Times New Roman"/>
                <w:b/>
                <w:sz w:val="24"/>
                <w:szCs w:val="24"/>
              </w:rPr>
            </w:pPr>
            <w:proofErr w:type="spellStart"/>
            <w:r w:rsidRPr="006D0AA4">
              <w:rPr>
                <w:rFonts w:ascii="Times New Roman" w:eastAsia="Calibri" w:hAnsi="Times New Roman"/>
                <w:b/>
                <w:sz w:val="24"/>
                <w:szCs w:val="24"/>
              </w:rPr>
              <w:t>AssTang</w:t>
            </w:r>
            <w:proofErr w:type="spellEnd"/>
          </w:p>
        </w:tc>
        <w:tc>
          <w:tcPr>
            <w:tcW w:w="1178" w:type="dxa"/>
            <w:tcBorders>
              <w:top w:val="nil"/>
              <w:left w:val="single" w:sz="16" w:space="0" w:color="000000"/>
              <w:bottom w:val="nil"/>
            </w:tcBorders>
            <w:shd w:val="clear" w:color="auto" w:fill="FFFFFF"/>
            <w:tcMar>
              <w:top w:w="30" w:type="dxa"/>
              <w:left w:w="30" w:type="dxa"/>
              <w:bottom w:w="30" w:type="dxa"/>
              <w:right w:w="30" w:type="dxa"/>
            </w:tcMar>
          </w:tcPr>
          <w:p w14:paraId="519007E0" w14:textId="77777777" w:rsidR="006F2B4B" w:rsidRPr="006D0AA4" w:rsidRDefault="006F2B4B" w:rsidP="006D0AA4">
            <w:pPr>
              <w:spacing w:after="160" w:line="240" w:lineRule="auto"/>
              <w:rPr>
                <w:rFonts w:ascii="Times New Roman" w:eastAsia="Calibri" w:hAnsi="Times New Roman"/>
                <w:b/>
                <w:sz w:val="24"/>
                <w:szCs w:val="24"/>
              </w:rPr>
            </w:pPr>
            <w:r w:rsidRPr="006D0AA4">
              <w:rPr>
                <w:rFonts w:ascii="Times New Roman" w:eastAsia="Calibri" w:hAnsi="Times New Roman"/>
                <w:b/>
                <w:sz w:val="24"/>
                <w:szCs w:val="24"/>
              </w:rPr>
              <w:t>50</w:t>
            </w:r>
          </w:p>
        </w:tc>
        <w:tc>
          <w:tcPr>
            <w:tcW w:w="1240" w:type="dxa"/>
            <w:tcBorders>
              <w:top w:val="nil"/>
              <w:bottom w:val="nil"/>
            </w:tcBorders>
            <w:shd w:val="clear" w:color="auto" w:fill="FFFFFF"/>
            <w:tcMar>
              <w:top w:w="30" w:type="dxa"/>
              <w:left w:w="30" w:type="dxa"/>
              <w:bottom w:w="30" w:type="dxa"/>
              <w:right w:w="30" w:type="dxa"/>
            </w:tcMar>
          </w:tcPr>
          <w:p w14:paraId="1D8AF445" w14:textId="687E654D" w:rsidR="006F2B4B" w:rsidRPr="006D0AA4" w:rsidRDefault="00E45882" w:rsidP="006D0AA4">
            <w:pPr>
              <w:spacing w:after="160" w:line="240" w:lineRule="auto"/>
              <w:rPr>
                <w:rFonts w:ascii="Times New Roman" w:eastAsia="Calibri" w:hAnsi="Times New Roman"/>
                <w:b/>
                <w:sz w:val="24"/>
                <w:szCs w:val="24"/>
              </w:rPr>
            </w:pPr>
            <w:r w:rsidRPr="006D0AA4">
              <w:rPr>
                <w:rFonts w:ascii="Times New Roman" w:eastAsia="Calibri" w:hAnsi="Times New Roman"/>
                <w:b/>
                <w:sz w:val="24"/>
                <w:szCs w:val="24"/>
              </w:rPr>
              <w:t>0</w:t>
            </w:r>
            <w:r w:rsidR="006F2B4B" w:rsidRPr="006D0AA4">
              <w:rPr>
                <w:rFonts w:ascii="Times New Roman" w:eastAsia="Calibri" w:hAnsi="Times New Roman"/>
                <w:b/>
                <w:sz w:val="24"/>
                <w:szCs w:val="24"/>
              </w:rPr>
              <w:t>.27</w:t>
            </w:r>
          </w:p>
        </w:tc>
        <w:tc>
          <w:tcPr>
            <w:tcW w:w="1277" w:type="dxa"/>
            <w:tcBorders>
              <w:top w:val="nil"/>
              <w:bottom w:val="nil"/>
            </w:tcBorders>
            <w:shd w:val="clear" w:color="auto" w:fill="FFFFFF"/>
            <w:tcMar>
              <w:top w:w="30" w:type="dxa"/>
              <w:left w:w="30" w:type="dxa"/>
              <w:bottom w:w="30" w:type="dxa"/>
              <w:right w:w="30" w:type="dxa"/>
            </w:tcMar>
          </w:tcPr>
          <w:p w14:paraId="76C9B103" w14:textId="77777777" w:rsidR="006F2B4B" w:rsidRPr="006D0AA4" w:rsidRDefault="006F2B4B" w:rsidP="006D0AA4">
            <w:pPr>
              <w:spacing w:after="160" w:line="240" w:lineRule="auto"/>
              <w:rPr>
                <w:rFonts w:ascii="Times New Roman" w:eastAsia="Calibri" w:hAnsi="Times New Roman"/>
                <w:b/>
                <w:sz w:val="24"/>
                <w:szCs w:val="24"/>
              </w:rPr>
            </w:pPr>
            <w:r w:rsidRPr="006D0AA4">
              <w:rPr>
                <w:rFonts w:ascii="Times New Roman" w:eastAsia="Calibri" w:hAnsi="Times New Roman"/>
                <w:b/>
                <w:sz w:val="24"/>
                <w:szCs w:val="24"/>
              </w:rPr>
              <w:t>1.21</w:t>
            </w:r>
          </w:p>
        </w:tc>
        <w:tc>
          <w:tcPr>
            <w:tcW w:w="1179" w:type="dxa"/>
            <w:tcBorders>
              <w:top w:val="nil"/>
              <w:bottom w:val="nil"/>
            </w:tcBorders>
            <w:shd w:val="clear" w:color="auto" w:fill="FFFFFF"/>
            <w:tcMar>
              <w:top w:w="30" w:type="dxa"/>
              <w:left w:w="30" w:type="dxa"/>
              <w:bottom w:w="30" w:type="dxa"/>
              <w:right w:w="30" w:type="dxa"/>
            </w:tcMar>
          </w:tcPr>
          <w:p w14:paraId="3298B7E7" w14:textId="142B9F2F" w:rsidR="006F2B4B" w:rsidRPr="006D0AA4" w:rsidRDefault="006F2B4B" w:rsidP="006D0AA4">
            <w:pPr>
              <w:spacing w:after="160" w:line="240" w:lineRule="auto"/>
              <w:rPr>
                <w:rFonts w:ascii="Times New Roman" w:eastAsia="Calibri" w:hAnsi="Times New Roman"/>
                <w:b/>
                <w:sz w:val="24"/>
                <w:szCs w:val="24"/>
              </w:rPr>
            </w:pPr>
            <w:r w:rsidRPr="006D0AA4">
              <w:rPr>
                <w:rFonts w:ascii="Times New Roman" w:eastAsia="Calibri" w:hAnsi="Times New Roman"/>
                <w:b/>
                <w:sz w:val="24"/>
                <w:szCs w:val="24"/>
              </w:rPr>
              <w:t>.</w:t>
            </w:r>
            <w:r w:rsidR="00E45882" w:rsidRPr="006D0AA4">
              <w:rPr>
                <w:rFonts w:ascii="Times New Roman" w:eastAsia="Calibri" w:hAnsi="Times New Roman"/>
                <w:b/>
                <w:sz w:val="24"/>
                <w:szCs w:val="24"/>
              </w:rPr>
              <w:t>5</w:t>
            </w:r>
            <w:r w:rsidRPr="006D0AA4">
              <w:rPr>
                <w:rFonts w:ascii="Times New Roman" w:eastAsia="Calibri" w:hAnsi="Times New Roman"/>
                <w:b/>
                <w:sz w:val="24"/>
                <w:szCs w:val="24"/>
              </w:rPr>
              <w:t>281</w:t>
            </w:r>
          </w:p>
        </w:tc>
        <w:tc>
          <w:tcPr>
            <w:tcW w:w="1669" w:type="dxa"/>
            <w:tcBorders>
              <w:top w:val="nil"/>
              <w:bottom w:val="nil"/>
              <w:right w:val="single" w:sz="16" w:space="0" w:color="000000"/>
            </w:tcBorders>
            <w:shd w:val="clear" w:color="auto" w:fill="FFFFFF"/>
            <w:tcMar>
              <w:top w:w="30" w:type="dxa"/>
              <w:left w:w="30" w:type="dxa"/>
              <w:bottom w:w="30" w:type="dxa"/>
              <w:right w:w="30" w:type="dxa"/>
            </w:tcMar>
          </w:tcPr>
          <w:p w14:paraId="27D3DD7B" w14:textId="77777777" w:rsidR="006F2B4B" w:rsidRPr="006D0AA4" w:rsidRDefault="006F2B4B" w:rsidP="006D0AA4">
            <w:pPr>
              <w:spacing w:after="160" w:line="240" w:lineRule="auto"/>
              <w:rPr>
                <w:rFonts w:ascii="Times New Roman" w:eastAsia="Calibri" w:hAnsi="Times New Roman"/>
                <w:b/>
                <w:sz w:val="24"/>
                <w:szCs w:val="24"/>
              </w:rPr>
            </w:pPr>
            <w:r w:rsidRPr="006D0AA4">
              <w:rPr>
                <w:rFonts w:ascii="Times New Roman" w:eastAsia="Calibri" w:hAnsi="Times New Roman"/>
                <w:b/>
                <w:sz w:val="24"/>
                <w:szCs w:val="24"/>
              </w:rPr>
              <w:t>.63725</w:t>
            </w:r>
          </w:p>
        </w:tc>
      </w:tr>
      <w:tr w:rsidR="006F2B4B" w:rsidRPr="006D0AA4" w14:paraId="32AB54EE" w14:textId="77777777" w:rsidTr="002554A7">
        <w:trPr>
          <w:cantSplit/>
          <w:trHeight w:val="442"/>
          <w:tblHeader/>
        </w:trPr>
        <w:tc>
          <w:tcPr>
            <w:tcW w:w="1961"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695C9688" w14:textId="77777777" w:rsidR="006F2B4B" w:rsidRPr="006D0AA4" w:rsidRDefault="006F2B4B" w:rsidP="006D0AA4">
            <w:pPr>
              <w:spacing w:after="160" w:line="240" w:lineRule="auto"/>
              <w:rPr>
                <w:rFonts w:ascii="Times New Roman" w:eastAsia="Calibri" w:hAnsi="Times New Roman"/>
                <w:b/>
                <w:sz w:val="24"/>
                <w:szCs w:val="24"/>
              </w:rPr>
            </w:pPr>
            <w:r w:rsidRPr="006D0AA4">
              <w:rPr>
                <w:rFonts w:ascii="Times New Roman" w:eastAsia="Calibri" w:hAnsi="Times New Roman"/>
                <w:b/>
                <w:sz w:val="24"/>
                <w:szCs w:val="24"/>
              </w:rPr>
              <w:t>ROE</w:t>
            </w:r>
          </w:p>
        </w:tc>
        <w:tc>
          <w:tcPr>
            <w:tcW w:w="1178" w:type="dxa"/>
            <w:tcBorders>
              <w:top w:val="nil"/>
              <w:left w:val="single" w:sz="16" w:space="0" w:color="000000"/>
              <w:bottom w:val="nil"/>
            </w:tcBorders>
            <w:shd w:val="clear" w:color="auto" w:fill="FFFFFF"/>
            <w:tcMar>
              <w:top w:w="30" w:type="dxa"/>
              <w:left w:w="30" w:type="dxa"/>
              <w:bottom w:w="30" w:type="dxa"/>
              <w:right w:w="30" w:type="dxa"/>
            </w:tcMar>
          </w:tcPr>
          <w:p w14:paraId="2007C72F" w14:textId="77777777" w:rsidR="006F2B4B" w:rsidRPr="006D0AA4" w:rsidRDefault="006F2B4B" w:rsidP="006D0AA4">
            <w:pPr>
              <w:spacing w:after="160" w:line="240" w:lineRule="auto"/>
              <w:rPr>
                <w:rFonts w:ascii="Times New Roman" w:eastAsia="Calibri" w:hAnsi="Times New Roman"/>
                <w:b/>
                <w:sz w:val="24"/>
                <w:szCs w:val="24"/>
              </w:rPr>
            </w:pPr>
            <w:r w:rsidRPr="006D0AA4">
              <w:rPr>
                <w:rFonts w:ascii="Times New Roman" w:eastAsia="Calibri" w:hAnsi="Times New Roman"/>
                <w:b/>
                <w:sz w:val="24"/>
                <w:szCs w:val="24"/>
              </w:rPr>
              <w:t>50</w:t>
            </w:r>
          </w:p>
        </w:tc>
        <w:tc>
          <w:tcPr>
            <w:tcW w:w="1240" w:type="dxa"/>
            <w:tcBorders>
              <w:top w:val="nil"/>
              <w:bottom w:val="nil"/>
            </w:tcBorders>
            <w:shd w:val="clear" w:color="auto" w:fill="FFFFFF"/>
            <w:tcMar>
              <w:top w:w="30" w:type="dxa"/>
              <w:left w:w="30" w:type="dxa"/>
              <w:bottom w:w="30" w:type="dxa"/>
              <w:right w:w="30" w:type="dxa"/>
            </w:tcMar>
          </w:tcPr>
          <w:p w14:paraId="65711F81" w14:textId="77777777" w:rsidR="006F2B4B" w:rsidRPr="006D0AA4" w:rsidRDefault="006F2B4B" w:rsidP="006D0AA4">
            <w:pPr>
              <w:spacing w:after="160" w:line="240" w:lineRule="auto"/>
              <w:rPr>
                <w:rFonts w:ascii="Times New Roman" w:eastAsia="Calibri" w:hAnsi="Times New Roman"/>
                <w:b/>
                <w:sz w:val="24"/>
                <w:szCs w:val="24"/>
              </w:rPr>
            </w:pPr>
            <w:r w:rsidRPr="006D0AA4">
              <w:rPr>
                <w:rFonts w:ascii="Times New Roman" w:eastAsia="Calibri" w:hAnsi="Times New Roman"/>
                <w:b/>
                <w:sz w:val="24"/>
                <w:szCs w:val="24"/>
              </w:rPr>
              <w:t>-1.06</w:t>
            </w:r>
          </w:p>
        </w:tc>
        <w:tc>
          <w:tcPr>
            <w:tcW w:w="1277" w:type="dxa"/>
            <w:tcBorders>
              <w:top w:val="nil"/>
              <w:bottom w:val="nil"/>
            </w:tcBorders>
            <w:shd w:val="clear" w:color="auto" w:fill="FFFFFF"/>
            <w:tcMar>
              <w:top w:w="30" w:type="dxa"/>
              <w:left w:w="30" w:type="dxa"/>
              <w:bottom w:w="30" w:type="dxa"/>
              <w:right w:w="30" w:type="dxa"/>
            </w:tcMar>
          </w:tcPr>
          <w:p w14:paraId="3FD27201" w14:textId="77777777" w:rsidR="006F2B4B" w:rsidRPr="006D0AA4" w:rsidRDefault="006F2B4B" w:rsidP="006D0AA4">
            <w:pPr>
              <w:spacing w:after="160" w:line="240" w:lineRule="auto"/>
              <w:rPr>
                <w:rFonts w:ascii="Times New Roman" w:eastAsia="Calibri" w:hAnsi="Times New Roman"/>
                <w:b/>
                <w:sz w:val="24"/>
                <w:szCs w:val="24"/>
              </w:rPr>
            </w:pPr>
            <w:r w:rsidRPr="006D0AA4">
              <w:rPr>
                <w:rFonts w:ascii="Times New Roman" w:eastAsia="Calibri" w:hAnsi="Times New Roman"/>
                <w:b/>
                <w:sz w:val="24"/>
                <w:szCs w:val="24"/>
              </w:rPr>
              <w:t>1.27</w:t>
            </w:r>
          </w:p>
        </w:tc>
        <w:tc>
          <w:tcPr>
            <w:tcW w:w="1179" w:type="dxa"/>
            <w:tcBorders>
              <w:top w:val="nil"/>
              <w:bottom w:val="nil"/>
            </w:tcBorders>
            <w:shd w:val="clear" w:color="auto" w:fill="FFFFFF"/>
            <w:tcMar>
              <w:top w:w="30" w:type="dxa"/>
              <w:left w:w="30" w:type="dxa"/>
              <w:bottom w:w="30" w:type="dxa"/>
              <w:right w:w="30" w:type="dxa"/>
            </w:tcMar>
          </w:tcPr>
          <w:p w14:paraId="076C578D" w14:textId="77777777" w:rsidR="006F2B4B" w:rsidRPr="006D0AA4" w:rsidRDefault="006F2B4B" w:rsidP="006D0AA4">
            <w:pPr>
              <w:spacing w:after="160" w:line="240" w:lineRule="auto"/>
              <w:rPr>
                <w:rFonts w:ascii="Times New Roman" w:eastAsia="Calibri" w:hAnsi="Times New Roman"/>
                <w:b/>
                <w:sz w:val="24"/>
                <w:szCs w:val="24"/>
              </w:rPr>
            </w:pPr>
            <w:r w:rsidRPr="006D0AA4">
              <w:rPr>
                <w:rFonts w:ascii="Times New Roman" w:eastAsia="Calibri" w:hAnsi="Times New Roman"/>
                <w:b/>
                <w:sz w:val="24"/>
                <w:szCs w:val="24"/>
              </w:rPr>
              <w:t>.0506</w:t>
            </w:r>
          </w:p>
        </w:tc>
        <w:tc>
          <w:tcPr>
            <w:tcW w:w="1669" w:type="dxa"/>
            <w:tcBorders>
              <w:top w:val="nil"/>
              <w:bottom w:val="nil"/>
              <w:right w:val="single" w:sz="16" w:space="0" w:color="000000"/>
            </w:tcBorders>
            <w:shd w:val="clear" w:color="auto" w:fill="FFFFFF"/>
            <w:tcMar>
              <w:top w:w="30" w:type="dxa"/>
              <w:left w:w="30" w:type="dxa"/>
              <w:bottom w:w="30" w:type="dxa"/>
              <w:right w:w="30" w:type="dxa"/>
            </w:tcMar>
          </w:tcPr>
          <w:p w14:paraId="62675EC3" w14:textId="77777777" w:rsidR="006F2B4B" w:rsidRPr="006D0AA4" w:rsidRDefault="006F2B4B" w:rsidP="006D0AA4">
            <w:pPr>
              <w:spacing w:after="160" w:line="240" w:lineRule="auto"/>
              <w:rPr>
                <w:rFonts w:ascii="Times New Roman" w:eastAsia="Calibri" w:hAnsi="Times New Roman"/>
                <w:b/>
                <w:sz w:val="24"/>
                <w:szCs w:val="24"/>
              </w:rPr>
            </w:pPr>
            <w:r w:rsidRPr="006D0AA4">
              <w:rPr>
                <w:rFonts w:ascii="Times New Roman" w:eastAsia="Calibri" w:hAnsi="Times New Roman"/>
                <w:b/>
                <w:sz w:val="24"/>
                <w:szCs w:val="24"/>
              </w:rPr>
              <w:t>.52532</w:t>
            </w:r>
          </w:p>
        </w:tc>
      </w:tr>
      <w:tr w:rsidR="006F2B4B" w:rsidRPr="006D0AA4" w14:paraId="24D0DC6E" w14:textId="77777777" w:rsidTr="002554A7">
        <w:trPr>
          <w:cantSplit/>
          <w:trHeight w:val="426"/>
        </w:trPr>
        <w:tc>
          <w:tcPr>
            <w:tcW w:w="1961"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71E5EC20" w14:textId="77777777" w:rsidR="006F2B4B" w:rsidRPr="006D0AA4" w:rsidRDefault="006F2B4B" w:rsidP="006D0AA4">
            <w:pPr>
              <w:spacing w:after="160" w:line="240" w:lineRule="auto"/>
              <w:rPr>
                <w:rFonts w:ascii="Times New Roman" w:eastAsia="Calibri" w:hAnsi="Times New Roman"/>
                <w:b/>
                <w:sz w:val="24"/>
                <w:szCs w:val="24"/>
              </w:rPr>
            </w:pPr>
            <w:r w:rsidRPr="006D0AA4">
              <w:rPr>
                <w:rFonts w:ascii="Times New Roman" w:eastAsia="Calibri" w:hAnsi="Times New Roman"/>
                <w:b/>
                <w:sz w:val="24"/>
                <w:szCs w:val="24"/>
              </w:rPr>
              <w:t>Valid N (</w:t>
            </w:r>
            <w:proofErr w:type="spellStart"/>
            <w:r w:rsidRPr="006D0AA4">
              <w:rPr>
                <w:rFonts w:ascii="Times New Roman" w:eastAsia="Calibri" w:hAnsi="Times New Roman"/>
                <w:b/>
                <w:sz w:val="24"/>
                <w:szCs w:val="24"/>
              </w:rPr>
              <w:t>listwise</w:t>
            </w:r>
            <w:proofErr w:type="spellEnd"/>
            <w:r w:rsidRPr="006D0AA4">
              <w:rPr>
                <w:rFonts w:ascii="Times New Roman" w:eastAsia="Calibri" w:hAnsi="Times New Roman"/>
                <w:b/>
                <w:sz w:val="24"/>
                <w:szCs w:val="24"/>
              </w:rPr>
              <w:t>)</w:t>
            </w:r>
          </w:p>
        </w:tc>
        <w:tc>
          <w:tcPr>
            <w:tcW w:w="1178"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1CA07446" w14:textId="77777777" w:rsidR="006F2B4B" w:rsidRPr="006D0AA4" w:rsidRDefault="006F2B4B" w:rsidP="006D0AA4">
            <w:pPr>
              <w:spacing w:after="160" w:line="240" w:lineRule="auto"/>
              <w:rPr>
                <w:rFonts w:ascii="Times New Roman" w:eastAsia="Calibri" w:hAnsi="Times New Roman"/>
                <w:b/>
                <w:sz w:val="24"/>
                <w:szCs w:val="24"/>
              </w:rPr>
            </w:pPr>
            <w:r w:rsidRPr="006D0AA4">
              <w:rPr>
                <w:rFonts w:ascii="Times New Roman" w:eastAsia="Calibri" w:hAnsi="Times New Roman"/>
                <w:b/>
                <w:sz w:val="24"/>
                <w:szCs w:val="24"/>
              </w:rPr>
              <w:t>50</w:t>
            </w:r>
          </w:p>
        </w:tc>
        <w:tc>
          <w:tcPr>
            <w:tcW w:w="1240" w:type="dxa"/>
            <w:tcBorders>
              <w:top w:val="nil"/>
              <w:bottom w:val="single" w:sz="16" w:space="0" w:color="000000"/>
            </w:tcBorders>
            <w:shd w:val="clear" w:color="auto" w:fill="FFFFFF"/>
            <w:tcMar>
              <w:top w:w="30" w:type="dxa"/>
              <w:left w:w="30" w:type="dxa"/>
              <w:bottom w:w="30" w:type="dxa"/>
              <w:right w:w="30" w:type="dxa"/>
            </w:tcMar>
            <w:vAlign w:val="center"/>
          </w:tcPr>
          <w:p w14:paraId="52996397" w14:textId="77777777" w:rsidR="006F2B4B" w:rsidRPr="006D0AA4" w:rsidRDefault="006F2B4B" w:rsidP="006D0AA4">
            <w:pPr>
              <w:spacing w:after="160" w:line="240" w:lineRule="auto"/>
              <w:rPr>
                <w:rFonts w:ascii="Times New Roman" w:eastAsia="Calibri" w:hAnsi="Times New Roman"/>
                <w:b/>
                <w:sz w:val="24"/>
                <w:szCs w:val="24"/>
              </w:rPr>
            </w:pPr>
          </w:p>
        </w:tc>
        <w:tc>
          <w:tcPr>
            <w:tcW w:w="1277" w:type="dxa"/>
            <w:tcBorders>
              <w:top w:val="nil"/>
              <w:bottom w:val="single" w:sz="16" w:space="0" w:color="000000"/>
            </w:tcBorders>
            <w:shd w:val="clear" w:color="auto" w:fill="FFFFFF"/>
            <w:tcMar>
              <w:top w:w="30" w:type="dxa"/>
              <w:left w:w="30" w:type="dxa"/>
              <w:bottom w:w="30" w:type="dxa"/>
              <w:right w:w="30" w:type="dxa"/>
            </w:tcMar>
            <w:vAlign w:val="center"/>
          </w:tcPr>
          <w:p w14:paraId="618E809A" w14:textId="77777777" w:rsidR="006F2B4B" w:rsidRPr="006D0AA4" w:rsidRDefault="006F2B4B" w:rsidP="006D0AA4">
            <w:pPr>
              <w:spacing w:after="160" w:line="240" w:lineRule="auto"/>
              <w:rPr>
                <w:rFonts w:ascii="Times New Roman" w:eastAsia="Calibri" w:hAnsi="Times New Roman"/>
                <w:b/>
                <w:sz w:val="24"/>
                <w:szCs w:val="24"/>
              </w:rPr>
            </w:pPr>
          </w:p>
        </w:tc>
        <w:tc>
          <w:tcPr>
            <w:tcW w:w="1179" w:type="dxa"/>
            <w:tcBorders>
              <w:top w:val="nil"/>
              <w:bottom w:val="single" w:sz="16" w:space="0" w:color="000000"/>
            </w:tcBorders>
            <w:shd w:val="clear" w:color="auto" w:fill="FFFFFF"/>
            <w:tcMar>
              <w:top w:w="30" w:type="dxa"/>
              <w:left w:w="30" w:type="dxa"/>
              <w:bottom w:w="30" w:type="dxa"/>
              <w:right w:w="30" w:type="dxa"/>
            </w:tcMar>
            <w:vAlign w:val="center"/>
          </w:tcPr>
          <w:p w14:paraId="32E8919A" w14:textId="77777777" w:rsidR="006F2B4B" w:rsidRPr="006D0AA4" w:rsidRDefault="006F2B4B" w:rsidP="006D0AA4">
            <w:pPr>
              <w:spacing w:after="160" w:line="240" w:lineRule="auto"/>
              <w:rPr>
                <w:rFonts w:ascii="Times New Roman" w:eastAsia="Calibri" w:hAnsi="Times New Roman"/>
                <w:b/>
                <w:sz w:val="24"/>
                <w:szCs w:val="24"/>
              </w:rPr>
            </w:pPr>
          </w:p>
        </w:tc>
        <w:tc>
          <w:tcPr>
            <w:tcW w:w="1669"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1F268BE0" w14:textId="77777777" w:rsidR="006F2B4B" w:rsidRPr="006D0AA4" w:rsidRDefault="006F2B4B" w:rsidP="006D0AA4">
            <w:pPr>
              <w:spacing w:after="160" w:line="240" w:lineRule="auto"/>
              <w:rPr>
                <w:rFonts w:ascii="Times New Roman" w:eastAsia="Calibri" w:hAnsi="Times New Roman"/>
                <w:b/>
                <w:sz w:val="24"/>
                <w:szCs w:val="24"/>
              </w:rPr>
            </w:pPr>
          </w:p>
        </w:tc>
      </w:tr>
    </w:tbl>
    <w:p w14:paraId="708AB963" w14:textId="4DDF7AC1" w:rsidR="00377208" w:rsidRPr="006D0AA4" w:rsidRDefault="00564F62" w:rsidP="006D0AA4">
      <w:pPr>
        <w:spacing w:after="0" w:line="240" w:lineRule="auto"/>
        <w:rPr>
          <w:rFonts w:ascii="Times New Roman" w:hAnsi="Times New Roman"/>
          <w:b/>
          <w:color w:val="000000"/>
          <w:sz w:val="24"/>
          <w:szCs w:val="24"/>
        </w:rPr>
      </w:pPr>
      <w:r w:rsidRPr="006D0AA4">
        <w:rPr>
          <w:rFonts w:ascii="Times New Roman" w:hAnsi="Times New Roman"/>
          <w:b/>
          <w:color w:val="000000"/>
          <w:sz w:val="24"/>
          <w:szCs w:val="24"/>
        </w:rPr>
        <w:t xml:space="preserve">Source: Research Findings, (2023) </w:t>
      </w:r>
    </w:p>
    <w:p w14:paraId="76298B41" w14:textId="22086DB2" w:rsidR="004F6F22" w:rsidRPr="006D0AA4" w:rsidRDefault="004F6F22" w:rsidP="006D0AA4">
      <w:pPr>
        <w:spacing w:after="0" w:line="240" w:lineRule="auto"/>
        <w:rPr>
          <w:rFonts w:ascii="Times New Roman" w:hAnsi="Times New Roman"/>
          <w:b/>
          <w:color w:val="000000"/>
          <w:sz w:val="24"/>
          <w:szCs w:val="24"/>
        </w:rPr>
      </w:pPr>
    </w:p>
    <w:p w14:paraId="374251B4" w14:textId="62190465" w:rsidR="00062329" w:rsidRPr="006D0AA4" w:rsidRDefault="00062329" w:rsidP="002554A7">
      <w:pPr>
        <w:spacing w:line="240" w:lineRule="auto"/>
        <w:rPr>
          <w:rFonts w:ascii="Times New Roman" w:hAnsi="Times New Roman"/>
          <w:sz w:val="24"/>
          <w:szCs w:val="24"/>
        </w:rPr>
      </w:pPr>
      <w:r w:rsidRPr="006D0AA4">
        <w:rPr>
          <w:rFonts w:ascii="Times New Roman" w:hAnsi="Times New Roman"/>
          <w:sz w:val="24"/>
          <w:szCs w:val="24"/>
        </w:rPr>
        <w:t>Asset tangibility and utilization is normally used to test ratios of tangible assets to total assets. The mean of assets tangibility based on the observations is 0.5281, the standard deviation is 0.63725, suggesting uniformity in the industry. This ratio suggests these companies can use their fixed asset to secure the amounts they borrow.</w:t>
      </w:r>
      <w:r w:rsidR="002554A7">
        <w:rPr>
          <w:rFonts w:ascii="Times New Roman" w:hAnsi="Times New Roman"/>
          <w:sz w:val="24"/>
          <w:szCs w:val="24"/>
        </w:rPr>
        <w:t xml:space="preserve"> </w:t>
      </w:r>
      <w:r w:rsidRPr="006D0AA4">
        <w:rPr>
          <w:rFonts w:ascii="Times New Roman" w:hAnsi="Times New Roman"/>
          <w:sz w:val="24"/>
          <w:szCs w:val="24"/>
        </w:rPr>
        <w:t xml:space="preserve">The mean ROE is indicated as 0.0506 or 5.06%, not surprising is that some firms reported negative return on equity. </w:t>
      </w:r>
    </w:p>
    <w:p w14:paraId="62097DF4" w14:textId="5E85D3ED" w:rsidR="00582821" w:rsidRPr="006D0AA4" w:rsidRDefault="002554A7" w:rsidP="006D0AA4">
      <w:pPr>
        <w:pStyle w:val="Heading2"/>
        <w:numPr>
          <w:ilvl w:val="0"/>
          <w:numId w:val="0"/>
        </w:numPr>
        <w:spacing w:line="240" w:lineRule="auto"/>
        <w:ind w:left="375" w:hanging="375"/>
        <w:rPr>
          <w:sz w:val="24"/>
        </w:rPr>
      </w:pPr>
      <w:bookmarkStart w:id="78" w:name="_Toc141874770"/>
      <w:bookmarkStart w:id="79" w:name="_Toc150939213"/>
      <w:bookmarkStart w:id="80" w:name="_Toc150942702"/>
      <w:bookmarkStart w:id="81" w:name="_Toc150944508"/>
      <w:bookmarkStart w:id="82" w:name="_Toc57048"/>
      <w:r>
        <w:rPr>
          <w:sz w:val="24"/>
        </w:rPr>
        <w:t>4.2</w:t>
      </w:r>
      <w:r w:rsidR="00582DE0" w:rsidRPr="006D0AA4">
        <w:rPr>
          <w:sz w:val="24"/>
        </w:rPr>
        <w:t xml:space="preserve"> </w:t>
      </w:r>
      <w:bookmarkEnd w:id="78"/>
      <w:r w:rsidR="00AA3E2F" w:rsidRPr="006D0AA4">
        <w:rPr>
          <w:sz w:val="24"/>
        </w:rPr>
        <w:t>Asset Tangibility and Firms Performance (ROE)</w:t>
      </w:r>
      <w:bookmarkEnd w:id="79"/>
      <w:bookmarkEnd w:id="80"/>
      <w:bookmarkEnd w:id="81"/>
      <w:r w:rsidR="00AA3E2F" w:rsidRPr="006D0AA4">
        <w:rPr>
          <w:sz w:val="24"/>
        </w:rPr>
        <w:t xml:space="preserve"> </w:t>
      </w:r>
    </w:p>
    <w:p w14:paraId="2D696516" w14:textId="7AD36703" w:rsidR="00561D20" w:rsidRPr="006D0AA4" w:rsidRDefault="001268A5" w:rsidP="006D0AA4">
      <w:pPr>
        <w:spacing w:line="240" w:lineRule="auto"/>
        <w:jc w:val="both"/>
        <w:rPr>
          <w:rFonts w:ascii="Times New Roman" w:eastAsia="Calibri" w:hAnsi="Times New Roman"/>
          <w:b/>
          <w:sz w:val="24"/>
          <w:szCs w:val="24"/>
        </w:rPr>
      </w:pPr>
      <w:bookmarkStart w:id="83" w:name="_Toc141871014"/>
      <w:bookmarkStart w:id="84" w:name="_Toc141873927"/>
      <w:bookmarkStart w:id="85" w:name="_Toc141874771"/>
      <w:r w:rsidRPr="006D0AA4">
        <w:rPr>
          <w:rFonts w:ascii="Times New Roman" w:hAnsi="Times New Roman"/>
          <w:sz w:val="24"/>
          <w:szCs w:val="24"/>
        </w:rPr>
        <w:t xml:space="preserve">The </w:t>
      </w:r>
      <w:r w:rsidR="00E95CF4" w:rsidRPr="006D0AA4">
        <w:rPr>
          <w:rFonts w:ascii="Times New Roman" w:hAnsi="Times New Roman"/>
          <w:sz w:val="24"/>
          <w:szCs w:val="24"/>
        </w:rPr>
        <w:t>results</w:t>
      </w:r>
      <w:r w:rsidRPr="006D0AA4">
        <w:rPr>
          <w:rFonts w:ascii="Times New Roman" w:hAnsi="Times New Roman"/>
          <w:sz w:val="24"/>
          <w:szCs w:val="24"/>
        </w:rPr>
        <w:t xml:space="preserve"> on</w:t>
      </w:r>
      <w:r w:rsidR="002538A3" w:rsidRPr="006D0AA4">
        <w:rPr>
          <w:rFonts w:ascii="Times New Roman" w:hAnsi="Times New Roman"/>
          <w:sz w:val="24"/>
          <w:szCs w:val="24"/>
        </w:rPr>
        <w:t xml:space="preserve"> table </w:t>
      </w:r>
      <w:r w:rsidR="002554A7">
        <w:rPr>
          <w:rFonts w:ascii="Times New Roman" w:hAnsi="Times New Roman"/>
          <w:sz w:val="24"/>
          <w:szCs w:val="24"/>
        </w:rPr>
        <w:t>2</w:t>
      </w:r>
      <w:r w:rsidR="00DB65CE" w:rsidRPr="006D0AA4">
        <w:rPr>
          <w:rFonts w:ascii="Times New Roman" w:hAnsi="Times New Roman"/>
          <w:sz w:val="24"/>
          <w:szCs w:val="24"/>
        </w:rPr>
        <w:t xml:space="preserve"> </w:t>
      </w:r>
      <w:r w:rsidRPr="006D0AA4">
        <w:rPr>
          <w:rFonts w:ascii="Times New Roman" w:hAnsi="Times New Roman"/>
          <w:sz w:val="24"/>
          <w:szCs w:val="24"/>
        </w:rPr>
        <w:t xml:space="preserve">on </w:t>
      </w:r>
      <w:r w:rsidR="00E95CF4" w:rsidRPr="006D0AA4">
        <w:rPr>
          <w:rFonts w:ascii="Times New Roman" w:hAnsi="Times New Roman"/>
          <w:sz w:val="24"/>
          <w:szCs w:val="24"/>
        </w:rPr>
        <w:t>show</w:t>
      </w:r>
      <w:r w:rsidR="00582821" w:rsidRPr="006D0AA4">
        <w:rPr>
          <w:rFonts w:ascii="Times New Roman" w:hAnsi="Times New Roman"/>
          <w:sz w:val="24"/>
          <w:szCs w:val="24"/>
        </w:rPr>
        <w:t xml:space="preserve"> sign</w:t>
      </w:r>
      <w:r w:rsidR="00DE22D0" w:rsidRPr="006D0AA4">
        <w:rPr>
          <w:rFonts w:ascii="Times New Roman" w:hAnsi="Times New Roman"/>
          <w:sz w:val="24"/>
          <w:szCs w:val="24"/>
        </w:rPr>
        <w:t>ificant effect</w:t>
      </w:r>
      <w:r w:rsidR="00582821" w:rsidRPr="006D0AA4">
        <w:rPr>
          <w:rFonts w:ascii="Times New Roman" w:hAnsi="Times New Roman"/>
          <w:sz w:val="24"/>
          <w:szCs w:val="24"/>
        </w:rPr>
        <w:t xml:space="preserve"> on</w:t>
      </w:r>
      <w:r w:rsidR="00582821" w:rsidRPr="006D0AA4">
        <w:rPr>
          <w:rFonts w:ascii="Times New Roman" w:hAnsi="Times New Roman"/>
          <w:color w:val="000000"/>
          <w:sz w:val="24"/>
          <w:szCs w:val="24"/>
        </w:rPr>
        <w:t xml:space="preserve"> </w:t>
      </w:r>
      <w:r w:rsidR="00E95CF4" w:rsidRPr="006D0AA4">
        <w:rPr>
          <w:rFonts w:ascii="Times New Roman" w:hAnsi="Times New Roman"/>
          <w:color w:val="000000"/>
          <w:sz w:val="24"/>
          <w:szCs w:val="24"/>
        </w:rPr>
        <w:t xml:space="preserve">a </w:t>
      </w:r>
      <w:r w:rsidR="00582821" w:rsidRPr="006D0AA4">
        <w:rPr>
          <w:rFonts w:ascii="Times New Roman" w:hAnsi="Times New Roman"/>
          <w:sz w:val="24"/>
          <w:szCs w:val="24"/>
        </w:rPr>
        <w:t>firm</w:t>
      </w:r>
      <w:r w:rsidR="00DE22D0" w:rsidRPr="006D0AA4">
        <w:rPr>
          <w:rFonts w:ascii="Times New Roman" w:hAnsi="Times New Roman"/>
          <w:sz w:val="24"/>
          <w:szCs w:val="24"/>
        </w:rPr>
        <w:t>’s</w:t>
      </w:r>
      <w:r w:rsidR="00582821" w:rsidRPr="006D0AA4">
        <w:rPr>
          <w:rFonts w:ascii="Times New Roman" w:hAnsi="Times New Roman"/>
          <w:sz w:val="24"/>
          <w:szCs w:val="24"/>
        </w:rPr>
        <w:t xml:space="preserve"> performance at </w:t>
      </w:r>
      <w:r w:rsidRPr="006D0AA4">
        <w:rPr>
          <w:rFonts w:ascii="Times New Roman" w:hAnsi="Times New Roman"/>
          <w:sz w:val="24"/>
          <w:szCs w:val="24"/>
        </w:rPr>
        <w:t xml:space="preserve">a set </w:t>
      </w:r>
      <w:r w:rsidR="00582821" w:rsidRPr="006D0AA4">
        <w:rPr>
          <w:rFonts w:ascii="Times New Roman" w:hAnsi="Times New Roman"/>
          <w:sz w:val="24"/>
          <w:szCs w:val="24"/>
        </w:rPr>
        <w:t xml:space="preserve">significance level </w:t>
      </w:r>
      <w:r w:rsidRPr="006D0AA4">
        <w:rPr>
          <w:rFonts w:ascii="Times New Roman" w:hAnsi="Times New Roman"/>
          <w:sz w:val="24"/>
          <w:szCs w:val="24"/>
        </w:rPr>
        <w:t xml:space="preserve">of </w:t>
      </w:r>
      <w:r w:rsidR="00582821" w:rsidRPr="006D0AA4">
        <w:rPr>
          <w:rFonts w:ascii="Times New Roman" w:hAnsi="Times New Roman"/>
          <w:sz w:val="24"/>
          <w:szCs w:val="24"/>
        </w:rPr>
        <w:t>less than 0.05.</w:t>
      </w:r>
      <w:bookmarkEnd w:id="83"/>
      <w:bookmarkEnd w:id="84"/>
      <w:bookmarkEnd w:id="85"/>
      <w:r w:rsidR="00561D20" w:rsidRPr="006D0AA4">
        <w:rPr>
          <w:rFonts w:ascii="Times New Roman" w:hAnsi="Times New Roman"/>
          <w:sz w:val="24"/>
          <w:szCs w:val="24"/>
        </w:rPr>
        <w:t xml:space="preserve"> </w:t>
      </w:r>
    </w:p>
    <w:p w14:paraId="3F57BC02" w14:textId="08A50F8D" w:rsidR="00561D20" w:rsidRPr="006D0AA4" w:rsidRDefault="00561D20" w:rsidP="006D0AA4">
      <w:pPr>
        <w:spacing w:after="160" w:line="240" w:lineRule="auto"/>
        <w:jc w:val="both"/>
        <w:rPr>
          <w:rFonts w:ascii="Times New Roman" w:eastAsia="Calibri" w:hAnsi="Times New Roman"/>
          <w:sz w:val="24"/>
          <w:szCs w:val="24"/>
        </w:rPr>
      </w:pPr>
      <w:r w:rsidRPr="006D0AA4">
        <w:rPr>
          <w:rFonts w:ascii="Times New Roman" w:eastAsia="Calibri" w:hAnsi="Times New Roman"/>
          <w:sz w:val="24"/>
          <w:szCs w:val="24"/>
        </w:rPr>
        <w:t>In this section asset tangibility is used to predict financial performance, measure as return on equity. Presented and explained below are model summary, analysis of variance</w:t>
      </w:r>
      <w:r w:rsidR="00513F7C" w:rsidRPr="006D0AA4">
        <w:rPr>
          <w:rFonts w:ascii="Times New Roman" w:eastAsia="Calibri" w:hAnsi="Times New Roman"/>
          <w:sz w:val="24"/>
          <w:szCs w:val="24"/>
        </w:rPr>
        <w:t>,</w:t>
      </w:r>
      <w:r w:rsidRPr="006D0AA4">
        <w:rPr>
          <w:rFonts w:ascii="Times New Roman" w:eastAsia="Calibri" w:hAnsi="Times New Roman"/>
          <w:sz w:val="24"/>
          <w:szCs w:val="24"/>
        </w:rPr>
        <w:t xml:space="preserve"> and the coeffici</w:t>
      </w:r>
      <w:r w:rsidR="00551020" w:rsidRPr="006D0AA4">
        <w:rPr>
          <w:rFonts w:ascii="Times New Roman" w:eastAsia="Calibri" w:hAnsi="Times New Roman"/>
          <w:sz w:val="24"/>
          <w:szCs w:val="24"/>
        </w:rPr>
        <w:t>ent of predictor variable. Dependent indicator</w:t>
      </w:r>
      <w:r w:rsidRPr="006D0AA4">
        <w:rPr>
          <w:rFonts w:ascii="Times New Roman" w:eastAsia="Calibri" w:hAnsi="Times New Roman"/>
          <w:sz w:val="24"/>
          <w:szCs w:val="24"/>
        </w:rPr>
        <w:t xml:space="preserve"> </w:t>
      </w:r>
      <w:r w:rsidR="00551020" w:rsidRPr="006D0AA4">
        <w:rPr>
          <w:rFonts w:ascii="Times New Roman" w:eastAsia="Calibri" w:hAnsi="Times New Roman"/>
          <w:sz w:val="24"/>
          <w:szCs w:val="24"/>
        </w:rPr>
        <w:t>is ROE</w:t>
      </w:r>
      <w:r w:rsidR="00513F7C" w:rsidRPr="006D0AA4">
        <w:rPr>
          <w:rFonts w:ascii="Times New Roman" w:eastAsia="Calibri" w:hAnsi="Times New Roman"/>
          <w:sz w:val="24"/>
          <w:szCs w:val="24"/>
        </w:rPr>
        <w:t>,</w:t>
      </w:r>
      <w:r w:rsidR="00551020" w:rsidRPr="006D0AA4">
        <w:rPr>
          <w:rFonts w:ascii="Times New Roman" w:eastAsia="Calibri" w:hAnsi="Times New Roman"/>
          <w:sz w:val="24"/>
          <w:szCs w:val="24"/>
        </w:rPr>
        <w:t xml:space="preserve"> while independent one is asset tangibility. Such an</w:t>
      </w:r>
      <w:r w:rsidRPr="006D0AA4">
        <w:rPr>
          <w:rFonts w:ascii="Times New Roman" w:eastAsia="Calibri" w:hAnsi="Times New Roman"/>
          <w:sz w:val="24"/>
          <w:szCs w:val="24"/>
        </w:rPr>
        <w:t xml:space="preserve"> idea is </w:t>
      </w:r>
      <w:r w:rsidR="00551020" w:rsidRPr="006D0AA4">
        <w:rPr>
          <w:rFonts w:ascii="Times New Roman" w:eastAsia="Calibri" w:hAnsi="Times New Roman"/>
          <w:sz w:val="24"/>
          <w:szCs w:val="24"/>
        </w:rPr>
        <w:t xml:space="preserve">aimed </w:t>
      </w:r>
      <w:r w:rsidRPr="006D0AA4">
        <w:rPr>
          <w:rFonts w:ascii="Times New Roman" w:eastAsia="Calibri" w:hAnsi="Times New Roman"/>
          <w:sz w:val="24"/>
          <w:szCs w:val="24"/>
        </w:rPr>
        <w:t>to establish whether asset tangibility on its own strength explain variation in return on equity.</w:t>
      </w:r>
    </w:p>
    <w:tbl>
      <w:tblPr>
        <w:tblW w:w="8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056"/>
        <w:gridCol w:w="1466"/>
        <w:gridCol w:w="1564"/>
        <w:gridCol w:w="2114"/>
        <w:gridCol w:w="2120"/>
      </w:tblGrid>
      <w:tr w:rsidR="00561D20" w:rsidRPr="006D0AA4" w14:paraId="26DA6642" w14:textId="77777777" w:rsidTr="002D123B">
        <w:trPr>
          <w:cantSplit/>
          <w:trHeight w:val="547"/>
          <w:tblHeader/>
        </w:trPr>
        <w:tc>
          <w:tcPr>
            <w:tcW w:w="8320" w:type="dxa"/>
            <w:gridSpan w:val="5"/>
            <w:tcBorders>
              <w:top w:val="nil"/>
              <w:left w:val="nil"/>
              <w:bottom w:val="nil"/>
              <w:right w:val="nil"/>
            </w:tcBorders>
            <w:shd w:val="clear" w:color="auto" w:fill="FFFFFF"/>
            <w:tcMar>
              <w:top w:w="30" w:type="dxa"/>
              <w:left w:w="30" w:type="dxa"/>
              <w:bottom w:w="30" w:type="dxa"/>
              <w:right w:w="30" w:type="dxa"/>
            </w:tcMar>
            <w:vAlign w:val="center"/>
          </w:tcPr>
          <w:p w14:paraId="23D4695A" w14:textId="434768C1" w:rsidR="00561D20" w:rsidRPr="006D0AA4" w:rsidRDefault="00FC4632" w:rsidP="002554A7">
            <w:pPr>
              <w:pStyle w:val="Heading3"/>
              <w:numPr>
                <w:ilvl w:val="0"/>
                <w:numId w:val="0"/>
              </w:numPr>
              <w:spacing w:line="240" w:lineRule="auto"/>
              <w:ind w:left="720" w:hanging="720"/>
              <w:rPr>
                <w:rFonts w:eastAsia="Calibri"/>
                <w:sz w:val="24"/>
              </w:rPr>
            </w:pPr>
            <w:bookmarkStart w:id="86" w:name="_Toc150939214"/>
            <w:bookmarkStart w:id="87" w:name="_Toc150942703"/>
            <w:bookmarkStart w:id="88" w:name="_Toc150944509"/>
            <w:proofErr w:type="gramStart"/>
            <w:r w:rsidRPr="006D0AA4">
              <w:rPr>
                <w:rFonts w:eastAsia="Calibri"/>
                <w:sz w:val="24"/>
              </w:rPr>
              <w:t xml:space="preserve">Table </w:t>
            </w:r>
            <w:r w:rsidR="002554A7">
              <w:rPr>
                <w:rFonts w:eastAsia="Calibri"/>
                <w:sz w:val="24"/>
              </w:rPr>
              <w:t>2</w:t>
            </w:r>
            <w:r w:rsidR="009F6633" w:rsidRPr="006D0AA4">
              <w:rPr>
                <w:rFonts w:eastAsia="Calibri"/>
                <w:sz w:val="24"/>
              </w:rPr>
              <w:t>.</w:t>
            </w:r>
            <w:proofErr w:type="gramEnd"/>
            <w:r w:rsidRPr="006D0AA4">
              <w:rPr>
                <w:rFonts w:eastAsia="Calibri"/>
                <w:sz w:val="24"/>
              </w:rPr>
              <w:t xml:space="preserve"> </w:t>
            </w:r>
            <w:r w:rsidR="00DF6A9E" w:rsidRPr="006D0AA4">
              <w:rPr>
                <w:rFonts w:eastAsia="Calibri"/>
                <w:sz w:val="24"/>
              </w:rPr>
              <w:t xml:space="preserve">Model Summary, </w:t>
            </w:r>
            <w:r w:rsidRPr="006D0AA4">
              <w:rPr>
                <w:rFonts w:eastAsia="Calibri"/>
                <w:sz w:val="24"/>
              </w:rPr>
              <w:t>Asset Tangibility</w:t>
            </w:r>
            <w:bookmarkEnd w:id="86"/>
            <w:bookmarkEnd w:id="87"/>
            <w:bookmarkEnd w:id="88"/>
          </w:p>
        </w:tc>
      </w:tr>
      <w:tr w:rsidR="00561D20" w:rsidRPr="006D0AA4" w14:paraId="4AB03CE8" w14:textId="77777777" w:rsidTr="002D123B">
        <w:trPr>
          <w:cantSplit/>
          <w:trHeight w:val="885"/>
          <w:tblHeader/>
        </w:trPr>
        <w:tc>
          <w:tcPr>
            <w:tcW w:w="1056"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2391AD2C" w14:textId="77777777" w:rsidR="00561D20" w:rsidRPr="006D0AA4" w:rsidRDefault="00561D20" w:rsidP="006D0AA4">
            <w:pPr>
              <w:spacing w:after="160" w:line="240" w:lineRule="auto"/>
              <w:jc w:val="both"/>
              <w:rPr>
                <w:rFonts w:ascii="Times New Roman" w:eastAsia="Calibri" w:hAnsi="Times New Roman"/>
                <w:sz w:val="24"/>
                <w:szCs w:val="24"/>
              </w:rPr>
            </w:pPr>
            <w:r w:rsidRPr="006D0AA4">
              <w:rPr>
                <w:rFonts w:ascii="Times New Roman" w:eastAsia="Calibri" w:hAnsi="Times New Roman"/>
                <w:sz w:val="24"/>
                <w:szCs w:val="24"/>
              </w:rPr>
              <w:lastRenderedPageBreak/>
              <w:t>Model</w:t>
            </w:r>
          </w:p>
        </w:tc>
        <w:tc>
          <w:tcPr>
            <w:tcW w:w="1466"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26AD377E" w14:textId="77777777" w:rsidR="00561D20" w:rsidRPr="006D0AA4" w:rsidRDefault="00561D20" w:rsidP="006D0AA4">
            <w:pPr>
              <w:spacing w:after="160" w:line="240" w:lineRule="auto"/>
              <w:jc w:val="both"/>
              <w:rPr>
                <w:rFonts w:ascii="Times New Roman" w:eastAsia="Calibri" w:hAnsi="Times New Roman"/>
                <w:sz w:val="24"/>
                <w:szCs w:val="24"/>
              </w:rPr>
            </w:pPr>
            <w:r w:rsidRPr="006D0AA4">
              <w:rPr>
                <w:rFonts w:ascii="Times New Roman" w:eastAsia="Calibri" w:hAnsi="Times New Roman"/>
                <w:sz w:val="24"/>
                <w:szCs w:val="24"/>
              </w:rPr>
              <w:t>R</w:t>
            </w:r>
          </w:p>
        </w:tc>
        <w:tc>
          <w:tcPr>
            <w:tcW w:w="156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E36B3B0" w14:textId="77777777" w:rsidR="00561D20" w:rsidRPr="006D0AA4" w:rsidRDefault="00561D20" w:rsidP="006D0AA4">
            <w:pPr>
              <w:spacing w:after="160" w:line="240" w:lineRule="auto"/>
              <w:jc w:val="both"/>
              <w:rPr>
                <w:rFonts w:ascii="Times New Roman" w:eastAsia="Calibri" w:hAnsi="Times New Roman"/>
                <w:sz w:val="24"/>
                <w:szCs w:val="24"/>
              </w:rPr>
            </w:pPr>
            <w:r w:rsidRPr="006D0AA4">
              <w:rPr>
                <w:rFonts w:ascii="Times New Roman" w:eastAsia="Calibri" w:hAnsi="Times New Roman"/>
                <w:sz w:val="24"/>
                <w:szCs w:val="24"/>
              </w:rPr>
              <w:t>R Square</w:t>
            </w:r>
          </w:p>
        </w:tc>
        <w:tc>
          <w:tcPr>
            <w:tcW w:w="211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3985BBF" w14:textId="77777777" w:rsidR="00561D20" w:rsidRPr="006D0AA4" w:rsidRDefault="00561D20" w:rsidP="006D0AA4">
            <w:pPr>
              <w:spacing w:after="160" w:line="240" w:lineRule="auto"/>
              <w:jc w:val="both"/>
              <w:rPr>
                <w:rFonts w:ascii="Times New Roman" w:eastAsia="Calibri" w:hAnsi="Times New Roman"/>
                <w:sz w:val="24"/>
                <w:szCs w:val="24"/>
              </w:rPr>
            </w:pPr>
            <w:r w:rsidRPr="006D0AA4">
              <w:rPr>
                <w:rFonts w:ascii="Times New Roman" w:eastAsia="Calibri" w:hAnsi="Times New Roman"/>
                <w:sz w:val="24"/>
                <w:szCs w:val="24"/>
              </w:rPr>
              <w:t>Adjusted R Square</w:t>
            </w:r>
          </w:p>
        </w:tc>
        <w:tc>
          <w:tcPr>
            <w:tcW w:w="211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704B569" w14:textId="77777777" w:rsidR="00561D20" w:rsidRPr="006D0AA4" w:rsidRDefault="00561D20" w:rsidP="006D0AA4">
            <w:pPr>
              <w:spacing w:after="160" w:line="240" w:lineRule="auto"/>
              <w:jc w:val="both"/>
              <w:rPr>
                <w:rFonts w:ascii="Times New Roman" w:eastAsia="Calibri" w:hAnsi="Times New Roman"/>
                <w:sz w:val="24"/>
                <w:szCs w:val="24"/>
              </w:rPr>
            </w:pPr>
            <w:r w:rsidRPr="006D0AA4">
              <w:rPr>
                <w:rFonts w:ascii="Times New Roman" w:eastAsia="Calibri" w:hAnsi="Times New Roman"/>
                <w:sz w:val="24"/>
                <w:szCs w:val="24"/>
              </w:rPr>
              <w:t>Std. Error of the Estimate</w:t>
            </w:r>
          </w:p>
        </w:tc>
      </w:tr>
      <w:tr w:rsidR="00561D20" w:rsidRPr="006D0AA4" w14:paraId="6E6F111A" w14:textId="77777777" w:rsidTr="002D123B">
        <w:trPr>
          <w:cantSplit/>
          <w:trHeight w:val="531"/>
          <w:tblHeader/>
        </w:trPr>
        <w:tc>
          <w:tcPr>
            <w:tcW w:w="1056"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661D8039" w14:textId="77777777" w:rsidR="00561D20" w:rsidRPr="006D0AA4" w:rsidRDefault="00561D20" w:rsidP="006D0AA4">
            <w:pPr>
              <w:spacing w:after="160" w:line="240" w:lineRule="auto"/>
              <w:jc w:val="both"/>
              <w:rPr>
                <w:rFonts w:ascii="Times New Roman" w:eastAsia="Calibri" w:hAnsi="Times New Roman"/>
                <w:sz w:val="24"/>
                <w:szCs w:val="24"/>
              </w:rPr>
            </w:pPr>
            <w:r w:rsidRPr="006D0AA4">
              <w:rPr>
                <w:rFonts w:ascii="Times New Roman" w:eastAsia="Calibri" w:hAnsi="Times New Roman"/>
                <w:sz w:val="24"/>
                <w:szCs w:val="24"/>
              </w:rPr>
              <w:t>1</w:t>
            </w:r>
          </w:p>
        </w:tc>
        <w:tc>
          <w:tcPr>
            <w:tcW w:w="1466"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14:paraId="14CCF2C9" w14:textId="77777777" w:rsidR="00561D20" w:rsidRPr="006D0AA4" w:rsidRDefault="00561D20" w:rsidP="006D0AA4">
            <w:pPr>
              <w:spacing w:after="160" w:line="240" w:lineRule="auto"/>
              <w:jc w:val="both"/>
              <w:rPr>
                <w:rFonts w:ascii="Times New Roman" w:eastAsia="Calibri" w:hAnsi="Times New Roman"/>
                <w:sz w:val="24"/>
                <w:szCs w:val="24"/>
              </w:rPr>
            </w:pPr>
            <w:r w:rsidRPr="006D0AA4">
              <w:rPr>
                <w:rFonts w:ascii="Times New Roman" w:eastAsia="Calibri" w:hAnsi="Times New Roman"/>
                <w:sz w:val="24"/>
                <w:szCs w:val="24"/>
              </w:rPr>
              <w:t>.033</w:t>
            </w:r>
            <w:r w:rsidRPr="006D0AA4">
              <w:rPr>
                <w:rFonts w:ascii="Times New Roman" w:eastAsia="Calibri" w:hAnsi="Times New Roman"/>
                <w:sz w:val="24"/>
                <w:szCs w:val="24"/>
                <w:vertAlign w:val="superscript"/>
              </w:rPr>
              <w:t>a</w:t>
            </w:r>
          </w:p>
        </w:tc>
        <w:tc>
          <w:tcPr>
            <w:tcW w:w="1564" w:type="dxa"/>
            <w:tcBorders>
              <w:top w:val="single" w:sz="16" w:space="0" w:color="000000"/>
              <w:bottom w:val="single" w:sz="16" w:space="0" w:color="000000"/>
            </w:tcBorders>
            <w:shd w:val="clear" w:color="auto" w:fill="FFFFFF"/>
            <w:tcMar>
              <w:top w:w="30" w:type="dxa"/>
              <w:left w:w="30" w:type="dxa"/>
              <w:bottom w:w="30" w:type="dxa"/>
              <w:right w:w="30" w:type="dxa"/>
            </w:tcMar>
          </w:tcPr>
          <w:p w14:paraId="158AC7F6" w14:textId="77777777" w:rsidR="00561D20" w:rsidRPr="006D0AA4" w:rsidRDefault="00561D20" w:rsidP="006D0AA4">
            <w:pPr>
              <w:spacing w:after="160" w:line="240" w:lineRule="auto"/>
              <w:jc w:val="both"/>
              <w:rPr>
                <w:rFonts w:ascii="Times New Roman" w:eastAsia="Calibri" w:hAnsi="Times New Roman"/>
                <w:sz w:val="24"/>
                <w:szCs w:val="24"/>
              </w:rPr>
            </w:pPr>
            <w:r w:rsidRPr="006D0AA4">
              <w:rPr>
                <w:rFonts w:ascii="Times New Roman" w:eastAsia="Calibri" w:hAnsi="Times New Roman"/>
                <w:sz w:val="24"/>
                <w:szCs w:val="24"/>
              </w:rPr>
              <w:t>.001</w:t>
            </w:r>
          </w:p>
        </w:tc>
        <w:tc>
          <w:tcPr>
            <w:tcW w:w="2114" w:type="dxa"/>
            <w:tcBorders>
              <w:top w:val="single" w:sz="16" w:space="0" w:color="000000"/>
              <w:bottom w:val="single" w:sz="16" w:space="0" w:color="000000"/>
            </w:tcBorders>
            <w:shd w:val="clear" w:color="auto" w:fill="FFFFFF"/>
            <w:tcMar>
              <w:top w:w="30" w:type="dxa"/>
              <w:left w:w="30" w:type="dxa"/>
              <w:bottom w:w="30" w:type="dxa"/>
              <w:right w:w="30" w:type="dxa"/>
            </w:tcMar>
          </w:tcPr>
          <w:p w14:paraId="0825F207" w14:textId="77777777" w:rsidR="00561D20" w:rsidRPr="006D0AA4" w:rsidRDefault="00561D20" w:rsidP="006D0AA4">
            <w:pPr>
              <w:spacing w:after="160" w:line="240" w:lineRule="auto"/>
              <w:jc w:val="both"/>
              <w:rPr>
                <w:rFonts w:ascii="Times New Roman" w:eastAsia="Calibri" w:hAnsi="Times New Roman"/>
                <w:sz w:val="24"/>
                <w:szCs w:val="24"/>
              </w:rPr>
            </w:pPr>
            <w:r w:rsidRPr="006D0AA4">
              <w:rPr>
                <w:rFonts w:ascii="Times New Roman" w:eastAsia="Calibri" w:hAnsi="Times New Roman"/>
                <w:sz w:val="24"/>
                <w:szCs w:val="24"/>
              </w:rPr>
              <w:t>-.020</w:t>
            </w:r>
          </w:p>
        </w:tc>
        <w:tc>
          <w:tcPr>
            <w:tcW w:w="211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32C298DC" w14:textId="77777777" w:rsidR="00561D20" w:rsidRPr="006D0AA4" w:rsidRDefault="00561D20" w:rsidP="006D0AA4">
            <w:pPr>
              <w:spacing w:after="160" w:line="240" w:lineRule="auto"/>
              <w:jc w:val="both"/>
              <w:rPr>
                <w:rFonts w:ascii="Times New Roman" w:eastAsia="Calibri" w:hAnsi="Times New Roman"/>
                <w:sz w:val="24"/>
                <w:szCs w:val="24"/>
              </w:rPr>
            </w:pPr>
            <w:r w:rsidRPr="006D0AA4">
              <w:rPr>
                <w:rFonts w:ascii="Times New Roman" w:eastAsia="Calibri" w:hAnsi="Times New Roman"/>
                <w:sz w:val="24"/>
                <w:szCs w:val="24"/>
              </w:rPr>
              <w:t>.53047</w:t>
            </w:r>
          </w:p>
        </w:tc>
      </w:tr>
      <w:tr w:rsidR="00561D20" w:rsidRPr="006D0AA4" w14:paraId="53A9B743" w14:textId="77777777" w:rsidTr="002D123B">
        <w:trPr>
          <w:cantSplit/>
          <w:trHeight w:val="531"/>
        </w:trPr>
        <w:tc>
          <w:tcPr>
            <w:tcW w:w="8320" w:type="dxa"/>
            <w:gridSpan w:val="5"/>
            <w:tcBorders>
              <w:top w:val="nil"/>
              <w:left w:val="nil"/>
              <w:bottom w:val="nil"/>
              <w:right w:val="nil"/>
            </w:tcBorders>
            <w:shd w:val="clear" w:color="auto" w:fill="FFFFFF"/>
            <w:tcMar>
              <w:top w:w="30" w:type="dxa"/>
              <w:left w:w="30" w:type="dxa"/>
              <w:bottom w:w="30" w:type="dxa"/>
              <w:right w:w="30" w:type="dxa"/>
            </w:tcMar>
          </w:tcPr>
          <w:p w14:paraId="35F002D7" w14:textId="77777777" w:rsidR="00561D20" w:rsidRPr="006D0AA4" w:rsidRDefault="00561D20" w:rsidP="006D0AA4">
            <w:pPr>
              <w:spacing w:after="160" w:line="240" w:lineRule="auto"/>
              <w:jc w:val="both"/>
              <w:rPr>
                <w:rFonts w:ascii="Times New Roman" w:eastAsia="Calibri" w:hAnsi="Times New Roman"/>
                <w:sz w:val="24"/>
                <w:szCs w:val="24"/>
              </w:rPr>
            </w:pPr>
            <w:r w:rsidRPr="006D0AA4">
              <w:rPr>
                <w:rFonts w:ascii="Times New Roman" w:eastAsia="Calibri" w:hAnsi="Times New Roman"/>
                <w:sz w:val="24"/>
                <w:szCs w:val="24"/>
              </w:rPr>
              <w:t xml:space="preserve">a. Predictors: (Constant), </w:t>
            </w:r>
            <w:proofErr w:type="spellStart"/>
            <w:r w:rsidRPr="006D0AA4">
              <w:rPr>
                <w:rFonts w:ascii="Times New Roman" w:eastAsia="Calibri" w:hAnsi="Times New Roman"/>
                <w:sz w:val="24"/>
                <w:szCs w:val="24"/>
              </w:rPr>
              <w:t>AssTang</w:t>
            </w:r>
            <w:proofErr w:type="spellEnd"/>
          </w:p>
        </w:tc>
      </w:tr>
    </w:tbl>
    <w:p w14:paraId="71A9264D" w14:textId="12362A4F" w:rsidR="00561D20" w:rsidRPr="006D0AA4" w:rsidRDefault="00513F7C" w:rsidP="006D0AA4">
      <w:pPr>
        <w:spacing w:after="160" w:line="240" w:lineRule="auto"/>
        <w:jc w:val="both"/>
        <w:rPr>
          <w:rFonts w:ascii="Times New Roman" w:eastAsia="Calibri" w:hAnsi="Times New Roman"/>
          <w:sz w:val="24"/>
          <w:szCs w:val="24"/>
        </w:rPr>
      </w:pPr>
      <w:proofErr w:type="gramStart"/>
      <w:r w:rsidRPr="006D0AA4">
        <w:rPr>
          <w:rFonts w:ascii="Times New Roman" w:eastAsia="Calibri" w:hAnsi="Times New Roman"/>
          <w:sz w:val="24"/>
          <w:szCs w:val="24"/>
        </w:rPr>
        <w:t>The</w:t>
      </w:r>
      <w:r w:rsidR="00551020" w:rsidRPr="006D0AA4">
        <w:rPr>
          <w:rFonts w:ascii="Times New Roman" w:eastAsia="Calibri" w:hAnsi="Times New Roman"/>
          <w:sz w:val="24"/>
          <w:szCs w:val="24"/>
        </w:rPr>
        <w:t xml:space="preserve"> above summary,</w:t>
      </w:r>
      <w:r w:rsidR="00561D20" w:rsidRPr="006D0AA4">
        <w:rPr>
          <w:rFonts w:ascii="Times New Roman" w:eastAsia="Calibri" w:hAnsi="Times New Roman"/>
          <w:sz w:val="24"/>
          <w:szCs w:val="24"/>
        </w:rPr>
        <w:t xml:space="preserve"> </w:t>
      </w:r>
      <w:r w:rsidR="00551020" w:rsidRPr="006D0AA4">
        <w:rPr>
          <w:rFonts w:ascii="Times New Roman" w:eastAsia="Calibri" w:hAnsi="Times New Roman"/>
          <w:sz w:val="24"/>
          <w:szCs w:val="24"/>
        </w:rPr>
        <w:t xml:space="preserve">exhibits </w:t>
      </w:r>
      <w:r w:rsidR="00561D20" w:rsidRPr="006D0AA4">
        <w:rPr>
          <w:rFonts w:ascii="Times New Roman" w:eastAsia="Calibri" w:hAnsi="Times New Roman"/>
          <w:sz w:val="24"/>
          <w:szCs w:val="24"/>
        </w:rPr>
        <w:t>relationship</w:t>
      </w:r>
      <w:r w:rsidR="00551020" w:rsidRPr="006D0AA4">
        <w:rPr>
          <w:rFonts w:ascii="Times New Roman" w:eastAsia="Calibri" w:hAnsi="Times New Roman"/>
          <w:sz w:val="24"/>
          <w:szCs w:val="24"/>
        </w:rPr>
        <w:t xml:space="preserve"> strength between</w:t>
      </w:r>
      <w:r w:rsidR="00561D20" w:rsidRPr="006D0AA4">
        <w:rPr>
          <w:rFonts w:ascii="Times New Roman" w:eastAsia="Calibri" w:hAnsi="Times New Roman"/>
          <w:sz w:val="24"/>
          <w:szCs w:val="24"/>
        </w:rPr>
        <w:t xml:space="preserve"> </w:t>
      </w:r>
      <w:r w:rsidR="00551020" w:rsidRPr="006D0AA4">
        <w:rPr>
          <w:rFonts w:ascii="Times New Roman" w:eastAsia="Calibri" w:hAnsi="Times New Roman"/>
          <w:sz w:val="24"/>
          <w:szCs w:val="24"/>
        </w:rPr>
        <w:t>model and the dependent indicator</w:t>
      </w:r>
      <w:r w:rsidR="00561D20" w:rsidRPr="006D0AA4">
        <w:rPr>
          <w:rFonts w:ascii="Times New Roman" w:eastAsia="Calibri" w:hAnsi="Times New Roman"/>
          <w:sz w:val="24"/>
          <w:szCs w:val="24"/>
        </w:rPr>
        <w:t>.</w:t>
      </w:r>
      <w:proofErr w:type="gramEnd"/>
      <w:r w:rsidR="00561D20" w:rsidRPr="006D0AA4">
        <w:rPr>
          <w:rFonts w:ascii="Times New Roman" w:eastAsia="Calibri" w:hAnsi="Times New Roman"/>
          <w:sz w:val="24"/>
          <w:szCs w:val="24"/>
        </w:rPr>
        <w:t xml:space="preserve"> The R-square, a statistic that show the variation in independent variable (ROE) explained by variations in debt level (independent variable) is </w:t>
      </w:r>
      <w:r w:rsidRPr="006D0AA4">
        <w:rPr>
          <w:rFonts w:ascii="Times New Roman" w:eastAsia="Calibri" w:hAnsi="Times New Roman"/>
          <w:sz w:val="24"/>
          <w:szCs w:val="24"/>
        </w:rPr>
        <w:t xml:space="preserve">at </w:t>
      </w:r>
      <w:r w:rsidR="00561D20" w:rsidRPr="006D0AA4">
        <w:rPr>
          <w:rFonts w:ascii="Times New Roman" w:eastAsia="Calibri" w:hAnsi="Times New Roman"/>
          <w:sz w:val="24"/>
          <w:szCs w:val="24"/>
        </w:rPr>
        <w:t>a low</w:t>
      </w:r>
      <w:r w:rsidRPr="006D0AA4">
        <w:rPr>
          <w:rFonts w:ascii="Times New Roman" w:eastAsia="Calibri" w:hAnsi="Times New Roman"/>
          <w:sz w:val="24"/>
          <w:szCs w:val="24"/>
        </w:rPr>
        <w:t xml:space="preserve"> of</w:t>
      </w:r>
      <w:r w:rsidR="00561D20" w:rsidRPr="006D0AA4">
        <w:rPr>
          <w:rFonts w:ascii="Times New Roman" w:eastAsia="Calibri" w:hAnsi="Times New Roman"/>
          <w:sz w:val="24"/>
          <w:szCs w:val="24"/>
        </w:rPr>
        <w:t xml:space="preserve"> 0.001 or 1%. Suggesting asset tangibility </w:t>
      </w:r>
      <w:r w:rsidRPr="006D0AA4">
        <w:rPr>
          <w:rFonts w:ascii="Times New Roman" w:eastAsia="Calibri" w:hAnsi="Times New Roman"/>
          <w:sz w:val="24"/>
          <w:szCs w:val="24"/>
        </w:rPr>
        <w:t xml:space="preserve">may </w:t>
      </w:r>
      <w:r w:rsidR="00551020" w:rsidRPr="006D0AA4">
        <w:rPr>
          <w:rFonts w:ascii="Times New Roman" w:eastAsia="Calibri" w:hAnsi="Times New Roman"/>
          <w:sz w:val="24"/>
          <w:szCs w:val="24"/>
        </w:rPr>
        <w:t>not be used in instances of</w:t>
      </w:r>
      <w:r w:rsidR="00561D20" w:rsidRPr="006D0AA4">
        <w:rPr>
          <w:rFonts w:ascii="Times New Roman" w:eastAsia="Calibri" w:hAnsi="Times New Roman"/>
          <w:sz w:val="24"/>
          <w:szCs w:val="24"/>
        </w:rPr>
        <w:t xml:space="preserve"> predict</w:t>
      </w:r>
      <w:r w:rsidR="00551020" w:rsidRPr="006D0AA4">
        <w:rPr>
          <w:rFonts w:ascii="Times New Roman" w:eastAsia="Calibri" w:hAnsi="Times New Roman"/>
          <w:sz w:val="24"/>
          <w:szCs w:val="24"/>
        </w:rPr>
        <w:t>ing</w:t>
      </w:r>
      <w:r w:rsidR="00561D20" w:rsidRPr="006D0AA4">
        <w:rPr>
          <w:rFonts w:ascii="Times New Roman" w:eastAsia="Calibri" w:hAnsi="Times New Roman"/>
          <w:sz w:val="24"/>
          <w:szCs w:val="24"/>
        </w:rPr>
        <w:t xml:space="preserve"> return on equity (ROE) because debt explains only 1% of variation in ROE.</w:t>
      </w:r>
    </w:p>
    <w:p w14:paraId="0ED035FB" w14:textId="48B7E491" w:rsidR="00DF32CD" w:rsidRPr="006D0AA4" w:rsidRDefault="00DF32CD" w:rsidP="006D0AA4">
      <w:pPr>
        <w:pStyle w:val="Heading3"/>
        <w:numPr>
          <w:ilvl w:val="0"/>
          <w:numId w:val="0"/>
        </w:numPr>
        <w:spacing w:line="240" w:lineRule="auto"/>
        <w:ind w:left="720" w:hanging="720"/>
        <w:rPr>
          <w:rFonts w:eastAsia="Calibri"/>
          <w:sz w:val="24"/>
        </w:rPr>
      </w:pPr>
      <w:bookmarkStart w:id="89" w:name="_Toc150939215"/>
      <w:bookmarkStart w:id="90" w:name="_Toc150942704"/>
      <w:bookmarkStart w:id="91" w:name="_Toc150944510"/>
      <w:proofErr w:type="gramStart"/>
      <w:r w:rsidRPr="006D0AA4">
        <w:rPr>
          <w:rFonts w:eastAsia="Calibri"/>
          <w:sz w:val="24"/>
        </w:rPr>
        <w:t xml:space="preserve">Table </w:t>
      </w:r>
      <w:r w:rsidR="002554A7">
        <w:rPr>
          <w:rFonts w:eastAsia="Calibri"/>
          <w:sz w:val="24"/>
        </w:rPr>
        <w:t>3</w:t>
      </w:r>
      <w:r w:rsidR="009F6633" w:rsidRPr="006D0AA4">
        <w:rPr>
          <w:rFonts w:eastAsia="Calibri"/>
          <w:sz w:val="24"/>
        </w:rPr>
        <w:t>.</w:t>
      </w:r>
      <w:proofErr w:type="gramEnd"/>
      <w:r w:rsidRPr="006D0AA4">
        <w:rPr>
          <w:rFonts w:eastAsia="Calibri"/>
          <w:sz w:val="24"/>
        </w:rPr>
        <w:t xml:space="preserve"> Coefficients: Asset Tangibility and R</w:t>
      </w:r>
      <w:r w:rsidR="00EA3A36" w:rsidRPr="006D0AA4">
        <w:rPr>
          <w:rFonts w:eastAsia="Calibri"/>
          <w:sz w:val="24"/>
        </w:rPr>
        <w:t>OE</w:t>
      </w:r>
      <w:bookmarkEnd w:id="89"/>
      <w:bookmarkEnd w:id="90"/>
      <w:bookmarkEnd w:id="91"/>
    </w:p>
    <w:tbl>
      <w:tblPr>
        <w:tblW w:w="8340" w:type="dxa"/>
        <w:tblInd w:w="4" w:type="dxa"/>
        <w:tblLayout w:type="fixed"/>
        <w:tblCellMar>
          <w:left w:w="0" w:type="dxa"/>
          <w:right w:w="0" w:type="dxa"/>
        </w:tblCellMar>
        <w:tblLook w:val="04A0" w:firstRow="1" w:lastRow="0" w:firstColumn="1" w:lastColumn="0" w:noHBand="0" w:noVBand="1"/>
      </w:tblPr>
      <w:tblGrid>
        <w:gridCol w:w="720"/>
        <w:gridCol w:w="1346"/>
        <w:gridCol w:w="1614"/>
        <w:gridCol w:w="760"/>
        <w:gridCol w:w="1240"/>
        <w:gridCol w:w="1000"/>
        <w:gridCol w:w="1640"/>
        <w:gridCol w:w="20"/>
      </w:tblGrid>
      <w:tr w:rsidR="00561D20" w:rsidRPr="006D0AA4" w14:paraId="626F81FB" w14:textId="77777777" w:rsidTr="001E130A">
        <w:trPr>
          <w:trHeight w:val="277"/>
        </w:trPr>
        <w:tc>
          <w:tcPr>
            <w:tcW w:w="720" w:type="dxa"/>
            <w:vAlign w:val="bottom"/>
          </w:tcPr>
          <w:p w14:paraId="012F3BEE" w14:textId="77777777" w:rsidR="00561D20" w:rsidRPr="006D0AA4" w:rsidRDefault="00561D20" w:rsidP="006D0AA4">
            <w:pPr>
              <w:spacing w:after="0" w:line="240" w:lineRule="auto"/>
              <w:rPr>
                <w:rFonts w:ascii="Times New Roman" w:hAnsi="Times New Roman"/>
                <w:sz w:val="24"/>
                <w:szCs w:val="24"/>
              </w:rPr>
            </w:pPr>
          </w:p>
        </w:tc>
        <w:tc>
          <w:tcPr>
            <w:tcW w:w="1346" w:type="dxa"/>
            <w:tcBorders>
              <w:bottom w:val="single" w:sz="8" w:space="0" w:color="7F7F7F"/>
            </w:tcBorders>
            <w:vAlign w:val="bottom"/>
          </w:tcPr>
          <w:p w14:paraId="0C1AD8EE" w14:textId="5DF93B9E" w:rsidR="00561D20" w:rsidRPr="006D0AA4" w:rsidRDefault="00561D20" w:rsidP="006D0AA4">
            <w:pPr>
              <w:spacing w:after="0" w:line="240" w:lineRule="auto"/>
              <w:rPr>
                <w:rFonts w:ascii="Times New Roman" w:hAnsi="Times New Roman"/>
                <w:sz w:val="24"/>
                <w:szCs w:val="24"/>
              </w:rPr>
            </w:pPr>
          </w:p>
        </w:tc>
        <w:tc>
          <w:tcPr>
            <w:tcW w:w="1614" w:type="dxa"/>
            <w:tcBorders>
              <w:bottom w:val="single" w:sz="8" w:space="0" w:color="7F7F7F"/>
            </w:tcBorders>
            <w:vAlign w:val="bottom"/>
          </w:tcPr>
          <w:p w14:paraId="7D00D02A" w14:textId="77777777" w:rsidR="00561D20" w:rsidRPr="006D0AA4" w:rsidRDefault="00561D20" w:rsidP="006D0AA4">
            <w:pPr>
              <w:spacing w:after="0" w:line="240" w:lineRule="auto"/>
              <w:rPr>
                <w:rFonts w:ascii="Times New Roman" w:hAnsi="Times New Roman"/>
                <w:sz w:val="24"/>
                <w:szCs w:val="24"/>
              </w:rPr>
            </w:pPr>
          </w:p>
        </w:tc>
        <w:tc>
          <w:tcPr>
            <w:tcW w:w="760" w:type="dxa"/>
            <w:tcBorders>
              <w:bottom w:val="single" w:sz="8" w:space="0" w:color="7F7F7F"/>
            </w:tcBorders>
            <w:vAlign w:val="bottom"/>
          </w:tcPr>
          <w:p w14:paraId="233EDF52" w14:textId="77777777" w:rsidR="00561D20" w:rsidRPr="006D0AA4" w:rsidRDefault="00561D20" w:rsidP="006D0AA4">
            <w:pPr>
              <w:spacing w:after="0" w:line="240" w:lineRule="auto"/>
              <w:rPr>
                <w:rFonts w:ascii="Times New Roman" w:hAnsi="Times New Roman"/>
                <w:sz w:val="24"/>
                <w:szCs w:val="24"/>
              </w:rPr>
            </w:pPr>
          </w:p>
        </w:tc>
        <w:tc>
          <w:tcPr>
            <w:tcW w:w="1240" w:type="dxa"/>
            <w:tcBorders>
              <w:bottom w:val="single" w:sz="8" w:space="0" w:color="7F7F7F"/>
            </w:tcBorders>
            <w:vAlign w:val="bottom"/>
          </w:tcPr>
          <w:p w14:paraId="3E0A18FE" w14:textId="77777777" w:rsidR="00561D20" w:rsidRPr="006D0AA4" w:rsidRDefault="00561D20" w:rsidP="006D0AA4">
            <w:pPr>
              <w:spacing w:after="0" w:line="240" w:lineRule="auto"/>
              <w:rPr>
                <w:rFonts w:ascii="Times New Roman" w:hAnsi="Times New Roman"/>
                <w:sz w:val="24"/>
                <w:szCs w:val="24"/>
              </w:rPr>
            </w:pPr>
          </w:p>
        </w:tc>
        <w:tc>
          <w:tcPr>
            <w:tcW w:w="1000" w:type="dxa"/>
            <w:tcBorders>
              <w:bottom w:val="single" w:sz="8" w:space="0" w:color="7F7F7F"/>
            </w:tcBorders>
            <w:vAlign w:val="bottom"/>
          </w:tcPr>
          <w:p w14:paraId="246D97B3" w14:textId="77777777" w:rsidR="00561D20" w:rsidRPr="006D0AA4" w:rsidRDefault="00561D20" w:rsidP="006D0AA4">
            <w:pPr>
              <w:spacing w:after="0" w:line="240" w:lineRule="auto"/>
              <w:rPr>
                <w:rFonts w:ascii="Times New Roman" w:hAnsi="Times New Roman"/>
                <w:sz w:val="24"/>
                <w:szCs w:val="24"/>
              </w:rPr>
            </w:pPr>
          </w:p>
        </w:tc>
        <w:tc>
          <w:tcPr>
            <w:tcW w:w="1640" w:type="dxa"/>
            <w:tcBorders>
              <w:bottom w:val="single" w:sz="8" w:space="0" w:color="7F7F7F"/>
            </w:tcBorders>
            <w:vAlign w:val="bottom"/>
          </w:tcPr>
          <w:p w14:paraId="1B617630" w14:textId="77777777" w:rsidR="00561D20" w:rsidRPr="006D0AA4" w:rsidRDefault="00561D20" w:rsidP="006D0AA4">
            <w:pPr>
              <w:spacing w:after="0" w:line="240" w:lineRule="auto"/>
              <w:rPr>
                <w:rFonts w:ascii="Times New Roman" w:hAnsi="Times New Roman"/>
                <w:sz w:val="24"/>
                <w:szCs w:val="24"/>
              </w:rPr>
            </w:pPr>
          </w:p>
        </w:tc>
        <w:tc>
          <w:tcPr>
            <w:tcW w:w="20" w:type="dxa"/>
            <w:vAlign w:val="bottom"/>
          </w:tcPr>
          <w:p w14:paraId="04FFBFD8" w14:textId="77777777" w:rsidR="00561D20" w:rsidRPr="006D0AA4" w:rsidRDefault="00561D20" w:rsidP="006D0AA4">
            <w:pPr>
              <w:spacing w:after="0" w:line="240" w:lineRule="auto"/>
              <w:rPr>
                <w:rFonts w:ascii="Times New Roman" w:hAnsi="Times New Roman"/>
                <w:sz w:val="24"/>
                <w:szCs w:val="24"/>
              </w:rPr>
            </w:pPr>
          </w:p>
        </w:tc>
      </w:tr>
      <w:tr w:rsidR="00561D20" w:rsidRPr="006D0AA4" w14:paraId="2E7BF45A" w14:textId="77777777" w:rsidTr="001E130A">
        <w:trPr>
          <w:trHeight w:val="267"/>
        </w:trPr>
        <w:tc>
          <w:tcPr>
            <w:tcW w:w="720" w:type="dxa"/>
            <w:vAlign w:val="bottom"/>
          </w:tcPr>
          <w:p w14:paraId="6ADA6315" w14:textId="77777777" w:rsidR="00561D20" w:rsidRPr="006D0AA4" w:rsidRDefault="00561D20" w:rsidP="006D0AA4">
            <w:pPr>
              <w:spacing w:after="0" w:line="240" w:lineRule="auto"/>
              <w:rPr>
                <w:rFonts w:ascii="Times New Roman" w:hAnsi="Times New Roman"/>
                <w:sz w:val="24"/>
                <w:szCs w:val="24"/>
              </w:rPr>
            </w:pPr>
          </w:p>
        </w:tc>
        <w:tc>
          <w:tcPr>
            <w:tcW w:w="1346" w:type="dxa"/>
            <w:vAlign w:val="bottom"/>
          </w:tcPr>
          <w:p w14:paraId="571801DB" w14:textId="77777777" w:rsidR="00561D20" w:rsidRPr="006D0AA4" w:rsidRDefault="00561D20" w:rsidP="006D0AA4">
            <w:pPr>
              <w:spacing w:after="0" w:line="240" w:lineRule="auto"/>
              <w:rPr>
                <w:rFonts w:ascii="Times New Roman" w:hAnsi="Times New Roman"/>
                <w:sz w:val="24"/>
                <w:szCs w:val="24"/>
              </w:rPr>
            </w:pPr>
          </w:p>
        </w:tc>
        <w:tc>
          <w:tcPr>
            <w:tcW w:w="2374" w:type="dxa"/>
            <w:gridSpan w:val="2"/>
            <w:vAlign w:val="bottom"/>
          </w:tcPr>
          <w:p w14:paraId="4F0C17AF" w14:textId="318D781F" w:rsidR="00561D20" w:rsidRPr="006D0AA4" w:rsidRDefault="00F26789" w:rsidP="006D0AA4">
            <w:pPr>
              <w:pStyle w:val="Heading4"/>
              <w:spacing w:line="240" w:lineRule="auto"/>
              <w:jc w:val="left"/>
            </w:pPr>
            <w:bookmarkStart w:id="92" w:name="_Toc150939216"/>
            <w:r w:rsidRPr="006D0AA4">
              <w:t>Ass Tang</w:t>
            </w:r>
            <w:r w:rsidR="00561D20" w:rsidRPr="006D0AA4">
              <w:t xml:space="preserve"> and ROE</w:t>
            </w:r>
            <w:bookmarkEnd w:id="92"/>
          </w:p>
        </w:tc>
        <w:tc>
          <w:tcPr>
            <w:tcW w:w="1240" w:type="dxa"/>
            <w:vAlign w:val="bottom"/>
          </w:tcPr>
          <w:p w14:paraId="1DF56859" w14:textId="77777777" w:rsidR="00561D20" w:rsidRPr="006D0AA4" w:rsidRDefault="00561D20" w:rsidP="006D0AA4">
            <w:pPr>
              <w:spacing w:after="0" w:line="240" w:lineRule="auto"/>
              <w:rPr>
                <w:rFonts w:ascii="Times New Roman" w:hAnsi="Times New Roman"/>
                <w:sz w:val="24"/>
                <w:szCs w:val="24"/>
              </w:rPr>
            </w:pPr>
          </w:p>
        </w:tc>
        <w:tc>
          <w:tcPr>
            <w:tcW w:w="1000" w:type="dxa"/>
            <w:vAlign w:val="bottom"/>
          </w:tcPr>
          <w:p w14:paraId="6AB0D4A7" w14:textId="77777777" w:rsidR="00561D20" w:rsidRPr="006D0AA4" w:rsidRDefault="00561D20" w:rsidP="006D0AA4">
            <w:pPr>
              <w:spacing w:after="0" w:line="240" w:lineRule="auto"/>
              <w:rPr>
                <w:rFonts w:ascii="Times New Roman" w:hAnsi="Times New Roman"/>
                <w:sz w:val="24"/>
                <w:szCs w:val="24"/>
              </w:rPr>
            </w:pPr>
          </w:p>
        </w:tc>
        <w:tc>
          <w:tcPr>
            <w:tcW w:w="1640" w:type="dxa"/>
            <w:vAlign w:val="bottom"/>
          </w:tcPr>
          <w:p w14:paraId="1CDAFEF6" w14:textId="77777777" w:rsidR="00561D20" w:rsidRPr="006D0AA4" w:rsidRDefault="00561D20" w:rsidP="006D0AA4">
            <w:pPr>
              <w:spacing w:after="0" w:line="240" w:lineRule="auto"/>
              <w:rPr>
                <w:rFonts w:ascii="Times New Roman" w:hAnsi="Times New Roman"/>
                <w:sz w:val="24"/>
                <w:szCs w:val="24"/>
              </w:rPr>
            </w:pPr>
          </w:p>
        </w:tc>
        <w:tc>
          <w:tcPr>
            <w:tcW w:w="20" w:type="dxa"/>
            <w:vAlign w:val="bottom"/>
          </w:tcPr>
          <w:p w14:paraId="1873D340" w14:textId="77777777" w:rsidR="00561D20" w:rsidRPr="006D0AA4" w:rsidRDefault="00561D20" w:rsidP="006D0AA4">
            <w:pPr>
              <w:spacing w:after="0" w:line="240" w:lineRule="auto"/>
              <w:rPr>
                <w:rFonts w:ascii="Times New Roman" w:hAnsi="Times New Roman"/>
                <w:sz w:val="24"/>
                <w:szCs w:val="24"/>
              </w:rPr>
            </w:pPr>
          </w:p>
        </w:tc>
      </w:tr>
      <w:tr w:rsidR="00561D20" w:rsidRPr="006D0AA4" w14:paraId="28E8C5BB" w14:textId="77777777" w:rsidTr="001E130A">
        <w:trPr>
          <w:trHeight w:val="32"/>
        </w:trPr>
        <w:tc>
          <w:tcPr>
            <w:tcW w:w="720" w:type="dxa"/>
            <w:vAlign w:val="bottom"/>
          </w:tcPr>
          <w:p w14:paraId="6459D9B7" w14:textId="77777777" w:rsidR="00561D20" w:rsidRPr="006D0AA4" w:rsidRDefault="00561D20" w:rsidP="006D0AA4">
            <w:pPr>
              <w:spacing w:after="0" w:line="240" w:lineRule="auto"/>
              <w:rPr>
                <w:rFonts w:ascii="Times New Roman" w:hAnsi="Times New Roman"/>
                <w:sz w:val="24"/>
                <w:szCs w:val="24"/>
              </w:rPr>
            </w:pPr>
          </w:p>
        </w:tc>
        <w:tc>
          <w:tcPr>
            <w:tcW w:w="1346" w:type="dxa"/>
            <w:tcBorders>
              <w:bottom w:val="single" w:sz="8" w:space="0" w:color="7F7F7F"/>
            </w:tcBorders>
            <w:vAlign w:val="bottom"/>
          </w:tcPr>
          <w:p w14:paraId="66022416" w14:textId="77777777" w:rsidR="00561D20" w:rsidRPr="006D0AA4" w:rsidRDefault="00561D20" w:rsidP="006D0AA4">
            <w:pPr>
              <w:spacing w:after="0" w:line="240" w:lineRule="auto"/>
              <w:rPr>
                <w:rFonts w:ascii="Times New Roman" w:hAnsi="Times New Roman"/>
                <w:sz w:val="24"/>
                <w:szCs w:val="24"/>
              </w:rPr>
            </w:pPr>
          </w:p>
        </w:tc>
        <w:tc>
          <w:tcPr>
            <w:tcW w:w="2374" w:type="dxa"/>
            <w:gridSpan w:val="2"/>
            <w:tcBorders>
              <w:bottom w:val="single" w:sz="8" w:space="0" w:color="7F7F7F"/>
            </w:tcBorders>
            <w:vAlign w:val="bottom"/>
          </w:tcPr>
          <w:p w14:paraId="7B2F3B54" w14:textId="77777777" w:rsidR="00561D20" w:rsidRPr="006D0AA4" w:rsidRDefault="00561D20" w:rsidP="006D0AA4">
            <w:pPr>
              <w:spacing w:after="0" w:line="240" w:lineRule="auto"/>
              <w:rPr>
                <w:rFonts w:ascii="Times New Roman" w:hAnsi="Times New Roman"/>
                <w:sz w:val="24"/>
                <w:szCs w:val="24"/>
              </w:rPr>
            </w:pPr>
          </w:p>
        </w:tc>
        <w:tc>
          <w:tcPr>
            <w:tcW w:w="1240" w:type="dxa"/>
            <w:tcBorders>
              <w:bottom w:val="single" w:sz="8" w:space="0" w:color="7F7F7F"/>
            </w:tcBorders>
            <w:vAlign w:val="bottom"/>
          </w:tcPr>
          <w:p w14:paraId="5E03EF76" w14:textId="77777777" w:rsidR="00561D20" w:rsidRPr="006D0AA4" w:rsidRDefault="00561D20" w:rsidP="006D0AA4">
            <w:pPr>
              <w:spacing w:after="0" w:line="240" w:lineRule="auto"/>
              <w:rPr>
                <w:rFonts w:ascii="Times New Roman" w:hAnsi="Times New Roman"/>
                <w:sz w:val="24"/>
                <w:szCs w:val="24"/>
              </w:rPr>
            </w:pPr>
          </w:p>
        </w:tc>
        <w:tc>
          <w:tcPr>
            <w:tcW w:w="1000" w:type="dxa"/>
            <w:tcBorders>
              <w:bottom w:val="single" w:sz="8" w:space="0" w:color="7F7F7F"/>
            </w:tcBorders>
            <w:vAlign w:val="bottom"/>
          </w:tcPr>
          <w:p w14:paraId="58067C13" w14:textId="77777777" w:rsidR="00561D20" w:rsidRPr="006D0AA4" w:rsidRDefault="00561D20" w:rsidP="006D0AA4">
            <w:pPr>
              <w:spacing w:after="0" w:line="240" w:lineRule="auto"/>
              <w:rPr>
                <w:rFonts w:ascii="Times New Roman" w:hAnsi="Times New Roman"/>
                <w:sz w:val="24"/>
                <w:szCs w:val="24"/>
              </w:rPr>
            </w:pPr>
          </w:p>
        </w:tc>
        <w:tc>
          <w:tcPr>
            <w:tcW w:w="1640" w:type="dxa"/>
            <w:tcBorders>
              <w:bottom w:val="single" w:sz="8" w:space="0" w:color="7F7F7F"/>
            </w:tcBorders>
            <w:vAlign w:val="bottom"/>
          </w:tcPr>
          <w:p w14:paraId="0BD2C88F" w14:textId="77777777" w:rsidR="00561D20" w:rsidRPr="006D0AA4" w:rsidRDefault="00561D20" w:rsidP="006D0AA4">
            <w:pPr>
              <w:spacing w:after="0" w:line="240" w:lineRule="auto"/>
              <w:rPr>
                <w:rFonts w:ascii="Times New Roman" w:hAnsi="Times New Roman"/>
                <w:sz w:val="24"/>
                <w:szCs w:val="24"/>
              </w:rPr>
            </w:pPr>
          </w:p>
        </w:tc>
        <w:tc>
          <w:tcPr>
            <w:tcW w:w="20" w:type="dxa"/>
            <w:tcBorders>
              <w:bottom w:val="single" w:sz="8" w:space="0" w:color="7F7F7F"/>
            </w:tcBorders>
            <w:vAlign w:val="bottom"/>
          </w:tcPr>
          <w:p w14:paraId="3064DFC1" w14:textId="77777777" w:rsidR="00561D20" w:rsidRPr="006D0AA4" w:rsidRDefault="00561D20" w:rsidP="006D0AA4">
            <w:pPr>
              <w:spacing w:after="0" w:line="240" w:lineRule="auto"/>
              <w:rPr>
                <w:rFonts w:ascii="Times New Roman" w:hAnsi="Times New Roman"/>
                <w:sz w:val="24"/>
                <w:szCs w:val="24"/>
              </w:rPr>
            </w:pPr>
          </w:p>
        </w:tc>
      </w:tr>
      <w:tr w:rsidR="00561D20" w:rsidRPr="006D0AA4" w14:paraId="1A81CF16" w14:textId="77777777" w:rsidTr="001E130A">
        <w:trPr>
          <w:trHeight w:val="196"/>
        </w:trPr>
        <w:tc>
          <w:tcPr>
            <w:tcW w:w="720" w:type="dxa"/>
            <w:vAlign w:val="bottom"/>
          </w:tcPr>
          <w:p w14:paraId="04F66FE1" w14:textId="77777777" w:rsidR="00561D20" w:rsidRPr="006D0AA4" w:rsidRDefault="00561D20" w:rsidP="006D0AA4">
            <w:pPr>
              <w:spacing w:after="0" w:line="240" w:lineRule="auto"/>
              <w:rPr>
                <w:rFonts w:ascii="Times New Roman" w:hAnsi="Times New Roman"/>
                <w:sz w:val="24"/>
                <w:szCs w:val="24"/>
              </w:rPr>
            </w:pPr>
          </w:p>
        </w:tc>
        <w:tc>
          <w:tcPr>
            <w:tcW w:w="1346" w:type="dxa"/>
            <w:vAlign w:val="bottom"/>
          </w:tcPr>
          <w:p w14:paraId="7D2EAF26" w14:textId="77777777" w:rsidR="00561D20" w:rsidRPr="006D0AA4" w:rsidRDefault="00561D20" w:rsidP="006D0AA4">
            <w:pPr>
              <w:spacing w:after="0" w:line="240" w:lineRule="auto"/>
              <w:ind w:left="380"/>
              <w:rPr>
                <w:rFonts w:ascii="Times New Roman" w:hAnsi="Times New Roman"/>
                <w:sz w:val="24"/>
                <w:szCs w:val="24"/>
              </w:rPr>
            </w:pPr>
            <w:r w:rsidRPr="006D0AA4">
              <w:rPr>
                <w:rFonts w:ascii="Times New Roman" w:hAnsi="Times New Roman"/>
                <w:b/>
                <w:bCs/>
                <w:sz w:val="24"/>
                <w:szCs w:val="24"/>
              </w:rPr>
              <w:t>Model</w:t>
            </w:r>
          </w:p>
        </w:tc>
        <w:tc>
          <w:tcPr>
            <w:tcW w:w="2374" w:type="dxa"/>
            <w:gridSpan w:val="2"/>
            <w:vAlign w:val="bottom"/>
          </w:tcPr>
          <w:p w14:paraId="03024FA7" w14:textId="77777777" w:rsidR="00561D20" w:rsidRPr="006D0AA4" w:rsidRDefault="00561D20" w:rsidP="006D0AA4">
            <w:pPr>
              <w:spacing w:after="0" w:line="240" w:lineRule="auto"/>
              <w:ind w:left="680"/>
              <w:rPr>
                <w:rFonts w:ascii="Times New Roman" w:hAnsi="Times New Roman"/>
                <w:sz w:val="24"/>
                <w:szCs w:val="24"/>
              </w:rPr>
            </w:pPr>
            <w:r w:rsidRPr="006D0AA4">
              <w:rPr>
                <w:rFonts w:ascii="Times New Roman" w:hAnsi="Times New Roman"/>
                <w:sz w:val="24"/>
                <w:szCs w:val="24"/>
              </w:rPr>
              <w:t>Unstandardized  Std.</w:t>
            </w:r>
          </w:p>
        </w:tc>
        <w:tc>
          <w:tcPr>
            <w:tcW w:w="1240" w:type="dxa"/>
            <w:vAlign w:val="bottom"/>
          </w:tcPr>
          <w:p w14:paraId="0AB65D1D" w14:textId="77777777" w:rsidR="00561D20" w:rsidRPr="006D0AA4" w:rsidRDefault="00561D20" w:rsidP="006D0AA4">
            <w:pPr>
              <w:spacing w:after="0" w:line="240" w:lineRule="auto"/>
              <w:ind w:left="140"/>
              <w:rPr>
                <w:rFonts w:ascii="Times New Roman" w:hAnsi="Times New Roman"/>
                <w:sz w:val="24"/>
                <w:szCs w:val="24"/>
              </w:rPr>
            </w:pPr>
            <w:r w:rsidRPr="006D0AA4">
              <w:rPr>
                <w:rFonts w:ascii="Times New Roman" w:hAnsi="Times New Roman"/>
                <w:sz w:val="24"/>
                <w:szCs w:val="24"/>
              </w:rPr>
              <w:t>Standardized</w:t>
            </w:r>
          </w:p>
        </w:tc>
        <w:tc>
          <w:tcPr>
            <w:tcW w:w="1000" w:type="dxa"/>
            <w:vAlign w:val="bottom"/>
          </w:tcPr>
          <w:p w14:paraId="111ED1CB" w14:textId="77777777" w:rsidR="00561D20" w:rsidRPr="006D0AA4" w:rsidRDefault="00561D20" w:rsidP="006D0AA4">
            <w:pPr>
              <w:spacing w:after="0" w:line="240" w:lineRule="auto"/>
              <w:ind w:left="140"/>
              <w:rPr>
                <w:rFonts w:ascii="Times New Roman" w:hAnsi="Times New Roman"/>
                <w:sz w:val="24"/>
                <w:szCs w:val="24"/>
              </w:rPr>
            </w:pPr>
            <w:r w:rsidRPr="006D0AA4">
              <w:rPr>
                <w:rFonts w:ascii="Times New Roman" w:hAnsi="Times New Roman"/>
                <w:sz w:val="24"/>
                <w:szCs w:val="24"/>
              </w:rPr>
              <w:t xml:space="preserve">        t</w:t>
            </w:r>
          </w:p>
        </w:tc>
        <w:tc>
          <w:tcPr>
            <w:tcW w:w="1640" w:type="dxa"/>
            <w:vAlign w:val="bottom"/>
          </w:tcPr>
          <w:p w14:paraId="66632250" w14:textId="77777777" w:rsidR="00561D20" w:rsidRPr="006D0AA4" w:rsidRDefault="00561D20" w:rsidP="006D0AA4">
            <w:pPr>
              <w:spacing w:after="0" w:line="240" w:lineRule="auto"/>
              <w:ind w:left="280"/>
              <w:rPr>
                <w:rFonts w:ascii="Times New Roman" w:hAnsi="Times New Roman"/>
                <w:sz w:val="24"/>
                <w:szCs w:val="24"/>
              </w:rPr>
            </w:pPr>
            <w:r w:rsidRPr="006D0AA4">
              <w:rPr>
                <w:rFonts w:ascii="Times New Roman" w:hAnsi="Times New Roman"/>
                <w:sz w:val="24"/>
                <w:szCs w:val="24"/>
              </w:rPr>
              <w:t>Sig.</w:t>
            </w:r>
          </w:p>
        </w:tc>
        <w:tc>
          <w:tcPr>
            <w:tcW w:w="20" w:type="dxa"/>
            <w:vAlign w:val="bottom"/>
          </w:tcPr>
          <w:p w14:paraId="04285642" w14:textId="77777777" w:rsidR="00561D20" w:rsidRPr="006D0AA4" w:rsidRDefault="00561D20" w:rsidP="006D0AA4">
            <w:pPr>
              <w:spacing w:after="0" w:line="240" w:lineRule="auto"/>
              <w:rPr>
                <w:rFonts w:ascii="Times New Roman" w:hAnsi="Times New Roman"/>
                <w:sz w:val="24"/>
                <w:szCs w:val="24"/>
              </w:rPr>
            </w:pPr>
          </w:p>
        </w:tc>
      </w:tr>
      <w:tr w:rsidR="00561D20" w:rsidRPr="006D0AA4" w14:paraId="2A5F86AB" w14:textId="77777777" w:rsidTr="001E130A">
        <w:trPr>
          <w:trHeight w:val="206"/>
        </w:trPr>
        <w:tc>
          <w:tcPr>
            <w:tcW w:w="720" w:type="dxa"/>
            <w:vAlign w:val="bottom"/>
          </w:tcPr>
          <w:p w14:paraId="00F23FCF" w14:textId="77777777" w:rsidR="00561D20" w:rsidRPr="006D0AA4" w:rsidRDefault="00561D20" w:rsidP="006D0AA4">
            <w:pPr>
              <w:spacing w:after="0" w:line="240" w:lineRule="auto"/>
              <w:rPr>
                <w:rFonts w:ascii="Times New Roman" w:hAnsi="Times New Roman"/>
                <w:sz w:val="24"/>
                <w:szCs w:val="24"/>
              </w:rPr>
            </w:pPr>
          </w:p>
        </w:tc>
        <w:tc>
          <w:tcPr>
            <w:tcW w:w="1346" w:type="dxa"/>
            <w:vAlign w:val="bottom"/>
          </w:tcPr>
          <w:p w14:paraId="6886A03E" w14:textId="77777777" w:rsidR="00561D20" w:rsidRPr="006D0AA4" w:rsidRDefault="00561D20" w:rsidP="006D0AA4">
            <w:pPr>
              <w:spacing w:after="0" w:line="240" w:lineRule="auto"/>
              <w:rPr>
                <w:rFonts w:ascii="Times New Roman" w:hAnsi="Times New Roman"/>
                <w:sz w:val="24"/>
                <w:szCs w:val="24"/>
              </w:rPr>
            </w:pPr>
          </w:p>
        </w:tc>
        <w:tc>
          <w:tcPr>
            <w:tcW w:w="1614" w:type="dxa"/>
            <w:vAlign w:val="bottom"/>
          </w:tcPr>
          <w:p w14:paraId="0FBE65A3" w14:textId="77777777" w:rsidR="00561D20" w:rsidRPr="006D0AA4" w:rsidRDefault="00561D20" w:rsidP="006D0AA4">
            <w:pPr>
              <w:spacing w:after="0" w:line="240" w:lineRule="auto"/>
              <w:ind w:left="680"/>
              <w:rPr>
                <w:rFonts w:ascii="Times New Roman" w:hAnsi="Times New Roman"/>
                <w:sz w:val="24"/>
                <w:szCs w:val="24"/>
              </w:rPr>
            </w:pPr>
            <w:r w:rsidRPr="006D0AA4">
              <w:rPr>
                <w:rFonts w:ascii="Times New Roman" w:hAnsi="Times New Roman"/>
                <w:sz w:val="24"/>
                <w:szCs w:val="24"/>
              </w:rPr>
              <w:t>Coefficients</w:t>
            </w:r>
          </w:p>
        </w:tc>
        <w:tc>
          <w:tcPr>
            <w:tcW w:w="760" w:type="dxa"/>
            <w:vAlign w:val="bottom"/>
          </w:tcPr>
          <w:p w14:paraId="164DC781" w14:textId="77777777" w:rsidR="00561D20" w:rsidRPr="006D0AA4" w:rsidRDefault="00561D20" w:rsidP="006D0AA4">
            <w:pPr>
              <w:spacing w:after="0" w:line="240" w:lineRule="auto"/>
              <w:rPr>
                <w:rFonts w:ascii="Times New Roman" w:hAnsi="Times New Roman"/>
                <w:sz w:val="24"/>
                <w:szCs w:val="24"/>
              </w:rPr>
            </w:pPr>
            <w:r w:rsidRPr="006D0AA4">
              <w:rPr>
                <w:rFonts w:ascii="Times New Roman" w:hAnsi="Times New Roman"/>
                <w:sz w:val="24"/>
                <w:szCs w:val="24"/>
              </w:rPr>
              <w:t xml:space="preserve">   Error</w:t>
            </w:r>
          </w:p>
        </w:tc>
        <w:tc>
          <w:tcPr>
            <w:tcW w:w="1240" w:type="dxa"/>
            <w:vAlign w:val="bottom"/>
          </w:tcPr>
          <w:p w14:paraId="40EB5690" w14:textId="77777777" w:rsidR="00561D20" w:rsidRPr="006D0AA4" w:rsidRDefault="00561D20" w:rsidP="006D0AA4">
            <w:pPr>
              <w:spacing w:after="0" w:line="240" w:lineRule="auto"/>
              <w:jc w:val="center"/>
              <w:rPr>
                <w:rFonts w:ascii="Times New Roman" w:hAnsi="Times New Roman"/>
                <w:sz w:val="24"/>
                <w:szCs w:val="24"/>
              </w:rPr>
            </w:pPr>
            <w:r w:rsidRPr="006D0AA4">
              <w:rPr>
                <w:rFonts w:ascii="Times New Roman" w:hAnsi="Times New Roman"/>
                <w:w w:val="99"/>
                <w:sz w:val="24"/>
                <w:szCs w:val="24"/>
              </w:rPr>
              <w:t>Coefficients</w:t>
            </w:r>
          </w:p>
        </w:tc>
        <w:tc>
          <w:tcPr>
            <w:tcW w:w="1000" w:type="dxa"/>
            <w:vAlign w:val="bottom"/>
          </w:tcPr>
          <w:p w14:paraId="1F649CB8" w14:textId="77777777" w:rsidR="00561D20" w:rsidRPr="006D0AA4" w:rsidRDefault="00561D20" w:rsidP="006D0AA4">
            <w:pPr>
              <w:spacing w:after="0" w:line="240" w:lineRule="auto"/>
              <w:rPr>
                <w:rFonts w:ascii="Times New Roman" w:hAnsi="Times New Roman"/>
                <w:sz w:val="24"/>
                <w:szCs w:val="24"/>
              </w:rPr>
            </w:pPr>
          </w:p>
        </w:tc>
        <w:tc>
          <w:tcPr>
            <w:tcW w:w="1640" w:type="dxa"/>
            <w:vAlign w:val="bottom"/>
          </w:tcPr>
          <w:p w14:paraId="71DD007A" w14:textId="77777777" w:rsidR="00561D20" w:rsidRPr="006D0AA4" w:rsidRDefault="00561D20" w:rsidP="006D0AA4">
            <w:pPr>
              <w:spacing w:after="0" w:line="240" w:lineRule="auto"/>
              <w:rPr>
                <w:rFonts w:ascii="Times New Roman" w:hAnsi="Times New Roman"/>
                <w:sz w:val="24"/>
                <w:szCs w:val="24"/>
              </w:rPr>
            </w:pPr>
          </w:p>
        </w:tc>
        <w:tc>
          <w:tcPr>
            <w:tcW w:w="20" w:type="dxa"/>
            <w:vAlign w:val="bottom"/>
          </w:tcPr>
          <w:p w14:paraId="46684D05" w14:textId="77777777" w:rsidR="00561D20" w:rsidRPr="006D0AA4" w:rsidRDefault="00561D20" w:rsidP="006D0AA4">
            <w:pPr>
              <w:spacing w:after="0" w:line="240" w:lineRule="auto"/>
              <w:rPr>
                <w:rFonts w:ascii="Times New Roman" w:hAnsi="Times New Roman"/>
                <w:sz w:val="24"/>
                <w:szCs w:val="24"/>
              </w:rPr>
            </w:pPr>
          </w:p>
        </w:tc>
      </w:tr>
      <w:tr w:rsidR="00561D20" w:rsidRPr="006D0AA4" w14:paraId="6E4D850B" w14:textId="77777777" w:rsidTr="001E130A">
        <w:trPr>
          <w:trHeight w:val="206"/>
        </w:trPr>
        <w:tc>
          <w:tcPr>
            <w:tcW w:w="720" w:type="dxa"/>
            <w:vAlign w:val="bottom"/>
          </w:tcPr>
          <w:p w14:paraId="2DBE1D66" w14:textId="77777777" w:rsidR="00561D20" w:rsidRPr="006D0AA4" w:rsidRDefault="00561D20" w:rsidP="006D0AA4">
            <w:pPr>
              <w:spacing w:after="0" w:line="240" w:lineRule="auto"/>
              <w:rPr>
                <w:rFonts w:ascii="Times New Roman" w:hAnsi="Times New Roman"/>
                <w:sz w:val="24"/>
                <w:szCs w:val="24"/>
              </w:rPr>
            </w:pPr>
          </w:p>
        </w:tc>
        <w:tc>
          <w:tcPr>
            <w:tcW w:w="1346" w:type="dxa"/>
            <w:vAlign w:val="bottom"/>
          </w:tcPr>
          <w:p w14:paraId="717A8C45" w14:textId="77777777" w:rsidR="00561D20" w:rsidRPr="006D0AA4" w:rsidRDefault="00561D20" w:rsidP="006D0AA4">
            <w:pPr>
              <w:spacing w:after="0" w:line="240" w:lineRule="auto"/>
              <w:rPr>
                <w:rFonts w:ascii="Times New Roman" w:hAnsi="Times New Roman"/>
                <w:sz w:val="24"/>
                <w:szCs w:val="24"/>
              </w:rPr>
            </w:pPr>
          </w:p>
        </w:tc>
        <w:tc>
          <w:tcPr>
            <w:tcW w:w="1614" w:type="dxa"/>
            <w:vAlign w:val="bottom"/>
          </w:tcPr>
          <w:p w14:paraId="05643871" w14:textId="77777777" w:rsidR="00561D20" w:rsidRPr="006D0AA4" w:rsidRDefault="00561D20" w:rsidP="006D0AA4">
            <w:pPr>
              <w:spacing w:after="0" w:line="240" w:lineRule="auto"/>
              <w:ind w:left="680"/>
              <w:rPr>
                <w:rFonts w:ascii="Times New Roman" w:hAnsi="Times New Roman"/>
                <w:sz w:val="24"/>
                <w:szCs w:val="24"/>
              </w:rPr>
            </w:pPr>
            <w:r w:rsidRPr="006D0AA4">
              <w:rPr>
                <w:rFonts w:ascii="Times New Roman" w:hAnsi="Times New Roman"/>
                <w:sz w:val="24"/>
                <w:szCs w:val="24"/>
              </w:rPr>
              <w:t>B</w:t>
            </w:r>
          </w:p>
        </w:tc>
        <w:tc>
          <w:tcPr>
            <w:tcW w:w="760" w:type="dxa"/>
            <w:vAlign w:val="bottom"/>
          </w:tcPr>
          <w:p w14:paraId="70D606D0" w14:textId="77777777" w:rsidR="00561D20" w:rsidRPr="006D0AA4" w:rsidRDefault="00561D20" w:rsidP="006D0AA4">
            <w:pPr>
              <w:spacing w:after="0" w:line="240" w:lineRule="auto"/>
              <w:ind w:left="40"/>
              <w:rPr>
                <w:rFonts w:ascii="Times New Roman" w:hAnsi="Times New Roman"/>
                <w:sz w:val="24"/>
                <w:szCs w:val="24"/>
              </w:rPr>
            </w:pPr>
          </w:p>
        </w:tc>
        <w:tc>
          <w:tcPr>
            <w:tcW w:w="1240" w:type="dxa"/>
            <w:vAlign w:val="bottom"/>
          </w:tcPr>
          <w:p w14:paraId="5DD04981" w14:textId="77777777" w:rsidR="00561D20" w:rsidRPr="006D0AA4" w:rsidRDefault="00561D20" w:rsidP="006D0AA4">
            <w:pPr>
              <w:spacing w:after="0" w:line="240" w:lineRule="auto"/>
              <w:ind w:right="10"/>
              <w:jc w:val="center"/>
              <w:rPr>
                <w:rFonts w:ascii="Times New Roman" w:hAnsi="Times New Roman"/>
                <w:sz w:val="24"/>
                <w:szCs w:val="24"/>
              </w:rPr>
            </w:pPr>
            <w:r w:rsidRPr="006D0AA4">
              <w:rPr>
                <w:rFonts w:ascii="Times New Roman" w:hAnsi="Times New Roman"/>
                <w:sz w:val="24"/>
                <w:szCs w:val="24"/>
              </w:rPr>
              <w:t>Beta</w:t>
            </w:r>
          </w:p>
        </w:tc>
        <w:tc>
          <w:tcPr>
            <w:tcW w:w="1000" w:type="dxa"/>
            <w:vAlign w:val="bottom"/>
          </w:tcPr>
          <w:p w14:paraId="1AA0C217" w14:textId="77777777" w:rsidR="00561D20" w:rsidRPr="006D0AA4" w:rsidRDefault="00561D20" w:rsidP="006D0AA4">
            <w:pPr>
              <w:spacing w:after="0" w:line="240" w:lineRule="auto"/>
              <w:rPr>
                <w:rFonts w:ascii="Times New Roman" w:hAnsi="Times New Roman"/>
                <w:sz w:val="24"/>
                <w:szCs w:val="24"/>
              </w:rPr>
            </w:pPr>
          </w:p>
        </w:tc>
        <w:tc>
          <w:tcPr>
            <w:tcW w:w="1640" w:type="dxa"/>
            <w:vAlign w:val="bottom"/>
          </w:tcPr>
          <w:p w14:paraId="2442B93C" w14:textId="77777777" w:rsidR="00561D20" w:rsidRPr="006D0AA4" w:rsidRDefault="00561D20" w:rsidP="006D0AA4">
            <w:pPr>
              <w:spacing w:after="0" w:line="240" w:lineRule="auto"/>
              <w:rPr>
                <w:rFonts w:ascii="Times New Roman" w:hAnsi="Times New Roman"/>
                <w:sz w:val="24"/>
                <w:szCs w:val="24"/>
              </w:rPr>
            </w:pPr>
          </w:p>
        </w:tc>
        <w:tc>
          <w:tcPr>
            <w:tcW w:w="20" w:type="dxa"/>
            <w:vAlign w:val="bottom"/>
          </w:tcPr>
          <w:p w14:paraId="2EC8F436" w14:textId="77777777" w:rsidR="00561D20" w:rsidRPr="006D0AA4" w:rsidRDefault="00561D20" w:rsidP="006D0AA4">
            <w:pPr>
              <w:spacing w:after="0" w:line="240" w:lineRule="auto"/>
              <w:rPr>
                <w:rFonts w:ascii="Times New Roman" w:hAnsi="Times New Roman"/>
                <w:sz w:val="24"/>
                <w:szCs w:val="24"/>
              </w:rPr>
            </w:pPr>
          </w:p>
        </w:tc>
      </w:tr>
      <w:tr w:rsidR="00561D20" w:rsidRPr="006D0AA4" w14:paraId="502D5EFB" w14:textId="77777777" w:rsidTr="001E130A">
        <w:trPr>
          <w:trHeight w:val="209"/>
        </w:trPr>
        <w:tc>
          <w:tcPr>
            <w:tcW w:w="720" w:type="dxa"/>
            <w:vAlign w:val="bottom"/>
          </w:tcPr>
          <w:p w14:paraId="2EF5F780" w14:textId="77777777" w:rsidR="00561D20" w:rsidRPr="006D0AA4" w:rsidRDefault="00561D20" w:rsidP="006D0AA4">
            <w:pPr>
              <w:spacing w:after="0" w:line="240" w:lineRule="auto"/>
              <w:rPr>
                <w:rFonts w:ascii="Times New Roman" w:hAnsi="Times New Roman"/>
                <w:sz w:val="24"/>
                <w:szCs w:val="24"/>
              </w:rPr>
            </w:pPr>
          </w:p>
        </w:tc>
        <w:tc>
          <w:tcPr>
            <w:tcW w:w="1346" w:type="dxa"/>
            <w:vAlign w:val="bottom"/>
          </w:tcPr>
          <w:p w14:paraId="2D24B0C2" w14:textId="77777777" w:rsidR="00561D20" w:rsidRPr="006D0AA4" w:rsidRDefault="00561D20" w:rsidP="006D0AA4">
            <w:pPr>
              <w:spacing w:after="0" w:line="240" w:lineRule="auto"/>
              <w:rPr>
                <w:rFonts w:ascii="Times New Roman" w:hAnsi="Times New Roman"/>
                <w:sz w:val="24"/>
                <w:szCs w:val="24"/>
              </w:rPr>
            </w:pPr>
          </w:p>
        </w:tc>
        <w:tc>
          <w:tcPr>
            <w:tcW w:w="1614" w:type="dxa"/>
            <w:vAlign w:val="bottom"/>
          </w:tcPr>
          <w:p w14:paraId="739DD259" w14:textId="77777777" w:rsidR="00561D20" w:rsidRPr="006D0AA4" w:rsidRDefault="00561D20" w:rsidP="006D0AA4">
            <w:pPr>
              <w:spacing w:after="0" w:line="240" w:lineRule="auto"/>
              <w:rPr>
                <w:rFonts w:ascii="Times New Roman" w:hAnsi="Times New Roman"/>
                <w:sz w:val="24"/>
                <w:szCs w:val="24"/>
              </w:rPr>
            </w:pPr>
          </w:p>
        </w:tc>
        <w:tc>
          <w:tcPr>
            <w:tcW w:w="760" w:type="dxa"/>
            <w:vAlign w:val="bottom"/>
          </w:tcPr>
          <w:p w14:paraId="089B924D" w14:textId="77777777" w:rsidR="00561D20" w:rsidRPr="006D0AA4" w:rsidRDefault="00561D20" w:rsidP="006D0AA4">
            <w:pPr>
              <w:spacing w:after="0" w:line="240" w:lineRule="auto"/>
              <w:rPr>
                <w:rFonts w:ascii="Times New Roman" w:hAnsi="Times New Roman"/>
                <w:sz w:val="24"/>
                <w:szCs w:val="24"/>
              </w:rPr>
            </w:pPr>
          </w:p>
        </w:tc>
        <w:tc>
          <w:tcPr>
            <w:tcW w:w="1240" w:type="dxa"/>
            <w:vAlign w:val="bottom"/>
          </w:tcPr>
          <w:p w14:paraId="53485216" w14:textId="77777777" w:rsidR="00561D20" w:rsidRPr="006D0AA4" w:rsidRDefault="00561D20" w:rsidP="006D0AA4">
            <w:pPr>
              <w:spacing w:after="0" w:line="240" w:lineRule="auto"/>
              <w:rPr>
                <w:rFonts w:ascii="Times New Roman" w:hAnsi="Times New Roman"/>
                <w:sz w:val="24"/>
                <w:szCs w:val="24"/>
              </w:rPr>
            </w:pPr>
          </w:p>
        </w:tc>
        <w:tc>
          <w:tcPr>
            <w:tcW w:w="1000" w:type="dxa"/>
            <w:vAlign w:val="bottom"/>
          </w:tcPr>
          <w:p w14:paraId="18820616" w14:textId="77777777" w:rsidR="00561D20" w:rsidRPr="006D0AA4" w:rsidRDefault="00561D20" w:rsidP="006D0AA4">
            <w:pPr>
              <w:spacing w:after="0" w:line="240" w:lineRule="auto"/>
              <w:rPr>
                <w:rFonts w:ascii="Times New Roman" w:hAnsi="Times New Roman"/>
                <w:sz w:val="24"/>
                <w:szCs w:val="24"/>
              </w:rPr>
            </w:pPr>
          </w:p>
        </w:tc>
        <w:tc>
          <w:tcPr>
            <w:tcW w:w="1640" w:type="dxa"/>
            <w:vAlign w:val="bottom"/>
          </w:tcPr>
          <w:p w14:paraId="4F3049A4" w14:textId="77777777" w:rsidR="00561D20" w:rsidRPr="006D0AA4" w:rsidRDefault="00561D20" w:rsidP="006D0AA4">
            <w:pPr>
              <w:spacing w:after="0" w:line="240" w:lineRule="auto"/>
              <w:rPr>
                <w:rFonts w:ascii="Times New Roman" w:hAnsi="Times New Roman"/>
                <w:sz w:val="24"/>
                <w:szCs w:val="24"/>
              </w:rPr>
            </w:pPr>
          </w:p>
        </w:tc>
        <w:tc>
          <w:tcPr>
            <w:tcW w:w="20" w:type="dxa"/>
            <w:vAlign w:val="bottom"/>
          </w:tcPr>
          <w:p w14:paraId="0A85F5A5" w14:textId="77777777" w:rsidR="00561D20" w:rsidRPr="006D0AA4" w:rsidRDefault="00561D20" w:rsidP="006D0AA4">
            <w:pPr>
              <w:spacing w:after="0" w:line="240" w:lineRule="auto"/>
              <w:rPr>
                <w:rFonts w:ascii="Times New Roman" w:hAnsi="Times New Roman"/>
                <w:sz w:val="24"/>
                <w:szCs w:val="24"/>
              </w:rPr>
            </w:pPr>
          </w:p>
        </w:tc>
      </w:tr>
      <w:tr w:rsidR="00561D20" w:rsidRPr="006D0AA4" w14:paraId="4FEBFD4A" w14:textId="77777777" w:rsidTr="001E130A">
        <w:trPr>
          <w:trHeight w:val="206"/>
        </w:trPr>
        <w:tc>
          <w:tcPr>
            <w:tcW w:w="720" w:type="dxa"/>
            <w:vAlign w:val="bottom"/>
          </w:tcPr>
          <w:p w14:paraId="77A1AB2E" w14:textId="77777777" w:rsidR="00561D20" w:rsidRPr="006D0AA4" w:rsidRDefault="00561D20" w:rsidP="006D0AA4">
            <w:pPr>
              <w:spacing w:after="0" w:line="240" w:lineRule="auto"/>
              <w:rPr>
                <w:rFonts w:ascii="Times New Roman" w:hAnsi="Times New Roman"/>
                <w:sz w:val="24"/>
                <w:szCs w:val="24"/>
              </w:rPr>
            </w:pPr>
          </w:p>
        </w:tc>
        <w:tc>
          <w:tcPr>
            <w:tcW w:w="1346" w:type="dxa"/>
            <w:vAlign w:val="bottom"/>
          </w:tcPr>
          <w:p w14:paraId="1031086A" w14:textId="77777777" w:rsidR="00561D20" w:rsidRPr="006D0AA4" w:rsidRDefault="00561D20" w:rsidP="006D0AA4">
            <w:pPr>
              <w:spacing w:after="0" w:line="240" w:lineRule="auto"/>
              <w:ind w:left="340"/>
              <w:rPr>
                <w:rFonts w:ascii="Times New Roman" w:hAnsi="Times New Roman"/>
                <w:sz w:val="24"/>
                <w:szCs w:val="24"/>
              </w:rPr>
            </w:pPr>
            <w:r w:rsidRPr="006D0AA4">
              <w:rPr>
                <w:rFonts w:ascii="Times New Roman" w:hAnsi="Times New Roman"/>
                <w:sz w:val="24"/>
                <w:szCs w:val="24"/>
              </w:rPr>
              <w:t>(Constant)</w:t>
            </w:r>
          </w:p>
        </w:tc>
        <w:tc>
          <w:tcPr>
            <w:tcW w:w="1614" w:type="dxa"/>
            <w:vAlign w:val="bottom"/>
          </w:tcPr>
          <w:p w14:paraId="441C71FF" w14:textId="1BA0EE21" w:rsidR="00561D20" w:rsidRPr="006D0AA4" w:rsidRDefault="00561D20" w:rsidP="006D0AA4">
            <w:pPr>
              <w:spacing w:after="0" w:line="240" w:lineRule="auto"/>
              <w:ind w:left="680"/>
              <w:rPr>
                <w:rFonts w:ascii="Times New Roman" w:hAnsi="Times New Roman"/>
                <w:sz w:val="24"/>
                <w:szCs w:val="24"/>
              </w:rPr>
            </w:pPr>
            <w:r w:rsidRPr="006D0AA4">
              <w:rPr>
                <w:rFonts w:ascii="Times New Roman" w:hAnsi="Times New Roman"/>
                <w:sz w:val="24"/>
                <w:szCs w:val="24"/>
              </w:rPr>
              <w:t>.050</w:t>
            </w:r>
          </w:p>
        </w:tc>
        <w:tc>
          <w:tcPr>
            <w:tcW w:w="760" w:type="dxa"/>
            <w:vAlign w:val="bottom"/>
          </w:tcPr>
          <w:p w14:paraId="124E12EA" w14:textId="63D19F19" w:rsidR="00561D20" w:rsidRPr="006D0AA4" w:rsidRDefault="00561D20" w:rsidP="006D0AA4">
            <w:pPr>
              <w:spacing w:after="0" w:line="240" w:lineRule="auto"/>
              <w:ind w:left="40"/>
              <w:rPr>
                <w:rFonts w:ascii="Times New Roman" w:hAnsi="Times New Roman"/>
                <w:sz w:val="24"/>
                <w:szCs w:val="24"/>
              </w:rPr>
            </w:pPr>
            <w:r w:rsidRPr="006D0AA4">
              <w:rPr>
                <w:rFonts w:ascii="Times New Roman" w:hAnsi="Times New Roman"/>
                <w:sz w:val="24"/>
                <w:szCs w:val="24"/>
              </w:rPr>
              <w:t>.075</w:t>
            </w:r>
          </w:p>
        </w:tc>
        <w:tc>
          <w:tcPr>
            <w:tcW w:w="1240" w:type="dxa"/>
            <w:vAlign w:val="bottom"/>
          </w:tcPr>
          <w:p w14:paraId="5838553A" w14:textId="77777777" w:rsidR="00561D20" w:rsidRPr="006D0AA4" w:rsidRDefault="00561D20" w:rsidP="006D0AA4">
            <w:pPr>
              <w:spacing w:after="0" w:line="240" w:lineRule="auto"/>
              <w:rPr>
                <w:rFonts w:ascii="Times New Roman" w:hAnsi="Times New Roman"/>
                <w:sz w:val="24"/>
                <w:szCs w:val="24"/>
              </w:rPr>
            </w:pPr>
          </w:p>
        </w:tc>
        <w:tc>
          <w:tcPr>
            <w:tcW w:w="1000" w:type="dxa"/>
            <w:vAlign w:val="bottom"/>
          </w:tcPr>
          <w:p w14:paraId="042A7115" w14:textId="05AABA06" w:rsidR="00561D20" w:rsidRPr="006D0AA4" w:rsidRDefault="00F26789" w:rsidP="006D0AA4">
            <w:pPr>
              <w:spacing w:after="0" w:line="240" w:lineRule="auto"/>
              <w:ind w:left="400"/>
              <w:rPr>
                <w:rFonts w:ascii="Times New Roman" w:hAnsi="Times New Roman"/>
                <w:sz w:val="24"/>
                <w:szCs w:val="24"/>
              </w:rPr>
            </w:pPr>
            <w:r w:rsidRPr="006D0AA4">
              <w:rPr>
                <w:rFonts w:ascii="Times New Roman" w:hAnsi="Times New Roman"/>
                <w:sz w:val="24"/>
                <w:szCs w:val="24"/>
              </w:rPr>
              <w:t>.663</w:t>
            </w:r>
          </w:p>
        </w:tc>
        <w:tc>
          <w:tcPr>
            <w:tcW w:w="1640" w:type="dxa"/>
            <w:vAlign w:val="bottom"/>
          </w:tcPr>
          <w:p w14:paraId="6B40F264" w14:textId="6AD416BB" w:rsidR="00561D20" w:rsidRPr="006D0AA4" w:rsidRDefault="00F26789" w:rsidP="006D0AA4">
            <w:pPr>
              <w:spacing w:after="0" w:line="240" w:lineRule="auto"/>
              <w:ind w:left="280"/>
              <w:rPr>
                <w:rFonts w:ascii="Times New Roman" w:hAnsi="Times New Roman"/>
                <w:sz w:val="24"/>
                <w:szCs w:val="24"/>
              </w:rPr>
            </w:pPr>
            <w:r w:rsidRPr="006D0AA4">
              <w:rPr>
                <w:rFonts w:ascii="Times New Roman" w:hAnsi="Times New Roman"/>
                <w:sz w:val="24"/>
                <w:szCs w:val="24"/>
              </w:rPr>
              <w:t>.510</w:t>
            </w:r>
          </w:p>
        </w:tc>
        <w:tc>
          <w:tcPr>
            <w:tcW w:w="20" w:type="dxa"/>
            <w:vAlign w:val="bottom"/>
          </w:tcPr>
          <w:p w14:paraId="359FD646" w14:textId="77777777" w:rsidR="00561D20" w:rsidRPr="006D0AA4" w:rsidRDefault="00561D20" w:rsidP="006D0AA4">
            <w:pPr>
              <w:spacing w:after="0" w:line="240" w:lineRule="auto"/>
              <w:rPr>
                <w:rFonts w:ascii="Times New Roman" w:hAnsi="Times New Roman"/>
                <w:sz w:val="24"/>
                <w:szCs w:val="24"/>
              </w:rPr>
            </w:pPr>
          </w:p>
        </w:tc>
      </w:tr>
      <w:tr w:rsidR="00561D20" w:rsidRPr="006D0AA4" w14:paraId="4FA0CE7A" w14:textId="77777777" w:rsidTr="001E130A">
        <w:trPr>
          <w:trHeight w:val="206"/>
        </w:trPr>
        <w:tc>
          <w:tcPr>
            <w:tcW w:w="720" w:type="dxa"/>
            <w:vAlign w:val="bottom"/>
          </w:tcPr>
          <w:p w14:paraId="2B60F320" w14:textId="77777777" w:rsidR="00561D20" w:rsidRPr="006D0AA4" w:rsidRDefault="00561D20" w:rsidP="006D0AA4">
            <w:pPr>
              <w:spacing w:after="0" w:line="240" w:lineRule="auto"/>
              <w:rPr>
                <w:rFonts w:ascii="Times New Roman" w:hAnsi="Times New Roman"/>
                <w:sz w:val="24"/>
                <w:szCs w:val="24"/>
              </w:rPr>
            </w:pPr>
          </w:p>
        </w:tc>
        <w:tc>
          <w:tcPr>
            <w:tcW w:w="1346" w:type="dxa"/>
            <w:vAlign w:val="bottom"/>
          </w:tcPr>
          <w:p w14:paraId="415BD40A" w14:textId="77777777" w:rsidR="00561D20" w:rsidRPr="006D0AA4" w:rsidRDefault="00561D20" w:rsidP="006D0AA4">
            <w:pPr>
              <w:spacing w:after="0" w:line="240" w:lineRule="auto"/>
              <w:rPr>
                <w:rFonts w:ascii="Times New Roman" w:hAnsi="Times New Roman"/>
                <w:sz w:val="24"/>
                <w:szCs w:val="24"/>
              </w:rPr>
            </w:pPr>
          </w:p>
        </w:tc>
        <w:tc>
          <w:tcPr>
            <w:tcW w:w="1614" w:type="dxa"/>
            <w:vAlign w:val="bottom"/>
          </w:tcPr>
          <w:p w14:paraId="7AE24D0F" w14:textId="77777777" w:rsidR="00561D20" w:rsidRPr="006D0AA4" w:rsidRDefault="00561D20" w:rsidP="006D0AA4">
            <w:pPr>
              <w:spacing w:after="0" w:line="240" w:lineRule="auto"/>
              <w:rPr>
                <w:rFonts w:ascii="Times New Roman" w:hAnsi="Times New Roman"/>
                <w:sz w:val="24"/>
                <w:szCs w:val="24"/>
              </w:rPr>
            </w:pPr>
          </w:p>
        </w:tc>
        <w:tc>
          <w:tcPr>
            <w:tcW w:w="760" w:type="dxa"/>
            <w:vAlign w:val="bottom"/>
          </w:tcPr>
          <w:p w14:paraId="56B338F3" w14:textId="77777777" w:rsidR="00561D20" w:rsidRPr="006D0AA4" w:rsidRDefault="00561D20" w:rsidP="006D0AA4">
            <w:pPr>
              <w:spacing w:after="0" w:line="240" w:lineRule="auto"/>
              <w:rPr>
                <w:rFonts w:ascii="Times New Roman" w:hAnsi="Times New Roman"/>
                <w:sz w:val="24"/>
                <w:szCs w:val="24"/>
              </w:rPr>
            </w:pPr>
          </w:p>
        </w:tc>
        <w:tc>
          <w:tcPr>
            <w:tcW w:w="1240" w:type="dxa"/>
            <w:vAlign w:val="bottom"/>
          </w:tcPr>
          <w:p w14:paraId="349CAFE6" w14:textId="77777777" w:rsidR="00561D20" w:rsidRPr="006D0AA4" w:rsidRDefault="00561D20" w:rsidP="006D0AA4">
            <w:pPr>
              <w:spacing w:after="0" w:line="240" w:lineRule="auto"/>
              <w:rPr>
                <w:rFonts w:ascii="Times New Roman" w:hAnsi="Times New Roman"/>
                <w:sz w:val="24"/>
                <w:szCs w:val="24"/>
              </w:rPr>
            </w:pPr>
          </w:p>
        </w:tc>
        <w:tc>
          <w:tcPr>
            <w:tcW w:w="1000" w:type="dxa"/>
            <w:vAlign w:val="bottom"/>
          </w:tcPr>
          <w:p w14:paraId="7A14DA6D" w14:textId="77777777" w:rsidR="00561D20" w:rsidRPr="006D0AA4" w:rsidRDefault="00561D20" w:rsidP="006D0AA4">
            <w:pPr>
              <w:spacing w:after="0" w:line="240" w:lineRule="auto"/>
              <w:rPr>
                <w:rFonts w:ascii="Times New Roman" w:hAnsi="Times New Roman"/>
                <w:sz w:val="24"/>
                <w:szCs w:val="24"/>
              </w:rPr>
            </w:pPr>
          </w:p>
        </w:tc>
        <w:tc>
          <w:tcPr>
            <w:tcW w:w="1640" w:type="dxa"/>
            <w:vAlign w:val="bottom"/>
          </w:tcPr>
          <w:p w14:paraId="0D0C7991" w14:textId="77777777" w:rsidR="00561D20" w:rsidRPr="006D0AA4" w:rsidRDefault="00561D20" w:rsidP="006D0AA4">
            <w:pPr>
              <w:spacing w:after="0" w:line="240" w:lineRule="auto"/>
              <w:rPr>
                <w:rFonts w:ascii="Times New Roman" w:hAnsi="Times New Roman"/>
                <w:sz w:val="24"/>
                <w:szCs w:val="24"/>
              </w:rPr>
            </w:pPr>
          </w:p>
        </w:tc>
        <w:tc>
          <w:tcPr>
            <w:tcW w:w="20" w:type="dxa"/>
            <w:vAlign w:val="bottom"/>
          </w:tcPr>
          <w:p w14:paraId="32A06DCB" w14:textId="77777777" w:rsidR="00561D20" w:rsidRPr="006D0AA4" w:rsidRDefault="00561D20" w:rsidP="006D0AA4">
            <w:pPr>
              <w:spacing w:after="0" w:line="240" w:lineRule="auto"/>
              <w:rPr>
                <w:rFonts w:ascii="Times New Roman" w:hAnsi="Times New Roman"/>
                <w:sz w:val="24"/>
                <w:szCs w:val="24"/>
              </w:rPr>
            </w:pPr>
          </w:p>
        </w:tc>
      </w:tr>
      <w:tr w:rsidR="00561D20" w:rsidRPr="006D0AA4" w14:paraId="56AE0022" w14:textId="77777777" w:rsidTr="001E130A">
        <w:trPr>
          <w:trHeight w:val="206"/>
        </w:trPr>
        <w:tc>
          <w:tcPr>
            <w:tcW w:w="720" w:type="dxa"/>
            <w:vAlign w:val="bottom"/>
          </w:tcPr>
          <w:p w14:paraId="671DEDF8" w14:textId="77777777" w:rsidR="00561D20" w:rsidRPr="006D0AA4" w:rsidRDefault="00561D20" w:rsidP="006D0AA4">
            <w:pPr>
              <w:spacing w:after="0" w:line="240" w:lineRule="auto"/>
              <w:rPr>
                <w:rFonts w:ascii="Times New Roman" w:hAnsi="Times New Roman"/>
                <w:sz w:val="24"/>
                <w:szCs w:val="24"/>
              </w:rPr>
            </w:pPr>
          </w:p>
        </w:tc>
        <w:tc>
          <w:tcPr>
            <w:tcW w:w="1346" w:type="dxa"/>
            <w:vAlign w:val="bottom"/>
          </w:tcPr>
          <w:p w14:paraId="023F2029" w14:textId="7559EE67" w:rsidR="00561D20" w:rsidRPr="006D0AA4" w:rsidRDefault="00561D20" w:rsidP="006D0AA4">
            <w:pPr>
              <w:spacing w:after="0" w:line="240" w:lineRule="auto"/>
              <w:ind w:left="340"/>
              <w:rPr>
                <w:rFonts w:ascii="Times New Roman" w:hAnsi="Times New Roman"/>
                <w:sz w:val="24"/>
                <w:szCs w:val="24"/>
              </w:rPr>
            </w:pPr>
            <w:r w:rsidRPr="006D0AA4">
              <w:rPr>
                <w:rFonts w:ascii="Times New Roman" w:hAnsi="Times New Roman"/>
                <w:sz w:val="24"/>
                <w:szCs w:val="24"/>
              </w:rPr>
              <w:t xml:space="preserve">Asset Tangibility </w:t>
            </w:r>
          </w:p>
        </w:tc>
        <w:tc>
          <w:tcPr>
            <w:tcW w:w="1614" w:type="dxa"/>
            <w:vAlign w:val="bottom"/>
          </w:tcPr>
          <w:p w14:paraId="4AC168EF" w14:textId="1D41BD65" w:rsidR="00561D20" w:rsidRPr="006D0AA4" w:rsidRDefault="00F26789" w:rsidP="006D0AA4">
            <w:pPr>
              <w:spacing w:after="0" w:line="240" w:lineRule="auto"/>
              <w:ind w:left="680"/>
              <w:rPr>
                <w:rFonts w:ascii="Times New Roman" w:hAnsi="Times New Roman"/>
                <w:sz w:val="24"/>
                <w:szCs w:val="24"/>
              </w:rPr>
            </w:pPr>
            <w:r w:rsidRPr="006D0AA4">
              <w:rPr>
                <w:rFonts w:ascii="Times New Roman" w:hAnsi="Times New Roman"/>
                <w:sz w:val="24"/>
                <w:szCs w:val="24"/>
              </w:rPr>
              <w:t>-</w:t>
            </w:r>
            <w:r w:rsidR="00561D20" w:rsidRPr="006D0AA4">
              <w:rPr>
                <w:rFonts w:ascii="Times New Roman" w:hAnsi="Times New Roman"/>
                <w:sz w:val="24"/>
                <w:szCs w:val="24"/>
              </w:rPr>
              <w:t>.027</w:t>
            </w:r>
          </w:p>
        </w:tc>
        <w:tc>
          <w:tcPr>
            <w:tcW w:w="760" w:type="dxa"/>
            <w:vAlign w:val="bottom"/>
          </w:tcPr>
          <w:p w14:paraId="78E380D3" w14:textId="598F9E6C" w:rsidR="00561D20" w:rsidRPr="006D0AA4" w:rsidRDefault="00561D20" w:rsidP="006D0AA4">
            <w:pPr>
              <w:spacing w:after="0" w:line="240" w:lineRule="auto"/>
              <w:ind w:left="40"/>
              <w:rPr>
                <w:rFonts w:ascii="Times New Roman" w:hAnsi="Times New Roman"/>
                <w:sz w:val="24"/>
                <w:szCs w:val="24"/>
              </w:rPr>
            </w:pPr>
            <w:r w:rsidRPr="006D0AA4">
              <w:rPr>
                <w:rFonts w:ascii="Times New Roman" w:hAnsi="Times New Roman"/>
                <w:sz w:val="24"/>
                <w:szCs w:val="24"/>
              </w:rPr>
              <w:t>.119</w:t>
            </w:r>
          </w:p>
        </w:tc>
        <w:tc>
          <w:tcPr>
            <w:tcW w:w="1240" w:type="dxa"/>
            <w:vAlign w:val="bottom"/>
          </w:tcPr>
          <w:p w14:paraId="4AD213FD" w14:textId="344ED05B" w:rsidR="00561D20" w:rsidRPr="006D0AA4" w:rsidRDefault="00F26789" w:rsidP="006D0AA4">
            <w:pPr>
              <w:spacing w:after="0" w:line="240" w:lineRule="auto"/>
              <w:jc w:val="center"/>
              <w:rPr>
                <w:rFonts w:ascii="Times New Roman" w:hAnsi="Times New Roman"/>
                <w:sz w:val="24"/>
                <w:szCs w:val="24"/>
              </w:rPr>
            </w:pPr>
            <w:r w:rsidRPr="006D0AA4">
              <w:rPr>
                <w:rFonts w:ascii="Times New Roman" w:hAnsi="Times New Roman"/>
                <w:sz w:val="24"/>
                <w:szCs w:val="24"/>
              </w:rPr>
              <w:t>-.033</w:t>
            </w:r>
          </w:p>
        </w:tc>
        <w:tc>
          <w:tcPr>
            <w:tcW w:w="1000" w:type="dxa"/>
            <w:vAlign w:val="bottom"/>
          </w:tcPr>
          <w:p w14:paraId="7855BC21" w14:textId="2FDA8025" w:rsidR="00561D20" w:rsidRPr="006D0AA4" w:rsidRDefault="00F26789" w:rsidP="006D0AA4">
            <w:pPr>
              <w:spacing w:after="0" w:line="240" w:lineRule="auto"/>
              <w:ind w:left="400"/>
              <w:rPr>
                <w:rFonts w:ascii="Times New Roman" w:hAnsi="Times New Roman"/>
                <w:sz w:val="24"/>
                <w:szCs w:val="24"/>
              </w:rPr>
            </w:pPr>
            <w:r w:rsidRPr="006D0AA4">
              <w:rPr>
                <w:rFonts w:ascii="Times New Roman" w:hAnsi="Times New Roman"/>
                <w:sz w:val="24"/>
                <w:szCs w:val="24"/>
              </w:rPr>
              <w:t>-.230</w:t>
            </w:r>
          </w:p>
        </w:tc>
        <w:tc>
          <w:tcPr>
            <w:tcW w:w="1640" w:type="dxa"/>
            <w:vAlign w:val="bottom"/>
          </w:tcPr>
          <w:p w14:paraId="0C1F3B6C" w14:textId="6BFE509C" w:rsidR="00561D20" w:rsidRPr="006D0AA4" w:rsidRDefault="00561D20" w:rsidP="006D0AA4">
            <w:pPr>
              <w:spacing w:after="0" w:line="240" w:lineRule="auto"/>
              <w:ind w:left="280"/>
              <w:rPr>
                <w:rFonts w:ascii="Times New Roman" w:hAnsi="Times New Roman"/>
                <w:sz w:val="24"/>
                <w:szCs w:val="24"/>
              </w:rPr>
            </w:pPr>
            <w:r w:rsidRPr="006D0AA4">
              <w:rPr>
                <w:rFonts w:ascii="Times New Roman" w:hAnsi="Times New Roman"/>
                <w:sz w:val="24"/>
                <w:szCs w:val="24"/>
              </w:rPr>
              <w:t>.</w:t>
            </w:r>
            <w:r w:rsidR="00F26789" w:rsidRPr="006D0AA4">
              <w:rPr>
                <w:rFonts w:ascii="Times New Roman" w:hAnsi="Times New Roman"/>
                <w:sz w:val="24"/>
                <w:szCs w:val="24"/>
              </w:rPr>
              <w:t>819</w:t>
            </w:r>
          </w:p>
        </w:tc>
        <w:tc>
          <w:tcPr>
            <w:tcW w:w="20" w:type="dxa"/>
            <w:vAlign w:val="bottom"/>
          </w:tcPr>
          <w:p w14:paraId="25375469" w14:textId="77777777" w:rsidR="00561D20" w:rsidRPr="006D0AA4" w:rsidRDefault="00561D20" w:rsidP="006D0AA4">
            <w:pPr>
              <w:spacing w:after="0" w:line="240" w:lineRule="auto"/>
              <w:rPr>
                <w:rFonts w:ascii="Times New Roman" w:hAnsi="Times New Roman"/>
                <w:sz w:val="24"/>
                <w:szCs w:val="24"/>
              </w:rPr>
            </w:pPr>
          </w:p>
        </w:tc>
      </w:tr>
      <w:tr w:rsidR="00561D20" w:rsidRPr="006D0AA4" w14:paraId="442C14B5" w14:textId="77777777" w:rsidTr="001E130A">
        <w:trPr>
          <w:trHeight w:val="209"/>
        </w:trPr>
        <w:tc>
          <w:tcPr>
            <w:tcW w:w="720" w:type="dxa"/>
            <w:vAlign w:val="bottom"/>
          </w:tcPr>
          <w:p w14:paraId="6C47F6D5" w14:textId="77777777" w:rsidR="00561D20" w:rsidRPr="006D0AA4" w:rsidRDefault="00561D20" w:rsidP="006D0AA4">
            <w:pPr>
              <w:spacing w:after="0" w:line="240" w:lineRule="auto"/>
              <w:rPr>
                <w:rFonts w:ascii="Times New Roman" w:hAnsi="Times New Roman"/>
                <w:sz w:val="24"/>
                <w:szCs w:val="24"/>
              </w:rPr>
            </w:pPr>
          </w:p>
        </w:tc>
        <w:tc>
          <w:tcPr>
            <w:tcW w:w="1346" w:type="dxa"/>
            <w:vAlign w:val="bottom"/>
          </w:tcPr>
          <w:p w14:paraId="1FD54B75" w14:textId="77777777" w:rsidR="00561D20" w:rsidRPr="006D0AA4" w:rsidRDefault="00561D20" w:rsidP="006D0AA4">
            <w:pPr>
              <w:spacing w:after="0" w:line="240" w:lineRule="auto"/>
              <w:rPr>
                <w:rFonts w:ascii="Times New Roman" w:hAnsi="Times New Roman"/>
                <w:sz w:val="24"/>
                <w:szCs w:val="24"/>
              </w:rPr>
            </w:pPr>
          </w:p>
        </w:tc>
        <w:tc>
          <w:tcPr>
            <w:tcW w:w="1614" w:type="dxa"/>
            <w:vAlign w:val="bottom"/>
          </w:tcPr>
          <w:p w14:paraId="54BC8791" w14:textId="77777777" w:rsidR="00561D20" w:rsidRPr="006D0AA4" w:rsidRDefault="00561D20" w:rsidP="006D0AA4">
            <w:pPr>
              <w:spacing w:after="0" w:line="240" w:lineRule="auto"/>
              <w:rPr>
                <w:rFonts w:ascii="Times New Roman" w:hAnsi="Times New Roman"/>
                <w:color w:val="FF0000"/>
                <w:sz w:val="24"/>
                <w:szCs w:val="24"/>
              </w:rPr>
            </w:pPr>
          </w:p>
        </w:tc>
        <w:tc>
          <w:tcPr>
            <w:tcW w:w="760" w:type="dxa"/>
            <w:vAlign w:val="bottom"/>
          </w:tcPr>
          <w:p w14:paraId="5FA9AB21" w14:textId="77777777" w:rsidR="00561D20" w:rsidRPr="006D0AA4" w:rsidRDefault="00561D20" w:rsidP="006D0AA4">
            <w:pPr>
              <w:spacing w:after="0" w:line="240" w:lineRule="auto"/>
              <w:rPr>
                <w:rFonts w:ascii="Times New Roman" w:hAnsi="Times New Roman"/>
                <w:color w:val="FF0000"/>
                <w:sz w:val="24"/>
                <w:szCs w:val="24"/>
              </w:rPr>
            </w:pPr>
          </w:p>
        </w:tc>
        <w:tc>
          <w:tcPr>
            <w:tcW w:w="1240" w:type="dxa"/>
            <w:vAlign w:val="bottom"/>
          </w:tcPr>
          <w:p w14:paraId="0B16E895" w14:textId="77777777" w:rsidR="00561D20" w:rsidRPr="006D0AA4" w:rsidRDefault="00561D20" w:rsidP="006D0AA4">
            <w:pPr>
              <w:spacing w:after="0" w:line="240" w:lineRule="auto"/>
              <w:rPr>
                <w:rFonts w:ascii="Times New Roman" w:hAnsi="Times New Roman"/>
                <w:color w:val="FF0000"/>
                <w:sz w:val="24"/>
                <w:szCs w:val="24"/>
              </w:rPr>
            </w:pPr>
          </w:p>
        </w:tc>
        <w:tc>
          <w:tcPr>
            <w:tcW w:w="1000" w:type="dxa"/>
            <w:vAlign w:val="bottom"/>
          </w:tcPr>
          <w:p w14:paraId="08E55C92" w14:textId="77777777" w:rsidR="00561D20" w:rsidRPr="006D0AA4" w:rsidRDefault="00561D20" w:rsidP="006D0AA4">
            <w:pPr>
              <w:spacing w:after="0" w:line="240" w:lineRule="auto"/>
              <w:rPr>
                <w:rFonts w:ascii="Times New Roman" w:hAnsi="Times New Roman"/>
                <w:color w:val="FF0000"/>
                <w:sz w:val="24"/>
                <w:szCs w:val="24"/>
              </w:rPr>
            </w:pPr>
          </w:p>
        </w:tc>
        <w:tc>
          <w:tcPr>
            <w:tcW w:w="1640" w:type="dxa"/>
            <w:vAlign w:val="bottom"/>
          </w:tcPr>
          <w:p w14:paraId="621D089B" w14:textId="77777777" w:rsidR="00561D20" w:rsidRPr="006D0AA4" w:rsidRDefault="00561D20" w:rsidP="006D0AA4">
            <w:pPr>
              <w:spacing w:after="0" w:line="240" w:lineRule="auto"/>
              <w:rPr>
                <w:rFonts w:ascii="Times New Roman" w:hAnsi="Times New Roman"/>
                <w:color w:val="FF0000"/>
                <w:sz w:val="24"/>
                <w:szCs w:val="24"/>
              </w:rPr>
            </w:pPr>
          </w:p>
        </w:tc>
        <w:tc>
          <w:tcPr>
            <w:tcW w:w="20" w:type="dxa"/>
            <w:vAlign w:val="bottom"/>
          </w:tcPr>
          <w:p w14:paraId="0EE00BA9" w14:textId="77777777" w:rsidR="00561D20" w:rsidRPr="006D0AA4" w:rsidRDefault="00561D20" w:rsidP="006D0AA4">
            <w:pPr>
              <w:spacing w:after="0" w:line="240" w:lineRule="auto"/>
              <w:rPr>
                <w:rFonts w:ascii="Times New Roman" w:hAnsi="Times New Roman"/>
                <w:sz w:val="24"/>
                <w:szCs w:val="24"/>
              </w:rPr>
            </w:pPr>
          </w:p>
        </w:tc>
      </w:tr>
      <w:tr w:rsidR="00561D20" w:rsidRPr="006D0AA4" w14:paraId="25EEC0B2" w14:textId="77777777" w:rsidTr="001E130A">
        <w:trPr>
          <w:trHeight w:val="206"/>
        </w:trPr>
        <w:tc>
          <w:tcPr>
            <w:tcW w:w="720" w:type="dxa"/>
            <w:vAlign w:val="bottom"/>
          </w:tcPr>
          <w:p w14:paraId="6A233413" w14:textId="77777777" w:rsidR="00561D20" w:rsidRPr="006D0AA4" w:rsidRDefault="00561D20" w:rsidP="006D0AA4">
            <w:pPr>
              <w:spacing w:after="0" w:line="240" w:lineRule="auto"/>
              <w:rPr>
                <w:rFonts w:ascii="Times New Roman" w:hAnsi="Times New Roman"/>
                <w:sz w:val="24"/>
                <w:szCs w:val="24"/>
              </w:rPr>
            </w:pPr>
          </w:p>
        </w:tc>
        <w:tc>
          <w:tcPr>
            <w:tcW w:w="1346" w:type="dxa"/>
            <w:vAlign w:val="bottom"/>
          </w:tcPr>
          <w:p w14:paraId="6391B250" w14:textId="77777777" w:rsidR="00561D20" w:rsidRPr="006D0AA4" w:rsidRDefault="00561D20" w:rsidP="006D0AA4">
            <w:pPr>
              <w:spacing w:after="0" w:line="240" w:lineRule="auto"/>
              <w:rPr>
                <w:rFonts w:ascii="Times New Roman" w:hAnsi="Times New Roman"/>
                <w:sz w:val="24"/>
                <w:szCs w:val="24"/>
              </w:rPr>
            </w:pPr>
          </w:p>
        </w:tc>
        <w:tc>
          <w:tcPr>
            <w:tcW w:w="1614" w:type="dxa"/>
            <w:vAlign w:val="bottom"/>
          </w:tcPr>
          <w:p w14:paraId="6772991A" w14:textId="77777777" w:rsidR="00561D20" w:rsidRPr="006D0AA4" w:rsidRDefault="00561D20" w:rsidP="006D0AA4">
            <w:pPr>
              <w:spacing w:after="0" w:line="240" w:lineRule="auto"/>
              <w:rPr>
                <w:rFonts w:ascii="Times New Roman" w:hAnsi="Times New Roman"/>
                <w:color w:val="FF0000"/>
                <w:sz w:val="24"/>
                <w:szCs w:val="24"/>
              </w:rPr>
            </w:pPr>
          </w:p>
        </w:tc>
        <w:tc>
          <w:tcPr>
            <w:tcW w:w="760" w:type="dxa"/>
            <w:vAlign w:val="bottom"/>
          </w:tcPr>
          <w:p w14:paraId="326865D2" w14:textId="77777777" w:rsidR="00561D20" w:rsidRPr="006D0AA4" w:rsidRDefault="00561D20" w:rsidP="006D0AA4">
            <w:pPr>
              <w:spacing w:after="0" w:line="240" w:lineRule="auto"/>
              <w:rPr>
                <w:rFonts w:ascii="Times New Roman" w:hAnsi="Times New Roman"/>
                <w:color w:val="FF0000"/>
                <w:sz w:val="24"/>
                <w:szCs w:val="24"/>
              </w:rPr>
            </w:pPr>
          </w:p>
        </w:tc>
        <w:tc>
          <w:tcPr>
            <w:tcW w:w="1240" w:type="dxa"/>
            <w:vAlign w:val="bottom"/>
          </w:tcPr>
          <w:p w14:paraId="6A16E7ED" w14:textId="77777777" w:rsidR="00561D20" w:rsidRPr="006D0AA4" w:rsidRDefault="00561D20" w:rsidP="006D0AA4">
            <w:pPr>
              <w:spacing w:after="0" w:line="240" w:lineRule="auto"/>
              <w:rPr>
                <w:rFonts w:ascii="Times New Roman" w:hAnsi="Times New Roman"/>
                <w:color w:val="FF0000"/>
                <w:sz w:val="24"/>
                <w:szCs w:val="24"/>
              </w:rPr>
            </w:pPr>
          </w:p>
        </w:tc>
        <w:tc>
          <w:tcPr>
            <w:tcW w:w="1000" w:type="dxa"/>
            <w:vAlign w:val="bottom"/>
          </w:tcPr>
          <w:p w14:paraId="0BCC699C" w14:textId="77777777" w:rsidR="00561D20" w:rsidRPr="006D0AA4" w:rsidRDefault="00561D20" w:rsidP="006D0AA4">
            <w:pPr>
              <w:spacing w:after="0" w:line="240" w:lineRule="auto"/>
              <w:rPr>
                <w:rFonts w:ascii="Times New Roman" w:hAnsi="Times New Roman"/>
                <w:color w:val="FF0000"/>
                <w:sz w:val="24"/>
                <w:szCs w:val="24"/>
              </w:rPr>
            </w:pPr>
          </w:p>
        </w:tc>
        <w:tc>
          <w:tcPr>
            <w:tcW w:w="1640" w:type="dxa"/>
            <w:vAlign w:val="bottom"/>
          </w:tcPr>
          <w:p w14:paraId="3BFC3879" w14:textId="77777777" w:rsidR="00561D20" w:rsidRPr="006D0AA4" w:rsidRDefault="00561D20" w:rsidP="006D0AA4">
            <w:pPr>
              <w:spacing w:after="0" w:line="240" w:lineRule="auto"/>
              <w:rPr>
                <w:rFonts w:ascii="Times New Roman" w:hAnsi="Times New Roman"/>
                <w:color w:val="FF0000"/>
                <w:sz w:val="24"/>
                <w:szCs w:val="24"/>
              </w:rPr>
            </w:pPr>
          </w:p>
        </w:tc>
        <w:tc>
          <w:tcPr>
            <w:tcW w:w="20" w:type="dxa"/>
            <w:vAlign w:val="bottom"/>
          </w:tcPr>
          <w:p w14:paraId="560F59A4" w14:textId="77777777" w:rsidR="00561D20" w:rsidRPr="006D0AA4" w:rsidRDefault="00561D20" w:rsidP="006D0AA4">
            <w:pPr>
              <w:spacing w:after="0" w:line="240" w:lineRule="auto"/>
              <w:rPr>
                <w:rFonts w:ascii="Times New Roman" w:hAnsi="Times New Roman"/>
                <w:sz w:val="24"/>
                <w:szCs w:val="24"/>
              </w:rPr>
            </w:pPr>
          </w:p>
        </w:tc>
      </w:tr>
    </w:tbl>
    <w:p w14:paraId="53633784" w14:textId="77777777" w:rsidR="00561D20" w:rsidRPr="006D0AA4" w:rsidRDefault="00561D20" w:rsidP="006D0AA4">
      <w:pPr>
        <w:spacing w:after="0" w:line="240" w:lineRule="auto"/>
        <w:rPr>
          <w:rFonts w:ascii="Times New Roman" w:hAnsi="Times New Roman"/>
          <w:sz w:val="24"/>
          <w:szCs w:val="24"/>
        </w:rPr>
      </w:pPr>
    </w:p>
    <w:tbl>
      <w:tblPr>
        <w:tblW w:w="8320" w:type="dxa"/>
        <w:tblInd w:w="4" w:type="dxa"/>
        <w:tblLayout w:type="fixed"/>
        <w:tblCellMar>
          <w:left w:w="0" w:type="dxa"/>
          <w:right w:w="0" w:type="dxa"/>
        </w:tblCellMar>
        <w:tblLook w:val="04A0" w:firstRow="1" w:lastRow="0" w:firstColumn="1" w:lastColumn="0" w:noHBand="0" w:noVBand="1"/>
      </w:tblPr>
      <w:tblGrid>
        <w:gridCol w:w="700"/>
        <w:gridCol w:w="260"/>
        <w:gridCol w:w="5020"/>
        <w:gridCol w:w="2340"/>
      </w:tblGrid>
      <w:tr w:rsidR="00561D20" w:rsidRPr="006D0AA4" w14:paraId="14D4B125" w14:textId="77777777" w:rsidTr="001E130A">
        <w:trPr>
          <w:trHeight w:val="206"/>
        </w:trPr>
        <w:tc>
          <w:tcPr>
            <w:tcW w:w="700" w:type="dxa"/>
            <w:vAlign w:val="bottom"/>
          </w:tcPr>
          <w:p w14:paraId="2055AE67" w14:textId="77777777" w:rsidR="00561D20" w:rsidRPr="006D0AA4" w:rsidRDefault="00561D20" w:rsidP="006D0AA4">
            <w:pPr>
              <w:spacing w:after="0" w:line="240" w:lineRule="auto"/>
              <w:rPr>
                <w:rFonts w:ascii="Times New Roman" w:hAnsi="Times New Roman"/>
                <w:sz w:val="24"/>
                <w:szCs w:val="24"/>
              </w:rPr>
            </w:pPr>
          </w:p>
        </w:tc>
        <w:tc>
          <w:tcPr>
            <w:tcW w:w="260" w:type="dxa"/>
            <w:vAlign w:val="bottom"/>
          </w:tcPr>
          <w:p w14:paraId="12106B08" w14:textId="77777777" w:rsidR="00561D20" w:rsidRPr="006D0AA4" w:rsidRDefault="00561D20" w:rsidP="006D0AA4">
            <w:pPr>
              <w:spacing w:after="0" w:line="240" w:lineRule="auto"/>
              <w:rPr>
                <w:rFonts w:ascii="Times New Roman" w:hAnsi="Times New Roman"/>
                <w:sz w:val="24"/>
                <w:szCs w:val="24"/>
              </w:rPr>
            </w:pPr>
          </w:p>
        </w:tc>
        <w:tc>
          <w:tcPr>
            <w:tcW w:w="5020" w:type="dxa"/>
            <w:vAlign w:val="bottom"/>
          </w:tcPr>
          <w:p w14:paraId="1AE6BB92" w14:textId="77777777" w:rsidR="00561D20" w:rsidRPr="006D0AA4" w:rsidRDefault="00561D20" w:rsidP="006D0AA4">
            <w:pPr>
              <w:spacing w:after="0" w:line="240" w:lineRule="auto"/>
              <w:ind w:left="100"/>
              <w:rPr>
                <w:rFonts w:ascii="Times New Roman" w:hAnsi="Times New Roman"/>
                <w:sz w:val="24"/>
                <w:szCs w:val="24"/>
              </w:rPr>
            </w:pPr>
            <w:r w:rsidRPr="006D0AA4">
              <w:rPr>
                <w:rFonts w:ascii="Times New Roman" w:hAnsi="Times New Roman"/>
                <w:sz w:val="24"/>
                <w:szCs w:val="24"/>
              </w:rPr>
              <w:t>R square</w:t>
            </w:r>
          </w:p>
        </w:tc>
        <w:tc>
          <w:tcPr>
            <w:tcW w:w="2340" w:type="dxa"/>
            <w:vAlign w:val="bottom"/>
          </w:tcPr>
          <w:p w14:paraId="20B68338" w14:textId="2FC3ABAC" w:rsidR="00561D20" w:rsidRPr="006D0AA4" w:rsidRDefault="00F26789" w:rsidP="006D0AA4">
            <w:pPr>
              <w:spacing w:after="0" w:line="240" w:lineRule="auto"/>
              <w:ind w:right="90"/>
              <w:jc w:val="center"/>
              <w:rPr>
                <w:rFonts w:ascii="Times New Roman" w:hAnsi="Times New Roman"/>
                <w:sz w:val="24"/>
                <w:szCs w:val="24"/>
              </w:rPr>
            </w:pPr>
            <w:r w:rsidRPr="006D0AA4">
              <w:rPr>
                <w:rFonts w:ascii="Times New Roman" w:hAnsi="Times New Roman"/>
                <w:sz w:val="24"/>
                <w:szCs w:val="24"/>
              </w:rPr>
              <w:t>.001</w:t>
            </w:r>
          </w:p>
        </w:tc>
      </w:tr>
      <w:tr w:rsidR="00561D20" w:rsidRPr="006D0AA4" w14:paraId="3FC21F85" w14:textId="77777777" w:rsidTr="001E130A">
        <w:trPr>
          <w:trHeight w:val="351"/>
        </w:trPr>
        <w:tc>
          <w:tcPr>
            <w:tcW w:w="700" w:type="dxa"/>
            <w:vAlign w:val="bottom"/>
          </w:tcPr>
          <w:p w14:paraId="3E9C9BF4" w14:textId="77777777" w:rsidR="00561D20" w:rsidRPr="006D0AA4" w:rsidRDefault="00561D20" w:rsidP="006D0AA4">
            <w:pPr>
              <w:spacing w:after="0" w:line="240" w:lineRule="auto"/>
              <w:rPr>
                <w:rFonts w:ascii="Times New Roman" w:hAnsi="Times New Roman"/>
                <w:sz w:val="24"/>
                <w:szCs w:val="24"/>
              </w:rPr>
            </w:pPr>
          </w:p>
        </w:tc>
        <w:tc>
          <w:tcPr>
            <w:tcW w:w="260" w:type="dxa"/>
            <w:vAlign w:val="bottom"/>
          </w:tcPr>
          <w:p w14:paraId="1917AC5F" w14:textId="77777777" w:rsidR="00561D20" w:rsidRPr="006D0AA4" w:rsidRDefault="00561D20" w:rsidP="006D0AA4">
            <w:pPr>
              <w:spacing w:after="0" w:line="240" w:lineRule="auto"/>
              <w:ind w:left="40"/>
              <w:rPr>
                <w:rFonts w:ascii="Times New Roman" w:hAnsi="Times New Roman"/>
                <w:sz w:val="24"/>
                <w:szCs w:val="24"/>
              </w:rPr>
            </w:pPr>
            <w:r w:rsidRPr="006D0AA4">
              <w:rPr>
                <w:rFonts w:ascii="Times New Roman" w:hAnsi="Times New Roman"/>
                <w:b/>
                <w:bCs/>
                <w:sz w:val="24"/>
                <w:szCs w:val="24"/>
              </w:rPr>
              <w:t>a.</w:t>
            </w:r>
          </w:p>
        </w:tc>
        <w:tc>
          <w:tcPr>
            <w:tcW w:w="5020" w:type="dxa"/>
            <w:vAlign w:val="bottom"/>
          </w:tcPr>
          <w:p w14:paraId="3C3C6BFD" w14:textId="77777777" w:rsidR="00561D20" w:rsidRPr="006D0AA4" w:rsidRDefault="00561D20" w:rsidP="006D0AA4">
            <w:pPr>
              <w:spacing w:after="0" w:line="240" w:lineRule="auto"/>
              <w:ind w:left="140"/>
              <w:rPr>
                <w:rFonts w:ascii="Times New Roman" w:hAnsi="Times New Roman"/>
                <w:sz w:val="24"/>
                <w:szCs w:val="24"/>
              </w:rPr>
            </w:pPr>
            <w:r w:rsidRPr="006D0AA4">
              <w:rPr>
                <w:rFonts w:ascii="Times New Roman" w:hAnsi="Times New Roman"/>
                <w:b/>
                <w:bCs/>
                <w:sz w:val="24"/>
                <w:szCs w:val="24"/>
              </w:rPr>
              <w:t>Dependent Variable: Firm performance (ROE</w:t>
            </w:r>
          </w:p>
        </w:tc>
        <w:tc>
          <w:tcPr>
            <w:tcW w:w="2340" w:type="dxa"/>
            <w:vAlign w:val="bottom"/>
          </w:tcPr>
          <w:p w14:paraId="75079A94" w14:textId="77777777" w:rsidR="00561D20" w:rsidRPr="006D0AA4" w:rsidRDefault="00561D20" w:rsidP="006D0AA4">
            <w:pPr>
              <w:spacing w:after="0" w:line="240" w:lineRule="auto"/>
              <w:ind w:right="310"/>
              <w:rPr>
                <w:rFonts w:ascii="Times New Roman" w:hAnsi="Times New Roman"/>
                <w:sz w:val="24"/>
                <w:szCs w:val="24"/>
              </w:rPr>
            </w:pPr>
            <w:r w:rsidRPr="006D0AA4">
              <w:rPr>
                <w:rFonts w:ascii="Times New Roman" w:hAnsi="Times New Roman"/>
                <w:sz w:val="24"/>
                <w:szCs w:val="24"/>
              </w:rPr>
              <w:t xml:space="preserve">                                     </w:t>
            </w:r>
          </w:p>
        </w:tc>
      </w:tr>
      <w:tr w:rsidR="00561D20" w:rsidRPr="006D0AA4" w14:paraId="5F347427" w14:textId="77777777" w:rsidTr="001E130A">
        <w:trPr>
          <w:trHeight w:val="209"/>
        </w:trPr>
        <w:tc>
          <w:tcPr>
            <w:tcW w:w="700" w:type="dxa"/>
            <w:vAlign w:val="bottom"/>
          </w:tcPr>
          <w:p w14:paraId="153FFF9F" w14:textId="77777777" w:rsidR="00561D20" w:rsidRPr="006D0AA4" w:rsidRDefault="00561D20" w:rsidP="006D0AA4">
            <w:pPr>
              <w:spacing w:line="240" w:lineRule="auto"/>
              <w:rPr>
                <w:rFonts w:ascii="Times New Roman" w:hAnsi="Times New Roman"/>
                <w:sz w:val="24"/>
                <w:szCs w:val="24"/>
              </w:rPr>
            </w:pPr>
          </w:p>
        </w:tc>
        <w:tc>
          <w:tcPr>
            <w:tcW w:w="260" w:type="dxa"/>
            <w:tcBorders>
              <w:bottom w:val="single" w:sz="8" w:space="0" w:color="7F7F7F"/>
            </w:tcBorders>
            <w:vAlign w:val="bottom"/>
          </w:tcPr>
          <w:p w14:paraId="533E231E" w14:textId="77777777" w:rsidR="00561D20" w:rsidRPr="006D0AA4" w:rsidRDefault="00561D20" w:rsidP="006D0AA4">
            <w:pPr>
              <w:spacing w:line="240" w:lineRule="auto"/>
              <w:rPr>
                <w:rFonts w:ascii="Times New Roman" w:hAnsi="Times New Roman"/>
                <w:sz w:val="24"/>
                <w:szCs w:val="24"/>
              </w:rPr>
            </w:pPr>
          </w:p>
        </w:tc>
        <w:tc>
          <w:tcPr>
            <w:tcW w:w="7360" w:type="dxa"/>
            <w:gridSpan w:val="2"/>
            <w:tcBorders>
              <w:bottom w:val="single" w:sz="8" w:space="0" w:color="7F7F7F"/>
            </w:tcBorders>
            <w:vAlign w:val="bottom"/>
          </w:tcPr>
          <w:p w14:paraId="11D6241F" w14:textId="77777777" w:rsidR="00561D20" w:rsidRPr="006D0AA4" w:rsidRDefault="00561D20" w:rsidP="006D0AA4">
            <w:pPr>
              <w:spacing w:line="240" w:lineRule="auto"/>
              <w:rPr>
                <w:rFonts w:ascii="Times New Roman" w:hAnsi="Times New Roman"/>
                <w:sz w:val="24"/>
                <w:szCs w:val="24"/>
              </w:rPr>
            </w:pPr>
          </w:p>
        </w:tc>
      </w:tr>
    </w:tbl>
    <w:p w14:paraId="5EC66D8A" w14:textId="104A4289" w:rsidR="00561D20" w:rsidRPr="006D0AA4" w:rsidRDefault="002538A3" w:rsidP="002554A7">
      <w:pPr>
        <w:spacing w:line="240" w:lineRule="auto"/>
        <w:rPr>
          <w:rFonts w:ascii="Times New Roman" w:eastAsia="Calibri" w:hAnsi="Times New Roman"/>
          <w:sz w:val="24"/>
          <w:szCs w:val="24"/>
        </w:rPr>
      </w:pPr>
      <w:r w:rsidRPr="006D0AA4">
        <w:rPr>
          <w:rFonts w:ascii="Times New Roman" w:hAnsi="Times New Roman"/>
          <w:b/>
          <w:color w:val="000000"/>
          <w:sz w:val="24"/>
          <w:szCs w:val="24"/>
        </w:rPr>
        <w:t xml:space="preserve">           </w:t>
      </w:r>
    </w:p>
    <w:p w14:paraId="21557E42" w14:textId="3E7434C2" w:rsidR="00DF32CD" w:rsidRPr="006D0AA4" w:rsidRDefault="00DF32CD" w:rsidP="006D0AA4">
      <w:pPr>
        <w:pStyle w:val="Heading3"/>
        <w:numPr>
          <w:ilvl w:val="0"/>
          <w:numId w:val="0"/>
        </w:numPr>
        <w:spacing w:line="240" w:lineRule="auto"/>
        <w:ind w:left="720" w:hanging="720"/>
        <w:rPr>
          <w:rFonts w:eastAsia="Calibri"/>
          <w:sz w:val="24"/>
        </w:rPr>
      </w:pPr>
      <w:bookmarkStart w:id="93" w:name="_Toc150939217"/>
      <w:bookmarkStart w:id="94" w:name="_Toc150942705"/>
      <w:bookmarkStart w:id="95" w:name="_Toc150944511"/>
      <w:proofErr w:type="gramStart"/>
      <w:r w:rsidRPr="006D0AA4">
        <w:rPr>
          <w:rFonts w:eastAsia="Calibri"/>
          <w:sz w:val="24"/>
        </w:rPr>
        <w:t xml:space="preserve">Table </w:t>
      </w:r>
      <w:r w:rsidR="002554A7">
        <w:rPr>
          <w:rFonts w:eastAsia="Calibri"/>
          <w:sz w:val="24"/>
        </w:rPr>
        <w:t>3</w:t>
      </w:r>
      <w:r w:rsidR="009F6633" w:rsidRPr="006D0AA4">
        <w:rPr>
          <w:rFonts w:eastAsia="Calibri"/>
          <w:sz w:val="24"/>
        </w:rPr>
        <w:t>.</w:t>
      </w:r>
      <w:proofErr w:type="gramEnd"/>
      <w:r w:rsidRPr="006D0AA4">
        <w:rPr>
          <w:rFonts w:eastAsia="Calibri"/>
          <w:sz w:val="24"/>
        </w:rPr>
        <w:t xml:space="preserve"> </w:t>
      </w:r>
      <w:proofErr w:type="spellStart"/>
      <w:r w:rsidRPr="006D0AA4">
        <w:rPr>
          <w:rFonts w:eastAsia="Calibri"/>
          <w:sz w:val="24"/>
        </w:rPr>
        <w:t>Anova</w:t>
      </w:r>
      <w:bookmarkEnd w:id="93"/>
      <w:bookmarkEnd w:id="94"/>
      <w:bookmarkEnd w:id="95"/>
      <w:proofErr w:type="spellEnd"/>
      <w:r w:rsidR="00513F7C" w:rsidRPr="006D0AA4">
        <w:rPr>
          <w:rFonts w:eastAsia="Calibri"/>
          <w:bCs/>
          <w:sz w:val="24"/>
        </w:rPr>
        <w:t xml:space="preserve"> </w:t>
      </w:r>
    </w:p>
    <w:tbl>
      <w:tblPr>
        <w:tblW w:w="79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33"/>
        <w:gridCol w:w="1283"/>
        <w:gridCol w:w="1469"/>
        <w:gridCol w:w="1019"/>
        <w:gridCol w:w="1410"/>
        <w:gridCol w:w="1020"/>
        <w:gridCol w:w="1020"/>
      </w:tblGrid>
      <w:tr w:rsidR="00561D20" w:rsidRPr="006D0AA4" w14:paraId="40D9FB6D" w14:textId="77777777" w:rsidTr="001E130A">
        <w:trPr>
          <w:cantSplit/>
          <w:tblHeader/>
        </w:trPr>
        <w:tc>
          <w:tcPr>
            <w:tcW w:w="7950" w:type="dxa"/>
            <w:gridSpan w:val="7"/>
            <w:tcBorders>
              <w:top w:val="nil"/>
              <w:left w:val="nil"/>
              <w:bottom w:val="nil"/>
              <w:right w:val="nil"/>
            </w:tcBorders>
            <w:shd w:val="clear" w:color="auto" w:fill="FFFFFF"/>
            <w:tcMar>
              <w:top w:w="30" w:type="dxa"/>
              <w:left w:w="30" w:type="dxa"/>
              <w:bottom w:w="30" w:type="dxa"/>
              <w:right w:w="30" w:type="dxa"/>
            </w:tcMar>
            <w:vAlign w:val="center"/>
          </w:tcPr>
          <w:p w14:paraId="0202CF5E" w14:textId="7803A761" w:rsidR="00561D20" w:rsidRPr="006D0AA4" w:rsidRDefault="00561D20" w:rsidP="006D0AA4">
            <w:pPr>
              <w:spacing w:after="0" w:line="240" w:lineRule="auto"/>
              <w:jc w:val="both"/>
              <w:rPr>
                <w:rFonts w:ascii="Times New Roman" w:eastAsia="Calibri" w:hAnsi="Times New Roman"/>
                <w:sz w:val="24"/>
                <w:szCs w:val="24"/>
              </w:rPr>
            </w:pPr>
            <w:r w:rsidRPr="006D0AA4">
              <w:rPr>
                <w:rFonts w:ascii="Times New Roman" w:eastAsia="Calibri" w:hAnsi="Times New Roman"/>
                <w:bCs/>
                <w:sz w:val="24"/>
                <w:szCs w:val="24"/>
              </w:rPr>
              <w:t xml:space="preserve"> </w:t>
            </w:r>
          </w:p>
        </w:tc>
      </w:tr>
      <w:tr w:rsidR="00561D20" w:rsidRPr="006D0AA4" w14:paraId="5EFE67B0" w14:textId="77777777" w:rsidTr="001E130A">
        <w:trPr>
          <w:cantSplit/>
          <w:tblHeader/>
        </w:trPr>
        <w:tc>
          <w:tcPr>
            <w:tcW w:w="2017"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58F59DF" w14:textId="77777777" w:rsidR="00561D20" w:rsidRPr="006D0AA4" w:rsidRDefault="00561D20" w:rsidP="006D0AA4">
            <w:pPr>
              <w:spacing w:after="160" w:line="240" w:lineRule="auto"/>
              <w:jc w:val="both"/>
              <w:rPr>
                <w:rFonts w:ascii="Times New Roman" w:eastAsia="Calibri" w:hAnsi="Times New Roman"/>
                <w:sz w:val="24"/>
                <w:szCs w:val="24"/>
              </w:rPr>
            </w:pPr>
            <w:r w:rsidRPr="006D0AA4">
              <w:rPr>
                <w:rFonts w:ascii="Times New Roman" w:eastAsia="Calibri" w:hAnsi="Times New Roman"/>
                <w:sz w:val="24"/>
                <w:szCs w:val="24"/>
              </w:rPr>
              <w:t>Model</w:t>
            </w:r>
          </w:p>
        </w:tc>
        <w:tc>
          <w:tcPr>
            <w:tcW w:w="1468"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67777F40" w14:textId="77777777" w:rsidR="00561D20" w:rsidRPr="006D0AA4" w:rsidRDefault="00561D20" w:rsidP="006D0AA4">
            <w:pPr>
              <w:spacing w:after="160" w:line="240" w:lineRule="auto"/>
              <w:jc w:val="both"/>
              <w:rPr>
                <w:rFonts w:ascii="Times New Roman" w:eastAsia="Calibri" w:hAnsi="Times New Roman"/>
                <w:sz w:val="24"/>
                <w:szCs w:val="24"/>
              </w:rPr>
            </w:pPr>
            <w:r w:rsidRPr="006D0AA4">
              <w:rPr>
                <w:rFonts w:ascii="Times New Roman" w:eastAsia="Calibri" w:hAnsi="Times New Roman"/>
                <w:sz w:val="24"/>
                <w:szCs w:val="24"/>
              </w:rPr>
              <w:t>Sum of Squares</w:t>
            </w:r>
          </w:p>
        </w:tc>
        <w:tc>
          <w:tcPr>
            <w:tcW w:w="101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E599FC6" w14:textId="424667E3" w:rsidR="00561D20" w:rsidRPr="006D0AA4" w:rsidRDefault="002538A3" w:rsidP="006D0AA4">
            <w:pPr>
              <w:spacing w:after="160" w:line="240" w:lineRule="auto"/>
              <w:jc w:val="both"/>
              <w:rPr>
                <w:rFonts w:ascii="Times New Roman" w:eastAsia="Calibri" w:hAnsi="Times New Roman"/>
                <w:sz w:val="24"/>
                <w:szCs w:val="24"/>
              </w:rPr>
            </w:pPr>
            <w:proofErr w:type="spellStart"/>
            <w:r w:rsidRPr="006D0AA4">
              <w:rPr>
                <w:rFonts w:ascii="Times New Roman" w:eastAsia="Calibri" w:hAnsi="Times New Roman"/>
                <w:sz w:val="24"/>
                <w:szCs w:val="24"/>
              </w:rPr>
              <w:t>D</w:t>
            </w:r>
            <w:r w:rsidR="00561D20" w:rsidRPr="006D0AA4">
              <w:rPr>
                <w:rFonts w:ascii="Times New Roman" w:eastAsia="Calibri" w:hAnsi="Times New Roman"/>
                <w:sz w:val="24"/>
                <w:szCs w:val="24"/>
              </w:rPr>
              <w:t>f</w:t>
            </w:r>
            <w:proofErr w:type="spellEnd"/>
          </w:p>
        </w:tc>
        <w:tc>
          <w:tcPr>
            <w:tcW w:w="140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F5373D9" w14:textId="77777777" w:rsidR="00561D20" w:rsidRPr="006D0AA4" w:rsidRDefault="00561D20" w:rsidP="006D0AA4">
            <w:pPr>
              <w:spacing w:after="160" w:line="240" w:lineRule="auto"/>
              <w:jc w:val="both"/>
              <w:rPr>
                <w:rFonts w:ascii="Times New Roman" w:eastAsia="Calibri" w:hAnsi="Times New Roman"/>
                <w:sz w:val="24"/>
                <w:szCs w:val="24"/>
              </w:rPr>
            </w:pPr>
            <w:r w:rsidRPr="006D0AA4">
              <w:rPr>
                <w:rFonts w:ascii="Times New Roman" w:eastAsia="Calibri" w:hAnsi="Times New Roman"/>
                <w:sz w:val="24"/>
                <w:szCs w:val="24"/>
              </w:rPr>
              <w:t>Mean Square</w:t>
            </w:r>
          </w:p>
        </w:tc>
        <w:tc>
          <w:tcPr>
            <w:tcW w:w="101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F905507" w14:textId="77777777" w:rsidR="00561D20" w:rsidRPr="006D0AA4" w:rsidRDefault="00561D20" w:rsidP="006D0AA4">
            <w:pPr>
              <w:spacing w:after="160" w:line="240" w:lineRule="auto"/>
              <w:jc w:val="both"/>
              <w:rPr>
                <w:rFonts w:ascii="Times New Roman" w:eastAsia="Calibri" w:hAnsi="Times New Roman"/>
                <w:sz w:val="24"/>
                <w:szCs w:val="24"/>
              </w:rPr>
            </w:pPr>
            <w:r w:rsidRPr="006D0AA4">
              <w:rPr>
                <w:rFonts w:ascii="Times New Roman" w:eastAsia="Calibri" w:hAnsi="Times New Roman"/>
                <w:sz w:val="24"/>
                <w:szCs w:val="24"/>
              </w:rPr>
              <w:t>F</w:t>
            </w:r>
          </w:p>
        </w:tc>
        <w:tc>
          <w:tcPr>
            <w:tcW w:w="101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F1AB780" w14:textId="77777777" w:rsidR="00561D20" w:rsidRPr="006D0AA4" w:rsidRDefault="00561D20" w:rsidP="006D0AA4">
            <w:pPr>
              <w:spacing w:after="160" w:line="240" w:lineRule="auto"/>
              <w:jc w:val="both"/>
              <w:rPr>
                <w:rFonts w:ascii="Times New Roman" w:eastAsia="Calibri" w:hAnsi="Times New Roman"/>
                <w:sz w:val="24"/>
                <w:szCs w:val="24"/>
              </w:rPr>
            </w:pPr>
            <w:r w:rsidRPr="006D0AA4">
              <w:rPr>
                <w:rFonts w:ascii="Times New Roman" w:eastAsia="Calibri" w:hAnsi="Times New Roman"/>
                <w:sz w:val="24"/>
                <w:szCs w:val="24"/>
              </w:rPr>
              <w:t>Sig.</w:t>
            </w:r>
          </w:p>
        </w:tc>
      </w:tr>
      <w:tr w:rsidR="00561D20" w:rsidRPr="006D0AA4" w14:paraId="7F448ABD" w14:textId="77777777" w:rsidTr="001E130A">
        <w:trPr>
          <w:cantSplit/>
          <w:tblHeader/>
        </w:trPr>
        <w:tc>
          <w:tcPr>
            <w:tcW w:w="734"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0DCC1FF" w14:textId="77777777" w:rsidR="00561D20" w:rsidRPr="006D0AA4" w:rsidRDefault="00561D20" w:rsidP="006D0AA4">
            <w:pPr>
              <w:spacing w:after="160" w:line="240" w:lineRule="auto"/>
              <w:jc w:val="both"/>
              <w:rPr>
                <w:rFonts w:ascii="Times New Roman" w:eastAsia="Calibri" w:hAnsi="Times New Roman"/>
                <w:sz w:val="24"/>
                <w:szCs w:val="24"/>
              </w:rPr>
            </w:pPr>
            <w:r w:rsidRPr="006D0AA4">
              <w:rPr>
                <w:rFonts w:ascii="Times New Roman" w:eastAsia="Calibri" w:hAnsi="Times New Roman"/>
                <w:sz w:val="24"/>
                <w:szCs w:val="24"/>
              </w:rPr>
              <w:t>1</w:t>
            </w:r>
          </w:p>
        </w:tc>
        <w:tc>
          <w:tcPr>
            <w:tcW w:w="128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100B4588" w14:textId="77777777" w:rsidR="00561D20" w:rsidRPr="006D0AA4" w:rsidRDefault="00561D20" w:rsidP="006D0AA4">
            <w:pPr>
              <w:spacing w:after="160" w:line="240" w:lineRule="auto"/>
              <w:jc w:val="both"/>
              <w:rPr>
                <w:rFonts w:ascii="Times New Roman" w:eastAsia="Calibri" w:hAnsi="Times New Roman"/>
                <w:sz w:val="24"/>
                <w:szCs w:val="24"/>
              </w:rPr>
            </w:pPr>
            <w:r w:rsidRPr="006D0AA4">
              <w:rPr>
                <w:rFonts w:ascii="Times New Roman" w:eastAsia="Calibri" w:hAnsi="Times New Roman"/>
                <w:sz w:val="24"/>
                <w:szCs w:val="24"/>
              </w:rPr>
              <w:t>Regression</w:t>
            </w:r>
          </w:p>
        </w:tc>
        <w:tc>
          <w:tcPr>
            <w:tcW w:w="1468" w:type="dxa"/>
            <w:tcBorders>
              <w:top w:val="single" w:sz="16" w:space="0" w:color="000000"/>
              <w:left w:val="single" w:sz="16" w:space="0" w:color="000000"/>
              <w:bottom w:val="nil"/>
            </w:tcBorders>
            <w:shd w:val="clear" w:color="auto" w:fill="FFFFFF"/>
            <w:tcMar>
              <w:top w:w="30" w:type="dxa"/>
              <w:left w:w="30" w:type="dxa"/>
              <w:bottom w:w="30" w:type="dxa"/>
              <w:right w:w="30" w:type="dxa"/>
            </w:tcMar>
          </w:tcPr>
          <w:p w14:paraId="1B77297B" w14:textId="77777777" w:rsidR="00561D20" w:rsidRPr="006D0AA4" w:rsidRDefault="00561D20" w:rsidP="006D0AA4">
            <w:pPr>
              <w:spacing w:after="160" w:line="240" w:lineRule="auto"/>
              <w:jc w:val="both"/>
              <w:rPr>
                <w:rFonts w:ascii="Times New Roman" w:eastAsia="Calibri" w:hAnsi="Times New Roman"/>
                <w:sz w:val="24"/>
                <w:szCs w:val="24"/>
              </w:rPr>
            </w:pPr>
            <w:r w:rsidRPr="006D0AA4">
              <w:rPr>
                <w:rFonts w:ascii="Times New Roman" w:eastAsia="Calibri" w:hAnsi="Times New Roman"/>
                <w:sz w:val="24"/>
                <w:szCs w:val="24"/>
              </w:rPr>
              <w:t>.015</w:t>
            </w:r>
          </w:p>
        </w:tc>
        <w:tc>
          <w:tcPr>
            <w:tcW w:w="1018" w:type="dxa"/>
            <w:tcBorders>
              <w:top w:val="single" w:sz="16" w:space="0" w:color="000000"/>
              <w:bottom w:val="nil"/>
            </w:tcBorders>
            <w:shd w:val="clear" w:color="auto" w:fill="FFFFFF"/>
            <w:tcMar>
              <w:top w:w="30" w:type="dxa"/>
              <w:left w:w="30" w:type="dxa"/>
              <w:bottom w:w="30" w:type="dxa"/>
              <w:right w:w="30" w:type="dxa"/>
            </w:tcMar>
          </w:tcPr>
          <w:p w14:paraId="457F1A91" w14:textId="77777777" w:rsidR="00561D20" w:rsidRPr="006D0AA4" w:rsidRDefault="00561D20" w:rsidP="006D0AA4">
            <w:pPr>
              <w:spacing w:after="160" w:line="240" w:lineRule="auto"/>
              <w:jc w:val="both"/>
              <w:rPr>
                <w:rFonts w:ascii="Times New Roman" w:eastAsia="Calibri" w:hAnsi="Times New Roman"/>
                <w:sz w:val="24"/>
                <w:szCs w:val="24"/>
              </w:rPr>
            </w:pPr>
            <w:r w:rsidRPr="006D0AA4">
              <w:rPr>
                <w:rFonts w:ascii="Times New Roman" w:eastAsia="Calibri" w:hAnsi="Times New Roman"/>
                <w:sz w:val="24"/>
                <w:szCs w:val="24"/>
              </w:rPr>
              <w:t>1</w:t>
            </w:r>
          </w:p>
        </w:tc>
        <w:tc>
          <w:tcPr>
            <w:tcW w:w="1409" w:type="dxa"/>
            <w:tcBorders>
              <w:top w:val="single" w:sz="16" w:space="0" w:color="000000"/>
              <w:bottom w:val="nil"/>
            </w:tcBorders>
            <w:shd w:val="clear" w:color="auto" w:fill="FFFFFF"/>
            <w:tcMar>
              <w:top w:w="30" w:type="dxa"/>
              <w:left w:w="30" w:type="dxa"/>
              <w:bottom w:w="30" w:type="dxa"/>
              <w:right w:w="30" w:type="dxa"/>
            </w:tcMar>
          </w:tcPr>
          <w:p w14:paraId="382B0012" w14:textId="77777777" w:rsidR="00561D20" w:rsidRPr="006D0AA4" w:rsidRDefault="00561D20" w:rsidP="006D0AA4">
            <w:pPr>
              <w:spacing w:after="160" w:line="240" w:lineRule="auto"/>
              <w:jc w:val="both"/>
              <w:rPr>
                <w:rFonts w:ascii="Times New Roman" w:eastAsia="Calibri" w:hAnsi="Times New Roman"/>
                <w:sz w:val="24"/>
                <w:szCs w:val="24"/>
              </w:rPr>
            </w:pPr>
            <w:r w:rsidRPr="006D0AA4">
              <w:rPr>
                <w:rFonts w:ascii="Times New Roman" w:eastAsia="Calibri" w:hAnsi="Times New Roman"/>
                <w:sz w:val="24"/>
                <w:szCs w:val="24"/>
              </w:rPr>
              <w:t>.015</w:t>
            </w:r>
          </w:p>
        </w:tc>
        <w:tc>
          <w:tcPr>
            <w:tcW w:w="1019" w:type="dxa"/>
            <w:tcBorders>
              <w:top w:val="single" w:sz="16" w:space="0" w:color="000000"/>
              <w:bottom w:val="nil"/>
            </w:tcBorders>
            <w:shd w:val="clear" w:color="auto" w:fill="FFFFFF"/>
            <w:tcMar>
              <w:top w:w="30" w:type="dxa"/>
              <w:left w:w="30" w:type="dxa"/>
              <w:bottom w:w="30" w:type="dxa"/>
              <w:right w:w="30" w:type="dxa"/>
            </w:tcMar>
          </w:tcPr>
          <w:p w14:paraId="64AE92BF" w14:textId="77777777" w:rsidR="00561D20" w:rsidRPr="006D0AA4" w:rsidRDefault="00561D20" w:rsidP="006D0AA4">
            <w:pPr>
              <w:spacing w:after="160" w:line="240" w:lineRule="auto"/>
              <w:jc w:val="both"/>
              <w:rPr>
                <w:rFonts w:ascii="Times New Roman" w:eastAsia="Calibri" w:hAnsi="Times New Roman"/>
                <w:sz w:val="24"/>
                <w:szCs w:val="24"/>
              </w:rPr>
            </w:pPr>
            <w:r w:rsidRPr="006D0AA4">
              <w:rPr>
                <w:rFonts w:ascii="Times New Roman" w:eastAsia="Calibri" w:hAnsi="Times New Roman"/>
                <w:sz w:val="24"/>
                <w:szCs w:val="24"/>
              </w:rPr>
              <w:t>.053</w:t>
            </w:r>
          </w:p>
        </w:tc>
        <w:tc>
          <w:tcPr>
            <w:tcW w:w="1019"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14:paraId="18408BEC" w14:textId="77777777" w:rsidR="00561D20" w:rsidRPr="006D0AA4" w:rsidRDefault="00561D20" w:rsidP="006D0AA4">
            <w:pPr>
              <w:spacing w:after="160" w:line="240" w:lineRule="auto"/>
              <w:jc w:val="both"/>
              <w:rPr>
                <w:rFonts w:ascii="Times New Roman" w:eastAsia="Calibri" w:hAnsi="Times New Roman"/>
                <w:sz w:val="24"/>
                <w:szCs w:val="24"/>
              </w:rPr>
            </w:pPr>
            <w:r w:rsidRPr="006D0AA4">
              <w:rPr>
                <w:rFonts w:ascii="Times New Roman" w:eastAsia="Calibri" w:hAnsi="Times New Roman"/>
                <w:sz w:val="24"/>
                <w:szCs w:val="24"/>
              </w:rPr>
              <w:t>.819</w:t>
            </w:r>
            <w:r w:rsidRPr="006D0AA4">
              <w:rPr>
                <w:rFonts w:ascii="Times New Roman" w:eastAsia="Calibri" w:hAnsi="Times New Roman"/>
                <w:sz w:val="24"/>
                <w:szCs w:val="24"/>
                <w:vertAlign w:val="superscript"/>
              </w:rPr>
              <w:t>a</w:t>
            </w:r>
          </w:p>
        </w:tc>
      </w:tr>
      <w:tr w:rsidR="00561D20" w:rsidRPr="006D0AA4" w14:paraId="07343F4D" w14:textId="77777777" w:rsidTr="001E130A">
        <w:trPr>
          <w:cantSplit/>
          <w:tblHeader/>
        </w:trPr>
        <w:tc>
          <w:tcPr>
            <w:tcW w:w="73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38B62BC" w14:textId="77777777" w:rsidR="00561D20" w:rsidRPr="006D0AA4" w:rsidRDefault="00561D20" w:rsidP="006D0AA4">
            <w:pPr>
              <w:spacing w:after="160" w:line="240" w:lineRule="auto"/>
              <w:jc w:val="both"/>
              <w:rPr>
                <w:rFonts w:ascii="Times New Roman" w:eastAsia="Calibri" w:hAnsi="Times New Roman"/>
                <w:sz w:val="24"/>
                <w:szCs w:val="24"/>
              </w:rPr>
            </w:pPr>
          </w:p>
        </w:tc>
        <w:tc>
          <w:tcPr>
            <w:tcW w:w="1283" w:type="dxa"/>
            <w:tcBorders>
              <w:top w:val="nil"/>
              <w:left w:val="nil"/>
              <w:bottom w:val="nil"/>
              <w:right w:val="single" w:sz="16" w:space="0" w:color="000000"/>
            </w:tcBorders>
            <w:shd w:val="clear" w:color="auto" w:fill="FFFFFF"/>
            <w:tcMar>
              <w:top w:w="30" w:type="dxa"/>
              <w:left w:w="30" w:type="dxa"/>
              <w:bottom w:w="30" w:type="dxa"/>
              <w:right w:w="30" w:type="dxa"/>
            </w:tcMar>
          </w:tcPr>
          <w:p w14:paraId="15577355" w14:textId="77777777" w:rsidR="00561D20" w:rsidRPr="006D0AA4" w:rsidRDefault="00561D20" w:rsidP="006D0AA4">
            <w:pPr>
              <w:spacing w:after="160" w:line="240" w:lineRule="auto"/>
              <w:jc w:val="both"/>
              <w:rPr>
                <w:rFonts w:ascii="Times New Roman" w:eastAsia="Calibri" w:hAnsi="Times New Roman"/>
                <w:sz w:val="24"/>
                <w:szCs w:val="24"/>
              </w:rPr>
            </w:pPr>
            <w:r w:rsidRPr="006D0AA4">
              <w:rPr>
                <w:rFonts w:ascii="Times New Roman" w:eastAsia="Calibri" w:hAnsi="Times New Roman"/>
                <w:sz w:val="24"/>
                <w:szCs w:val="24"/>
              </w:rPr>
              <w:t>Residual</w:t>
            </w:r>
          </w:p>
        </w:tc>
        <w:tc>
          <w:tcPr>
            <w:tcW w:w="1468" w:type="dxa"/>
            <w:tcBorders>
              <w:top w:val="nil"/>
              <w:left w:val="single" w:sz="16" w:space="0" w:color="000000"/>
              <w:bottom w:val="nil"/>
            </w:tcBorders>
            <w:shd w:val="clear" w:color="auto" w:fill="FFFFFF"/>
            <w:tcMar>
              <w:top w:w="30" w:type="dxa"/>
              <w:left w:w="30" w:type="dxa"/>
              <w:bottom w:w="30" w:type="dxa"/>
              <w:right w:w="30" w:type="dxa"/>
            </w:tcMar>
          </w:tcPr>
          <w:p w14:paraId="56F03DB9" w14:textId="77777777" w:rsidR="00561D20" w:rsidRPr="006D0AA4" w:rsidRDefault="00561D20" w:rsidP="006D0AA4">
            <w:pPr>
              <w:spacing w:after="160" w:line="240" w:lineRule="auto"/>
              <w:jc w:val="both"/>
              <w:rPr>
                <w:rFonts w:ascii="Times New Roman" w:eastAsia="Calibri" w:hAnsi="Times New Roman"/>
                <w:sz w:val="24"/>
                <w:szCs w:val="24"/>
              </w:rPr>
            </w:pPr>
            <w:r w:rsidRPr="006D0AA4">
              <w:rPr>
                <w:rFonts w:ascii="Times New Roman" w:eastAsia="Calibri" w:hAnsi="Times New Roman"/>
                <w:sz w:val="24"/>
                <w:szCs w:val="24"/>
              </w:rPr>
              <w:t>13.507</w:t>
            </w:r>
          </w:p>
        </w:tc>
        <w:tc>
          <w:tcPr>
            <w:tcW w:w="1018" w:type="dxa"/>
            <w:tcBorders>
              <w:top w:val="nil"/>
              <w:bottom w:val="nil"/>
            </w:tcBorders>
            <w:shd w:val="clear" w:color="auto" w:fill="FFFFFF"/>
            <w:tcMar>
              <w:top w:w="30" w:type="dxa"/>
              <w:left w:w="30" w:type="dxa"/>
              <w:bottom w:w="30" w:type="dxa"/>
              <w:right w:w="30" w:type="dxa"/>
            </w:tcMar>
          </w:tcPr>
          <w:p w14:paraId="597CC4BD" w14:textId="77777777" w:rsidR="00561D20" w:rsidRPr="006D0AA4" w:rsidRDefault="00561D20" w:rsidP="006D0AA4">
            <w:pPr>
              <w:spacing w:after="160" w:line="240" w:lineRule="auto"/>
              <w:jc w:val="both"/>
              <w:rPr>
                <w:rFonts w:ascii="Times New Roman" w:eastAsia="Calibri" w:hAnsi="Times New Roman"/>
                <w:sz w:val="24"/>
                <w:szCs w:val="24"/>
              </w:rPr>
            </w:pPr>
            <w:r w:rsidRPr="006D0AA4">
              <w:rPr>
                <w:rFonts w:ascii="Times New Roman" w:eastAsia="Calibri" w:hAnsi="Times New Roman"/>
                <w:sz w:val="24"/>
                <w:szCs w:val="24"/>
              </w:rPr>
              <w:t>48</w:t>
            </w:r>
          </w:p>
        </w:tc>
        <w:tc>
          <w:tcPr>
            <w:tcW w:w="1409" w:type="dxa"/>
            <w:tcBorders>
              <w:top w:val="nil"/>
              <w:bottom w:val="nil"/>
            </w:tcBorders>
            <w:shd w:val="clear" w:color="auto" w:fill="FFFFFF"/>
            <w:tcMar>
              <w:top w:w="30" w:type="dxa"/>
              <w:left w:w="30" w:type="dxa"/>
              <w:bottom w:w="30" w:type="dxa"/>
              <w:right w:w="30" w:type="dxa"/>
            </w:tcMar>
          </w:tcPr>
          <w:p w14:paraId="22945B08" w14:textId="77777777" w:rsidR="00561D20" w:rsidRPr="006D0AA4" w:rsidRDefault="00561D20" w:rsidP="006D0AA4">
            <w:pPr>
              <w:spacing w:after="160" w:line="240" w:lineRule="auto"/>
              <w:jc w:val="both"/>
              <w:rPr>
                <w:rFonts w:ascii="Times New Roman" w:eastAsia="Calibri" w:hAnsi="Times New Roman"/>
                <w:sz w:val="24"/>
                <w:szCs w:val="24"/>
              </w:rPr>
            </w:pPr>
            <w:r w:rsidRPr="006D0AA4">
              <w:rPr>
                <w:rFonts w:ascii="Times New Roman" w:eastAsia="Calibri" w:hAnsi="Times New Roman"/>
                <w:sz w:val="24"/>
                <w:szCs w:val="24"/>
              </w:rPr>
              <w:t>.281</w:t>
            </w:r>
          </w:p>
        </w:tc>
        <w:tc>
          <w:tcPr>
            <w:tcW w:w="1019" w:type="dxa"/>
            <w:tcBorders>
              <w:top w:val="nil"/>
              <w:bottom w:val="nil"/>
            </w:tcBorders>
            <w:shd w:val="clear" w:color="auto" w:fill="FFFFFF"/>
            <w:tcMar>
              <w:top w:w="30" w:type="dxa"/>
              <w:left w:w="30" w:type="dxa"/>
              <w:bottom w:w="30" w:type="dxa"/>
              <w:right w:w="30" w:type="dxa"/>
            </w:tcMar>
            <w:vAlign w:val="center"/>
          </w:tcPr>
          <w:p w14:paraId="3075099D" w14:textId="77777777" w:rsidR="00561D20" w:rsidRPr="006D0AA4" w:rsidRDefault="00561D20" w:rsidP="006D0AA4">
            <w:pPr>
              <w:spacing w:after="160" w:line="240" w:lineRule="auto"/>
              <w:jc w:val="both"/>
              <w:rPr>
                <w:rFonts w:ascii="Times New Roman" w:eastAsia="Calibri" w:hAnsi="Times New Roman"/>
                <w:sz w:val="24"/>
                <w:szCs w:val="24"/>
              </w:rPr>
            </w:pPr>
          </w:p>
        </w:tc>
        <w:tc>
          <w:tcPr>
            <w:tcW w:w="1019" w:type="dxa"/>
            <w:tcBorders>
              <w:top w:val="nil"/>
              <w:bottom w:val="nil"/>
              <w:right w:val="single" w:sz="16" w:space="0" w:color="000000"/>
            </w:tcBorders>
            <w:shd w:val="clear" w:color="auto" w:fill="FFFFFF"/>
            <w:tcMar>
              <w:top w:w="30" w:type="dxa"/>
              <w:left w:w="30" w:type="dxa"/>
              <w:bottom w:w="30" w:type="dxa"/>
              <w:right w:w="30" w:type="dxa"/>
            </w:tcMar>
            <w:vAlign w:val="center"/>
          </w:tcPr>
          <w:p w14:paraId="14FE9F5C" w14:textId="77777777" w:rsidR="00561D20" w:rsidRPr="006D0AA4" w:rsidRDefault="00561D20" w:rsidP="006D0AA4">
            <w:pPr>
              <w:spacing w:after="160" w:line="240" w:lineRule="auto"/>
              <w:jc w:val="both"/>
              <w:rPr>
                <w:rFonts w:ascii="Times New Roman" w:eastAsia="Calibri" w:hAnsi="Times New Roman"/>
                <w:sz w:val="24"/>
                <w:szCs w:val="24"/>
              </w:rPr>
            </w:pPr>
          </w:p>
        </w:tc>
      </w:tr>
      <w:tr w:rsidR="00561D20" w:rsidRPr="006D0AA4" w14:paraId="224618AC" w14:textId="77777777" w:rsidTr="001E130A">
        <w:trPr>
          <w:cantSplit/>
          <w:tblHeader/>
        </w:trPr>
        <w:tc>
          <w:tcPr>
            <w:tcW w:w="73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A6D2D42" w14:textId="77777777" w:rsidR="00561D20" w:rsidRPr="006D0AA4" w:rsidRDefault="00561D20" w:rsidP="006D0AA4">
            <w:pPr>
              <w:spacing w:after="160" w:line="240" w:lineRule="auto"/>
              <w:jc w:val="both"/>
              <w:rPr>
                <w:rFonts w:ascii="Times New Roman" w:eastAsia="Calibri" w:hAnsi="Times New Roman"/>
                <w:sz w:val="24"/>
                <w:szCs w:val="24"/>
              </w:rPr>
            </w:pPr>
          </w:p>
        </w:tc>
        <w:tc>
          <w:tcPr>
            <w:tcW w:w="128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496E3756" w14:textId="77777777" w:rsidR="00561D20" w:rsidRPr="006D0AA4" w:rsidRDefault="00561D20" w:rsidP="006D0AA4">
            <w:pPr>
              <w:spacing w:after="160" w:line="240" w:lineRule="auto"/>
              <w:jc w:val="both"/>
              <w:rPr>
                <w:rFonts w:ascii="Times New Roman" w:eastAsia="Calibri" w:hAnsi="Times New Roman"/>
                <w:sz w:val="24"/>
                <w:szCs w:val="24"/>
              </w:rPr>
            </w:pPr>
            <w:r w:rsidRPr="006D0AA4">
              <w:rPr>
                <w:rFonts w:ascii="Times New Roman" w:eastAsia="Calibri" w:hAnsi="Times New Roman"/>
                <w:sz w:val="24"/>
                <w:szCs w:val="24"/>
              </w:rPr>
              <w:t>Total</w:t>
            </w:r>
          </w:p>
        </w:tc>
        <w:tc>
          <w:tcPr>
            <w:tcW w:w="1468"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244DA98C" w14:textId="77777777" w:rsidR="00561D20" w:rsidRPr="006D0AA4" w:rsidRDefault="00561D20" w:rsidP="006D0AA4">
            <w:pPr>
              <w:spacing w:after="160" w:line="240" w:lineRule="auto"/>
              <w:jc w:val="both"/>
              <w:rPr>
                <w:rFonts w:ascii="Times New Roman" w:eastAsia="Calibri" w:hAnsi="Times New Roman"/>
                <w:sz w:val="24"/>
                <w:szCs w:val="24"/>
              </w:rPr>
            </w:pPr>
            <w:r w:rsidRPr="006D0AA4">
              <w:rPr>
                <w:rFonts w:ascii="Times New Roman" w:eastAsia="Calibri" w:hAnsi="Times New Roman"/>
                <w:sz w:val="24"/>
                <w:szCs w:val="24"/>
              </w:rPr>
              <w:t>13.522</w:t>
            </w:r>
          </w:p>
        </w:tc>
        <w:tc>
          <w:tcPr>
            <w:tcW w:w="1018" w:type="dxa"/>
            <w:tcBorders>
              <w:top w:val="nil"/>
              <w:bottom w:val="single" w:sz="16" w:space="0" w:color="000000"/>
            </w:tcBorders>
            <w:shd w:val="clear" w:color="auto" w:fill="FFFFFF"/>
            <w:tcMar>
              <w:top w:w="30" w:type="dxa"/>
              <w:left w:w="30" w:type="dxa"/>
              <w:bottom w:w="30" w:type="dxa"/>
              <w:right w:w="30" w:type="dxa"/>
            </w:tcMar>
          </w:tcPr>
          <w:p w14:paraId="526E2864" w14:textId="77777777" w:rsidR="00561D20" w:rsidRPr="006D0AA4" w:rsidRDefault="00561D20" w:rsidP="006D0AA4">
            <w:pPr>
              <w:spacing w:after="160" w:line="240" w:lineRule="auto"/>
              <w:jc w:val="both"/>
              <w:rPr>
                <w:rFonts w:ascii="Times New Roman" w:eastAsia="Calibri" w:hAnsi="Times New Roman"/>
                <w:sz w:val="24"/>
                <w:szCs w:val="24"/>
              </w:rPr>
            </w:pPr>
            <w:r w:rsidRPr="006D0AA4">
              <w:rPr>
                <w:rFonts w:ascii="Times New Roman" w:eastAsia="Calibri" w:hAnsi="Times New Roman"/>
                <w:sz w:val="24"/>
                <w:szCs w:val="24"/>
              </w:rPr>
              <w:t>49</w:t>
            </w:r>
          </w:p>
        </w:tc>
        <w:tc>
          <w:tcPr>
            <w:tcW w:w="1409" w:type="dxa"/>
            <w:tcBorders>
              <w:top w:val="nil"/>
              <w:bottom w:val="single" w:sz="16" w:space="0" w:color="000000"/>
            </w:tcBorders>
            <w:shd w:val="clear" w:color="auto" w:fill="FFFFFF"/>
            <w:tcMar>
              <w:top w:w="30" w:type="dxa"/>
              <w:left w:w="30" w:type="dxa"/>
              <w:bottom w:w="30" w:type="dxa"/>
              <w:right w:w="30" w:type="dxa"/>
            </w:tcMar>
            <w:vAlign w:val="center"/>
          </w:tcPr>
          <w:p w14:paraId="67105792" w14:textId="77777777" w:rsidR="00561D20" w:rsidRPr="006D0AA4" w:rsidRDefault="00561D20" w:rsidP="006D0AA4">
            <w:pPr>
              <w:spacing w:after="160" w:line="240" w:lineRule="auto"/>
              <w:jc w:val="both"/>
              <w:rPr>
                <w:rFonts w:ascii="Times New Roman" w:eastAsia="Calibri" w:hAnsi="Times New Roman"/>
                <w:sz w:val="24"/>
                <w:szCs w:val="24"/>
              </w:rPr>
            </w:pPr>
          </w:p>
        </w:tc>
        <w:tc>
          <w:tcPr>
            <w:tcW w:w="1019" w:type="dxa"/>
            <w:tcBorders>
              <w:top w:val="nil"/>
              <w:bottom w:val="single" w:sz="16" w:space="0" w:color="000000"/>
            </w:tcBorders>
            <w:shd w:val="clear" w:color="auto" w:fill="FFFFFF"/>
            <w:tcMar>
              <w:top w:w="30" w:type="dxa"/>
              <w:left w:w="30" w:type="dxa"/>
              <w:bottom w:w="30" w:type="dxa"/>
              <w:right w:w="30" w:type="dxa"/>
            </w:tcMar>
            <w:vAlign w:val="center"/>
          </w:tcPr>
          <w:p w14:paraId="78FC74AC" w14:textId="77777777" w:rsidR="00561D20" w:rsidRPr="006D0AA4" w:rsidRDefault="00561D20" w:rsidP="006D0AA4">
            <w:pPr>
              <w:spacing w:after="160" w:line="240" w:lineRule="auto"/>
              <w:jc w:val="both"/>
              <w:rPr>
                <w:rFonts w:ascii="Times New Roman" w:eastAsia="Calibri" w:hAnsi="Times New Roman"/>
                <w:sz w:val="24"/>
                <w:szCs w:val="24"/>
              </w:rPr>
            </w:pPr>
          </w:p>
        </w:tc>
        <w:tc>
          <w:tcPr>
            <w:tcW w:w="1019"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0814D543" w14:textId="77777777" w:rsidR="00561D20" w:rsidRPr="006D0AA4" w:rsidRDefault="00561D20" w:rsidP="006D0AA4">
            <w:pPr>
              <w:spacing w:after="160" w:line="240" w:lineRule="auto"/>
              <w:jc w:val="both"/>
              <w:rPr>
                <w:rFonts w:ascii="Times New Roman" w:eastAsia="Calibri" w:hAnsi="Times New Roman"/>
                <w:sz w:val="24"/>
                <w:szCs w:val="24"/>
              </w:rPr>
            </w:pPr>
          </w:p>
        </w:tc>
      </w:tr>
      <w:tr w:rsidR="00561D20" w:rsidRPr="006D0AA4" w14:paraId="440420F0" w14:textId="77777777" w:rsidTr="001E130A">
        <w:trPr>
          <w:cantSplit/>
          <w:tblHeader/>
        </w:trPr>
        <w:tc>
          <w:tcPr>
            <w:tcW w:w="7950" w:type="dxa"/>
            <w:gridSpan w:val="7"/>
            <w:tcBorders>
              <w:top w:val="nil"/>
              <w:left w:val="nil"/>
              <w:bottom w:val="nil"/>
              <w:right w:val="nil"/>
            </w:tcBorders>
            <w:shd w:val="clear" w:color="auto" w:fill="FFFFFF"/>
            <w:tcMar>
              <w:top w:w="30" w:type="dxa"/>
              <w:left w:w="30" w:type="dxa"/>
              <w:bottom w:w="30" w:type="dxa"/>
              <w:right w:w="30" w:type="dxa"/>
            </w:tcMar>
          </w:tcPr>
          <w:p w14:paraId="762D5433" w14:textId="77777777" w:rsidR="00561D20" w:rsidRPr="006D0AA4" w:rsidRDefault="00561D20" w:rsidP="006D0AA4">
            <w:pPr>
              <w:spacing w:after="160" w:line="240" w:lineRule="auto"/>
              <w:jc w:val="both"/>
              <w:rPr>
                <w:rFonts w:ascii="Times New Roman" w:eastAsia="Calibri" w:hAnsi="Times New Roman"/>
                <w:bCs/>
                <w:sz w:val="24"/>
                <w:szCs w:val="24"/>
              </w:rPr>
            </w:pPr>
            <w:r w:rsidRPr="006D0AA4">
              <w:rPr>
                <w:rFonts w:ascii="Times New Roman" w:eastAsia="Calibri" w:hAnsi="Times New Roman"/>
                <w:bCs/>
                <w:sz w:val="24"/>
                <w:szCs w:val="24"/>
              </w:rPr>
              <w:lastRenderedPageBreak/>
              <w:t xml:space="preserve">a. Predictors: (Constant), </w:t>
            </w:r>
            <w:proofErr w:type="spellStart"/>
            <w:r w:rsidRPr="006D0AA4">
              <w:rPr>
                <w:rFonts w:ascii="Times New Roman" w:eastAsia="Calibri" w:hAnsi="Times New Roman"/>
                <w:bCs/>
                <w:sz w:val="24"/>
                <w:szCs w:val="24"/>
              </w:rPr>
              <w:t>AssTang</w:t>
            </w:r>
            <w:proofErr w:type="spellEnd"/>
          </w:p>
        </w:tc>
      </w:tr>
      <w:tr w:rsidR="00561D20" w:rsidRPr="006D0AA4" w14:paraId="0D1771F1" w14:textId="77777777" w:rsidTr="001E130A">
        <w:trPr>
          <w:cantSplit/>
        </w:trPr>
        <w:tc>
          <w:tcPr>
            <w:tcW w:w="7950" w:type="dxa"/>
            <w:gridSpan w:val="7"/>
            <w:tcBorders>
              <w:top w:val="nil"/>
              <w:left w:val="nil"/>
              <w:bottom w:val="nil"/>
              <w:right w:val="nil"/>
            </w:tcBorders>
            <w:shd w:val="clear" w:color="auto" w:fill="FFFFFF"/>
            <w:tcMar>
              <w:top w:w="30" w:type="dxa"/>
              <w:left w:w="30" w:type="dxa"/>
              <w:bottom w:w="30" w:type="dxa"/>
              <w:right w:w="30" w:type="dxa"/>
            </w:tcMar>
          </w:tcPr>
          <w:p w14:paraId="6D706D21" w14:textId="4B4C5D68" w:rsidR="009F6633" w:rsidRPr="006D0AA4" w:rsidRDefault="00561D20" w:rsidP="006D0AA4">
            <w:pPr>
              <w:spacing w:after="160" w:line="240" w:lineRule="auto"/>
              <w:jc w:val="both"/>
              <w:rPr>
                <w:rFonts w:ascii="Times New Roman" w:eastAsia="Calibri" w:hAnsi="Times New Roman"/>
                <w:sz w:val="24"/>
                <w:szCs w:val="24"/>
              </w:rPr>
            </w:pPr>
            <w:r w:rsidRPr="006D0AA4">
              <w:rPr>
                <w:rFonts w:ascii="Times New Roman" w:eastAsia="Calibri" w:hAnsi="Times New Roman"/>
                <w:sz w:val="24"/>
                <w:szCs w:val="24"/>
              </w:rPr>
              <w:t>b. Dependent Variable: ROE</w:t>
            </w:r>
            <w:r w:rsidR="00DF32CD" w:rsidRPr="006D0AA4">
              <w:rPr>
                <w:rFonts w:ascii="Times New Roman" w:hAnsi="Times New Roman"/>
                <w:b/>
                <w:color w:val="000000"/>
                <w:sz w:val="24"/>
                <w:szCs w:val="24"/>
              </w:rPr>
              <w:t xml:space="preserve"> </w:t>
            </w:r>
          </w:p>
        </w:tc>
      </w:tr>
    </w:tbl>
    <w:p w14:paraId="4CB6A0C1" w14:textId="0E0E2984" w:rsidR="001D7791" w:rsidRPr="006D0AA4" w:rsidRDefault="00551020" w:rsidP="006D0AA4">
      <w:pPr>
        <w:spacing w:after="160" w:line="240" w:lineRule="auto"/>
        <w:jc w:val="both"/>
        <w:rPr>
          <w:rFonts w:ascii="Times New Roman" w:eastAsia="Calibri" w:hAnsi="Times New Roman"/>
          <w:sz w:val="24"/>
          <w:szCs w:val="24"/>
        </w:rPr>
      </w:pPr>
      <w:r w:rsidRPr="006D0AA4">
        <w:rPr>
          <w:rFonts w:ascii="Times New Roman" w:eastAsia="Calibri" w:hAnsi="Times New Roman"/>
          <w:sz w:val="24"/>
          <w:szCs w:val="24"/>
        </w:rPr>
        <w:t>ANOVA does</w:t>
      </w:r>
      <w:r w:rsidR="00561D20" w:rsidRPr="006D0AA4">
        <w:rPr>
          <w:rFonts w:ascii="Times New Roman" w:eastAsia="Calibri" w:hAnsi="Times New Roman"/>
          <w:sz w:val="24"/>
          <w:szCs w:val="24"/>
        </w:rPr>
        <w:t xml:space="preserve"> check the model</w:t>
      </w:r>
      <w:r w:rsidRPr="006D0AA4">
        <w:rPr>
          <w:rFonts w:ascii="Times New Roman" w:eastAsia="Calibri" w:hAnsi="Times New Roman"/>
          <w:sz w:val="24"/>
          <w:szCs w:val="24"/>
        </w:rPr>
        <w:t>’s</w:t>
      </w:r>
      <w:r w:rsidR="00561D20" w:rsidRPr="006D0AA4">
        <w:rPr>
          <w:rFonts w:ascii="Times New Roman" w:eastAsia="Calibri" w:hAnsi="Times New Roman"/>
          <w:sz w:val="24"/>
          <w:szCs w:val="24"/>
        </w:rPr>
        <w:t xml:space="preserve"> fit</w:t>
      </w:r>
      <w:r w:rsidRPr="006D0AA4">
        <w:rPr>
          <w:rFonts w:ascii="Times New Roman" w:eastAsia="Calibri" w:hAnsi="Times New Roman"/>
          <w:sz w:val="24"/>
          <w:szCs w:val="24"/>
        </w:rPr>
        <w:t>ness</w:t>
      </w:r>
      <w:r w:rsidR="00561D20" w:rsidRPr="006D0AA4">
        <w:rPr>
          <w:rFonts w:ascii="Times New Roman" w:eastAsia="Calibri" w:hAnsi="Times New Roman"/>
          <w:sz w:val="24"/>
          <w:szCs w:val="24"/>
        </w:rPr>
        <w:t>, that is, tests t</w:t>
      </w:r>
      <w:r w:rsidR="003B38E2" w:rsidRPr="006D0AA4">
        <w:rPr>
          <w:rFonts w:ascii="Times New Roman" w:eastAsia="Calibri" w:hAnsi="Times New Roman"/>
          <w:sz w:val="24"/>
          <w:szCs w:val="24"/>
        </w:rPr>
        <w:t xml:space="preserve">he acceptability of the model. </w:t>
      </w:r>
      <w:r w:rsidR="00561D20" w:rsidRPr="006D0AA4">
        <w:rPr>
          <w:rFonts w:ascii="Times New Roman" w:eastAsia="Calibri" w:hAnsi="Times New Roman"/>
          <w:sz w:val="24"/>
          <w:szCs w:val="24"/>
        </w:rPr>
        <w:t xml:space="preserve">There were 50 observations. The Regression row </w:t>
      </w:r>
      <w:r w:rsidR="00B01659" w:rsidRPr="006D0AA4">
        <w:rPr>
          <w:rFonts w:ascii="Times New Roman" w:eastAsia="Calibri" w:hAnsi="Times New Roman"/>
          <w:sz w:val="24"/>
          <w:szCs w:val="24"/>
        </w:rPr>
        <w:t xml:space="preserve">does display the respective models accounted for information, in this respect, 0. 015. </w:t>
      </w:r>
      <w:r w:rsidR="00561D20" w:rsidRPr="006D0AA4">
        <w:rPr>
          <w:rFonts w:ascii="Times New Roman" w:eastAsia="Calibri" w:hAnsi="Times New Roman"/>
          <w:sz w:val="24"/>
          <w:szCs w:val="24"/>
        </w:rPr>
        <w:t>Residual th</w:t>
      </w:r>
      <w:r w:rsidR="00B01659" w:rsidRPr="006D0AA4">
        <w:rPr>
          <w:rFonts w:ascii="Times New Roman" w:eastAsia="Calibri" w:hAnsi="Times New Roman"/>
          <w:sz w:val="24"/>
          <w:szCs w:val="24"/>
        </w:rPr>
        <w:t xml:space="preserve">at is, the </w:t>
      </w:r>
      <w:r w:rsidR="00513F7C" w:rsidRPr="006D0AA4">
        <w:rPr>
          <w:rFonts w:ascii="Times New Roman" w:eastAsia="Calibri" w:hAnsi="Times New Roman"/>
          <w:sz w:val="24"/>
          <w:szCs w:val="24"/>
        </w:rPr>
        <w:t xml:space="preserve">model’s none accounted for </w:t>
      </w:r>
      <w:r w:rsidR="00B01659" w:rsidRPr="006D0AA4">
        <w:rPr>
          <w:rFonts w:ascii="Times New Roman" w:eastAsia="Calibri" w:hAnsi="Times New Roman"/>
          <w:sz w:val="24"/>
          <w:szCs w:val="24"/>
        </w:rPr>
        <w:t>variation</w:t>
      </w:r>
      <w:r w:rsidR="00561D20" w:rsidRPr="006D0AA4">
        <w:rPr>
          <w:rFonts w:ascii="Times New Roman" w:eastAsia="Calibri" w:hAnsi="Times New Roman"/>
          <w:sz w:val="24"/>
          <w:szCs w:val="24"/>
        </w:rPr>
        <w:t xml:space="preserve">, is 13.507, much higher than the regression (0.15), suggesting that asset tangibility does not predict ROE. The significance value of the regression, which is 0.819, is more than α -level of </w:t>
      </w:r>
      <w:proofErr w:type="gramStart"/>
      <w:r w:rsidR="00561D20" w:rsidRPr="006D0AA4">
        <w:rPr>
          <w:rFonts w:ascii="Times New Roman" w:eastAsia="Calibri" w:hAnsi="Times New Roman"/>
          <w:sz w:val="24"/>
          <w:szCs w:val="24"/>
        </w:rPr>
        <w:t>0.05</w:t>
      </w:r>
      <w:r w:rsidR="00513F7C" w:rsidRPr="006D0AA4">
        <w:rPr>
          <w:rFonts w:ascii="Times New Roman" w:eastAsia="Calibri" w:hAnsi="Times New Roman"/>
          <w:sz w:val="24"/>
          <w:szCs w:val="24"/>
        </w:rPr>
        <w:t>,</w:t>
      </w:r>
      <w:proofErr w:type="gramEnd"/>
      <w:r w:rsidR="00513F7C" w:rsidRPr="006D0AA4">
        <w:rPr>
          <w:rFonts w:ascii="Times New Roman" w:eastAsia="Calibri" w:hAnsi="Times New Roman"/>
          <w:sz w:val="24"/>
          <w:szCs w:val="24"/>
        </w:rPr>
        <w:t xml:space="preserve"> a</w:t>
      </w:r>
      <w:r w:rsidR="001204FB" w:rsidRPr="006D0AA4">
        <w:rPr>
          <w:rFonts w:ascii="Times New Roman" w:eastAsia="Calibri" w:hAnsi="Times New Roman"/>
          <w:sz w:val="24"/>
          <w:szCs w:val="24"/>
        </w:rPr>
        <w:t xml:space="preserve"> clear indication that explained variations by the model is simply by chance</w:t>
      </w:r>
      <w:r w:rsidR="00561D20" w:rsidRPr="006D0AA4">
        <w:rPr>
          <w:rFonts w:ascii="Times New Roman" w:eastAsia="Calibri" w:hAnsi="Times New Roman"/>
          <w:sz w:val="24"/>
          <w:szCs w:val="24"/>
        </w:rPr>
        <w:t>.</w:t>
      </w:r>
    </w:p>
    <w:p w14:paraId="1541E07C" w14:textId="3E9F50C6" w:rsidR="00582821" w:rsidRDefault="00DE22D0" w:rsidP="006D0AA4">
      <w:pPr>
        <w:tabs>
          <w:tab w:val="left" w:pos="1284"/>
        </w:tabs>
        <w:spacing w:after="0" w:line="240" w:lineRule="auto"/>
        <w:jc w:val="both"/>
        <w:rPr>
          <w:rFonts w:ascii="Times New Roman" w:hAnsi="Times New Roman"/>
          <w:sz w:val="24"/>
          <w:szCs w:val="24"/>
        </w:rPr>
      </w:pPr>
      <w:r w:rsidRPr="006D0AA4">
        <w:rPr>
          <w:rFonts w:ascii="Times New Roman" w:hAnsi="Times New Roman"/>
          <w:sz w:val="24"/>
          <w:szCs w:val="24"/>
        </w:rPr>
        <w:t>As exhibited</w:t>
      </w:r>
      <w:r w:rsidR="001204FB" w:rsidRPr="006D0AA4">
        <w:rPr>
          <w:rFonts w:ascii="Times New Roman" w:hAnsi="Times New Roman"/>
          <w:sz w:val="24"/>
          <w:szCs w:val="24"/>
        </w:rPr>
        <w:t xml:space="preserve"> in table</w:t>
      </w:r>
      <w:r w:rsidR="00EC206E" w:rsidRPr="006D0AA4">
        <w:rPr>
          <w:rFonts w:ascii="Times New Roman" w:hAnsi="Times New Roman"/>
          <w:sz w:val="24"/>
          <w:szCs w:val="24"/>
        </w:rPr>
        <w:t xml:space="preserve"> </w:t>
      </w:r>
      <w:r w:rsidR="00185391">
        <w:rPr>
          <w:rFonts w:ascii="Times New Roman" w:hAnsi="Times New Roman"/>
          <w:sz w:val="24"/>
          <w:szCs w:val="24"/>
        </w:rPr>
        <w:t>3</w:t>
      </w:r>
      <w:r w:rsidR="00EC206E" w:rsidRPr="006D0AA4">
        <w:rPr>
          <w:rFonts w:ascii="Times New Roman" w:hAnsi="Times New Roman"/>
          <w:sz w:val="24"/>
          <w:szCs w:val="24"/>
        </w:rPr>
        <w:t xml:space="preserve"> above</w:t>
      </w:r>
      <w:r w:rsidR="00092B7A" w:rsidRPr="006D0AA4">
        <w:rPr>
          <w:rFonts w:ascii="Times New Roman" w:hAnsi="Times New Roman"/>
          <w:sz w:val="24"/>
          <w:szCs w:val="24"/>
        </w:rPr>
        <w:t xml:space="preserve">, Asset </w:t>
      </w:r>
      <w:r w:rsidR="00513F7C" w:rsidRPr="006D0AA4">
        <w:rPr>
          <w:rFonts w:ascii="Times New Roman" w:hAnsi="Times New Roman"/>
          <w:sz w:val="24"/>
          <w:szCs w:val="24"/>
        </w:rPr>
        <w:t>t</w:t>
      </w:r>
      <w:r w:rsidR="00092B7A" w:rsidRPr="006D0AA4">
        <w:rPr>
          <w:rFonts w:ascii="Times New Roman" w:hAnsi="Times New Roman"/>
          <w:sz w:val="24"/>
          <w:szCs w:val="24"/>
        </w:rPr>
        <w:t>angibili</w:t>
      </w:r>
      <w:r w:rsidR="00DF32CD" w:rsidRPr="006D0AA4">
        <w:rPr>
          <w:rFonts w:ascii="Times New Roman" w:hAnsi="Times New Roman"/>
          <w:sz w:val="24"/>
          <w:szCs w:val="24"/>
        </w:rPr>
        <w:t xml:space="preserve">ty can evidently explain 6.4% </w:t>
      </w:r>
      <w:r w:rsidRPr="006D0AA4">
        <w:rPr>
          <w:rFonts w:ascii="Times New Roman" w:hAnsi="Times New Roman"/>
          <w:sz w:val="24"/>
          <w:szCs w:val="24"/>
        </w:rPr>
        <w:t xml:space="preserve">subsequent </w:t>
      </w:r>
      <w:r w:rsidR="00092B7A" w:rsidRPr="006D0AA4">
        <w:rPr>
          <w:rFonts w:ascii="Times New Roman" w:hAnsi="Times New Roman"/>
          <w:sz w:val="24"/>
          <w:szCs w:val="24"/>
        </w:rPr>
        <w:t>changes over</w:t>
      </w:r>
      <w:r w:rsidRPr="006D0AA4">
        <w:rPr>
          <w:rFonts w:ascii="Times New Roman" w:hAnsi="Times New Roman"/>
          <w:sz w:val="24"/>
          <w:szCs w:val="24"/>
        </w:rPr>
        <w:t xml:space="preserve"> </w:t>
      </w:r>
      <w:r w:rsidR="00C36BDA" w:rsidRPr="006D0AA4">
        <w:rPr>
          <w:rFonts w:ascii="Times New Roman" w:hAnsi="Times New Roman"/>
          <w:sz w:val="24"/>
          <w:szCs w:val="24"/>
        </w:rPr>
        <w:t>firm</w:t>
      </w:r>
      <w:r w:rsidRPr="006D0AA4">
        <w:rPr>
          <w:rFonts w:ascii="Times New Roman" w:hAnsi="Times New Roman"/>
          <w:sz w:val="24"/>
          <w:szCs w:val="24"/>
        </w:rPr>
        <w:t>’s</w:t>
      </w:r>
      <w:r w:rsidR="00092B7A" w:rsidRPr="006D0AA4">
        <w:rPr>
          <w:rFonts w:ascii="Times New Roman" w:hAnsi="Times New Roman"/>
          <w:sz w:val="24"/>
          <w:szCs w:val="24"/>
        </w:rPr>
        <w:t xml:space="preserve"> performance. Total assets turnover is 0.17, a clear suggestion that returns on assets make improvement by the said margin of 0.17 </w:t>
      </w:r>
      <w:r w:rsidR="00513F7C" w:rsidRPr="006D0AA4">
        <w:rPr>
          <w:rFonts w:ascii="Times New Roman" w:hAnsi="Times New Roman"/>
          <w:sz w:val="24"/>
          <w:szCs w:val="24"/>
        </w:rPr>
        <w:t>in</w:t>
      </w:r>
      <w:r w:rsidR="00092B7A" w:rsidRPr="006D0AA4">
        <w:rPr>
          <w:rFonts w:ascii="Times New Roman" w:hAnsi="Times New Roman"/>
          <w:sz w:val="24"/>
          <w:szCs w:val="24"/>
        </w:rPr>
        <w:t xml:space="preserve"> percentage. S</w:t>
      </w:r>
      <w:r w:rsidRPr="006D0AA4">
        <w:rPr>
          <w:rFonts w:ascii="Times New Roman" w:hAnsi="Times New Roman"/>
          <w:sz w:val="24"/>
          <w:szCs w:val="24"/>
        </w:rPr>
        <w:t>ignificantly</w:t>
      </w:r>
      <w:r w:rsidR="00BF7F81" w:rsidRPr="006D0AA4">
        <w:rPr>
          <w:rFonts w:ascii="Times New Roman" w:hAnsi="Times New Roman"/>
          <w:sz w:val="24"/>
          <w:szCs w:val="24"/>
        </w:rPr>
        <w:t>,</w:t>
      </w:r>
      <w:r w:rsidR="00092B7A" w:rsidRPr="006D0AA4">
        <w:rPr>
          <w:rFonts w:ascii="Times New Roman" w:hAnsi="Times New Roman"/>
          <w:sz w:val="24"/>
          <w:szCs w:val="24"/>
        </w:rPr>
        <w:t xml:space="preserve"> this can give an explanation</w:t>
      </w:r>
      <w:r w:rsidR="00C36BDA" w:rsidRPr="006D0AA4">
        <w:rPr>
          <w:rFonts w:ascii="Times New Roman" w:hAnsi="Times New Roman"/>
          <w:sz w:val="24"/>
          <w:szCs w:val="24"/>
        </w:rPr>
        <w:t xml:space="preserve"> that </w:t>
      </w:r>
      <w:r w:rsidRPr="006D0AA4">
        <w:rPr>
          <w:rFonts w:ascii="Times New Roman" w:hAnsi="Times New Roman"/>
          <w:sz w:val="24"/>
          <w:szCs w:val="24"/>
        </w:rPr>
        <w:t>in instances where</w:t>
      </w:r>
      <w:r w:rsidR="001C6358" w:rsidRPr="006D0AA4">
        <w:rPr>
          <w:rFonts w:ascii="Times New Roman" w:hAnsi="Times New Roman"/>
          <w:sz w:val="24"/>
          <w:szCs w:val="24"/>
        </w:rPr>
        <w:t xml:space="preserve"> </w:t>
      </w:r>
      <w:r w:rsidR="00C36BDA" w:rsidRPr="006D0AA4">
        <w:rPr>
          <w:rFonts w:ascii="Times New Roman" w:hAnsi="Times New Roman"/>
          <w:sz w:val="24"/>
          <w:szCs w:val="24"/>
        </w:rPr>
        <w:t>a</w:t>
      </w:r>
      <w:r w:rsidRPr="006D0AA4">
        <w:rPr>
          <w:rFonts w:ascii="Times New Roman" w:hAnsi="Times New Roman"/>
          <w:sz w:val="24"/>
          <w:szCs w:val="24"/>
        </w:rPr>
        <w:t>sset</w:t>
      </w:r>
      <w:r w:rsidR="00092B7A" w:rsidRPr="006D0AA4">
        <w:rPr>
          <w:rFonts w:ascii="Times New Roman" w:hAnsi="Times New Roman"/>
          <w:sz w:val="24"/>
          <w:szCs w:val="24"/>
        </w:rPr>
        <w:t>s’</w:t>
      </w:r>
      <w:r w:rsidRPr="006D0AA4">
        <w:rPr>
          <w:rFonts w:ascii="Times New Roman" w:hAnsi="Times New Roman"/>
          <w:sz w:val="24"/>
          <w:szCs w:val="24"/>
        </w:rPr>
        <w:t xml:space="preserve"> tangibility</w:t>
      </w:r>
      <w:r w:rsidR="00092B7A" w:rsidRPr="006D0AA4">
        <w:rPr>
          <w:rFonts w:ascii="Times New Roman" w:hAnsi="Times New Roman"/>
          <w:sz w:val="24"/>
          <w:szCs w:val="24"/>
        </w:rPr>
        <w:t xml:space="preserve"> is rightly </w:t>
      </w:r>
      <w:proofErr w:type="gramStart"/>
      <w:r w:rsidR="00092B7A" w:rsidRPr="006D0AA4">
        <w:rPr>
          <w:rFonts w:ascii="Times New Roman" w:hAnsi="Times New Roman"/>
          <w:sz w:val="24"/>
          <w:szCs w:val="24"/>
        </w:rPr>
        <w:t>managed,</w:t>
      </w:r>
      <w:proofErr w:type="gramEnd"/>
      <w:r w:rsidR="00092B7A" w:rsidRPr="006D0AA4">
        <w:rPr>
          <w:rFonts w:ascii="Times New Roman" w:hAnsi="Times New Roman"/>
          <w:sz w:val="24"/>
          <w:szCs w:val="24"/>
        </w:rPr>
        <w:t xml:space="preserve"> it does</w:t>
      </w:r>
      <w:r w:rsidRPr="006D0AA4">
        <w:rPr>
          <w:rFonts w:ascii="Times New Roman" w:hAnsi="Times New Roman"/>
          <w:sz w:val="24"/>
          <w:szCs w:val="24"/>
        </w:rPr>
        <w:t xml:space="preserve"> have an</w:t>
      </w:r>
      <w:r w:rsidR="00092B7A" w:rsidRPr="006D0AA4">
        <w:rPr>
          <w:rFonts w:ascii="Times New Roman" w:hAnsi="Times New Roman"/>
          <w:sz w:val="24"/>
          <w:szCs w:val="24"/>
        </w:rPr>
        <w:t xml:space="preserve"> effect</w:t>
      </w:r>
      <w:r w:rsidR="00C36BDA" w:rsidRPr="006D0AA4">
        <w:rPr>
          <w:rFonts w:ascii="Times New Roman" w:hAnsi="Times New Roman"/>
          <w:sz w:val="24"/>
          <w:szCs w:val="24"/>
        </w:rPr>
        <w:t xml:space="preserve"> </w:t>
      </w:r>
      <w:r w:rsidRPr="006D0AA4">
        <w:rPr>
          <w:rFonts w:ascii="Times New Roman" w:hAnsi="Times New Roman"/>
          <w:sz w:val="24"/>
          <w:szCs w:val="24"/>
        </w:rPr>
        <w:t xml:space="preserve">on </w:t>
      </w:r>
      <w:r w:rsidR="00BF7F81" w:rsidRPr="006D0AA4">
        <w:rPr>
          <w:rFonts w:ascii="Times New Roman" w:hAnsi="Times New Roman"/>
          <w:sz w:val="24"/>
          <w:szCs w:val="24"/>
        </w:rPr>
        <w:t xml:space="preserve">a </w:t>
      </w:r>
      <w:r w:rsidRPr="006D0AA4">
        <w:rPr>
          <w:rFonts w:ascii="Times New Roman" w:hAnsi="Times New Roman"/>
          <w:sz w:val="24"/>
          <w:szCs w:val="24"/>
        </w:rPr>
        <w:t>firm</w:t>
      </w:r>
      <w:r w:rsidR="00092B7A" w:rsidRPr="006D0AA4">
        <w:rPr>
          <w:rFonts w:ascii="Times New Roman" w:hAnsi="Times New Roman"/>
          <w:sz w:val="24"/>
          <w:szCs w:val="24"/>
        </w:rPr>
        <w:t>’s success</w:t>
      </w:r>
      <w:r w:rsidR="00BF7F81" w:rsidRPr="006D0AA4">
        <w:rPr>
          <w:rFonts w:ascii="Times New Roman" w:hAnsi="Times New Roman"/>
          <w:sz w:val="24"/>
          <w:szCs w:val="24"/>
        </w:rPr>
        <w:t>.</w:t>
      </w:r>
      <w:r w:rsidR="00C36BDA" w:rsidRPr="006D0AA4">
        <w:rPr>
          <w:rFonts w:ascii="Times New Roman" w:hAnsi="Times New Roman"/>
          <w:sz w:val="24"/>
          <w:szCs w:val="24"/>
        </w:rPr>
        <w:t xml:space="preserve"> </w:t>
      </w:r>
      <w:r w:rsidR="00BF7F81" w:rsidRPr="006D0AA4">
        <w:rPr>
          <w:rFonts w:ascii="Times New Roman" w:hAnsi="Times New Roman"/>
          <w:sz w:val="24"/>
          <w:szCs w:val="24"/>
        </w:rPr>
        <w:t>H</w:t>
      </w:r>
      <w:r w:rsidRPr="006D0AA4">
        <w:rPr>
          <w:rFonts w:ascii="Times New Roman" w:hAnsi="Times New Roman"/>
          <w:sz w:val="24"/>
          <w:szCs w:val="24"/>
        </w:rPr>
        <w:t>ence</w:t>
      </w:r>
      <w:r w:rsidR="00BF7F81" w:rsidRPr="006D0AA4">
        <w:rPr>
          <w:rFonts w:ascii="Times New Roman" w:hAnsi="Times New Roman"/>
          <w:sz w:val="24"/>
          <w:szCs w:val="24"/>
        </w:rPr>
        <w:t>,</w:t>
      </w:r>
      <w:r w:rsidR="00092B7A" w:rsidRPr="006D0AA4">
        <w:rPr>
          <w:rFonts w:ascii="Times New Roman" w:hAnsi="Times New Roman"/>
          <w:sz w:val="24"/>
          <w:szCs w:val="24"/>
        </w:rPr>
        <w:t xml:space="preserve"> that</w:t>
      </w:r>
      <w:r w:rsidR="00C36BDA" w:rsidRPr="006D0AA4">
        <w:rPr>
          <w:rFonts w:ascii="Times New Roman" w:hAnsi="Times New Roman"/>
          <w:sz w:val="24"/>
          <w:szCs w:val="24"/>
        </w:rPr>
        <w:t xml:space="preserve"> </w:t>
      </w:r>
      <w:r w:rsidR="00092B7A" w:rsidRPr="006D0AA4">
        <w:rPr>
          <w:rFonts w:ascii="Times New Roman" w:hAnsi="Times New Roman"/>
          <w:sz w:val="24"/>
          <w:szCs w:val="24"/>
        </w:rPr>
        <w:t>denote</w:t>
      </w:r>
      <w:r w:rsidR="00BF7F81" w:rsidRPr="006D0AA4">
        <w:rPr>
          <w:rFonts w:ascii="Times New Roman" w:hAnsi="Times New Roman"/>
          <w:sz w:val="24"/>
          <w:szCs w:val="24"/>
        </w:rPr>
        <w:t>s</w:t>
      </w:r>
      <w:r w:rsidR="00092B7A" w:rsidRPr="006D0AA4">
        <w:rPr>
          <w:rFonts w:ascii="Times New Roman" w:hAnsi="Times New Roman"/>
          <w:sz w:val="24"/>
          <w:szCs w:val="24"/>
        </w:rPr>
        <w:t xml:space="preserve"> some form of improvement on</w:t>
      </w:r>
      <w:r w:rsidR="00C36BDA" w:rsidRPr="006D0AA4">
        <w:rPr>
          <w:rFonts w:ascii="Times New Roman" w:hAnsi="Times New Roman"/>
          <w:sz w:val="24"/>
          <w:szCs w:val="24"/>
        </w:rPr>
        <w:t xml:space="preserve"> the performance of the</w:t>
      </w:r>
      <w:r w:rsidR="00092B7A" w:rsidRPr="006D0AA4">
        <w:rPr>
          <w:rFonts w:ascii="Times New Roman" w:hAnsi="Times New Roman"/>
          <w:sz w:val="24"/>
          <w:szCs w:val="24"/>
        </w:rPr>
        <w:t xml:space="preserve"> business entity</w:t>
      </w:r>
      <w:r w:rsidR="00C36BDA" w:rsidRPr="006D0AA4">
        <w:rPr>
          <w:rFonts w:ascii="Times New Roman" w:hAnsi="Times New Roman"/>
          <w:sz w:val="24"/>
          <w:szCs w:val="24"/>
        </w:rPr>
        <w:t>.</w:t>
      </w:r>
      <w:r w:rsidR="001C6358" w:rsidRPr="006D0AA4">
        <w:rPr>
          <w:rFonts w:ascii="Times New Roman" w:hAnsi="Times New Roman"/>
          <w:sz w:val="24"/>
          <w:szCs w:val="24"/>
        </w:rPr>
        <w:t xml:space="preserve"> </w:t>
      </w:r>
      <w:r w:rsidRPr="006D0AA4">
        <w:rPr>
          <w:rFonts w:ascii="Times New Roman" w:hAnsi="Times New Roman"/>
          <w:sz w:val="24"/>
          <w:szCs w:val="24"/>
        </w:rPr>
        <w:t>In accordance</w:t>
      </w:r>
      <w:r w:rsidR="00092B7A" w:rsidRPr="006D0AA4">
        <w:rPr>
          <w:rFonts w:ascii="Times New Roman" w:hAnsi="Times New Roman"/>
          <w:sz w:val="24"/>
          <w:szCs w:val="24"/>
        </w:rPr>
        <w:t xml:space="preserve"> to displayed results</w:t>
      </w:r>
      <w:r w:rsidR="00C36BDA" w:rsidRPr="006D0AA4">
        <w:rPr>
          <w:rFonts w:ascii="Times New Roman" w:hAnsi="Times New Roman"/>
          <w:sz w:val="24"/>
          <w:szCs w:val="24"/>
        </w:rPr>
        <w:t xml:space="preserve">, hypothesis </w:t>
      </w:r>
      <w:r w:rsidR="00185391">
        <w:rPr>
          <w:rFonts w:ascii="Times New Roman" w:hAnsi="Times New Roman"/>
          <w:sz w:val="24"/>
          <w:szCs w:val="24"/>
        </w:rPr>
        <w:t>H01</w:t>
      </w:r>
      <w:r w:rsidR="001204FB" w:rsidRPr="006D0AA4">
        <w:rPr>
          <w:rFonts w:ascii="Times New Roman" w:hAnsi="Times New Roman"/>
          <w:sz w:val="24"/>
          <w:szCs w:val="24"/>
        </w:rPr>
        <w:t xml:space="preserve"> is</w:t>
      </w:r>
      <w:r w:rsidR="00C36BDA" w:rsidRPr="006D0AA4">
        <w:rPr>
          <w:rFonts w:ascii="Times New Roman" w:hAnsi="Times New Roman"/>
          <w:sz w:val="24"/>
          <w:szCs w:val="24"/>
        </w:rPr>
        <w:t xml:space="preserve"> </w:t>
      </w:r>
      <w:r w:rsidRPr="006D0AA4">
        <w:rPr>
          <w:rFonts w:ascii="Times New Roman" w:hAnsi="Times New Roman"/>
          <w:sz w:val="24"/>
          <w:szCs w:val="24"/>
        </w:rPr>
        <w:t xml:space="preserve">thus </w:t>
      </w:r>
      <w:r w:rsidR="00C36BDA" w:rsidRPr="006D0AA4">
        <w:rPr>
          <w:rFonts w:ascii="Times New Roman" w:hAnsi="Times New Roman"/>
          <w:sz w:val="24"/>
          <w:szCs w:val="24"/>
        </w:rPr>
        <w:t>accepted</w:t>
      </w:r>
      <w:r w:rsidR="00092B7A" w:rsidRPr="006D0AA4">
        <w:rPr>
          <w:rFonts w:ascii="Times New Roman" w:hAnsi="Times New Roman"/>
          <w:sz w:val="24"/>
          <w:szCs w:val="24"/>
        </w:rPr>
        <w:t>,</w:t>
      </w:r>
      <w:r w:rsidR="00C36BDA" w:rsidRPr="006D0AA4">
        <w:rPr>
          <w:rFonts w:ascii="Times New Roman" w:hAnsi="Times New Roman"/>
          <w:sz w:val="24"/>
          <w:szCs w:val="24"/>
        </w:rPr>
        <w:t xml:space="preserve"> that asset</w:t>
      </w:r>
      <w:r w:rsidR="001C6358" w:rsidRPr="006D0AA4">
        <w:rPr>
          <w:rFonts w:ascii="Times New Roman" w:hAnsi="Times New Roman"/>
          <w:sz w:val="24"/>
          <w:szCs w:val="24"/>
        </w:rPr>
        <w:t xml:space="preserve"> </w:t>
      </w:r>
      <w:r w:rsidRPr="006D0AA4">
        <w:rPr>
          <w:rFonts w:ascii="Times New Roman" w:hAnsi="Times New Roman"/>
          <w:sz w:val="24"/>
          <w:szCs w:val="24"/>
        </w:rPr>
        <w:t>tangibility</w:t>
      </w:r>
      <w:r w:rsidR="001204FB" w:rsidRPr="006D0AA4">
        <w:rPr>
          <w:rFonts w:ascii="Times New Roman" w:hAnsi="Times New Roman"/>
          <w:sz w:val="24"/>
          <w:szCs w:val="24"/>
        </w:rPr>
        <w:t xml:space="preserve"> has statistical</w:t>
      </w:r>
      <w:r w:rsidR="00E555AB" w:rsidRPr="006D0AA4">
        <w:rPr>
          <w:rFonts w:ascii="Times New Roman" w:hAnsi="Times New Roman"/>
          <w:sz w:val="24"/>
          <w:szCs w:val="24"/>
        </w:rPr>
        <w:t xml:space="preserve"> </w:t>
      </w:r>
      <w:r w:rsidR="001204FB" w:rsidRPr="006D0AA4">
        <w:rPr>
          <w:rFonts w:ascii="Times New Roman" w:hAnsi="Times New Roman"/>
          <w:sz w:val="24"/>
          <w:szCs w:val="24"/>
        </w:rPr>
        <w:t>significance</w:t>
      </w:r>
      <w:r w:rsidR="00513F7C" w:rsidRPr="006D0AA4">
        <w:rPr>
          <w:rFonts w:ascii="Times New Roman" w:hAnsi="Times New Roman"/>
          <w:sz w:val="24"/>
          <w:szCs w:val="24"/>
        </w:rPr>
        <w:t>;</w:t>
      </w:r>
      <w:r w:rsidR="001204FB" w:rsidRPr="006D0AA4">
        <w:rPr>
          <w:rFonts w:ascii="Times New Roman" w:hAnsi="Times New Roman"/>
          <w:sz w:val="24"/>
          <w:szCs w:val="24"/>
        </w:rPr>
        <w:t xml:space="preserve"> positiv</w:t>
      </w:r>
      <w:r w:rsidR="00513F7C" w:rsidRPr="006D0AA4">
        <w:rPr>
          <w:rFonts w:ascii="Times New Roman" w:hAnsi="Times New Roman"/>
          <w:sz w:val="24"/>
          <w:szCs w:val="24"/>
        </w:rPr>
        <w:t>e</w:t>
      </w:r>
      <w:r w:rsidR="001204FB" w:rsidRPr="006D0AA4">
        <w:rPr>
          <w:rFonts w:ascii="Times New Roman" w:hAnsi="Times New Roman"/>
          <w:sz w:val="24"/>
          <w:szCs w:val="24"/>
        </w:rPr>
        <w:t xml:space="preserve"> in</w:t>
      </w:r>
      <w:r w:rsidR="003B4ADF" w:rsidRPr="006D0AA4">
        <w:rPr>
          <w:rFonts w:ascii="Times New Roman" w:hAnsi="Times New Roman"/>
          <w:sz w:val="24"/>
          <w:szCs w:val="24"/>
        </w:rPr>
        <w:t xml:space="preserve"> effect</w:t>
      </w:r>
      <w:r w:rsidR="001204FB" w:rsidRPr="006D0AA4">
        <w:rPr>
          <w:rFonts w:ascii="Times New Roman" w:hAnsi="Times New Roman"/>
          <w:sz w:val="24"/>
          <w:szCs w:val="24"/>
        </w:rPr>
        <w:t xml:space="preserve"> on firm</w:t>
      </w:r>
      <w:r w:rsidR="002B282F" w:rsidRPr="006D0AA4">
        <w:rPr>
          <w:rFonts w:ascii="Times New Roman" w:hAnsi="Times New Roman"/>
          <w:sz w:val="24"/>
          <w:szCs w:val="24"/>
        </w:rPr>
        <w:t xml:space="preserve"> performance.</w:t>
      </w:r>
    </w:p>
    <w:p w14:paraId="7EBDB0EE" w14:textId="77777777" w:rsidR="00185391" w:rsidRPr="006D0AA4" w:rsidRDefault="00185391" w:rsidP="006D0AA4">
      <w:pPr>
        <w:tabs>
          <w:tab w:val="left" w:pos="1284"/>
        </w:tabs>
        <w:spacing w:after="0" w:line="240" w:lineRule="auto"/>
        <w:jc w:val="both"/>
        <w:rPr>
          <w:rFonts w:ascii="Times New Roman" w:hAnsi="Times New Roman"/>
          <w:sz w:val="24"/>
          <w:szCs w:val="24"/>
        </w:rPr>
      </w:pPr>
    </w:p>
    <w:p w14:paraId="2BF92E87" w14:textId="5C47485F" w:rsidR="008C5857" w:rsidRPr="006D0AA4" w:rsidRDefault="00FA72A4" w:rsidP="006D0AA4">
      <w:pPr>
        <w:pStyle w:val="Heading1"/>
        <w:spacing w:line="240" w:lineRule="auto"/>
        <w:jc w:val="left"/>
        <w:rPr>
          <w:sz w:val="24"/>
        </w:rPr>
      </w:pPr>
      <w:bookmarkStart w:id="96" w:name="_Toc141874778"/>
      <w:bookmarkStart w:id="97" w:name="_Toc150939229"/>
      <w:bookmarkStart w:id="98" w:name="_Toc150942715"/>
      <w:bookmarkStart w:id="99" w:name="_Toc150944521"/>
      <w:bookmarkEnd w:id="82"/>
      <w:r w:rsidRPr="006D0AA4">
        <w:rPr>
          <w:sz w:val="24"/>
        </w:rPr>
        <w:t>5.0 Summary, Conclusions and Recommendations</w:t>
      </w:r>
      <w:bookmarkEnd w:id="96"/>
      <w:bookmarkEnd w:id="97"/>
      <w:bookmarkEnd w:id="98"/>
      <w:bookmarkEnd w:id="99"/>
    </w:p>
    <w:p w14:paraId="117AC14B" w14:textId="77777777" w:rsidR="008C5857" w:rsidRPr="006D0AA4" w:rsidRDefault="008C5857" w:rsidP="006D0AA4">
      <w:pPr>
        <w:widowControl w:val="0"/>
        <w:overflowPunct w:val="0"/>
        <w:autoSpaceDE w:val="0"/>
        <w:spacing w:after="0" w:line="240" w:lineRule="auto"/>
        <w:jc w:val="both"/>
        <w:rPr>
          <w:rFonts w:ascii="Times New Roman" w:hAnsi="Times New Roman"/>
          <w:sz w:val="24"/>
          <w:szCs w:val="24"/>
        </w:rPr>
      </w:pPr>
    </w:p>
    <w:p w14:paraId="73254469" w14:textId="6C598385" w:rsidR="00936EB4" w:rsidRPr="006D0AA4" w:rsidRDefault="008C5857" w:rsidP="006D0AA4">
      <w:pPr>
        <w:pStyle w:val="Heading2"/>
        <w:numPr>
          <w:ilvl w:val="0"/>
          <w:numId w:val="0"/>
        </w:numPr>
        <w:spacing w:line="240" w:lineRule="auto"/>
        <w:ind w:left="375" w:hanging="375"/>
        <w:rPr>
          <w:sz w:val="24"/>
        </w:rPr>
      </w:pPr>
      <w:bookmarkStart w:id="100" w:name="_Toc141874780"/>
      <w:bookmarkStart w:id="101" w:name="_Toc150939231"/>
      <w:bookmarkStart w:id="102" w:name="_Toc150942717"/>
      <w:bookmarkStart w:id="103" w:name="_Toc150944523"/>
      <w:r w:rsidRPr="006D0AA4">
        <w:rPr>
          <w:sz w:val="24"/>
        </w:rPr>
        <w:t>5.</w:t>
      </w:r>
      <w:r w:rsidR="006D0AA4" w:rsidRPr="006D0AA4">
        <w:rPr>
          <w:sz w:val="24"/>
        </w:rPr>
        <w:t>1</w:t>
      </w:r>
      <w:r w:rsidRPr="006D0AA4">
        <w:rPr>
          <w:sz w:val="24"/>
        </w:rPr>
        <w:t xml:space="preserve"> Summary</w:t>
      </w:r>
      <w:bookmarkEnd w:id="100"/>
      <w:bookmarkEnd w:id="101"/>
      <w:bookmarkEnd w:id="102"/>
      <w:bookmarkEnd w:id="103"/>
    </w:p>
    <w:p w14:paraId="7D205D36" w14:textId="15D5DF80" w:rsidR="00185391" w:rsidRDefault="00185391" w:rsidP="00185391">
      <w:pPr>
        <w:widowControl w:val="0"/>
        <w:overflowPunct w:val="0"/>
        <w:autoSpaceDE w:val="0"/>
        <w:spacing w:before="240" w:after="0" w:line="240" w:lineRule="auto"/>
        <w:jc w:val="both"/>
        <w:rPr>
          <w:rFonts w:ascii="Times New Roman" w:hAnsi="Times New Roman"/>
          <w:sz w:val="24"/>
          <w:szCs w:val="24"/>
        </w:rPr>
      </w:pPr>
      <w:r>
        <w:rPr>
          <w:rFonts w:ascii="Times New Roman" w:hAnsi="Times New Roman"/>
          <w:sz w:val="24"/>
          <w:szCs w:val="24"/>
        </w:rPr>
        <w:t>This research investigation was undertaken to ascertain the effects of asset tangibility on the financial performance of non-listed building and construction firms in Kenya over the designated period 2014-2018. The independent variable of this study was asset tangibility, while the dependent variable was financial performance measured through return on equity (ROE). Descriptive statistics derived through mean, standard deviation, and regression analyses were employed to examine the effects of asset tangibility on financial performance. The descriptive analysis findings indicated that the mean asset tangibility ratio was 0.5281 with a standard deviation of 0.63725. The average ROE stood at 0.0506 with a standard deviation of 0.52532.</w:t>
      </w:r>
    </w:p>
    <w:p w14:paraId="1990E731" w14:textId="04CBF462" w:rsidR="00185391" w:rsidRPr="006D0AA4" w:rsidRDefault="00185391" w:rsidP="006D0AA4">
      <w:pPr>
        <w:widowControl w:val="0"/>
        <w:overflowPunct w:val="0"/>
        <w:autoSpaceDE w:val="0"/>
        <w:spacing w:before="240" w:after="0" w:line="240" w:lineRule="auto"/>
        <w:jc w:val="both"/>
        <w:rPr>
          <w:rFonts w:ascii="Times New Roman" w:hAnsi="Times New Roman"/>
          <w:sz w:val="24"/>
          <w:szCs w:val="24"/>
        </w:rPr>
      </w:pPr>
      <w:r>
        <w:rPr>
          <w:rFonts w:ascii="Times New Roman" w:hAnsi="Times New Roman"/>
          <w:sz w:val="24"/>
          <w:szCs w:val="24"/>
        </w:rPr>
        <w:t>The research concluded that there exists no statistically significant association between asset tangibility and firm performance. The coefficient of asset tangibility (-0.027) with a significance value of 0.819 indicates that tangible assets do not exert a measurable influence on return on equity. The relationship between asset structure and performance, while suggesting a weak inverse pattern, fails to achieve statistical significance, indicating that asset tangibility levels cannot reliably predict firm performance in the context of the sampled firms.</w:t>
      </w:r>
    </w:p>
    <w:p w14:paraId="22C4E396" w14:textId="710FA97D" w:rsidR="000F1905" w:rsidRPr="006D0AA4" w:rsidRDefault="006D0AA4" w:rsidP="006D0AA4">
      <w:pPr>
        <w:pStyle w:val="Heading2"/>
        <w:numPr>
          <w:ilvl w:val="0"/>
          <w:numId w:val="0"/>
        </w:numPr>
        <w:spacing w:line="240" w:lineRule="auto"/>
        <w:ind w:left="375" w:hanging="375"/>
        <w:rPr>
          <w:sz w:val="24"/>
        </w:rPr>
      </w:pPr>
      <w:bookmarkStart w:id="104" w:name="_Toc150939232"/>
      <w:bookmarkStart w:id="105" w:name="_Toc150942718"/>
      <w:bookmarkStart w:id="106" w:name="_Toc150944524"/>
      <w:r w:rsidRPr="006D0AA4">
        <w:rPr>
          <w:sz w:val="24"/>
        </w:rPr>
        <w:t>5.2</w:t>
      </w:r>
      <w:r w:rsidR="000F1905" w:rsidRPr="006D0AA4">
        <w:rPr>
          <w:sz w:val="24"/>
        </w:rPr>
        <w:t xml:space="preserve"> </w:t>
      </w:r>
      <w:r w:rsidR="00FD6583" w:rsidRPr="006D0AA4">
        <w:rPr>
          <w:sz w:val="24"/>
        </w:rPr>
        <w:t>Conclusions</w:t>
      </w:r>
      <w:bookmarkEnd w:id="104"/>
      <w:bookmarkEnd w:id="105"/>
      <w:bookmarkEnd w:id="106"/>
    </w:p>
    <w:p w14:paraId="78E25538" w14:textId="771CEAEB" w:rsidR="006B27B9" w:rsidRPr="006D0AA4" w:rsidRDefault="00185391" w:rsidP="006D0AA4">
      <w:pPr>
        <w:widowControl w:val="0"/>
        <w:overflowPunct w:val="0"/>
        <w:autoSpaceDE w:val="0"/>
        <w:spacing w:after="0" w:line="240" w:lineRule="auto"/>
        <w:jc w:val="both"/>
        <w:rPr>
          <w:rFonts w:ascii="Times New Roman" w:hAnsi="Times New Roman"/>
          <w:sz w:val="24"/>
          <w:szCs w:val="24"/>
        </w:rPr>
      </w:pPr>
      <w:r>
        <w:rPr>
          <w:rFonts w:ascii="Times New Roman" w:hAnsi="Times New Roman"/>
          <w:sz w:val="24"/>
          <w:szCs w:val="24"/>
        </w:rPr>
        <w:t>This research exercise examined the influence of asset tangibility on the financial performance of non-listed building and construction firms in Kenya. Data were sourced from secondary sources, with the sample comprising all 10 Tier 1 non-listed building and construction companies. The findings indicate that tangible asset investment does not necessarily enhance shareholder value through improved ROE. This conclusion aligns with certain earlier studies while contradicting others, suggesting that the relationship between asset structure and firm performance remains a subject requiring continued investigation.</w:t>
      </w:r>
    </w:p>
    <w:p w14:paraId="08B3D6BB" w14:textId="4F609AF9" w:rsidR="008C5857" w:rsidRPr="006D0AA4" w:rsidRDefault="006D0AA4" w:rsidP="006D0AA4">
      <w:pPr>
        <w:pStyle w:val="Heading2"/>
        <w:numPr>
          <w:ilvl w:val="0"/>
          <w:numId w:val="0"/>
        </w:numPr>
        <w:spacing w:line="240" w:lineRule="auto"/>
        <w:ind w:left="375" w:hanging="375"/>
        <w:rPr>
          <w:sz w:val="24"/>
        </w:rPr>
      </w:pPr>
      <w:bookmarkStart w:id="107" w:name="_Toc141874781"/>
      <w:bookmarkStart w:id="108" w:name="_Toc150939233"/>
      <w:bookmarkStart w:id="109" w:name="_Toc150942719"/>
      <w:bookmarkStart w:id="110" w:name="_Toc150944525"/>
      <w:r w:rsidRPr="006D0AA4">
        <w:rPr>
          <w:sz w:val="24"/>
        </w:rPr>
        <w:t>5.3</w:t>
      </w:r>
      <w:r w:rsidR="008C5857" w:rsidRPr="006D0AA4">
        <w:rPr>
          <w:sz w:val="24"/>
        </w:rPr>
        <w:t xml:space="preserve"> Recommendations</w:t>
      </w:r>
      <w:bookmarkEnd w:id="107"/>
      <w:bookmarkEnd w:id="108"/>
      <w:bookmarkEnd w:id="109"/>
      <w:bookmarkEnd w:id="110"/>
    </w:p>
    <w:p w14:paraId="7C7D86D6" w14:textId="49FCC237" w:rsidR="00185391" w:rsidRDefault="00185391" w:rsidP="00185391">
      <w:pPr>
        <w:widowControl w:val="0"/>
        <w:overflowPunct w:val="0"/>
        <w:autoSpaceDE w:val="0"/>
        <w:spacing w:after="0" w:line="240" w:lineRule="auto"/>
        <w:jc w:val="both"/>
        <w:rPr>
          <w:rFonts w:ascii="Times New Roman" w:hAnsi="Times New Roman"/>
          <w:sz w:val="24"/>
          <w:szCs w:val="24"/>
        </w:rPr>
      </w:pPr>
      <w:r>
        <w:rPr>
          <w:rFonts w:ascii="Times New Roman" w:hAnsi="Times New Roman"/>
          <w:sz w:val="24"/>
          <w:szCs w:val="24"/>
        </w:rPr>
        <w:t xml:space="preserve">The findings of this research carry compelling significance for individual firms, the broader industry, and the macro-economy. Given the observed negative correlation between asset tangibility and firm performance, this study recommends that business managers should exercise prudence in optimizing asset composition within their capital structures. Strategic asset </w:t>
      </w:r>
      <w:r>
        <w:rPr>
          <w:rFonts w:ascii="Times New Roman" w:hAnsi="Times New Roman"/>
          <w:sz w:val="24"/>
          <w:szCs w:val="24"/>
        </w:rPr>
        <w:lastRenderedPageBreak/>
        <w:t>investment can serve as a mechanism for increasing firm value and enhancing shareholder wealth.</w:t>
      </w:r>
    </w:p>
    <w:p w14:paraId="10F128E3" w14:textId="3158F813" w:rsidR="00185391" w:rsidRPr="006D0AA4" w:rsidRDefault="00185391" w:rsidP="006D0AA4">
      <w:pPr>
        <w:widowControl w:val="0"/>
        <w:overflowPunct w:val="0"/>
        <w:autoSpaceDE w:val="0"/>
        <w:spacing w:after="0" w:line="240" w:lineRule="auto"/>
        <w:jc w:val="both"/>
        <w:rPr>
          <w:rFonts w:ascii="Times New Roman" w:hAnsi="Times New Roman"/>
          <w:sz w:val="24"/>
          <w:szCs w:val="24"/>
        </w:rPr>
      </w:pPr>
      <w:r>
        <w:rPr>
          <w:rFonts w:ascii="Times New Roman" w:hAnsi="Times New Roman"/>
          <w:sz w:val="24"/>
          <w:szCs w:val="24"/>
        </w:rPr>
        <w:t>This research further recommends that firms should carefully evaluate the cost-benefit implications of significant fixed asset investments. Since many firms rely on collateralization for borrowing, the relationship between asset acquisition costs and operational benefits should be carefully assessed. Financial managers must remain proactive in comprehending the effects of asset structure fluctuations on their firms’ financial performance. Firms with balanced asset portfolios appear to perform better compared to those with excessive fixed asset concentration within the industry.</w:t>
      </w:r>
    </w:p>
    <w:p w14:paraId="4492A0AF" w14:textId="7A532327" w:rsidR="008C5857" w:rsidRPr="006D0AA4" w:rsidRDefault="002236AE" w:rsidP="006D0AA4">
      <w:pPr>
        <w:pStyle w:val="Heading2"/>
        <w:numPr>
          <w:ilvl w:val="0"/>
          <w:numId w:val="0"/>
        </w:numPr>
        <w:spacing w:line="240" w:lineRule="auto"/>
        <w:ind w:left="375" w:hanging="375"/>
        <w:rPr>
          <w:sz w:val="24"/>
        </w:rPr>
      </w:pPr>
      <w:bookmarkStart w:id="111" w:name="_Toc141874782"/>
      <w:bookmarkStart w:id="112" w:name="_Toc150939234"/>
      <w:bookmarkStart w:id="113" w:name="_Toc150942720"/>
      <w:bookmarkStart w:id="114" w:name="_Toc150944526"/>
      <w:r w:rsidRPr="006D0AA4">
        <w:rPr>
          <w:sz w:val="24"/>
        </w:rPr>
        <w:t>5.</w:t>
      </w:r>
      <w:r w:rsidR="006D0AA4" w:rsidRPr="006D0AA4">
        <w:rPr>
          <w:sz w:val="24"/>
        </w:rPr>
        <w:t>4</w:t>
      </w:r>
      <w:r w:rsidR="008C5857" w:rsidRPr="006D0AA4">
        <w:rPr>
          <w:sz w:val="24"/>
        </w:rPr>
        <w:t xml:space="preserve"> Limitations of the Study</w:t>
      </w:r>
      <w:bookmarkEnd w:id="111"/>
      <w:bookmarkEnd w:id="112"/>
      <w:bookmarkEnd w:id="113"/>
      <w:bookmarkEnd w:id="114"/>
    </w:p>
    <w:p w14:paraId="6F754199" w14:textId="59CA407A" w:rsidR="00185391" w:rsidRDefault="00185391" w:rsidP="00185391">
      <w:pPr>
        <w:widowControl w:val="0"/>
        <w:overflowPunct w:val="0"/>
        <w:autoSpaceDE w:val="0"/>
        <w:spacing w:after="0" w:line="240" w:lineRule="auto"/>
        <w:jc w:val="both"/>
        <w:rPr>
          <w:rFonts w:ascii="Times New Roman" w:hAnsi="Times New Roman"/>
          <w:sz w:val="24"/>
          <w:szCs w:val="24"/>
        </w:rPr>
      </w:pPr>
      <w:r>
        <w:rPr>
          <w:rFonts w:ascii="Times New Roman" w:hAnsi="Times New Roman"/>
          <w:sz w:val="24"/>
          <w:szCs w:val="24"/>
        </w:rPr>
        <w:t>This research exercise focused exclusively on the 10 Tier 1 non-listed firms registered with the National Construction Authority. Consequently, the research findings cannot be generalized to all firms operating in Kenya. The primary objective of this study was to examine the relationship between asset structure and financial performance of building and construction companies; therefore, the results are limited specifically to non-listed building and construction firms. Additionally, the investigation was conducted within Kenya’s geographical boundaries, limiting applicability to other jurisdictions.</w:t>
      </w:r>
    </w:p>
    <w:p w14:paraId="5FAF6FF9" w14:textId="0B37D9E6" w:rsidR="00185391" w:rsidRPr="006D0AA4" w:rsidRDefault="00185391" w:rsidP="006D0AA4">
      <w:pPr>
        <w:widowControl w:val="0"/>
        <w:overflowPunct w:val="0"/>
        <w:autoSpaceDE w:val="0"/>
        <w:spacing w:after="0" w:line="240" w:lineRule="auto"/>
        <w:jc w:val="both"/>
        <w:rPr>
          <w:rFonts w:ascii="Times New Roman" w:hAnsi="Times New Roman"/>
          <w:sz w:val="24"/>
          <w:szCs w:val="24"/>
        </w:rPr>
      </w:pPr>
      <w:r>
        <w:rPr>
          <w:rFonts w:ascii="Times New Roman" w:hAnsi="Times New Roman"/>
          <w:sz w:val="24"/>
          <w:szCs w:val="24"/>
        </w:rPr>
        <w:t>The study was constrained by information deficiencies regarding the relationship between asset tangibility ratios and enterprise performance. Furthermore, the research was confined to the three-year period between 2014 and 2016, which may have been limiting, as a longer timeframe could have revealed more comprehensive patterns. The study also focused on a limited number of performance metrics, specifically ROE, for assessing firm performance. Finally, this work concentrated predominantly on major construction companies, excluding smaller medium-sized construction enterprises in Kenya.</w:t>
      </w:r>
    </w:p>
    <w:p w14:paraId="75D0BB90" w14:textId="03926EE6" w:rsidR="00C11212" w:rsidRPr="006D0AA4" w:rsidRDefault="006D0AA4" w:rsidP="006D0AA4">
      <w:pPr>
        <w:pStyle w:val="Heading1"/>
        <w:spacing w:line="240" w:lineRule="auto"/>
        <w:jc w:val="left"/>
        <w:rPr>
          <w:sz w:val="24"/>
        </w:rPr>
      </w:pPr>
      <w:bookmarkStart w:id="115" w:name="_Toc141874784"/>
      <w:bookmarkStart w:id="116" w:name="_Toc150939236"/>
      <w:bookmarkStart w:id="117" w:name="_Toc150942722"/>
      <w:bookmarkStart w:id="118" w:name="_Toc150944528"/>
      <w:r w:rsidRPr="006D0AA4">
        <w:rPr>
          <w:sz w:val="24"/>
        </w:rPr>
        <w:t>References</w:t>
      </w:r>
      <w:bookmarkEnd w:id="115"/>
      <w:bookmarkEnd w:id="116"/>
      <w:bookmarkEnd w:id="117"/>
      <w:bookmarkEnd w:id="118"/>
    </w:p>
    <w:p w14:paraId="63B872BB" w14:textId="77777777" w:rsidR="00925A79" w:rsidRPr="006D0AA4" w:rsidRDefault="00C11212" w:rsidP="006D0AA4">
      <w:pPr>
        <w:spacing w:after="0" w:line="240" w:lineRule="auto"/>
        <w:ind w:right="380" w:hanging="719"/>
        <w:jc w:val="both"/>
        <w:rPr>
          <w:rFonts w:ascii="Times New Roman" w:hAnsi="Times New Roman"/>
          <w:bCs/>
          <w:sz w:val="24"/>
          <w:szCs w:val="24"/>
        </w:rPr>
      </w:pPr>
      <w:proofErr w:type="spellStart"/>
      <w:r w:rsidRPr="006D0AA4">
        <w:rPr>
          <w:rFonts w:ascii="Times New Roman" w:hAnsi="Times New Roman"/>
          <w:bCs/>
          <w:sz w:val="24"/>
          <w:szCs w:val="24"/>
        </w:rPr>
        <w:t>Abubakar</w:t>
      </w:r>
      <w:proofErr w:type="spellEnd"/>
      <w:r w:rsidRPr="006D0AA4">
        <w:rPr>
          <w:rFonts w:ascii="Times New Roman" w:hAnsi="Times New Roman"/>
          <w:bCs/>
          <w:sz w:val="24"/>
          <w:szCs w:val="24"/>
        </w:rPr>
        <w:t>, A. (2015).</w:t>
      </w:r>
      <w:r w:rsidR="005102D7" w:rsidRPr="006D0AA4">
        <w:rPr>
          <w:rFonts w:ascii="Times New Roman" w:hAnsi="Times New Roman"/>
          <w:bCs/>
          <w:sz w:val="24"/>
          <w:szCs w:val="24"/>
        </w:rPr>
        <w:t xml:space="preserve"> </w:t>
      </w:r>
      <w:proofErr w:type="gramStart"/>
      <w:r w:rsidRPr="006D0AA4">
        <w:rPr>
          <w:rFonts w:ascii="Times New Roman" w:hAnsi="Times New Roman"/>
          <w:bCs/>
          <w:sz w:val="24"/>
          <w:szCs w:val="24"/>
        </w:rPr>
        <w:t>Relationship between financial Leverage and Financial Performance of Deposit Money Banks in Nigeria.</w:t>
      </w:r>
      <w:proofErr w:type="gramEnd"/>
      <w:r w:rsidRPr="006D0AA4">
        <w:rPr>
          <w:rFonts w:ascii="Times New Roman" w:hAnsi="Times New Roman"/>
          <w:bCs/>
          <w:sz w:val="24"/>
          <w:szCs w:val="24"/>
        </w:rPr>
        <w:t xml:space="preserve"> </w:t>
      </w:r>
      <w:proofErr w:type="gramStart"/>
      <w:r w:rsidRPr="006D0AA4">
        <w:rPr>
          <w:rFonts w:ascii="Times New Roman" w:hAnsi="Times New Roman"/>
          <w:bCs/>
          <w:i/>
          <w:iCs/>
          <w:sz w:val="24"/>
          <w:szCs w:val="24"/>
        </w:rPr>
        <w:t xml:space="preserve">International journal of Economics, Commerce </w:t>
      </w:r>
      <w:r w:rsidR="0068139C" w:rsidRPr="006D0AA4">
        <w:rPr>
          <w:rFonts w:ascii="Times New Roman" w:hAnsi="Times New Roman"/>
          <w:bCs/>
          <w:i/>
          <w:iCs/>
          <w:sz w:val="24"/>
          <w:szCs w:val="24"/>
        </w:rPr>
        <w:t>and Management</w:t>
      </w:r>
      <w:r w:rsidRPr="006D0AA4">
        <w:rPr>
          <w:rFonts w:ascii="Times New Roman" w:hAnsi="Times New Roman"/>
          <w:bCs/>
          <w:sz w:val="24"/>
          <w:szCs w:val="24"/>
        </w:rPr>
        <w:t>, 3(10), 759-778.</w:t>
      </w:r>
      <w:proofErr w:type="gramEnd"/>
    </w:p>
    <w:p w14:paraId="36164DAB" w14:textId="77777777" w:rsidR="00C11212" w:rsidRPr="006D0AA4" w:rsidRDefault="0068139C" w:rsidP="006D0AA4">
      <w:pPr>
        <w:spacing w:after="0" w:line="240" w:lineRule="auto"/>
        <w:ind w:right="140" w:hanging="719"/>
        <w:jc w:val="both"/>
        <w:rPr>
          <w:rFonts w:ascii="Times New Roman" w:hAnsi="Times New Roman"/>
          <w:sz w:val="24"/>
          <w:szCs w:val="24"/>
        </w:rPr>
      </w:pPr>
      <w:r w:rsidRPr="006D0AA4">
        <w:rPr>
          <w:rFonts w:ascii="Times New Roman" w:hAnsi="Times New Roman"/>
          <w:bCs/>
          <w:sz w:val="24"/>
          <w:szCs w:val="24"/>
        </w:rPr>
        <w:t>Abort</w:t>
      </w:r>
      <w:r w:rsidR="00C11212" w:rsidRPr="006D0AA4">
        <w:rPr>
          <w:rFonts w:ascii="Times New Roman" w:hAnsi="Times New Roman"/>
          <w:bCs/>
          <w:sz w:val="24"/>
          <w:szCs w:val="24"/>
        </w:rPr>
        <w:t xml:space="preserve">, J. (2007). The effect of Capital Structure on Profitability: An Empirical analysis of Listed </w:t>
      </w:r>
      <w:r w:rsidR="00413CFD" w:rsidRPr="006D0AA4">
        <w:rPr>
          <w:rFonts w:ascii="Times New Roman" w:hAnsi="Times New Roman"/>
          <w:bCs/>
          <w:sz w:val="24"/>
          <w:szCs w:val="24"/>
        </w:rPr>
        <w:t>Firms’</w:t>
      </w:r>
      <w:r w:rsidR="00C11212" w:rsidRPr="006D0AA4">
        <w:rPr>
          <w:rFonts w:ascii="Times New Roman" w:hAnsi="Times New Roman"/>
          <w:bCs/>
          <w:sz w:val="24"/>
          <w:szCs w:val="24"/>
        </w:rPr>
        <w:t xml:space="preserve"> in Ghana. </w:t>
      </w:r>
      <w:r w:rsidR="00C11212" w:rsidRPr="006D0AA4">
        <w:rPr>
          <w:rFonts w:ascii="Times New Roman" w:hAnsi="Times New Roman"/>
          <w:bCs/>
          <w:i/>
          <w:iCs/>
          <w:sz w:val="24"/>
          <w:szCs w:val="24"/>
        </w:rPr>
        <w:t>Journal of Risk Finance</w:t>
      </w:r>
      <w:r w:rsidR="00C11212" w:rsidRPr="006D0AA4">
        <w:rPr>
          <w:rFonts w:ascii="Times New Roman" w:hAnsi="Times New Roman"/>
          <w:bCs/>
          <w:sz w:val="24"/>
          <w:szCs w:val="24"/>
        </w:rPr>
        <w:t>, 6(4), 38-47.</w:t>
      </w:r>
    </w:p>
    <w:p w14:paraId="10AE7BE1" w14:textId="77777777" w:rsidR="00C11212" w:rsidRPr="006D0AA4" w:rsidRDefault="00564F62" w:rsidP="006D0AA4">
      <w:pPr>
        <w:spacing w:after="0" w:line="240" w:lineRule="auto"/>
        <w:ind w:right="160" w:hanging="719"/>
        <w:jc w:val="both"/>
        <w:rPr>
          <w:rFonts w:ascii="Times New Roman" w:hAnsi="Times New Roman"/>
          <w:sz w:val="24"/>
          <w:szCs w:val="24"/>
        </w:rPr>
      </w:pPr>
      <w:proofErr w:type="spellStart"/>
      <w:r w:rsidRPr="006D0AA4">
        <w:rPr>
          <w:rFonts w:ascii="Times New Roman" w:hAnsi="Times New Roman"/>
          <w:color w:val="000000"/>
          <w:sz w:val="24"/>
          <w:szCs w:val="24"/>
        </w:rPr>
        <w:t>Adekunle</w:t>
      </w:r>
      <w:proofErr w:type="spellEnd"/>
      <w:r w:rsidRPr="006D0AA4">
        <w:rPr>
          <w:rFonts w:ascii="Times New Roman" w:hAnsi="Times New Roman"/>
          <w:color w:val="000000"/>
          <w:sz w:val="24"/>
          <w:szCs w:val="24"/>
        </w:rPr>
        <w:t xml:space="preserve">, H. </w:t>
      </w:r>
      <w:r w:rsidR="00C11212" w:rsidRPr="006D0AA4">
        <w:rPr>
          <w:rFonts w:ascii="Times New Roman" w:hAnsi="Times New Roman"/>
          <w:bCs/>
          <w:sz w:val="24"/>
          <w:szCs w:val="24"/>
        </w:rPr>
        <w:t xml:space="preserve">(2013). </w:t>
      </w:r>
      <w:proofErr w:type="gramStart"/>
      <w:r w:rsidR="00C11212" w:rsidRPr="006D0AA4">
        <w:rPr>
          <w:rFonts w:ascii="Times New Roman" w:hAnsi="Times New Roman"/>
          <w:bCs/>
          <w:sz w:val="24"/>
          <w:szCs w:val="24"/>
        </w:rPr>
        <w:t xml:space="preserve">The investigation Effect of Financial Leverage and Environmental Risk on Performance </w:t>
      </w:r>
      <w:r w:rsidR="005102D7" w:rsidRPr="006D0AA4">
        <w:rPr>
          <w:rFonts w:ascii="Times New Roman" w:hAnsi="Times New Roman"/>
          <w:bCs/>
          <w:sz w:val="24"/>
          <w:szCs w:val="24"/>
        </w:rPr>
        <w:t>Firms’</w:t>
      </w:r>
      <w:r w:rsidR="00C11212" w:rsidRPr="006D0AA4">
        <w:rPr>
          <w:rFonts w:ascii="Times New Roman" w:hAnsi="Times New Roman"/>
          <w:bCs/>
          <w:sz w:val="24"/>
          <w:szCs w:val="24"/>
        </w:rPr>
        <w:t xml:space="preserve"> Listed Companies in Tehran Stock Exchange.</w:t>
      </w:r>
      <w:proofErr w:type="gramEnd"/>
      <w:r w:rsidR="00C11212" w:rsidRPr="006D0AA4">
        <w:rPr>
          <w:rFonts w:ascii="Times New Roman" w:hAnsi="Times New Roman"/>
          <w:bCs/>
          <w:sz w:val="24"/>
          <w:szCs w:val="24"/>
        </w:rPr>
        <w:t xml:space="preserve"> </w:t>
      </w:r>
      <w:r w:rsidR="00C11212" w:rsidRPr="006D0AA4">
        <w:rPr>
          <w:rFonts w:ascii="Times New Roman" w:hAnsi="Times New Roman"/>
          <w:bCs/>
          <w:i/>
          <w:iCs/>
          <w:sz w:val="24"/>
          <w:szCs w:val="24"/>
        </w:rPr>
        <w:t xml:space="preserve">Journal of </w:t>
      </w:r>
      <w:r w:rsidR="0068139C" w:rsidRPr="006D0AA4">
        <w:rPr>
          <w:rFonts w:ascii="Times New Roman" w:hAnsi="Times New Roman"/>
          <w:bCs/>
          <w:i/>
          <w:iCs/>
          <w:sz w:val="24"/>
          <w:szCs w:val="24"/>
        </w:rPr>
        <w:t>Applied Science</w:t>
      </w:r>
      <w:r w:rsidR="00C11212" w:rsidRPr="006D0AA4">
        <w:rPr>
          <w:rFonts w:ascii="Times New Roman" w:hAnsi="Times New Roman"/>
          <w:bCs/>
          <w:i/>
          <w:iCs/>
          <w:sz w:val="24"/>
          <w:szCs w:val="24"/>
        </w:rPr>
        <w:t xml:space="preserve"> and Agriculture</w:t>
      </w:r>
      <w:r w:rsidR="00C11212" w:rsidRPr="006D0AA4">
        <w:rPr>
          <w:rFonts w:ascii="Times New Roman" w:hAnsi="Times New Roman"/>
          <w:bCs/>
          <w:sz w:val="24"/>
          <w:szCs w:val="24"/>
        </w:rPr>
        <w:t>, 8(3), 249-255.</w:t>
      </w:r>
    </w:p>
    <w:p w14:paraId="10D329A7" w14:textId="77777777" w:rsidR="00C11212" w:rsidRPr="006D0AA4" w:rsidRDefault="00C11212" w:rsidP="006D0AA4">
      <w:pPr>
        <w:spacing w:after="0" w:line="240" w:lineRule="auto"/>
        <w:ind w:right="160" w:hanging="719"/>
        <w:jc w:val="both"/>
        <w:rPr>
          <w:rFonts w:ascii="Times New Roman" w:hAnsi="Times New Roman"/>
          <w:sz w:val="24"/>
          <w:szCs w:val="24"/>
        </w:rPr>
      </w:pPr>
      <w:proofErr w:type="spellStart"/>
      <w:r w:rsidRPr="006D0AA4">
        <w:rPr>
          <w:rFonts w:ascii="Times New Roman" w:hAnsi="Times New Roman"/>
          <w:bCs/>
          <w:sz w:val="24"/>
          <w:szCs w:val="24"/>
        </w:rPr>
        <w:t>Aliu</w:t>
      </w:r>
      <w:proofErr w:type="spellEnd"/>
      <w:r w:rsidRPr="006D0AA4">
        <w:rPr>
          <w:rFonts w:ascii="Times New Roman" w:hAnsi="Times New Roman"/>
          <w:bCs/>
          <w:sz w:val="24"/>
          <w:szCs w:val="24"/>
        </w:rPr>
        <w:t xml:space="preserve">, N. (2010). </w:t>
      </w:r>
      <w:proofErr w:type="gramStart"/>
      <w:r w:rsidRPr="006D0AA4">
        <w:rPr>
          <w:rFonts w:ascii="Times New Roman" w:hAnsi="Times New Roman"/>
          <w:bCs/>
          <w:sz w:val="24"/>
          <w:szCs w:val="24"/>
        </w:rPr>
        <w:t xml:space="preserve">Effect of Capital Structure on the Performance of Quoted Manufacturing </w:t>
      </w:r>
      <w:r w:rsidR="00413CFD" w:rsidRPr="006D0AA4">
        <w:rPr>
          <w:rFonts w:ascii="Times New Roman" w:hAnsi="Times New Roman"/>
          <w:bCs/>
          <w:sz w:val="24"/>
          <w:szCs w:val="24"/>
        </w:rPr>
        <w:t>Firms’</w:t>
      </w:r>
      <w:r w:rsidRPr="006D0AA4">
        <w:rPr>
          <w:rFonts w:ascii="Times New Roman" w:hAnsi="Times New Roman"/>
          <w:bCs/>
          <w:sz w:val="24"/>
          <w:szCs w:val="24"/>
        </w:rPr>
        <w:t xml:space="preserve"> in Nigeria.</w:t>
      </w:r>
      <w:proofErr w:type="gramEnd"/>
      <w:r w:rsidRPr="006D0AA4">
        <w:rPr>
          <w:rFonts w:ascii="Times New Roman" w:hAnsi="Times New Roman"/>
          <w:bCs/>
          <w:sz w:val="24"/>
          <w:szCs w:val="24"/>
        </w:rPr>
        <w:t xml:space="preserve"> </w:t>
      </w:r>
      <w:proofErr w:type="gramStart"/>
      <w:r w:rsidRPr="006D0AA4">
        <w:rPr>
          <w:rFonts w:ascii="Times New Roman" w:hAnsi="Times New Roman"/>
          <w:bCs/>
          <w:sz w:val="24"/>
          <w:szCs w:val="24"/>
        </w:rPr>
        <w:t>Unpublished Thesis.</w:t>
      </w:r>
      <w:proofErr w:type="gramEnd"/>
      <w:r w:rsidRPr="006D0AA4">
        <w:rPr>
          <w:rFonts w:ascii="Times New Roman" w:hAnsi="Times New Roman"/>
          <w:bCs/>
          <w:sz w:val="24"/>
          <w:szCs w:val="24"/>
        </w:rPr>
        <w:t xml:space="preserve"> </w:t>
      </w:r>
      <w:proofErr w:type="spellStart"/>
      <w:proofErr w:type="gramStart"/>
      <w:r w:rsidRPr="006D0AA4">
        <w:rPr>
          <w:rFonts w:ascii="Times New Roman" w:hAnsi="Times New Roman"/>
          <w:bCs/>
          <w:sz w:val="24"/>
          <w:szCs w:val="24"/>
        </w:rPr>
        <w:t>Ahmadu</w:t>
      </w:r>
      <w:proofErr w:type="spellEnd"/>
      <w:r w:rsidRPr="006D0AA4">
        <w:rPr>
          <w:rFonts w:ascii="Times New Roman" w:hAnsi="Times New Roman"/>
          <w:bCs/>
          <w:sz w:val="24"/>
          <w:szCs w:val="24"/>
        </w:rPr>
        <w:t xml:space="preserve"> Bello University.</w:t>
      </w:r>
      <w:proofErr w:type="gramEnd"/>
    </w:p>
    <w:p w14:paraId="0FF1A704" w14:textId="77777777" w:rsidR="00C11212" w:rsidRPr="006D0AA4" w:rsidRDefault="00C11212" w:rsidP="006D0AA4">
      <w:pPr>
        <w:spacing w:after="0" w:line="240" w:lineRule="auto"/>
        <w:ind w:right="220" w:hanging="719"/>
        <w:jc w:val="both"/>
        <w:rPr>
          <w:rFonts w:ascii="Times New Roman" w:hAnsi="Times New Roman"/>
          <w:sz w:val="24"/>
          <w:szCs w:val="24"/>
        </w:rPr>
      </w:pPr>
      <w:r w:rsidRPr="006D0AA4">
        <w:rPr>
          <w:rFonts w:ascii="Times New Roman" w:hAnsi="Times New Roman"/>
          <w:bCs/>
          <w:sz w:val="24"/>
          <w:szCs w:val="24"/>
        </w:rPr>
        <w:t xml:space="preserve">Al-Tally, H. A. (2014). </w:t>
      </w:r>
      <w:proofErr w:type="gramStart"/>
      <w:r w:rsidRPr="006D0AA4">
        <w:rPr>
          <w:rFonts w:ascii="Times New Roman" w:hAnsi="Times New Roman"/>
          <w:bCs/>
          <w:sz w:val="24"/>
          <w:szCs w:val="24"/>
        </w:rPr>
        <w:t>An Investigation on the Effect of Financial Leverage on Firm Financial Performance in Saudi Arabia’s Public Listed Companies.</w:t>
      </w:r>
      <w:proofErr w:type="gramEnd"/>
      <w:r w:rsidRPr="006D0AA4">
        <w:rPr>
          <w:rFonts w:ascii="Times New Roman" w:hAnsi="Times New Roman"/>
          <w:bCs/>
          <w:sz w:val="24"/>
          <w:szCs w:val="24"/>
        </w:rPr>
        <w:t xml:space="preserve"> </w:t>
      </w:r>
      <w:proofErr w:type="gramStart"/>
      <w:r w:rsidRPr="006D0AA4">
        <w:rPr>
          <w:rFonts w:ascii="Times New Roman" w:hAnsi="Times New Roman"/>
          <w:bCs/>
          <w:sz w:val="24"/>
          <w:szCs w:val="24"/>
        </w:rPr>
        <w:t>Doctoral thesis, Victoria University; Melbourne, Australia.</w:t>
      </w:r>
      <w:proofErr w:type="gramEnd"/>
    </w:p>
    <w:p w14:paraId="44A0F289" w14:textId="77777777" w:rsidR="00C11212" w:rsidRPr="006D0AA4" w:rsidRDefault="00C11212" w:rsidP="006D0AA4">
      <w:pPr>
        <w:spacing w:after="0" w:line="240" w:lineRule="auto"/>
        <w:ind w:right="320" w:hanging="719"/>
        <w:jc w:val="both"/>
        <w:rPr>
          <w:rFonts w:ascii="Times New Roman" w:hAnsi="Times New Roman"/>
          <w:bCs/>
          <w:sz w:val="24"/>
          <w:szCs w:val="24"/>
        </w:rPr>
      </w:pPr>
      <w:proofErr w:type="spellStart"/>
      <w:proofErr w:type="gramStart"/>
      <w:r w:rsidRPr="006D0AA4">
        <w:rPr>
          <w:rFonts w:ascii="Times New Roman" w:hAnsi="Times New Roman"/>
          <w:bCs/>
          <w:sz w:val="24"/>
          <w:szCs w:val="24"/>
        </w:rPr>
        <w:t>A</w:t>
      </w:r>
      <w:r w:rsidR="003E3180" w:rsidRPr="006D0AA4">
        <w:rPr>
          <w:rFonts w:ascii="Times New Roman" w:hAnsi="Times New Roman"/>
          <w:bCs/>
          <w:sz w:val="24"/>
          <w:szCs w:val="24"/>
        </w:rPr>
        <w:t>nyanzwa</w:t>
      </w:r>
      <w:proofErr w:type="spellEnd"/>
      <w:r w:rsidRPr="006D0AA4">
        <w:rPr>
          <w:rFonts w:ascii="Times New Roman" w:hAnsi="Times New Roman"/>
          <w:bCs/>
          <w:sz w:val="24"/>
          <w:szCs w:val="24"/>
        </w:rPr>
        <w:t>.</w:t>
      </w:r>
      <w:proofErr w:type="gramEnd"/>
      <w:r w:rsidRPr="006D0AA4">
        <w:rPr>
          <w:rFonts w:ascii="Times New Roman" w:hAnsi="Times New Roman"/>
          <w:bCs/>
          <w:sz w:val="24"/>
          <w:szCs w:val="24"/>
        </w:rPr>
        <w:t xml:space="preserve"> </w:t>
      </w:r>
      <w:proofErr w:type="gramStart"/>
      <w:r w:rsidRPr="006D0AA4">
        <w:rPr>
          <w:rFonts w:ascii="Times New Roman" w:hAnsi="Times New Roman"/>
          <w:bCs/>
          <w:sz w:val="24"/>
          <w:szCs w:val="24"/>
        </w:rPr>
        <w:t>A.,</w:t>
      </w:r>
      <w:r w:rsidR="00603885" w:rsidRPr="006D0AA4">
        <w:rPr>
          <w:rFonts w:ascii="Times New Roman" w:hAnsi="Times New Roman"/>
          <w:bCs/>
          <w:sz w:val="24"/>
          <w:szCs w:val="24"/>
        </w:rPr>
        <w:t xml:space="preserve"> </w:t>
      </w:r>
      <w:proofErr w:type="spellStart"/>
      <w:r w:rsidRPr="006D0AA4">
        <w:rPr>
          <w:rFonts w:ascii="Times New Roman" w:hAnsi="Times New Roman"/>
          <w:bCs/>
          <w:sz w:val="24"/>
          <w:szCs w:val="24"/>
        </w:rPr>
        <w:t>Kungu</w:t>
      </w:r>
      <w:proofErr w:type="spellEnd"/>
      <w:r w:rsidRPr="006D0AA4">
        <w:rPr>
          <w:rFonts w:ascii="Times New Roman" w:hAnsi="Times New Roman"/>
          <w:bCs/>
          <w:sz w:val="24"/>
          <w:szCs w:val="24"/>
        </w:rPr>
        <w:t xml:space="preserve">, G. &amp; </w:t>
      </w:r>
      <w:proofErr w:type="spellStart"/>
      <w:r w:rsidRPr="006D0AA4">
        <w:rPr>
          <w:rFonts w:ascii="Times New Roman" w:hAnsi="Times New Roman"/>
          <w:bCs/>
          <w:sz w:val="24"/>
          <w:szCs w:val="24"/>
        </w:rPr>
        <w:t>Githui</w:t>
      </w:r>
      <w:proofErr w:type="spellEnd"/>
      <w:r w:rsidRPr="006D0AA4">
        <w:rPr>
          <w:rFonts w:ascii="Times New Roman" w:hAnsi="Times New Roman"/>
          <w:bCs/>
          <w:sz w:val="24"/>
          <w:szCs w:val="24"/>
        </w:rPr>
        <w:t xml:space="preserve">, </w:t>
      </w:r>
      <w:r w:rsidR="00603885" w:rsidRPr="006D0AA4">
        <w:rPr>
          <w:rFonts w:ascii="Times New Roman" w:hAnsi="Times New Roman"/>
          <w:bCs/>
          <w:sz w:val="24"/>
          <w:szCs w:val="24"/>
        </w:rPr>
        <w:t>T. (</w:t>
      </w:r>
      <w:r w:rsidRPr="006D0AA4">
        <w:rPr>
          <w:rFonts w:ascii="Times New Roman" w:hAnsi="Times New Roman"/>
          <w:bCs/>
          <w:sz w:val="24"/>
          <w:szCs w:val="24"/>
        </w:rPr>
        <w:t>2015).</w:t>
      </w:r>
      <w:proofErr w:type="gramEnd"/>
      <w:r w:rsidRPr="006D0AA4">
        <w:rPr>
          <w:rFonts w:ascii="Times New Roman" w:hAnsi="Times New Roman"/>
          <w:bCs/>
          <w:sz w:val="24"/>
          <w:szCs w:val="24"/>
        </w:rPr>
        <w:t xml:space="preserve"> Determinants of the Performance of </w:t>
      </w:r>
      <w:r w:rsidR="00413CFD" w:rsidRPr="006D0AA4">
        <w:rPr>
          <w:rFonts w:ascii="Times New Roman" w:hAnsi="Times New Roman"/>
          <w:bCs/>
          <w:sz w:val="24"/>
          <w:szCs w:val="24"/>
        </w:rPr>
        <w:t>Firms’</w:t>
      </w:r>
      <w:r w:rsidRPr="006D0AA4">
        <w:rPr>
          <w:rFonts w:ascii="Times New Roman" w:hAnsi="Times New Roman"/>
          <w:bCs/>
          <w:sz w:val="24"/>
          <w:szCs w:val="24"/>
        </w:rPr>
        <w:t xml:space="preserve"> Listed in </w:t>
      </w:r>
      <w:r w:rsidR="0068139C" w:rsidRPr="006D0AA4">
        <w:rPr>
          <w:rFonts w:ascii="Times New Roman" w:hAnsi="Times New Roman"/>
          <w:bCs/>
          <w:sz w:val="24"/>
          <w:szCs w:val="24"/>
        </w:rPr>
        <w:t>the Nairobi</w:t>
      </w:r>
      <w:r w:rsidRPr="006D0AA4">
        <w:rPr>
          <w:rFonts w:ascii="Times New Roman" w:hAnsi="Times New Roman"/>
          <w:bCs/>
          <w:sz w:val="24"/>
          <w:szCs w:val="24"/>
        </w:rPr>
        <w:t xml:space="preserve"> Securities Exchange. </w:t>
      </w:r>
      <w:r w:rsidRPr="006D0AA4">
        <w:rPr>
          <w:rFonts w:ascii="Times New Roman" w:hAnsi="Times New Roman"/>
          <w:bCs/>
          <w:i/>
          <w:iCs/>
          <w:sz w:val="24"/>
          <w:szCs w:val="24"/>
        </w:rPr>
        <w:t xml:space="preserve">Research Journal of Finance and Economics </w:t>
      </w:r>
      <w:r w:rsidR="0068139C" w:rsidRPr="006D0AA4">
        <w:rPr>
          <w:rFonts w:ascii="Times New Roman" w:hAnsi="Times New Roman"/>
          <w:bCs/>
          <w:i/>
          <w:iCs/>
          <w:sz w:val="24"/>
          <w:szCs w:val="24"/>
        </w:rPr>
        <w:t>and Accounting</w:t>
      </w:r>
      <w:r w:rsidRPr="006D0AA4">
        <w:rPr>
          <w:rFonts w:ascii="Times New Roman" w:hAnsi="Times New Roman"/>
          <w:bCs/>
          <w:sz w:val="24"/>
          <w:szCs w:val="24"/>
        </w:rPr>
        <w:t>, 4(7), 1-20.</w:t>
      </w:r>
    </w:p>
    <w:p w14:paraId="6D854071" w14:textId="77777777" w:rsidR="00A35DA9" w:rsidRPr="006D0AA4" w:rsidRDefault="00A35DA9" w:rsidP="006D0AA4">
      <w:pPr>
        <w:spacing w:after="0" w:line="240" w:lineRule="auto"/>
        <w:ind w:right="320" w:hanging="719"/>
        <w:jc w:val="both"/>
        <w:rPr>
          <w:rFonts w:ascii="Times New Roman" w:hAnsi="Times New Roman"/>
          <w:bCs/>
          <w:sz w:val="24"/>
          <w:szCs w:val="24"/>
        </w:rPr>
      </w:pPr>
      <w:proofErr w:type="spellStart"/>
      <w:r w:rsidRPr="006D0AA4">
        <w:rPr>
          <w:rFonts w:ascii="Times New Roman" w:hAnsi="Times New Roman"/>
          <w:bCs/>
          <w:sz w:val="24"/>
          <w:szCs w:val="24"/>
        </w:rPr>
        <w:t>Anyanzwa</w:t>
      </w:r>
      <w:proofErr w:type="spellEnd"/>
      <w:r w:rsidRPr="006D0AA4">
        <w:rPr>
          <w:rFonts w:ascii="Times New Roman" w:hAnsi="Times New Roman"/>
          <w:bCs/>
          <w:sz w:val="24"/>
          <w:szCs w:val="24"/>
        </w:rPr>
        <w:t>, J. (2015). Nairobi listed firms turn to debt financing to raise capital. The East African, posted 14</w:t>
      </w:r>
      <w:r w:rsidRPr="006D0AA4">
        <w:rPr>
          <w:rFonts w:ascii="Times New Roman" w:hAnsi="Times New Roman"/>
          <w:bCs/>
          <w:sz w:val="24"/>
          <w:szCs w:val="24"/>
          <w:vertAlign w:val="superscript"/>
        </w:rPr>
        <w:t>th</w:t>
      </w:r>
      <w:r w:rsidRPr="006D0AA4">
        <w:rPr>
          <w:rFonts w:ascii="Times New Roman" w:hAnsi="Times New Roman"/>
          <w:bCs/>
          <w:sz w:val="24"/>
          <w:szCs w:val="24"/>
        </w:rPr>
        <w:t xml:space="preserve"> March 2015. Retrieved from http://www.theeastafrican.co.ke/business/Nairobi-listed-firms-turn-to-debt-financing-to-raise-capital/-/2560/2653420/-/7c6vtaz/-/index.html</w:t>
      </w:r>
    </w:p>
    <w:p w14:paraId="02B774BA" w14:textId="77777777" w:rsidR="0078153A" w:rsidRPr="006D0AA4" w:rsidRDefault="00C11212" w:rsidP="006D0AA4">
      <w:pPr>
        <w:spacing w:after="0" w:line="240" w:lineRule="auto"/>
        <w:ind w:right="60" w:hanging="719"/>
        <w:jc w:val="both"/>
        <w:rPr>
          <w:rFonts w:ascii="Times New Roman" w:hAnsi="Times New Roman"/>
          <w:sz w:val="24"/>
          <w:szCs w:val="24"/>
        </w:rPr>
      </w:pPr>
      <w:proofErr w:type="spellStart"/>
      <w:proofErr w:type="gramStart"/>
      <w:r w:rsidRPr="006D0AA4">
        <w:rPr>
          <w:rFonts w:ascii="Times New Roman" w:hAnsi="Times New Roman"/>
          <w:bCs/>
          <w:sz w:val="24"/>
          <w:szCs w:val="24"/>
        </w:rPr>
        <w:t>Banafa</w:t>
      </w:r>
      <w:proofErr w:type="spellEnd"/>
      <w:r w:rsidRPr="006D0AA4">
        <w:rPr>
          <w:rFonts w:ascii="Times New Roman" w:hAnsi="Times New Roman"/>
          <w:bCs/>
          <w:sz w:val="24"/>
          <w:szCs w:val="24"/>
        </w:rPr>
        <w:t xml:space="preserve">, A &amp; </w:t>
      </w:r>
      <w:proofErr w:type="spellStart"/>
      <w:r w:rsidRPr="006D0AA4">
        <w:rPr>
          <w:rFonts w:ascii="Times New Roman" w:hAnsi="Times New Roman"/>
          <w:bCs/>
          <w:sz w:val="24"/>
          <w:szCs w:val="24"/>
        </w:rPr>
        <w:t>Ngugi</w:t>
      </w:r>
      <w:proofErr w:type="spellEnd"/>
      <w:r w:rsidRPr="006D0AA4">
        <w:rPr>
          <w:rFonts w:ascii="Times New Roman" w:hAnsi="Times New Roman"/>
          <w:bCs/>
          <w:sz w:val="24"/>
          <w:szCs w:val="24"/>
        </w:rPr>
        <w:t>, K. (2015).</w:t>
      </w:r>
      <w:proofErr w:type="gramEnd"/>
      <w:r w:rsidRPr="006D0AA4">
        <w:rPr>
          <w:rFonts w:ascii="Times New Roman" w:hAnsi="Times New Roman"/>
          <w:bCs/>
          <w:sz w:val="24"/>
          <w:szCs w:val="24"/>
        </w:rPr>
        <w:t xml:space="preserve"> </w:t>
      </w:r>
      <w:proofErr w:type="gramStart"/>
      <w:r w:rsidRPr="006D0AA4">
        <w:rPr>
          <w:rFonts w:ascii="Times New Roman" w:hAnsi="Times New Roman"/>
          <w:bCs/>
          <w:sz w:val="24"/>
          <w:szCs w:val="24"/>
        </w:rPr>
        <w:t xml:space="preserve">The Impact of Leverage on Financial Performance of Listed </w:t>
      </w:r>
      <w:r w:rsidR="00772589" w:rsidRPr="006D0AA4">
        <w:rPr>
          <w:rFonts w:ascii="Times New Roman" w:hAnsi="Times New Roman"/>
          <w:bCs/>
          <w:sz w:val="24"/>
          <w:szCs w:val="24"/>
        </w:rPr>
        <w:t>Non-Financial</w:t>
      </w:r>
      <w:r w:rsidRPr="006D0AA4">
        <w:rPr>
          <w:rFonts w:ascii="Times New Roman" w:hAnsi="Times New Roman"/>
          <w:bCs/>
          <w:sz w:val="24"/>
          <w:szCs w:val="24"/>
        </w:rPr>
        <w:t xml:space="preserve"> </w:t>
      </w:r>
      <w:r w:rsidR="00413CFD" w:rsidRPr="006D0AA4">
        <w:rPr>
          <w:rFonts w:ascii="Times New Roman" w:hAnsi="Times New Roman"/>
          <w:bCs/>
          <w:sz w:val="24"/>
          <w:szCs w:val="24"/>
        </w:rPr>
        <w:t>Firms’</w:t>
      </w:r>
      <w:r w:rsidRPr="006D0AA4">
        <w:rPr>
          <w:rFonts w:ascii="Times New Roman" w:hAnsi="Times New Roman"/>
          <w:bCs/>
          <w:sz w:val="24"/>
          <w:szCs w:val="24"/>
        </w:rPr>
        <w:t xml:space="preserve"> in Kenya.</w:t>
      </w:r>
      <w:proofErr w:type="gramEnd"/>
      <w:r w:rsidRPr="006D0AA4">
        <w:rPr>
          <w:rFonts w:ascii="Times New Roman" w:hAnsi="Times New Roman"/>
          <w:bCs/>
          <w:sz w:val="24"/>
          <w:szCs w:val="24"/>
        </w:rPr>
        <w:t xml:space="preserve"> </w:t>
      </w:r>
      <w:r w:rsidRPr="006D0AA4">
        <w:rPr>
          <w:rFonts w:ascii="Times New Roman" w:hAnsi="Times New Roman"/>
          <w:bCs/>
          <w:i/>
          <w:iCs/>
          <w:sz w:val="24"/>
          <w:szCs w:val="24"/>
        </w:rPr>
        <w:t>International Journal of Finance and Accounting</w:t>
      </w:r>
      <w:r w:rsidRPr="006D0AA4">
        <w:rPr>
          <w:rFonts w:ascii="Times New Roman" w:hAnsi="Times New Roman"/>
          <w:bCs/>
          <w:sz w:val="24"/>
          <w:szCs w:val="24"/>
        </w:rPr>
        <w:t>, 4(7), 1-20.</w:t>
      </w:r>
    </w:p>
    <w:p w14:paraId="5305C74E" w14:textId="77777777" w:rsidR="0078153A" w:rsidRPr="006D0AA4" w:rsidRDefault="00A35DA9" w:rsidP="006D0AA4">
      <w:pPr>
        <w:spacing w:after="0" w:line="240" w:lineRule="auto"/>
        <w:ind w:right="60" w:hanging="719"/>
        <w:jc w:val="both"/>
        <w:rPr>
          <w:rFonts w:ascii="Times New Roman" w:hAnsi="Times New Roman"/>
          <w:bCs/>
          <w:sz w:val="24"/>
          <w:szCs w:val="24"/>
        </w:rPr>
      </w:pPr>
      <w:proofErr w:type="spellStart"/>
      <w:proofErr w:type="gramStart"/>
      <w:r w:rsidRPr="006D0AA4">
        <w:rPr>
          <w:rFonts w:ascii="Times New Roman" w:hAnsi="Times New Roman"/>
          <w:bCs/>
          <w:sz w:val="24"/>
          <w:szCs w:val="24"/>
        </w:rPr>
        <w:t>Bahti</w:t>
      </w:r>
      <w:proofErr w:type="spellEnd"/>
      <w:r w:rsidRPr="006D0AA4">
        <w:rPr>
          <w:rFonts w:ascii="Times New Roman" w:hAnsi="Times New Roman"/>
          <w:bCs/>
          <w:sz w:val="24"/>
          <w:szCs w:val="24"/>
        </w:rPr>
        <w:t xml:space="preserve"> </w:t>
      </w:r>
      <w:r w:rsidRPr="006D0AA4">
        <w:rPr>
          <w:rFonts w:ascii="Times New Roman" w:hAnsi="Times New Roman"/>
          <w:bCs/>
          <w:i/>
          <w:sz w:val="24"/>
          <w:szCs w:val="24"/>
        </w:rPr>
        <w:t>et al</w:t>
      </w:r>
      <w:r w:rsidRPr="006D0AA4">
        <w:rPr>
          <w:rFonts w:ascii="Times New Roman" w:hAnsi="Times New Roman"/>
          <w:bCs/>
          <w:sz w:val="24"/>
          <w:szCs w:val="24"/>
        </w:rPr>
        <w:t>. (2019</w:t>
      </w:r>
      <w:r w:rsidR="00C11212" w:rsidRPr="006D0AA4">
        <w:rPr>
          <w:rFonts w:ascii="Times New Roman" w:hAnsi="Times New Roman"/>
          <w:bCs/>
          <w:sz w:val="24"/>
          <w:szCs w:val="24"/>
        </w:rPr>
        <w:t>).</w:t>
      </w:r>
      <w:proofErr w:type="gramEnd"/>
      <w:r w:rsidR="00C11212" w:rsidRPr="006D0AA4">
        <w:rPr>
          <w:rFonts w:ascii="Times New Roman" w:hAnsi="Times New Roman"/>
          <w:bCs/>
          <w:sz w:val="24"/>
          <w:szCs w:val="24"/>
        </w:rPr>
        <w:t xml:space="preserve"> </w:t>
      </w:r>
      <w:proofErr w:type="gramStart"/>
      <w:r w:rsidR="0068139C" w:rsidRPr="006D0AA4">
        <w:rPr>
          <w:rFonts w:ascii="Times New Roman" w:hAnsi="Times New Roman"/>
          <w:bCs/>
          <w:sz w:val="24"/>
          <w:szCs w:val="24"/>
        </w:rPr>
        <w:t>Intermediate Financial</w:t>
      </w:r>
      <w:r w:rsidR="00C11212" w:rsidRPr="006D0AA4">
        <w:rPr>
          <w:rFonts w:ascii="Times New Roman" w:hAnsi="Times New Roman"/>
          <w:bCs/>
          <w:sz w:val="24"/>
          <w:szCs w:val="24"/>
        </w:rPr>
        <w:t xml:space="preserve"> Management, 10</w:t>
      </w:r>
      <w:r w:rsidR="00C11212" w:rsidRPr="006D0AA4">
        <w:rPr>
          <w:rFonts w:ascii="Times New Roman" w:hAnsi="Times New Roman"/>
          <w:bCs/>
          <w:sz w:val="24"/>
          <w:szCs w:val="24"/>
          <w:vertAlign w:val="superscript"/>
        </w:rPr>
        <w:t>th</w:t>
      </w:r>
      <w:r w:rsidR="00C11212" w:rsidRPr="006D0AA4">
        <w:rPr>
          <w:rFonts w:ascii="Times New Roman" w:hAnsi="Times New Roman"/>
          <w:bCs/>
          <w:sz w:val="24"/>
          <w:szCs w:val="24"/>
        </w:rPr>
        <w:t>edition</w:t>
      </w:r>
      <w:r w:rsidR="00C11212" w:rsidRPr="006D0AA4">
        <w:rPr>
          <w:rFonts w:ascii="Times New Roman" w:hAnsi="Times New Roman"/>
          <w:bCs/>
          <w:i/>
          <w:iCs/>
          <w:sz w:val="24"/>
          <w:szCs w:val="24"/>
        </w:rPr>
        <w:t>.</w:t>
      </w:r>
      <w:r w:rsidR="00C11212" w:rsidRPr="006D0AA4">
        <w:rPr>
          <w:rFonts w:ascii="Times New Roman" w:hAnsi="Times New Roman"/>
          <w:bCs/>
          <w:sz w:val="24"/>
          <w:szCs w:val="24"/>
        </w:rPr>
        <w:t>South-Western.</w:t>
      </w:r>
      <w:proofErr w:type="gramEnd"/>
    </w:p>
    <w:p w14:paraId="1FBBDCF9" w14:textId="77777777" w:rsidR="00A35DA9" w:rsidRPr="006D0AA4" w:rsidRDefault="00A35DA9" w:rsidP="006D0AA4">
      <w:pPr>
        <w:spacing w:after="0" w:line="240" w:lineRule="auto"/>
        <w:ind w:right="60" w:hanging="719"/>
        <w:jc w:val="both"/>
        <w:rPr>
          <w:rFonts w:ascii="Times New Roman" w:hAnsi="Times New Roman"/>
          <w:bCs/>
          <w:sz w:val="24"/>
          <w:szCs w:val="24"/>
        </w:rPr>
      </w:pPr>
      <w:proofErr w:type="gramStart"/>
      <w:r w:rsidRPr="006D0AA4">
        <w:rPr>
          <w:rFonts w:ascii="Times New Roman" w:hAnsi="Times New Roman"/>
          <w:bCs/>
          <w:sz w:val="24"/>
          <w:szCs w:val="24"/>
        </w:rPr>
        <w:t xml:space="preserve">Baker, M. &amp; </w:t>
      </w:r>
      <w:proofErr w:type="spellStart"/>
      <w:r w:rsidRPr="006D0AA4">
        <w:rPr>
          <w:rFonts w:ascii="Times New Roman" w:hAnsi="Times New Roman"/>
          <w:bCs/>
          <w:sz w:val="24"/>
          <w:szCs w:val="24"/>
        </w:rPr>
        <w:t>Wurgler</w:t>
      </w:r>
      <w:proofErr w:type="spellEnd"/>
      <w:r w:rsidRPr="006D0AA4">
        <w:rPr>
          <w:rFonts w:ascii="Times New Roman" w:hAnsi="Times New Roman"/>
          <w:bCs/>
          <w:sz w:val="24"/>
          <w:szCs w:val="24"/>
        </w:rPr>
        <w:t>, J. (2012).</w:t>
      </w:r>
      <w:proofErr w:type="gramEnd"/>
      <w:r w:rsidRPr="006D0AA4">
        <w:rPr>
          <w:rFonts w:ascii="Times New Roman" w:hAnsi="Times New Roman"/>
          <w:bCs/>
          <w:sz w:val="24"/>
          <w:szCs w:val="24"/>
        </w:rPr>
        <w:t xml:space="preserve"> Market Timing and Capital Structure,</w:t>
      </w:r>
      <w:r w:rsidRPr="006D0AA4">
        <w:rPr>
          <w:rFonts w:ascii="Times New Roman" w:hAnsi="Times New Roman"/>
          <w:bCs/>
          <w:i/>
          <w:sz w:val="24"/>
          <w:szCs w:val="24"/>
        </w:rPr>
        <w:t xml:space="preserve"> Journal of </w:t>
      </w:r>
    </w:p>
    <w:p w14:paraId="0518FA94" w14:textId="77777777" w:rsidR="00A35DA9" w:rsidRPr="006D0AA4" w:rsidRDefault="00A35DA9" w:rsidP="006D0AA4">
      <w:pPr>
        <w:spacing w:after="0" w:line="240" w:lineRule="auto"/>
        <w:ind w:right="60" w:hanging="719"/>
        <w:jc w:val="both"/>
        <w:rPr>
          <w:rFonts w:ascii="Times New Roman" w:hAnsi="Times New Roman"/>
          <w:bCs/>
          <w:sz w:val="24"/>
          <w:szCs w:val="24"/>
        </w:rPr>
      </w:pPr>
      <w:r w:rsidRPr="006D0AA4">
        <w:rPr>
          <w:rFonts w:ascii="Times New Roman" w:hAnsi="Times New Roman"/>
          <w:bCs/>
          <w:i/>
          <w:sz w:val="24"/>
          <w:szCs w:val="24"/>
        </w:rPr>
        <w:t xml:space="preserve">Finance, 57(1), 1–32. </w:t>
      </w:r>
    </w:p>
    <w:p w14:paraId="2A51A322" w14:textId="77777777" w:rsidR="00A35DA9" w:rsidRPr="006D0AA4" w:rsidRDefault="00A35DA9" w:rsidP="006D0AA4">
      <w:pPr>
        <w:spacing w:after="0" w:line="240" w:lineRule="auto"/>
        <w:ind w:right="60" w:hanging="719"/>
        <w:jc w:val="both"/>
        <w:rPr>
          <w:rFonts w:ascii="Times New Roman" w:hAnsi="Times New Roman"/>
          <w:bCs/>
          <w:sz w:val="24"/>
          <w:szCs w:val="24"/>
        </w:rPr>
      </w:pPr>
      <w:proofErr w:type="spellStart"/>
      <w:proofErr w:type="gramStart"/>
      <w:r w:rsidRPr="006D0AA4">
        <w:rPr>
          <w:rFonts w:ascii="Times New Roman" w:hAnsi="Times New Roman"/>
          <w:bCs/>
          <w:sz w:val="24"/>
          <w:szCs w:val="24"/>
        </w:rPr>
        <w:t>Bichsel</w:t>
      </w:r>
      <w:proofErr w:type="spellEnd"/>
      <w:r w:rsidRPr="006D0AA4">
        <w:rPr>
          <w:rFonts w:ascii="Times New Roman" w:hAnsi="Times New Roman"/>
          <w:bCs/>
          <w:sz w:val="24"/>
          <w:szCs w:val="24"/>
        </w:rPr>
        <w:t>, G. &amp; Blum, N. (2015).</w:t>
      </w:r>
      <w:proofErr w:type="gramEnd"/>
      <w:r w:rsidRPr="006D0AA4">
        <w:rPr>
          <w:rFonts w:ascii="Times New Roman" w:hAnsi="Times New Roman"/>
          <w:bCs/>
          <w:sz w:val="24"/>
          <w:szCs w:val="24"/>
        </w:rPr>
        <w:t xml:space="preserve"> Capital Structure and Financing of SMEs: Australian. </w:t>
      </w:r>
    </w:p>
    <w:p w14:paraId="18EC1F01" w14:textId="77777777" w:rsidR="00A35DA9" w:rsidRPr="006D0AA4" w:rsidRDefault="00A35DA9" w:rsidP="006D0AA4">
      <w:pPr>
        <w:spacing w:after="0" w:line="240" w:lineRule="auto"/>
        <w:ind w:right="60" w:hanging="719"/>
        <w:jc w:val="both"/>
        <w:rPr>
          <w:rFonts w:ascii="Times New Roman" w:hAnsi="Times New Roman"/>
          <w:bCs/>
          <w:sz w:val="24"/>
          <w:szCs w:val="24"/>
        </w:rPr>
      </w:pPr>
      <w:proofErr w:type="spellStart"/>
      <w:proofErr w:type="gramStart"/>
      <w:r w:rsidRPr="006D0AA4">
        <w:rPr>
          <w:rFonts w:ascii="Times New Roman" w:hAnsi="Times New Roman"/>
          <w:bCs/>
          <w:sz w:val="24"/>
          <w:szCs w:val="24"/>
        </w:rPr>
        <w:lastRenderedPageBreak/>
        <w:t>Bhaduri</w:t>
      </w:r>
      <w:proofErr w:type="spellEnd"/>
      <w:r w:rsidRPr="006D0AA4">
        <w:rPr>
          <w:rFonts w:ascii="Times New Roman" w:hAnsi="Times New Roman"/>
          <w:bCs/>
          <w:sz w:val="24"/>
          <w:szCs w:val="24"/>
        </w:rPr>
        <w:t xml:space="preserve">, W, </w:t>
      </w:r>
      <w:proofErr w:type="spellStart"/>
      <w:r w:rsidRPr="006D0AA4">
        <w:rPr>
          <w:rFonts w:ascii="Times New Roman" w:hAnsi="Times New Roman"/>
          <w:bCs/>
          <w:sz w:val="24"/>
          <w:szCs w:val="24"/>
        </w:rPr>
        <w:t>Kallberg</w:t>
      </w:r>
      <w:proofErr w:type="spellEnd"/>
      <w:r w:rsidRPr="006D0AA4">
        <w:rPr>
          <w:rFonts w:ascii="Times New Roman" w:hAnsi="Times New Roman"/>
          <w:bCs/>
          <w:sz w:val="24"/>
          <w:szCs w:val="24"/>
        </w:rPr>
        <w:t>, J &amp; Liu, C (2012).</w:t>
      </w:r>
      <w:proofErr w:type="gramEnd"/>
      <w:r w:rsidRPr="006D0AA4">
        <w:rPr>
          <w:rFonts w:ascii="Times New Roman" w:hAnsi="Times New Roman"/>
          <w:bCs/>
          <w:sz w:val="24"/>
          <w:szCs w:val="24"/>
        </w:rPr>
        <w:t xml:space="preserve"> An analysis of REIT security issuance decisions, </w:t>
      </w:r>
      <w:r w:rsidRPr="006D0AA4">
        <w:rPr>
          <w:rFonts w:ascii="Times New Roman" w:hAnsi="Times New Roman"/>
          <w:bCs/>
          <w:i/>
          <w:sz w:val="24"/>
          <w:szCs w:val="24"/>
        </w:rPr>
        <w:t>Real Estate Economic</w:t>
      </w:r>
      <w:r w:rsidRPr="006D0AA4">
        <w:rPr>
          <w:rFonts w:ascii="Times New Roman" w:hAnsi="Times New Roman"/>
          <w:bCs/>
          <w:sz w:val="24"/>
          <w:szCs w:val="24"/>
        </w:rPr>
        <w:t xml:space="preserve">, 38(1), 91–120. </w:t>
      </w:r>
    </w:p>
    <w:p w14:paraId="356E2010" w14:textId="77777777" w:rsidR="00A35DA9" w:rsidRPr="006D0AA4" w:rsidRDefault="00A35DA9" w:rsidP="006D0AA4">
      <w:pPr>
        <w:spacing w:after="0" w:line="240" w:lineRule="auto"/>
        <w:ind w:right="60" w:hanging="719"/>
        <w:jc w:val="both"/>
        <w:rPr>
          <w:rFonts w:ascii="Times New Roman" w:hAnsi="Times New Roman"/>
          <w:bCs/>
          <w:sz w:val="24"/>
          <w:szCs w:val="24"/>
        </w:rPr>
      </w:pPr>
      <w:proofErr w:type="spellStart"/>
      <w:r w:rsidRPr="006D0AA4">
        <w:rPr>
          <w:rFonts w:ascii="Times New Roman" w:hAnsi="Times New Roman"/>
          <w:bCs/>
          <w:sz w:val="24"/>
          <w:szCs w:val="24"/>
        </w:rPr>
        <w:t>Brocking</w:t>
      </w:r>
      <w:proofErr w:type="spellEnd"/>
      <w:r w:rsidRPr="006D0AA4">
        <w:rPr>
          <w:rFonts w:ascii="Times New Roman" w:hAnsi="Times New Roman"/>
          <w:bCs/>
          <w:sz w:val="24"/>
          <w:szCs w:val="24"/>
        </w:rPr>
        <w:t xml:space="preserve">, R. (2016). </w:t>
      </w:r>
      <w:proofErr w:type="gramStart"/>
      <w:r w:rsidRPr="006D0AA4">
        <w:rPr>
          <w:rFonts w:ascii="Times New Roman" w:hAnsi="Times New Roman"/>
          <w:bCs/>
          <w:i/>
          <w:sz w:val="24"/>
          <w:szCs w:val="24"/>
        </w:rPr>
        <w:t>Financial Management</w:t>
      </w:r>
      <w:r w:rsidRPr="006D0AA4">
        <w:rPr>
          <w:rFonts w:ascii="Times New Roman" w:hAnsi="Times New Roman"/>
          <w:bCs/>
          <w:sz w:val="24"/>
          <w:szCs w:val="24"/>
        </w:rPr>
        <w:t>.</w:t>
      </w:r>
      <w:proofErr w:type="gramEnd"/>
      <w:r w:rsidRPr="006D0AA4">
        <w:rPr>
          <w:rFonts w:ascii="Times New Roman" w:hAnsi="Times New Roman"/>
          <w:bCs/>
          <w:sz w:val="24"/>
          <w:szCs w:val="24"/>
        </w:rPr>
        <w:t xml:space="preserve">  </w:t>
      </w:r>
      <w:proofErr w:type="gramStart"/>
      <w:r w:rsidRPr="006D0AA4">
        <w:rPr>
          <w:rFonts w:ascii="Times New Roman" w:hAnsi="Times New Roman"/>
          <w:bCs/>
          <w:sz w:val="24"/>
          <w:szCs w:val="24"/>
        </w:rPr>
        <w:t>(1992 Edition).</w:t>
      </w:r>
      <w:proofErr w:type="gramEnd"/>
      <w:r w:rsidRPr="006D0AA4">
        <w:rPr>
          <w:rFonts w:ascii="Times New Roman" w:hAnsi="Times New Roman"/>
          <w:bCs/>
          <w:sz w:val="24"/>
          <w:szCs w:val="24"/>
        </w:rPr>
        <w:t xml:space="preserve"> London, ELBS. </w:t>
      </w:r>
    </w:p>
    <w:p w14:paraId="5CD0D037" w14:textId="77777777" w:rsidR="00A35DA9" w:rsidRPr="006D0AA4" w:rsidRDefault="00A35DA9" w:rsidP="006D0AA4">
      <w:pPr>
        <w:spacing w:after="0" w:line="240" w:lineRule="auto"/>
        <w:ind w:right="60" w:hanging="719"/>
        <w:jc w:val="both"/>
        <w:rPr>
          <w:rFonts w:ascii="Times New Roman" w:hAnsi="Times New Roman"/>
          <w:bCs/>
          <w:sz w:val="24"/>
          <w:szCs w:val="24"/>
        </w:rPr>
      </w:pPr>
      <w:proofErr w:type="spellStart"/>
      <w:r w:rsidRPr="006D0AA4">
        <w:rPr>
          <w:rFonts w:ascii="Times New Roman" w:hAnsi="Times New Roman"/>
          <w:bCs/>
          <w:sz w:val="24"/>
          <w:szCs w:val="24"/>
        </w:rPr>
        <w:t>Chepkemoi</w:t>
      </w:r>
      <w:proofErr w:type="spellEnd"/>
      <w:r w:rsidRPr="006D0AA4">
        <w:rPr>
          <w:rFonts w:ascii="Times New Roman" w:hAnsi="Times New Roman"/>
          <w:bCs/>
          <w:sz w:val="24"/>
          <w:szCs w:val="24"/>
        </w:rPr>
        <w:t xml:space="preserve">, N. (2013). An analysis of the effect of capital structure of SMEs on financial performance: A Case of </w:t>
      </w:r>
      <w:proofErr w:type="spellStart"/>
      <w:r w:rsidRPr="006D0AA4">
        <w:rPr>
          <w:rFonts w:ascii="Times New Roman" w:hAnsi="Times New Roman"/>
          <w:bCs/>
          <w:sz w:val="24"/>
          <w:szCs w:val="24"/>
        </w:rPr>
        <w:t>Nakuru</w:t>
      </w:r>
      <w:proofErr w:type="spellEnd"/>
      <w:r w:rsidRPr="006D0AA4">
        <w:rPr>
          <w:rFonts w:ascii="Times New Roman" w:hAnsi="Times New Roman"/>
          <w:bCs/>
          <w:sz w:val="24"/>
          <w:szCs w:val="24"/>
        </w:rPr>
        <w:t xml:space="preserve"> town, </w:t>
      </w:r>
      <w:proofErr w:type="gramStart"/>
      <w:r w:rsidRPr="006D0AA4">
        <w:rPr>
          <w:rFonts w:ascii="Times New Roman" w:hAnsi="Times New Roman"/>
          <w:bCs/>
          <w:i/>
          <w:sz w:val="24"/>
          <w:szCs w:val="24"/>
        </w:rPr>
        <w:t>Unpublished</w:t>
      </w:r>
      <w:proofErr w:type="gramEnd"/>
      <w:r w:rsidRPr="006D0AA4">
        <w:rPr>
          <w:rFonts w:ascii="Times New Roman" w:hAnsi="Times New Roman"/>
          <w:bCs/>
          <w:i/>
          <w:sz w:val="24"/>
          <w:szCs w:val="24"/>
        </w:rPr>
        <w:t xml:space="preserve"> research project of </w:t>
      </w:r>
      <w:proofErr w:type="spellStart"/>
      <w:r w:rsidRPr="006D0AA4">
        <w:rPr>
          <w:rFonts w:ascii="Times New Roman" w:hAnsi="Times New Roman"/>
          <w:bCs/>
          <w:i/>
          <w:sz w:val="24"/>
          <w:szCs w:val="24"/>
        </w:rPr>
        <w:t>Kabarak</w:t>
      </w:r>
      <w:proofErr w:type="spellEnd"/>
      <w:r w:rsidRPr="006D0AA4">
        <w:rPr>
          <w:rFonts w:ascii="Times New Roman" w:hAnsi="Times New Roman"/>
          <w:bCs/>
          <w:i/>
          <w:sz w:val="24"/>
          <w:szCs w:val="24"/>
        </w:rPr>
        <w:t xml:space="preserve"> University </w:t>
      </w:r>
    </w:p>
    <w:p w14:paraId="51D0B5FB" w14:textId="77777777" w:rsidR="00A35DA9" w:rsidRPr="006D0AA4" w:rsidRDefault="009D13FE" w:rsidP="006D0AA4">
      <w:pPr>
        <w:spacing w:after="0" w:line="240" w:lineRule="auto"/>
        <w:ind w:right="60" w:hanging="719"/>
        <w:jc w:val="both"/>
        <w:rPr>
          <w:rFonts w:ascii="Times New Roman" w:hAnsi="Times New Roman"/>
          <w:bCs/>
          <w:sz w:val="24"/>
          <w:szCs w:val="24"/>
        </w:rPr>
      </w:pPr>
      <w:proofErr w:type="gramStart"/>
      <w:r w:rsidRPr="006D0AA4">
        <w:rPr>
          <w:rFonts w:ascii="Times New Roman" w:hAnsi="Times New Roman"/>
          <w:bCs/>
          <w:sz w:val="24"/>
          <w:szCs w:val="24"/>
        </w:rPr>
        <w:t xml:space="preserve">Cooper $ </w:t>
      </w:r>
      <w:proofErr w:type="spellStart"/>
      <w:r w:rsidRPr="006D0AA4">
        <w:rPr>
          <w:rFonts w:ascii="Times New Roman" w:hAnsi="Times New Roman"/>
          <w:bCs/>
          <w:sz w:val="24"/>
          <w:szCs w:val="24"/>
        </w:rPr>
        <w:t>Holmberge</w:t>
      </w:r>
      <w:proofErr w:type="spellEnd"/>
      <w:r w:rsidRPr="006D0AA4">
        <w:rPr>
          <w:rFonts w:ascii="Times New Roman" w:hAnsi="Times New Roman"/>
          <w:bCs/>
          <w:sz w:val="24"/>
          <w:szCs w:val="24"/>
        </w:rPr>
        <w:t>, (2015</w:t>
      </w:r>
      <w:r w:rsidR="00A35DA9" w:rsidRPr="006D0AA4">
        <w:rPr>
          <w:rFonts w:ascii="Times New Roman" w:hAnsi="Times New Roman"/>
          <w:bCs/>
          <w:sz w:val="24"/>
          <w:szCs w:val="24"/>
        </w:rPr>
        <w:t>).</w:t>
      </w:r>
      <w:proofErr w:type="gramEnd"/>
      <w:r w:rsidR="00A35DA9" w:rsidRPr="006D0AA4">
        <w:rPr>
          <w:rFonts w:ascii="Times New Roman" w:hAnsi="Times New Roman"/>
          <w:bCs/>
          <w:sz w:val="24"/>
          <w:szCs w:val="24"/>
        </w:rPr>
        <w:t xml:space="preserve"> The CAMEL Rating System in Banking Supervision: A Case Study of </w:t>
      </w:r>
      <w:proofErr w:type="spellStart"/>
      <w:r w:rsidR="00A35DA9" w:rsidRPr="006D0AA4">
        <w:rPr>
          <w:rFonts w:ascii="Times New Roman" w:hAnsi="Times New Roman"/>
          <w:bCs/>
          <w:sz w:val="24"/>
          <w:szCs w:val="24"/>
        </w:rPr>
        <w:t>Arcada</w:t>
      </w:r>
      <w:proofErr w:type="spellEnd"/>
      <w:r w:rsidR="00A35DA9" w:rsidRPr="006D0AA4">
        <w:rPr>
          <w:rFonts w:ascii="Times New Roman" w:hAnsi="Times New Roman"/>
          <w:bCs/>
          <w:sz w:val="24"/>
          <w:szCs w:val="24"/>
        </w:rPr>
        <w:t xml:space="preserve"> University of Applied Sciences</w:t>
      </w:r>
      <w:r w:rsidR="00A35DA9" w:rsidRPr="006D0AA4">
        <w:rPr>
          <w:rFonts w:ascii="Times New Roman" w:hAnsi="Times New Roman"/>
          <w:bCs/>
          <w:i/>
          <w:sz w:val="24"/>
          <w:szCs w:val="24"/>
        </w:rPr>
        <w:t>, International Business journal</w:t>
      </w:r>
      <w:r w:rsidR="00A35DA9" w:rsidRPr="006D0AA4">
        <w:rPr>
          <w:rFonts w:ascii="Times New Roman" w:hAnsi="Times New Roman"/>
          <w:bCs/>
          <w:sz w:val="24"/>
          <w:szCs w:val="24"/>
        </w:rPr>
        <w:t xml:space="preserve">. </w:t>
      </w:r>
    </w:p>
    <w:p w14:paraId="58388817" w14:textId="77777777" w:rsidR="00C11212" w:rsidRPr="006D0AA4" w:rsidRDefault="009D13FE" w:rsidP="006D0AA4">
      <w:pPr>
        <w:spacing w:after="0" w:line="240" w:lineRule="auto"/>
        <w:ind w:right="60" w:hanging="719"/>
        <w:jc w:val="both"/>
        <w:rPr>
          <w:rFonts w:ascii="Times New Roman" w:hAnsi="Times New Roman"/>
          <w:sz w:val="24"/>
          <w:szCs w:val="24"/>
        </w:rPr>
      </w:pPr>
      <w:proofErr w:type="gramStart"/>
      <w:r w:rsidRPr="006D0AA4">
        <w:rPr>
          <w:rFonts w:ascii="Times New Roman" w:hAnsi="Times New Roman"/>
          <w:bCs/>
          <w:sz w:val="24"/>
          <w:szCs w:val="24"/>
        </w:rPr>
        <w:t>Cull &amp; XU.</w:t>
      </w:r>
      <w:proofErr w:type="gramEnd"/>
      <w:r w:rsidRPr="006D0AA4">
        <w:rPr>
          <w:rFonts w:ascii="Times New Roman" w:hAnsi="Times New Roman"/>
          <w:bCs/>
          <w:sz w:val="24"/>
          <w:szCs w:val="24"/>
        </w:rPr>
        <w:t xml:space="preserve"> (2014</w:t>
      </w:r>
      <w:r w:rsidR="00C11212" w:rsidRPr="006D0AA4">
        <w:rPr>
          <w:rFonts w:ascii="Times New Roman" w:hAnsi="Times New Roman"/>
          <w:bCs/>
          <w:sz w:val="24"/>
          <w:szCs w:val="24"/>
        </w:rPr>
        <w:t>). Testing Competing Capital Structure Theories of Non-profit Organizations.</w:t>
      </w:r>
    </w:p>
    <w:p w14:paraId="0BC9C907" w14:textId="77777777" w:rsidR="00C11212" w:rsidRPr="006D0AA4" w:rsidRDefault="00C11212" w:rsidP="006D0AA4">
      <w:pPr>
        <w:spacing w:after="0" w:line="240" w:lineRule="auto"/>
        <w:jc w:val="both"/>
        <w:rPr>
          <w:rFonts w:ascii="Times New Roman" w:hAnsi="Times New Roman"/>
          <w:sz w:val="24"/>
          <w:szCs w:val="24"/>
        </w:rPr>
      </w:pPr>
      <w:r w:rsidRPr="006D0AA4">
        <w:rPr>
          <w:rFonts w:ascii="Times New Roman" w:hAnsi="Times New Roman"/>
          <w:bCs/>
          <w:i/>
          <w:iCs/>
          <w:sz w:val="24"/>
          <w:szCs w:val="24"/>
        </w:rPr>
        <w:t>Journal of Finance and Economics</w:t>
      </w:r>
      <w:r w:rsidRPr="006D0AA4">
        <w:rPr>
          <w:rFonts w:ascii="Times New Roman" w:hAnsi="Times New Roman"/>
          <w:bCs/>
          <w:sz w:val="24"/>
          <w:szCs w:val="24"/>
        </w:rPr>
        <w:t>, 7(114), 119-143.</w:t>
      </w:r>
    </w:p>
    <w:p w14:paraId="5731CFE2" w14:textId="77777777" w:rsidR="00C11212" w:rsidRPr="006D0AA4" w:rsidRDefault="00CA75DE" w:rsidP="006D0AA4">
      <w:pPr>
        <w:spacing w:after="0" w:line="240" w:lineRule="auto"/>
        <w:ind w:right="460" w:hanging="868"/>
        <w:jc w:val="both"/>
        <w:rPr>
          <w:rFonts w:ascii="Times New Roman" w:hAnsi="Times New Roman"/>
          <w:sz w:val="24"/>
          <w:szCs w:val="24"/>
        </w:rPr>
      </w:pPr>
      <w:proofErr w:type="gramStart"/>
      <w:r w:rsidRPr="006D0AA4">
        <w:rPr>
          <w:rFonts w:ascii="Times New Roman" w:hAnsi="Times New Roman"/>
          <w:bCs/>
          <w:sz w:val="24"/>
          <w:szCs w:val="24"/>
        </w:rPr>
        <w:t>Charles, M. (2010</w:t>
      </w:r>
      <w:r w:rsidR="00C11212" w:rsidRPr="006D0AA4">
        <w:rPr>
          <w:rFonts w:ascii="Times New Roman" w:hAnsi="Times New Roman"/>
          <w:bCs/>
          <w:sz w:val="24"/>
          <w:szCs w:val="24"/>
        </w:rPr>
        <w:t>).</w:t>
      </w:r>
      <w:proofErr w:type="gramEnd"/>
      <w:r w:rsidR="00C11212" w:rsidRPr="006D0AA4">
        <w:rPr>
          <w:rFonts w:ascii="Times New Roman" w:hAnsi="Times New Roman"/>
          <w:bCs/>
          <w:sz w:val="24"/>
          <w:szCs w:val="24"/>
        </w:rPr>
        <w:t xml:space="preserve"> </w:t>
      </w:r>
      <w:proofErr w:type="gramStart"/>
      <w:r w:rsidR="00C11212" w:rsidRPr="006D0AA4">
        <w:rPr>
          <w:rFonts w:ascii="Times New Roman" w:hAnsi="Times New Roman"/>
          <w:bCs/>
          <w:sz w:val="24"/>
          <w:szCs w:val="24"/>
        </w:rPr>
        <w:t>Performance, Capital Structure and Home country.</w:t>
      </w:r>
      <w:proofErr w:type="gramEnd"/>
      <w:r w:rsidR="00C11212" w:rsidRPr="006D0AA4">
        <w:rPr>
          <w:rFonts w:ascii="Times New Roman" w:hAnsi="Times New Roman"/>
          <w:bCs/>
          <w:sz w:val="24"/>
          <w:szCs w:val="24"/>
        </w:rPr>
        <w:t xml:space="preserve"> </w:t>
      </w:r>
      <w:proofErr w:type="gramStart"/>
      <w:r w:rsidR="00C11212" w:rsidRPr="006D0AA4">
        <w:rPr>
          <w:rFonts w:ascii="Times New Roman" w:hAnsi="Times New Roman"/>
          <w:bCs/>
          <w:sz w:val="24"/>
          <w:szCs w:val="24"/>
        </w:rPr>
        <w:t>An analysis of Asian Corporations.</w:t>
      </w:r>
      <w:proofErr w:type="gramEnd"/>
      <w:r w:rsidR="00C11212" w:rsidRPr="006D0AA4">
        <w:rPr>
          <w:rFonts w:ascii="Times New Roman" w:hAnsi="Times New Roman"/>
          <w:bCs/>
          <w:sz w:val="24"/>
          <w:szCs w:val="24"/>
        </w:rPr>
        <w:t xml:space="preserve"> </w:t>
      </w:r>
      <w:r w:rsidR="00C11212" w:rsidRPr="006D0AA4">
        <w:rPr>
          <w:rFonts w:ascii="Times New Roman" w:hAnsi="Times New Roman"/>
          <w:bCs/>
          <w:i/>
          <w:iCs/>
          <w:sz w:val="24"/>
          <w:szCs w:val="24"/>
        </w:rPr>
        <w:t>Global Finance Journal,</w:t>
      </w:r>
      <w:r w:rsidR="00C11212" w:rsidRPr="006D0AA4">
        <w:rPr>
          <w:rFonts w:ascii="Times New Roman" w:hAnsi="Times New Roman"/>
          <w:bCs/>
          <w:sz w:val="24"/>
          <w:szCs w:val="24"/>
        </w:rPr>
        <w:t xml:space="preserve"> 8(12), 129-143.</w:t>
      </w:r>
    </w:p>
    <w:p w14:paraId="2D00EFBD" w14:textId="77777777" w:rsidR="00C11212" w:rsidRPr="006D0AA4" w:rsidRDefault="009D13FE" w:rsidP="006D0AA4">
      <w:pPr>
        <w:spacing w:after="0" w:line="240" w:lineRule="auto"/>
        <w:ind w:right="580" w:hanging="868"/>
        <w:jc w:val="both"/>
        <w:rPr>
          <w:rFonts w:ascii="Times New Roman" w:hAnsi="Times New Roman"/>
          <w:bCs/>
          <w:sz w:val="24"/>
          <w:szCs w:val="24"/>
        </w:rPr>
      </w:pPr>
      <w:proofErr w:type="spellStart"/>
      <w:proofErr w:type="gramStart"/>
      <w:r w:rsidRPr="006D0AA4">
        <w:rPr>
          <w:rFonts w:ascii="Times New Roman" w:hAnsi="Times New Roman"/>
          <w:bCs/>
          <w:sz w:val="24"/>
          <w:szCs w:val="24"/>
        </w:rPr>
        <w:t>Dimgati</w:t>
      </w:r>
      <w:proofErr w:type="spellEnd"/>
      <w:r w:rsidRPr="006D0AA4">
        <w:rPr>
          <w:rFonts w:ascii="Times New Roman" w:hAnsi="Times New Roman"/>
          <w:bCs/>
          <w:sz w:val="24"/>
          <w:szCs w:val="24"/>
        </w:rPr>
        <w:t xml:space="preserve"> </w:t>
      </w:r>
      <w:r w:rsidRPr="006D0AA4">
        <w:rPr>
          <w:rFonts w:ascii="Times New Roman" w:hAnsi="Times New Roman"/>
          <w:bCs/>
          <w:i/>
          <w:sz w:val="24"/>
          <w:szCs w:val="24"/>
        </w:rPr>
        <w:t>et al</w:t>
      </w:r>
      <w:r w:rsidRPr="006D0AA4">
        <w:rPr>
          <w:rFonts w:ascii="Times New Roman" w:hAnsi="Times New Roman"/>
          <w:bCs/>
          <w:sz w:val="24"/>
          <w:szCs w:val="24"/>
        </w:rPr>
        <w:t>.</w:t>
      </w:r>
      <w:proofErr w:type="gramEnd"/>
      <w:r w:rsidRPr="006D0AA4">
        <w:rPr>
          <w:rFonts w:ascii="Times New Roman" w:hAnsi="Times New Roman"/>
          <w:bCs/>
          <w:sz w:val="24"/>
          <w:szCs w:val="24"/>
        </w:rPr>
        <w:t xml:space="preserve">  (2021</w:t>
      </w:r>
      <w:r w:rsidR="00C11212" w:rsidRPr="006D0AA4">
        <w:rPr>
          <w:rFonts w:ascii="Times New Roman" w:hAnsi="Times New Roman"/>
          <w:bCs/>
          <w:sz w:val="24"/>
          <w:szCs w:val="24"/>
        </w:rPr>
        <w:t xml:space="preserve">). Financial Performance Evaluation: A case Study of Awash International Bank. </w:t>
      </w:r>
      <w:proofErr w:type="gramStart"/>
      <w:r w:rsidR="00C11212" w:rsidRPr="006D0AA4">
        <w:rPr>
          <w:rFonts w:ascii="Times New Roman" w:hAnsi="Times New Roman"/>
          <w:bCs/>
          <w:sz w:val="24"/>
          <w:szCs w:val="24"/>
        </w:rPr>
        <w:t xml:space="preserve">Unpublished </w:t>
      </w:r>
      <w:proofErr w:type="spellStart"/>
      <w:r w:rsidR="00C11212" w:rsidRPr="006D0AA4">
        <w:rPr>
          <w:rFonts w:ascii="Times New Roman" w:hAnsi="Times New Roman"/>
          <w:bCs/>
          <w:sz w:val="24"/>
          <w:szCs w:val="24"/>
        </w:rPr>
        <w:t>Msc</w:t>
      </w:r>
      <w:proofErr w:type="spellEnd"/>
      <w:r w:rsidR="00C11212" w:rsidRPr="006D0AA4">
        <w:rPr>
          <w:rFonts w:ascii="Times New Roman" w:hAnsi="Times New Roman"/>
          <w:bCs/>
          <w:sz w:val="24"/>
          <w:szCs w:val="24"/>
        </w:rPr>
        <w:t>. Project.</w:t>
      </w:r>
      <w:proofErr w:type="gramEnd"/>
      <w:r w:rsidR="00C11212" w:rsidRPr="006D0AA4">
        <w:rPr>
          <w:rFonts w:ascii="Times New Roman" w:hAnsi="Times New Roman"/>
          <w:bCs/>
          <w:sz w:val="24"/>
          <w:szCs w:val="24"/>
        </w:rPr>
        <w:t xml:space="preserve"> </w:t>
      </w:r>
      <w:proofErr w:type="spellStart"/>
      <w:proofErr w:type="gramStart"/>
      <w:r w:rsidR="00C11212" w:rsidRPr="006D0AA4">
        <w:rPr>
          <w:rFonts w:ascii="Times New Roman" w:hAnsi="Times New Roman"/>
          <w:bCs/>
          <w:sz w:val="24"/>
          <w:szCs w:val="24"/>
        </w:rPr>
        <w:t>Mekelle</w:t>
      </w:r>
      <w:proofErr w:type="spellEnd"/>
      <w:r w:rsidR="00C11212" w:rsidRPr="006D0AA4">
        <w:rPr>
          <w:rFonts w:ascii="Times New Roman" w:hAnsi="Times New Roman"/>
          <w:bCs/>
          <w:sz w:val="24"/>
          <w:szCs w:val="24"/>
        </w:rPr>
        <w:t xml:space="preserve"> University, </w:t>
      </w:r>
      <w:proofErr w:type="spellStart"/>
      <w:r w:rsidR="00C11212" w:rsidRPr="006D0AA4">
        <w:rPr>
          <w:rFonts w:ascii="Times New Roman" w:hAnsi="Times New Roman"/>
          <w:bCs/>
          <w:sz w:val="24"/>
          <w:szCs w:val="24"/>
        </w:rPr>
        <w:t>Ethopia</w:t>
      </w:r>
      <w:proofErr w:type="spellEnd"/>
      <w:r w:rsidR="00C11212" w:rsidRPr="006D0AA4">
        <w:rPr>
          <w:rFonts w:ascii="Times New Roman" w:hAnsi="Times New Roman"/>
          <w:bCs/>
          <w:sz w:val="24"/>
          <w:szCs w:val="24"/>
        </w:rPr>
        <w:t>.</w:t>
      </w:r>
      <w:proofErr w:type="gramEnd"/>
    </w:p>
    <w:p w14:paraId="17F9E8F3" w14:textId="77777777" w:rsidR="009D13FE" w:rsidRPr="006D0AA4" w:rsidRDefault="009D13FE" w:rsidP="006D0AA4">
      <w:pPr>
        <w:spacing w:after="0" w:line="240" w:lineRule="auto"/>
        <w:ind w:right="580" w:hanging="868"/>
        <w:jc w:val="both"/>
        <w:rPr>
          <w:rFonts w:ascii="Times New Roman" w:hAnsi="Times New Roman"/>
          <w:bCs/>
          <w:sz w:val="24"/>
          <w:szCs w:val="24"/>
        </w:rPr>
      </w:pPr>
      <w:proofErr w:type="spellStart"/>
      <w:proofErr w:type="gramStart"/>
      <w:r w:rsidRPr="006D0AA4">
        <w:rPr>
          <w:rFonts w:ascii="Times New Roman" w:hAnsi="Times New Roman"/>
          <w:bCs/>
          <w:sz w:val="24"/>
          <w:szCs w:val="24"/>
        </w:rPr>
        <w:t>Fama</w:t>
      </w:r>
      <w:proofErr w:type="spellEnd"/>
      <w:r w:rsidRPr="006D0AA4">
        <w:rPr>
          <w:rFonts w:ascii="Times New Roman" w:hAnsi="Times New Roman"/>
          <w:bCs/>
          <w:sz w:val="24"/>
          <w:szCs w:val="24"/>
        </w:rPr>
        <w:t xml:space="preserve">, E., &amp; </w:t>
      </w:r>
      <w:proofErr w:type="spellStart"/>
      <w:r w:rsidRPr="006D0AA4">
        <w:rPr>
          <w:rFonts w:ascii="Times New Roman" w:hAnsi="Times New Roman"/>
          <w:bCs/>
          <w:sz w:val="24"/>
          <w:szCs w:val="24"/>
        </w:rPr>
        <w:t>Fench</w:t>
      </w:r>
      <w:proofErr w:type="spellEnd"/>
      <w:r w:rsidRPr="006D0AA4">
        <w:rPr>
          <w:rFonts w:ascii="Times New Roman" w:hAnsi="Times New Roman"/>
          <w:bCs/>
          <w:sz w:val="24"/>
          <w:szCs w:val="24"/>
        </w:rPr>
        <w:t>, K. (2002).</w:t>
      </w:r>
      <w:proofErr w:type="gramEnd"/>
      <w:r w:rsidRPr="006D0AA4">
        <w:rPr>
          <w:rFonts w:ascii="Times New Roman" w:hAnsi="Times New Roman"/>
          <w:bCs/>
          <w:sz w:val="24"/>
          <w:szCs w:val="24"/>
        </w:rPr>
        <w:t xml:space="preserve"> Testing Trade-Off Theory and Pecking Order Predictions about Dividends and Debt, </w:t>
      </w:r>
      <w:r w:rsidRPr="006D0AA4">
        <w:rPr>
          <w:rFonts w:ascii="Times New Roman" w:hAnsi="Times New Roman"/>
          <w:bCs/>
          <w:i/>
          <w:sz w:val="24"/>
          <w:szCs w:val="24"/>
        </w:rPr>
        <w:t>Review of Financial Studies.</w:t>
      </w:r>
      <w:r w:rsidRPr="006D0AA4">
        <w:rPr>
          <w:rFonts w:ascii="Times New Roman" w:hAnsi="Times New Roman"/>
          <w:bCs/>
          <w:sz w:val="24"/>
          <w:szCs w:val="24"/>
        </w:rPr>
        <w:t xml:space="preserve"> </w:t>
      </w:r>
    </w:p>
    <w:p w14:paraId="696A6A19" w14:textId="77777777" w:rsidR="009D13FE" w:rsidRPr="006D0AA4" w:rsidRDefault="009D13FE" w:rsidP="006D0AA4">
      <w:pPr>
        <w:spacing w:after="0" w:line="240" w:lineRule="auto"/>
        <w:ind w:right="580" w:hanging="868"/>
        <w:jc w:val="both"/>
        <w:rPr>
          <w:rFonts w:ascii="Times New Roman" w:hAnsi="Times New Roman"/>
          <w:bCs/>
          <w:sz w:val="24"/>
          <w:szCs w:val="24"/>
        </w:rPr>
      </w:pPr>
      <w:proofErr w:type="gramStart"/>
      <w:r w:rsidRPr="006D0AA4">
        <w:rPr>
          <w:rFonts w:ascii="Times New Roman" w:hAnsi="Times New Roman"/>
          <w:bCs/>
          <w:sz w:val="24"/>
          <w:szCs w:val="24"/>
        </w:rPr>
        <w:t>Forte &amp; Tavares.</w:t>
      </w:r>
      <w:proofErr w:type="gramEnd"/>
      <w:r w:rsidRPr="006D0AA4">
        <w:rPr>
          <w:rFonts w:ascii="Times New Roman" w:hAnsi="Times New Roman"/>
          <w:bCs/>
          <w:sz w:val="24"/>
          <w:szCs w:val="24"/>
        </w:rPr>
        <w:t xml:space="preserve"> </w:t>
      </w:r>
      <w:proofErr w:type="gramStart"/>
      <w:r w:rsidRPr="006D0AA4">
        <w:rPr>
          <w:rFonts w:ascii="Times New Roman" w:hAnsi="Times New Roman"/>
          <w:bCs/>
          <w:sz w:val="24"/>
          <w:szCs w:val="24"/>
        </w:rPr>
        <w:t xml:space="preserve">(2019). </w:t>
      </w:r>
      <w:r w:rsidRPr="006D0AA4">
        <w:rPr>
          <w:rFonts w:ascii="Times New Roman" w:hAnsi="Times New Roman"/>
          <w:bCs/>
          <w:i/>
          <w:sz w:val="24"/>
          <w:szCs w:val="24"/>
        </w:rPr>
        <w:t>Research Methods in Business Studies</w:t>
      </w:r>
      <w:r w:rsidRPr="006D0AA4">
        <w:rPr>
          <w:rFonts w:ascii="Times New Roman" w:hAnsi="Times New Roman"/>
          <w:bCs/>
          <w:sz w:val="24"/>
          <w:szCs w:val="24"/>
        </w:rPr>
        <w:t>.</w:t>
      </w:r>
      <w:proofErr w:type="gramEnd"/>
      <w:r w:rsidRPr="006D0AA4">
        <w:rPr>
          <w:rFonts w:ascii="Times New Roman" w:hAnsi="Times New Roman"/>
          <w:bCs/>
          <w:sz w:val="24"/>
          <w:szCs w:val="24"/>
        </w:rPr>
        <w:t xml:space="preserve"> 3rded. UK: Prentice Hall. </w:t>
      </w:r>
    </w:p>
    <w:p w14:paraId="5370EC11" w14:textId="77777777" w:rsidR="009D13FE" w:rsidRPr="006D0AA4" w:rsidRDefault="009D13FE" w:rsidP="006D0AA4">
      <w:pPr>
        <w:spacing w:after="0" w:line="240" w:lineRule="auto"/>
        <w:ind w:right="220" w:hanging="868"/>
        <w:jc w:val="both"/>
        <w:rPr>
          <w:rFonts w:ascii="Times New Roman" w:hAnsi="Times New Roman"/>
          <w:bCs/>
          <w:sz w:val="24"/>
          <w:szCs w:val="24"/>
        </w:rPr>
      </w:pPr>
      <w:r w:rsidRPr="006D0AA4">
        <w:rPr>
          <w:rFonts w:ascii="Times New Roman" w:hAnsi="Times New Roman"/>
          <w:bCs/>
          <w:sz w:val="24"/>
          <w:szCs w:val="24"/>
        </w:rPr>
        <w:t xml:space="preserve">Gleason, L. (2011). </w:t>
      </w:r>
      <w:proofErr w:type="gramStart"/>
      <w:r w:rsidRPr="006D0AA4">
        <w:rPr>
          <w:rFonts w:ascii="Times New Roman" w:hAnsi="Times New Roman"/>
          <w:bCs/>
          <w:i/>
          <w:sz w:val="24"/>
          <w:szCs w:val="24"/>
        </w:rPr>
        <w:t>Basic Managerial Finance.</w:t>
      </w:r>
      <w:proofErr w:type="gramEnd"/>
      <w:r w:rsidRPr="006D0AA4">
        <w:rPr>
          <w:rFonts w:ascii="Times New Roman" w:hAnsi="Times New Roman"/>
          <w:bCs/>
          <w:i/>
          <w:sz w:val="24"/>
          <w:szCs w:val="24"/>
        </w:rPr>
        <w:t xml:space="preserve">  </w:t>
      </w:r>
      <w:proofErr w:type="gramStart"/>
      <w:r w:rsidRPr="006D0AA4">
        <w:rPr>
          <w:rFonts w:ascii="Times New Roman" w:hAnsi="Times New Roman"/>
          <w:bCs/>
          <w:sz w:val="24"/>
          <w:szCs w:val="24"/>
        </w:rPr>
        <w:t>2</w:t>
      </w:r>
      <w:r w:rsidRPr="006D0AA4">
        <w:rPr>
          <w:rFonts w:ascii="Times New Roman" w:hAnsi="Times New Roman"/>
          <w:bCs/>
          <w:sz w:val="24"/>
          <w:szCs w:val="24"/>
          <w:vertAlign w:val="superscript"/>
        </w:rPr>
        <w:t>nd</w:t>
      </w:r>
      <w:r w:rsidRPr="006D0AA4">
        <w:rPr>
          <w:rFonts w:ascii="Times New Roman" w:hAnsi="Times New Roman"/>
          <w:bCs/>
          <w:sz w:val="24"/>
          <w:szCs w:val="24"/>
        </w:rPr>
        <w:t xml:space="preserve"> edition.</w:t>
      </w:r>
      <w:proofErr w:type="gramEnd"/>
      <w:r w:rsidRPr="006D0AA4">
        <w:rPr>
          <w:rFonts w:ascii="Times New Roman" w:hAnsi="Times New Roman"/>
          <w:bCs/>
          <w:sz w:val="24"/>
          <w:szCs w:val="24"/>
        </w:rPr>
        <w:t xml:space="preserve"> New York: Harper &amp; Row </w:t>
      </w:r>
    </w:p>
    <w:p w14:paraId="2E1D2C22" w14:textId="77777777" w:rsidR="009D13FE" w:rsidRPr="006D0AA4" w:rsidRDefault="009D13FE" w:rsidP="006D0AA4">
      <w:pPr>
        <w:spacing w:after="0" w:line="240" w:lineRule="auto"/>
        <w:ind w:right="220" w:hanging="868"/>
        <w:jc w:val="both"/>
        <w:rPr>
          <w:rFonts w:ascii="Times New Roman" w:hAnsi="Times New Roman"/>
          <w:bCs/>
          <w:sz w:val="24"/>
          <w:szCs w:val="24"/>
        </w:rPr>
      </w:pPr>
      <w:r w:rsidRPr="006D0AA4">
        <w:rPr>
          <w:rFonts w:ascii="Times New Roman" w:hAnsi="Times New Roman"/>
          <w:bCs/>
          <w:sz w:val="24"/>
          <w:szCs w:val="24"/>
        </w:rPr>
        <w:t>Gra</w:t>
      </w:r>
      <w:r w:rsidR="00DB06C7" w:rsidRPr="006D0AA4">
        <w:rPr>
          <w:rFonts w:ascii="Times New Roman" w:hAnsi="Times New Roman"/>
          <w:bCs/>
          <w:sz w:val="24"/>
          <w:szCs w:val="24"/>
        </w:rPr>
        <w:t>ham, J. R., and Harvey, C., (20</w:t>
      </w:r>
      <w:r w:rsidRPr="006D0AA4">
        <w:rPr>
          <w:rFonts w:ascii="Times New Roman" w:hAnsi="Times New Roman"/>
          <w:bCs/>
          <w:sz w:val="24"/>
          <w:szCs w:val="24"/>
        </w:rPr>
        <w:t>1</w:t>
      </w:r>
      <w:r w:rsidR="00DB06C7" w:rsidRPr="006D0AA4">
        <w:rPr>
          <w:rFonts w:ascii="Times New Roman" w:hAnsi="Times New Roman"/>
          <w:bCs/>
          <w:sz w:val="24"/>
          <w:szCs w:val="24"/>
        </w:rPr>
        <w:t>4</w:t>
      </w:r>
      <w:r w:rsidRPr="006D0AA4">
        <w:rPr>
          <w:rFonts w:ascii="Times New Roman" w:hAnsi="Times New Roman"/>
          <w:bCs/>
          <w:sz w:val="24"/>
          <w:szCs w:val="24"/>
        </w:rPr>
        <w:t xml:space="preserve">). The Theory and Practice of Corporate Finance: Evidence from the field, </w:t>
      </w:r>
      <w:r w:rsidRPr="006D0AA4">
        <w:rPr>
          <w:rFonts w:ascii="Times New Roman" w:hAnsi="Times New Roman"/>
          <w:bCs/>
          <w:i/>
          <w:sz w:val="24"/>
          <w:szCs w:val="24"/>
        </w:rPr>
        <w:t>Journal of Financial Economics</w:t>
      </w:r>
      <w:r w:rsidRPr="006D0AA4">
        <w:rPr>
          <w:rFonts w:ascii="Times New Roman" w:hAnsi="Times New Roman"/>
          <w:bCs/>
          <w:sz w:val="24"/>
          <w:szCs w:val="24"/>
        </w:rPr>
        <w:t>, 60, 187- 24</w:t>
      </w:r>
    </w:p>
    <w:p w14:paraId="3032D3AB" w14:textId="77777777" w:rsidR="009D13FE" w:rsidRPr="006D0AA4" w:rsidRDefault="00DB06C7" w:rsidP="006D0AA4">
      <w:pPr>
        <w:spacing w:after="0" w:line="240" w:lineRule="auto"/>
        <w:ind w:right="220" w:hanging="868"/>
        <w:jc w:val="both"/>
        <w:rPr>
          <w:rFonts w:ascii="Times New Roman" w:hAnsi="Times New Roman"/>
          <w:bCs/>
          <w:sz w:val="24"/>
          <w:szCs w:val="24"/>
        </w:rPr>
      </w:pPr>
      <w:proofErr w:type="spellStart"/>
      <w:proofErr w:type="gramStart"/>
      <w:r w:rsidRPr="006D0AA4">
        <w:rPr>
          <w:rFonts w:ascii="Times New Roman" w:hAnsi="Times New Roman"/>
          <w:bCs/>
          <w:sz w:val="24"/>
          <w:szCs w:val="24"/>
        </w:rPr>
        <w:t>Grahan</w:t>
      </w:r>
      <w:proofErr w:type="spellEnd"/>
      <w:r w:rsidRPr="006D0AA4">
        <w:rPr>
          <w:rFonts w:ascii="Times New Roman" w:hAnsi="Times New Roman"/>
          <w:bCs/>
          <w:sz w:val="24"/>
          <w:szCs w:val="24"/>
        </w:rPr>
        <w:t xml:space="preserve"> &amp; </w:t>
      </w:r>
      <w:proofErr w:type="spellStart"/>
      <w:r w:rsidRPr="006D0AA4">
        <w:rPr>
          <w:rFonts w:ascii="Times New Roman" w:hAnsi="Times New Roman"/>
          <w:bCs/>
          <w:sz w:val="24"/>
          <w:szCs w:val="24"/>
        </w:rPr>
        <w:t>Litzenberger</w:t>
      </w:r>
      <w:proofErr w:type="spellEnd"/>
      <w:r w:rsidRPr="006D0AA4">
        <w:rPr>
          <w:rFonts w:ascii="Times New Roman" w:hAnsi="Times New Roman"/>
          <w:bCs/>
          <w:sz w:val="24"/>
          <w:szCs w:val="24"/>
        </w:rPr>
        <w:t xml:space="preserve"> (2012</w:t>
      </w:r>
      <w:r w:rsidR="009D13FE" w:rsidRPr="006D0AA4">
        <w:rPr>
          <w:rFonts w:ascii="Times New Roman" w:hAnsi="Times New Roman"/>
          <w:bCs/>
          <w:sz w:val="24"/>
          <w:szCs w:val="24"/>
        </w:rPr>
        <w:t>).</w:t>
      </w:r>
      <w:proofErr w:type="gramEnd"/>
      <w:r w:rsidR="009D13FE" w:rsidRPr="006D0AA4">
        <w:rPr>
          <w:rFonts w:ascii="Times New Roman" w:hAnsi="Times New Roman"/>
          <w:bCs/>
          <w:sz w:val="24"/>
          <w:szCs w:val="24"/>
        </w:rPr>
        <w:t xml:space="preserve"> </w:t>
      </w:r>
      <w:proofErr w:type="gramStart"/>
      <w:r w:rsidR="009D13FE" w:rsidRPr="006D0AA4">
        <w:rPr>
          <w:rFonts w:ascii="Times New Roman" w:hAnsi="Times New Roman"/>
          <w:bCs/>
          <w:sz w:val="24"/>
          <w:szCs w:val="24"/>
        </w:rPr>
        <w:t>Effect of Financial Leverage on Financial Performance of Deposit Taking Savings and Credit Co-operative in Kenya.</w:t>
      </w:r>
      <w:proofErr w:type="gramEnd"/>
      <w:r w:rsidR="009D13FE" w:rsidRPr="006D0AA4">
        <w:rPr>
          <w:rFonts w:ascii="Times New Roman" w:hAnsi="Times New Roman"/>
          <w:bCs/>
          <w:sz w:val="24"/>
          <w:szCs w:val="24"/>
        </w:rPr>
        <w:t xml:space="preserve"> </w:t>
      </w:r>
      <w:r w:rsidR="009D13FE" w:rsidRPr="006D0AA4">
        <w:rPr>
          <w:rFonts w:ascii="Times New Roman" w:hAnsi="Times New Roman"/>
          <w:bCs/>
          <w:i/>
          <w:iCs/>
          <w:sz w:val="24"/>
          <w:szCs w:val="24"/>
        </w:rPr>
        <w:t>International Journal of Academic research in Accounting, Finance and Management Sciences</w:t>
      </w:r>
      <w:r w:rsidR="009D13FE" w:rsidRPr="006D0AA4">
        <w:rPr>
          <w:rFonts w:ascii="Times New Roman" w:hAnsi="Times New Roman"/>
          <w:bCs/>
          <w:sz w:val="24"/>
          <w:szCs w:val="24"/>
        </w:rPr>
        <w:t>, 4(2), 176-184</w:t>
      </w:r>
    </w:p>
    <w:p w14:paraId="75DC510C" w14:textId="77777777" w:rsidR="0078153A" w:rsidRPr="006D0AA4" w:rsidRDefault="00DE381B" w:rsidP="006D0AA4">
      <w:pPr>
        <w:spacing w:after="0" w:line="240" w:lineRule="auto"/>
        <w:ind w:right="680" w:hanging="719"/>
        <w:jc w:val="both"/>
        <w:rPr>
          <w:rFonts w:ascii="Times New Roman" w:hAnsi="Times New Roman"/>
          <w:bCs/>
          <w:sz w:val="24"/>
          <w:szCs w:val="24"/>
        </w:rPr>
      </w:pPr>
      <w:proofErr w:type="spellStart"/>
      <w:r w:rsidRPr="006D0AA4">
        <w:rPr>
          <w:rFonts w:ascii="Times New Roman" w:hAnsi="Times New Roman"/>
          <w:bCs/>
          <w:sz w:val="24"/>
          <w:szCs w:val="24"/>
        </w:rPr>
        <w:t>Itiri</w:t>
      </w:r>
      <w:proofErr w:type="spellEnd"/>
      <w:r w:rsidRPr="006D0AA4">
        <w:rPr>
          <w:rFonts w:ascii="Times New Roman" w:hAnsi="Times New Roman"/>
          <w:bCs/>
          <w:sz w:val="24"/>
          <w:szCs w:val="24"/>
        </w:rPr>
        <w:t xml:space="preserve">, I.O. (2014). </w:t>
      </w:r>
      <w:proofErr w:type="gramStart"/>
      <w:r w:rsidRPr="006D0AA4">
        <w:rPr>
          <w:rFonts w:ascii="Times New Roman" w:hAnsi="Times New Roman"/>
          <w:bCs/>
          <w:sz w:val="24"/>
          <w:szCs w:val="24"/>
        </w:rPr>
        <w:t xml:space="preserve">Impact of Financial Structure on Performance of Quoted </w:t>
      </w:r>
      <w:r w:rsidR="00413CFD" w:rsidRPr="006D0AA4">
        <w:rPr>
          <w:rFonts w:ascii="Times New Roman" w:hAnsi="Times New Roman"/>
          <w:bCs/>
          <w:sz w:val="24"/>
          <w:szCs w:val="24"/>
        </w:rPr>
        <w:t>Firms’</w:t>
      </w:r>
      <w:r w:rsidRPr="006D0AA4">
        <w:rPr>
          <w:rFonts w:ascii="Times New Roman" w:hAnsi="Times New Roman"/>
          <w:bCs/>
          <w:sz w:val="24"/>
          <w:szCs w:val="24"/>
        </w:rPr>
        <w:t xml:space="preserve"> in Nigeria.</w:t>
      </w:r>
      <w:proofErr w:type="gramEnd"/>
      <w:r w:rsidRPr="006D0AA4">
        <w:rPr>
          <w:rFonts w:ascii="Times New Roman" w:hAnsi="Times New Roman"/>
          <w:bCs/>
          <w:sz w:val="24"/>
          <w:szCs w:val="24"/>
        </w:rPr>
        <w:t xml:space="preserve"> </w:t>
      </w:r>
      <w:proofErr w:type="gramStart"/>
      <w:r w:rsidRPr="006D0AA4">
        <w:rPr>
          <w:rFonts w:ascii="Times New Roman" w:hAnsi="Times New Roman"/>
          <w:bCs/>
          <w:sz w:val="24"/>
          <w:szCs w:val="24"/>
        </w:rPr>
        <w:t>University of Nigeria</w:t>
      </w:r>
      <w:r w:rsidR="0078153A" w:rsidRPr="006D0AA4">
        <w:rPr>
          <w:rFonts w:ascii="Times New Roman" w:hAnsi="Times New Roman"/>
          <w:bCs/>
          <w:sz w:val="24"/>
          <w:szCs w:val="24"/>
        </w:rPr>
        <w:t>.</w:t>
      </w:r>
      <w:proofErr w:type="gramEnd"/>
    </w:p>
    <w:p w14:paraId="201E42C8" w14:textId="77777777" w:rsidR="00DE381B" w:rsidRPr="006D0AA4" w:rsidRDefault="00DE381B" w:rsidP="006D0AA4">
      <w:pPr>
        <w:spacing w:after="0" w:line="240" w:lineRule="auto"/>
        <w:ind w:right="680" w:hanging="719"/>
        <w:jc w:val="both"/>
        <w:rPr>
          <w:rFonts w:ascii="Times New Roman" w:hAnsi="Times New Roman"/>
          <w:sz w:val="24"/>
          <w:szCs w:val="24"/>
        </w:rPr>
      </w:pPr>
      <w:r w:rsidRPr="006D0AA4">
        <w:rPr>
          <w:rFonts w:ascii="Times New Roman" w:hAnsi="Times New Roman"/>
          <w:bCs/>
          <w:sz w:val="24"/>
          <w:szCs w:val="24"/>
        </w:rPr>
        <w:t>Je</w:t>
      </w:r>
      <w:r w:rsidR="00DB06C7" w:rsidRPr="006D0AA4">
        <w:rPr>
          <w:rFonts w:ascii="Times New Roman" w:hAnsi="Times New Roman"/>
          <w:bCs/>
          <w:sz w:val="24"/>
          <w:szCs w:val="24"/>
        </w:rPr>
        <w:t>nsen, M. C. (2015</w:t>
      </w:r>
      <w:r w:rsidRPr="006D0AA4">
        <w:rPr>
          <w:rFonts w:ascii="Times New Roman" w:hAnsi="Times New Roman"/>
          <w:bCs/>
          <w:sz w:val="24"/>
          <w:szCs w:val="24"/>
        </w:rPr>
        <w:t xml:space="preserve">). </w:t>
      </w:r>
      <w:proofErr w:type="gramStart"/>
      <w:r w:rsidRPr="006D0AA4">
        <w:rPr>
          <w:rFonts w:ascii="Times New Roman" w:hAnsi="Times New Roman"/>
          <w:bCs/>
          <w:sz w:val="24"/>
          <w:szCs w:val="24"/>
        </w:rPr>
        <w:t>Agency Cost of Free Cash Flows, Corporate Finance and Takeovers.</w:t>
      </w:r>
      <w:proofErr w:type="gramEnd"/>
    </w:p>
    <w:p w14:paraId="43F4AB3A" w14:textId="22371CC1" w:rsidR="00DE381B" w:rsidRPr="006D0AA4" w:rsidRDefault="00DE381B" w:rsidP="006D0AA4">
      <w:pPr>
        <w:spacing w:after="0" w:line="240" w:lineRule="auto"/>
        <w:jc w:val="both"/>
        <w:rPr>
          <w:rFonts w:ascii="Times New Roman" w:hAnsi="Times New Roman"/>
          <w:sz w:val="24"/>
          <w:szCs w:val="24"/>
        </w:rPr>
      </w:pPr>
      <w:r w:rsidRPr="006D0AA4">
        <w:rPr>
          <w:rFonts w:ascii="Times New Roman" w:hAnsi="Times New Roman"/>
          <w:bCs/>
          <w:i/>
          <w:iCs/>
          <w:sz w:val="24"/>
          <w:szCs w:val="24"/>
        </w:rPr>
        <w:t>American Economic Review</w:t>
      </w:r>
      <w:r w:rsidRPr="006D0AA4">
        <w:rPr>
          <w:rFonts w:ascii="Times New Roman" w:hAnsi="Times New Roman"/>
          <w:bCs/>
          <w:sz w:val="24"/>
          <w:szCs w:val="24"/>
        </w:rPr>
        <w:t>, 76 (1), 323-339.</w:t>
      </w:r>
    </w:p>
    <w:p w14:paraId="7FBC41AC" w14:textId="77777777" w:rsidR="007B7F87" w:rsidRPr="006D0AA4" w:rsidRDefault="00DB06C7" w:rsidP="006D0AA4">
      <w:pPr>
        <w:spacing w:after="0" w:line="240" w:lineRule="auto"/>
        <w:ind w:right="600" w:hanging="719"/>
        <w:jc w:val="both"/>
        <w:rPr>
          <w:rFonts w:ascii="Times New Roman" w:hAnsi="Times New Roman"/>
          <w:bCs/>
          <w:sz w:val="24"/>
          <w:szCs w:val="24"/>
        </w:rPr>
      </w:pPr>
      <w:proofErr w:type="gramStart"/>
      <w:r w:rsidRPr="006D0AA4">
        <w:rPr>
          <w:rFonts w:ascii="Times New Roman" w:hAnsi="Times New Roman"/>
          <w:bCs/>
          <w:sz w:val="24"/>
          <w:szCs w:val="24"/>
        </w:rPr>
        <w:t xml:space="preserve">Jensen and </w:t>
      </w:r>
      <w:proofErr w:type="spellStart"/>
      <w:r w:rsidRPr="006D0AA4">
        <w:rPr>
          <w:rFonts w:ascii="Times New Roman" w:hAnsi="Times New Roman"/>
          <w:bCs/>
          <w:sz w:val="24"/>
          <w:szCs w:val="24"/>
        </w:rPr>
        <w:t>Meckling</w:t>
      </w:r>
      <w:proofErr w:type="spellEnd"/>
      <w:r w:rsidRPr="006D0AA4">
        <w:rPr>
          <w:rFonts w:ascii="Times New Roman" w:hAnsi="Times New Roman"/>
          <w:bCs/>
          <w:sz w:val="24"/>
          <w:szCs w:val="24"/>
        </w:rPr>
        <w:t xml:space="preserve"> (2002</w:t>
      </w:r>
      <w:r w:rsidR="00DE381B" w:rsidRPr="006D0AA4">
        <w:rPr>
          <w:rFonts w:ascii="Times New Roman" w:hAnsi="Times New Roman"/>
          <w:bCs/>
          <w:sz w:val="24"/>
          <w:szCs w:val="24"/>
        </w:rPr>
        <w:t>).</w:t>
      </w:r>
      <w:proofErr w:type="gramEnd"/>
      <w:r w:rsidR="00DE381B" w:rsidRPr="006D0AA4">
        <w:rPr>
          <w:rFonts w:ascii="Times New Roman" w:hAnsi="Times New Roman"/>
          <w:bCs/>
          <w:sz w:val="24"/>
          <w:szCs w:val="24"/>
        </w:rPr>
        <w:t xml:space="preserve"> </w:t>
      </w:r>
      <w:proofErr w:type="gramStart"/>
      <w:r w:rsidR="00DE381B" w:rsidRPr="006D0AA4">
        <w:rPr>
          <w:rFonts w:ascii="Times New Roman" w:hAnsi="Times New Roman"/>
          <w:bCs/>
          <w:sz w:val="24"/>
          <w:szCs w:val="24"/>
        </w:rPr>
        <w:t xml:space="preserve">Theory of the Firm, Managerial </w:t>
      </w:r>
      <w:r w:rsidR="0068139C" w:rsidRPr="006D0AA4">
        <w:rPr>
          <w:rFonts w:ascii="Times New Roman" w:hAnsi="Times New Roman"/>
          <w:bCs/>
          <w:sz w:val="24"/>
          <w:szCs w:val="24"/>
        </w:rPr>
        <w:t>Behavior</w:t>
      </w:r>
      <w:r w:rsidR="00DE381B" w:rsidRPr="006D0AA4">
        <w:rPr>
          <w:rFonts w:ascii="Times New Roman" w:hAnsi="Times New Roman"/>
          <w:bCs/>
          <w:sz w:val="24"/>
          <w:szCs w:val="24"/>
        </w:rPr>
        <w:t xml:space="preserve"> Agency Costs and Capital Structure</w:t>
      </w:r>
      <w:r w:rsidR="00DE381B" w:rsidRPr="006D0AA4">
        <w:rPr>
          <w:rFonts w:ascii="Times New Roman" w:hAnsi="Times New Roman"/>
          <w:bCs/>
          <w:i/>
          <w:iCs/>
          <w:sz w:val="24"/>
          <w:szCs w:val="24"/>
        </w:rPr>
        <w:t>.</w:t>
      </w:r>
      <w:proofErr w:type="gramEnd"/>
      <w:r w:rsidR="00DE381B" w:rsidRPr="006D0AA4">
        <w:rPr>
          <w:rFonts w:ascii="Times New Roman" w:hAnsi="Times New Roman"/>
          <w:bCs/>
          <w:i/>
          <w:iCs/>
          <w:sz w:val="24"/>
          <w:szCs w:val="24"/>
        </w:rPr>
        <w:t xml:space="preserve"> Journal of Financial Economics,</w:t>
      </w:r>
      <w:r w:rsidR="00DE381B" w:rsidRPr="006D0AA4">
        <w:rPr>
          <w:rFonts w:ascii="Times New Roman" w:hAnsi="Times New Roman"/>
          <w:bCs/>
          <w:sz w:val="24"/>
          <w:szCs w:val="24"/>
        </w:rPr>
        <w:t xml:space="preserve"> 6(23), 127-135.</w:t>
      </w:r>
    </w:p>
    <w:p w14:paraId="2E44DA46" w14:textId="77777777" w:rsidR="007B7F87" w:rsidRPr="006D0AA4" w:rsidRDefault="00DB06C7" w:rsidP="006D0AA4">
      <w:pPr>
        <w:spacing w:after="0" w:line="240" w:lineRule="auto"/>
        <w:ind w:right="600" w:hanging="719"/>
        <w:jc w:val="both"/>
        <w:rPr>
          <w:rFonts w:ascii="Times New Roman" w:hAnsi="Times New Roman"/>
          <w:bCs/>
          <w:sz w:val="24"/>
          <w:szCs w:val="24"/>
        </w:rPr>
      </w:pPr>
      <w:proofErr w:type="spellStart"/>
      <w:proofErr w:type="gramStart"/>
      <w:r w:rsidRPr="006D0AA4">
        <w:rPr>
          <w:rFonts w:ascii="Times New Roman" w:hAnsi="Times New Roman"/>
          <w:bCs/>
          <w:sz w:val="24"/>
          <w:szCs w:val="24"/>
        </w:rPr>
        <w:t>Juma</w:t>
      </w:r>
      <w:proofErr w:type="spellEnd"/>
      <w:r w:rsidRPr="006D0AA4">
        <w:rPr>
          <w:rFonts w:ascii="Times New Roman" w:hAnsi="Times New Roman"/>
          <w:bCs/>
          <w:sz w:val="24"/>
          <w:szCs w:val="24"/>
        </w:rPr>
        <w:t>, V. (2016).</w:t>
      </w:r>
      <w:proofErr w:type="gramEnd"/>
      <w:r w:rsidRPr="006D0AA4">
        <w:rPr>
          <w:rFonts w:ascii="Times New Roman" w:hAnsi="Times New Roman"/>
          <w:bCs/>
          <w:sz w:val="24"/>
          <w:szCs w:val="24"/>
        </w:rPr>
        <w:t xml:space="preserve"> Six NSE companies in survival dogfight as massive debt hurts. The business daily</w:t>
      </w:r>
      <w:r w:rsidR="007B7F87" w:rsidRPr="006D0AA4">
        <w:rPr>
          <w:rFonts w:ascii="Times New Roman" w:hAnsi="Times New Roman"/>
          <w:bCs/>
          <w:sz w:val="24"/>
          <w:szCs w:val="24"/>
        </w:rPr>
        <w:t xml:space="preserve"> </w:t>
      </w:r>
      <w:r w:rsidRPr="006D0AA4">
        <w:rPr>
          <w:rFonts w:ascii="Times New Roman" w:hAnsi="Times New Roman"/>
          <w:bCs/>
          <w:sz w:val="24"/>
          <w:szCs w:val="24"/>
        </w:rPr>
        <w:t>posted 22</w:t>
      </w:r>
      <w:r w:rsidRPr="006D0AA4">
        <w:rPr>
          <w:rFonts w:ascii="Times New Roman" w:hAnsi="Times New Roman"/>
          <w:bCs/>
          <w:sz w:val="24"/>
          <w:szCs w:val="24"/>
          <w:vertAlign w:val="superscript"/>
        </w:rPr>
        <w:t xml:space="preserve">RD </w:t>
      </w:r>
      <w:r w:rsidRPr="006D0AA4">
        <w:rPr>
          <w:rFonts w:ascii="Times New Roman" w:hAnsi="Times New Roman"/>
          <w:bCs/>
          <w:sz w:val="24"/>
          <w:szCs w:val="24"/>
        </w:rPr>
        <w:t xml:space="preserve">February 2016. </w:t>
      </w:r>
      <w:proofErr w:type="gramStart"/>
      <w:r w:rsidRPr="006D0AA4">
        <w:rPr>
          <w:rFonts w:ascii="Times New Roman" w:hAnsi="Times New Roman"/>
          <w:bCs/>
          <w:sz w:val="24"/>
          <w:szCs w:val="24"/>
        </w:rPr>
        <w:t>Retrieved from http://www.businessdailyafrica.com/image/view//3087492/medRes/1263757//chws6j/-/NSE.jpg.</w:t>
      </w:r>
      <w:proofErr w:type="gramEnd"/>
      <w:r w:rsidRPr="006D0AA4">
        <w:rPr>
          <w:rFonts w:ascii="Times New Roman" w:hAnsi="Times New Roman"/>
          <w:bCs/>
          <w:sz w:val="24"/>
          <w:szCs w:val="24"/>
        </w:rPr>
        <w:t xml:space="preserve"> </w:t>
      </w:r>
    </w:p>
    <w:p w14:paraId="51E0D38C" w14:textId="6FF53D7D" w:rsidR="00DE381B" w:rsidRPr="006D0AA4" w:rsidRDefault="00DB06C7" w:rsidP="006D0AA4">
      <w:pPr>
        <w:spacing w:after="0" w:line="240" w:lineRule="auto"/>
        <w:ind w:right="600" w:hanging="719"/>
        <w:jc w:val="both"/>
        <w:rPr>
          <w:rFonts w:ascii="Times New Roman" w:hAnsi="Times New Roman"/>
          <w:bCs/>
          <w:sz w:val="24"/>
          <w:szCs w:val="24"/>
        </w:rPr>
      </w:pPr>
      <w:proofErr w:type="spellStart"/>
      <w:proofErr w:type="gramStart"/>
      <w:r w:rsidRPr="006D0AA4">
        <w:rPr>
          <w:rFonts w:ascii="Times New Roman" w:hAnsi="Times New Roman"/>
          <w:bCs/>
          <w:sz w:val="24"/>
          <w:szCs w:val="24"/>
        </w:rPr>
        <w:t>Junaid</w:t>
      </w:r>
      <w:proofErr w:type="spellEnd"/>
      <w:r w:rsidRPr="006D0AA4">
        <w:rPr>
          <w:rFonts w:ascii="Times New Roman" w:hAnsi="Times New Roman"/>
          <w:bCs/>
          <w:sz w:val="24"/>
          <w:szCs w:val="24"/>
        </w:rPr>
        <w:t xml:space="preserve"> &amp; Ali (2020</w:t>
      </w:r>
      <w:r w:rsidR="00DE381B" w:rsidRPr="006D0AA4">
        <w:rPr>
          <w:rFonts w:ascii="Times New Roman" w:hAnsi="Times New Roman"/>
          <w:bCs/>
          <w:sz w:val="24"/>
          <w:szCs w:val="24"/>
        </w:rPr>
        <w:t>).</w:t>
      </w:r>
      <w:proofErr w:type="gramEnd"/>
      <w:r w:rsidR="00DE381B" w:rsidRPr="006D0AA4">
        <w:rPr>
          <w:rFonts w:ascii="Times New Roman" w:hAnsi="Times New Roman"/>
          <w:bCs/>
          <w:sz w:val="24"/>
          <w:szCs w:val="24"/>
        </w:rPr>
        <w:t xml:space="preserve"> </w:t>
      </w:r>
      <w:proofErr w:type="gramStart"/>
      <w:r w:rsidR="00DE381B" w:rsidRPr="006D0AA4">
        <w:rPr>
          <w:rFonts w:ascii="Times New Roman" w:hAnsi="Times New Roman"/>
          <w:bCs/>
          <w:sz w:val="24"/>
          <w:szCs w:val="24"/>
        </w:rPr>
        <w:t xml:space="preserve">Theory of the Firm, Managerial </w:t>
      </w:r>
      <w:r w:rsidR="0068139C" w:rsidRPr="006D0AA4">
        <w:rPr>
          <w:rFonts w:ascii="Times New Roman" w:hAnsi="Times New Roman"/>
          <w:bCs/>
          <w:sz w:val="24"/>
          <w:szCs w:val="24"/>
        </w:rPr>
        <w:t>Behavior</w:t>
      </w:r>
      <w:r w:rsidR="00DE381B" w:rsidRPr="006D0AA4">
        <w:rPr>
          <w:rFonts w:ascii="Times New Roman" w:hAnsi="Times New Roman"/>
          <w:bCs/>
          <w:sz w:val="24"/>
          <w:szCs w:val="24"/>
        </w:rPr>
        <w:t>, Agency Costs and Ownership Structure.</w:t>
      </w:r>
      <w:proofErr w:type="gramEnd"/>
      <w:r w:rsidR="00DE381B" w:rsidRPr="006D0AA4">
        <w:rPr>
          <w:rFonts w:ascii="Times New Roman" w:hAnsi="Times New Roman"/>
          <w:bCs/>
          <w:sz w:val="24"/>
          <w:szCs w:val="24"/>
        </w:rPr>
        <w:t xml:space="preserve"> </w:t>
      </w:r>
      <w:r w:rsidR="00DE381B" w:rsidRPr="006D0AA4">
        <w:rPr>
          <w:rFonts w:ascii="Times New Roman" w:hAnsi="Times New Roman"/>
          <w:bCs/>
          <w:i/>
          <w:iCs/>
          <w:sz w:val="24"/>
          <w:szCs w:val="24"/>
        </w:rPr>
        <w:t>Journal of Financial Economics,</w:t>
      </w:r>
      <w:r w:rsidR="00DE381B" w:rsidRPr="006D0AA4">
        <w:rPr>
          <w:rFonts w:ascii="Times New Roman" w:hAnsi="Times New Roman"/>
          <w:bCs/>
          <w:sz w:val="24"/>
          <w:szCs w:val="24"/>
        </w:rPr>
        <w:t xml:space="preserve"> 3(7), 303-360.</w:t>
      </w:r>
    </w:p>
    <w:p w14:paraId="3920801F" w14:textId="77777777" w:rsidR="00DE381B" w:rsidRPr="006D0AA4" w:rsidRDefault="00564F62" w:rsidP="006D0AA4">
      <w:pPr>
        <w:spacing w:after="0" w:line="240" w:lineRule="auto"/>
        <w:ind w:right="760" w:hanging="719"/>
        <w:jc w:val="both"/>
        <w:rPr>
          <w:rFonts w:ascii="Times New Roman" w:hAnsi="Times New Roman"/>
          <w:sz w:val="24"/>
          <w:szCs w:val="24"/>
        </w:rPr>
      </w:pPr>
      <w:proofErr w:type="spellStart"/>
      <w:r w:rsidRPr="006D0AA4">
        <w:rPr>
          <w:rFonts w:ascii="Times New Roman" w:hAnsi="Times New Roman"/>
          <w:bCs/>
          <w:sz w:val="24"/>
          <w:szCs w:val="24"/>
        </w:rPr>
        <w:t>Kaumbuthu</w:t>
      </w:r>
      <w:proofErr w:type="spellEnd"/>
      <w:r w:rsidR="00DE381B" w:rsidRPr="006D0AA4">
        <w:rPr>
          <w:rFonts w:ascii="Times New Roman" w:hAnsi="Times New Roman"/>
          <w:bCs/>
          <w:sz w:val="24"/>
          <w:szCs w:val="24"/>
        </w:rPr>
        <w:t xml:space="preserve">, H. (2015). </w:t>
      </w:r>
      <w:proofErr w:type="gramStart"/>
      <w:r w:rsidR="00DE381B" w:rsidRPr="006D0AA4">
        <w:rPr>
          <w:rFonts w:ascii="Times New Roman" w:hAnsi="Times New Roman"/>
          <w:bCs/>
          <w:sz w:val="24"/>
          <w:szCs w:val="24"/>
        </w:rPr>
        <w:t xml:space="preserve">Impact of Financial Structure on the Performance of Quoted </w:t>
      </w:r>
      <w:r w:rsidR="00413CFD" w:rsidRPr="006D0AA4">
        <w:rPr>
          <w:rFonts w:ascii="Times New Roman" w:hAnsi="Times New Roman"/>
          <w:bCs/>
          <w:sz w:val="24"/>
          <w:szCs w:val="24"/>
        </w:rPr>
        <w:t>Firms’</w:t>
      </w:r>
      <w:r w:rsidR="00DE381B" w:rsidRPr="006D0AA4">
        <w:rPr>
          <w:rFonts w:ascii="Times New Roman" w:hAnsi="Times New Roman"/>
          <w:bCs/>
          <w:sz w:val="24"/>
          <w:szCs w:val="24"/>
        </w:rPr>
        <w:t xml:space="preserve"> in Nigeria.</w:t>
      </w:r>
      <w:proofErr w:type="gramEnd"/>
      <w:r w:rsidR="00DE381B" w:rsidRPr="006D0AA4">
        <w:rPr>
          <w:rFonts w:ascii="Times New Roman" w:hAnsi="Times New Roman"/>
          <w:bCs/>
          <w:sz w:val="24"/>
          <w:szCs w:val="24"/>
        </w:rPr>
        <w:t xml:space="preserve"> University of Nigeria</w:t>
      </w:r>
    </w:p>
    <w:p w14:paraId="2EDFEC12" w14:textId="77777777" w:rsidR="0078153A" w:rsidRPr="006D0AA4" w:rsidRDefault="00DB06C7" w:rsidP="006D0AA4">
      <w:pPr>
        <w:spacing w:after="0" w:line="240" w:lineRule="auto"/>
        <w:ind w:right="720" w:hanging="719"/>
        <w:jc w:val="both"/>
        <w:rPr>
          <w:rFonts w:ascii="Times New Roman" w:hAnsi="Times New Roman"/>
          <w:bCs/>
          <w:i/>
          <w:iCs/>
          <w:sz w:val="24"/>
          <w:szCs w:val="24"/>
        </w:rPr>
      </w:pPr>
      <w:proofErr w:type="spellStart"/>
      <w:r w:rsidRPr="006D0AA4">
        <w:rPr>
          <w:rFonts w:ascii="Times New Roman" w:hAnsi="Times New Roman"/>
          <w:bCs/>
          <w:sz w:val="24"/>
          <w:szCs w:val="24"/>
        </w:rPr>
        <w:t>Kajirwa</w:t>
      </w:r>
      <w:proofErr w:type="spellEnd"/>
      <w:r w:rsidRPr="006D0AA4">
        <w:rPr>
          <w:rFonts w:ascii="Times New Roman" w:hAnsi="Times New Roman"/>
          <w:bCs/>
          <w:sz w:val="24"/>
          <w:szCs w:val="24"/>
        </w:rPr>
        <w:t>, N. I. (2015</w:t>
      </w:r>
      <w:r w:rsidR="00DE381B" w:rsidRPr="006D0AA4">
        <w:rPr>
          <w:rFonts w:ascii="Times New Roman" w:hAnsi="Times New Roman"/>
          <w:bCs/>
          <w:sz w:val="24"/>
          <w:szCs w:val="24"/>
        </w:rPr>
        <w:t xml:space="preserve">). </w:t>
      </w:r>
      <w:proofErr w:type="gramStart"/>
      <w:r w:rsidR="00DE381B" w:rsidRPr="006D0AA4">
        <w:rPr>
          <w:rFonts w:ascii="Times New Roman" w:hAnsi="Times New Roman"/>
          <w:bCs/>
          <w:sz w:val="24"/>
          <w:szCs w:val="24"/>
        </w:rPr>
        <w:t>Factors that Influence the Capital Structure of Public Companies in Kenya.</w:t>
      </w:r>
      <w:proofErr w:type="gramEnd"/>
      <w:r w:rsidR="00DE381B" w:rsidRPr="006D0AA4">
        <w:rPr>
          <w:rFonts w:ascii="Times New Roman" w:hAnsi="Times New Roman"/>
          <w:bCs/>
          <w:sz w:val="24"/>
          <w:szCs w:val="24"/>
        </w:rPr>
        <w:t xml:space="preserve"> </w:t>
      </w:r>
      <w:proofErr w:type="gramStart"/>
      <w:r w:rsidR="00DE381B" w:rsidRPr="006D0AA4">
        <w:rPr>
          <w:rFonts w:ascii="Times New Roman" w:hAnsi="Times New Roman"/>
          <w:bCs/>
          <w:sz w:val="24"/>
          <w:szCs w:val="24"/>
        </w:rPr>
        <w:t>University of Nairobi.</w:t>
      </w:r>
      <w:proofErr w:type="gramEnd"/>
      <w:r w:rsidR="00DE381B" w:rsidRPr="006D0AA4">
        <w:rPr>
          <w:rFonts w:ascii="Times New Roman" w:hAnsi="Times New Roman"/>
          <w:bCs/>
          <w:sz w:val="24"/>
          <w:szCs w:val="24"/>
        </w:rPr>
        <w:t xml:space="preserve"> </w:t>
      </w:r>
      <w:proofErr w:type="gramStart"/>
      <w:r w:rsidR="00DE381B" w:rsidRPr="006D0AA4">
        <w:rPr>
          <w:rFonts w:ascii="Times New Roman" w:hAnsi="Times New Roman"/>
          <w:bCs/>
          <w:sz w:val="24"/>
          <w:szCs w:val="24"/>
        </w:rPr>
        <w:t>Unpublished MBA Thesis</w:t>
      </w:r>
      <w:r w:rsidR="00DE381B" w:rsidRPr="006D0AA4">
        <w:rPr>
          <w:rFonts w:ascii="Times New Roman" w:hAnsi="Times New Roman"/>
          <w:bCs/>
          <w:i/>
          <w:iCs/>
          <w:sz w:val="24"/>
          <w:szCs w:val="24"/>
        </w:rPr>
        <w:t>.</w:t>
      </w:r>
      <w:proofErr w:type="gramEnd"/>
    </w:p>
    <w:p w14:paraId="5F703AF7" w14:textId="77777777" w:rsidR="00DB06C7" w:rsidRPr="006D0AA4" w:rsidRDefault="00DB06C7" w:rsidP="006D0AA4">
      <w:pPr>
        <w:spacing w:after="0" w:line="240" w:lineRule="auto"/>
        <w:ind w:right="720" w:hanging="719"/>
        <w:jc w:val="both"/>
        <w:rPr>
          <w:rFonts w:ascii="Times New Roman" w:hAnsi="Times New Roman"/>
          <w:bCs/>
          <w:iCs/>
          <w:sz w:val="24"/>
          <w:szCs w:val="24"/>
        </w:rPr>
      </w:pPr>
      <w:proofErr w:type="gramStart"/>
      <w:r w:rsidRPr="006D0AA4">
        <w:rPr>
          <w:rFonts w:ascii="Times New Roman" w:hAnsi="Times New Roman"/>
          <w:bCs/>
          <w:iCs/>
          <w:sz w:val="24"/>
          <w:szCs w:val="24"/>
        </w:rPr>
        <w:t xml:space="preserve">Langat, C. P., </w:t>
      </w:r>
      <w:proofErr w:type="spellStart"/>
      <w:r w:rsidRPr="006D0AA4">
        <w:rPr>
          <w:rFonts w:ascii="Times New Roman" w:hAnsi="Times New Roman"/>
          <w:bCs/>
          <w:iCs/>
          <w:sz w:val="24"/>
          <w:szCs w:val="24"/>
        </w:rPr>
        <w:t>Chepkoech</w:t>
      </w:r>
      <w:proofErr w:type="spellEnd"/>
      <w:r w:rsidRPr="006D0AA4">
        <w:rPr>
          <w:rFonts w:ascii="Times New Roman" w:hAnsi="Times New Roman"/>
          <w:bCs/>
          <w:iCs/>
          <w:sz w:val="24"/>
          <w:szCs w:val="24"/>
        </w:rPr>
        <w:t xml:space="preserve"> L., </w:t>
      </w:r>
      <w:proofErr w:type="spellStart"/>
      <w:r w:rsidRPr="006D0AA4">
        <w:rPr>
          <w:rFonts w:ascii="Times New Roman" w:hAnsi="Times New Roman"/>
          <w:bCs/>
          <w:iCs/>
          <w:sz w:val="24"/>
          <w:szCs w:val="24"/>
        </w:rPr>
        <w:t>Shavulimo</w:t>
      </w:r>
      <w:proofErr w:type="spellEnd"/>
      <w:r w:rsidRPr="006D0AA4">
        <w:rPr>
          <w:rFonts w:ascii="Times New Roman" w:hAnsi="Times New Roman"/>
          <w:bCs/>
          <w:iCs/>
          <w:sz w:val="24"/>
          <w:szCs w:val="24"/>
        </w:rPr>
        <w:t xml:space="preserve"> M. P., </w:t>
      </w:r>
      <w:proofErr w:type="spellStart"/>
      <w:r w:rsidRPr="006D0AA4">
        <w:rPr>
          <w:rFonts w:ascii="Times New Roman" w:hAnsi="Times New Roman"/>
          <w:bCs/>
          <w:iCs/>
          <w:sz w:val="24"/>
          <w:szCs w:val="24"/>
        </w:rPr>
        <w:t>Wachira</w:t>
      </w:r>
      <w:proofErr w:type="spellEnd"/>
      <w:r w:rsidRPr="006D0AA4">
        <w:rPr>
          <w:rFonts w:ascii="Times New Roman" w:hAnsi="Times New Roman"/>
          <w:bCs/>
          <w:iCs/>
          <w:sz w:val="24"/>
          <w:szCs w:val="24"/>
        </w:rPr>
        <w:t xml:space="preserve">, M., &amp; </w:t>
      </w:r>
      <w:proofErr w:type="spellStart"/>
      <w:r w:rsidRPr="006D0AA4">
        <w:rPr>
          <w:rFonts w:ascii="Times New Roman" w:hAnsi="Times New Roman"/>
          <w:bCs/>
          <w:iCs/>
          <w:sz w:val="24"/>
          <w:szCs w:val="24"/>
        </w:rPr>
        <w:t>Thuo</w:t>
      </w:r>
      <w:proofErr w:type="spellEnd"/>
      <w:r w:rsidRPr="006D0AA4">
        <w:rPr>
          <w:rFonts w:ascii="Times New Roman" w:hAnsi="Times New Roman"/>
          <w:bCs/>
          <w:iCs/>
          <w:sz w:val="24"/>
          <w:szCs w:val="24"/>
        </w:rPr>
        <w:t xml:space="preserve"> D. (2014).</w:t>
      </w:r>
      <w:proofErr w:type="gramEnd"/>
      <w:r w:rsidRPr="006D0AA4">
        <w:rPr>
          <w:rFonts w:ascii="Times New Roman" w:hAnsi="Times New Roman"/>
          <w:bCs/>
          <w:iCs/>
          <w:sz w:val="24"/>
          <w:szCs w:val="24"/>
        </w:rPr>
        <w:t xml:space="preserve"> </w:t>
      </w:r>
      <w:proofErr w:type="gramStart"/>
      <w:r w:rsidRPr="006D0AA4">
        <w:rPr>
          <w:rFonts w:ascii="Times New Roman" w:hAnsi="Times New Roman"/>
          <w:bCs/>
          <w:iCs/>
          <w:sz w:val="24"/>
          <w:szCs w:val="24"/>
        </w:rPr>
        <w:t>The Effect of Debt Financing on the Profitability of Kenya Tea Development Authority Processing Factories.</w:t>
      </w:r>
      <w:proofErr w:type="gramEnd"/>
      <w:r w:rsidRPr="006D0AA4">
        <w:rPr>
          <w:rFonts w:ascii="Times New Roman" w:hAnsi="Times New Roman"/>
          <w:bCs/>
          <w:iCs/>
          <w:sz w:val="24"/>
          <w:szCs w:val="24"/>
        </w:rPr>
        <w:t xml:space="preserve"> Retrieved May 1, 2015, from </w:t>
      </w:r>
    </w:p>
    <w:p w14:paraId="6F92FA0F" w14:textId="7823391D" w:rsidR="00DB06C7" w:rsidRPr="006D0AA4" w:rsidRDefault="009B29DB" w:rsidP="006D0AA4">
      <w:pPr>
        <w:spacing w:after="0" w:line="240" w:lineRule="auto"/>
        <w:ind w:right="720"/>
        <w:jc w:val="both"/>
        <w:rPr>
          <w:rFonts w:ascii="Times New Roman" w:hAnsi="Times New Roman"/>
          <w:color w:val="000000" w:themeColor="text1"/>
          <w:sz w:val="24"/>
          <w:szCs w:val="24"/>
        </w:rPr>
      </w:pPr>
      <w:hyperlink r:id="rId9" w:history="1">
        <w:r w:rsidR="007B7F87" w:rsidRPr="006D0AA4">
          <w:rPr>
            <w:rStyle w:val="Hyperlink"/>
            <w:rFonts w:ascii="Times New Roman" w:hAnsi="Times New Roman"/>
            <w:bCs/>
            <w:iCs/>
            <w:color w:val="000000" w:themeColor="text1"/>
            <w:sz w:val="24"/>
            <w:szCs w:val="24"/>
            <w:u w:val="none"/>
          </w:rPr>
          <w:t>http://eserver.kabarak.ac.ke/OCS/index.php/conf05/conf05/paper/view/182</w:t>
        </w:r>
      </w:hyperlink>
    </w:p>
    <w:p w14:paraId="748FF39A" w14:textId="77777777" w:rsidR="0078153A" w:rsidRPr="006D0AA4" w:rsidRDefault="00DE381B" w:rsidP="006D0AA4">
      <w:pPr>
        <w:spacing w:after="0" w:line="240" w:lineRule="auto"/>
        <w:ind w:right="720" w:hanging="719"/>
        <w:jc w:val="both"/>
        <w:rPr>
          <w:rFonts w:ascii="Times New Roman" w:hAnsi="Times New Roman"/>
          <w:bCs/>
          <w:sz w:val="24"/>
          <w:szCs w:val="24"/>
        </w:rPr>
      </w:pPr>
      <w:proofErr w:type="spellStart"/>
      <w:proofErr w:type="gramStart"/>
      <w:r w:rsidRPr="006D0AA4">
        <w:rPr>
          <w:rFonts w:ascii="Times New Roman" w:hAnsi="Times New Roman"/>
          <w:bCs/>
          <w:sz w:val="24"/>
          <w:szCs w:val="24"/>
        </w:rPr>
        <w:t>Maghanga</w:t>
      </w:r>
      <w:proofErr w:type="spellEnd"/>
      <w:r w:rsidRPr="006D0AA4">
        <w:rPr>
          <w:rFonts w:ascii="Times New Roman" w:hAnsi="Times New Roman"/>
          <w:bCs/>
          <w:sz w:val="24"/>
          <w:szCs w:val="24"/>
        </w:rPr>
        <w:t xml:space="preserve">, E &amp; </w:t>
      </w:r>
      <w:proofErr w:type="spellStart"/>
      <w:r w:rsidRPr="006D0AA4">
        <w:rPr>
          <w:rFonts w:ascii="Times New Roman" w:hAnsi="Times New Roman"/>
          <w:bCs/>
          <w:sz w:val="24"/>
          <w:szCs w:val="24"/>
        </w:rPr>
        <w:t>Kalio</w:t>
      </w:r>
      <w:proofErr w:type="spellEnd"/>
      <w:r w:rsidRPr="006D0AA4">
        <w:rPr>
          <w:rFonts w:ascii="Times New Roman" w:hAnsi="Times New Roman"/>
          <w:bCs/>
          <w:sz w:val="24"/>
          <w:szCs w:val="24"/>
        </w:rPr>
        <w:t>, M. (2012).</w:t>
      </w:r>
      <w:proofErr w:type="gramEnd"/>
      <w:r w:rsidRPr="006D0AA4">
        <w:rPr>
          <w:rFonts w:ascii="Times New Roman" w:hAnsi="Times New Roman"/>
          <w:bCs/>
          <w:sz w:val="24"/>
          <w:szCs w:val="24"/>
        </w:rPr>
        <w:t xml:space="preserve"> Effects of Leverage on Financial Performance of </w:t>
      </w:r>
      <w:proofErr w:type="spellStart"/>
      <w:r w:rsidRPr="006D0AA4">
        <w:rPr>
          <w:rFonts w:ascii="Times New Roman" w:hAnsi="Times New Roman"/>
          <w:bCs/>
          <w:sz w:val="24"/>
          <w:szCs w:val="24"/>
        </w:rPr>
        <w:t>Parastatals</w:t>
      </w:r>
      <w:proofErr w:type="spellEnd"/>
      <w:r w:rsidRPr="006D0AA4">
        <w:rPr>
          <w:rFonts w:ascii="Times New Roman" w:hAnsi="Times New Roman"/>
          <w:bCs/>
          <w:sz w:val="24"/>
          <w:szCs w:val="24"/>
        </w:rPr>
        <w:t xml:space="preserve">: A case of Kenya Power. </w:t>
      </w:r>
      <w:r w:rsidRPr="006D0AA4">
        <w:rPr>
          <w:rFonts w:ascii="Times New Roman" w:hAnsi="Times New Roman"/>
          <w:bCs/>
          <w:i/>
          <w:iCs/>
          <w:sz w:val="24"/>
          <w:szCs w:val="24"/>
        </w:rPr>
        <w:t>International Journal of Science and Research</w:t>
      </w:r>
      <w:r w:rsidRPr="006D0AA4">
        <w:rPr>
          <w:rFonts w:ascii="Times New Roman" w:hAnsi="Times New Roman"/>
          <w:bCs/>
          <w:sz w:val="24"/>
          <w:szCs w:val="24"/>
        </w:rPr>
        <w:t>, 3(10), 990-994.</w:t>
      </w:r>
    </w:p>
    <w:p w14:paraId="432FFED6" w14:textId="77777777" w:rsidR="00132CFB" w:rsidRPr="006D0AA4" w:rsidRDefault="003F7C25" w:rsidP="006D0AA4">
      <w:pPr>
        <w:spacing w:after="0" w:line="240" w:lineRule="auto"/>
        <w:ind w:right="720" w:hanging="719"/>
        <w:jc w:val="both"/>
        <w:rPr>
          <w:rFonts w:ascii="Times New Roman" w:hAnsi="Times New Roman"/>
          <w:sz w:val="24"/>
          <w:szCs w:val="24"/>
        </w:rPr>
      </w:pPr>
      <w:proofErr w:type="gramStart"/>
      <w:r w:rsidRPr="006D0AA4">
        <w:rPr>
          <w:rFonts w:ascii="Times New Roman" w:hAnsi="Times New Roman"/>
          <w:sz w:val="24"/>
          <w:szCs w:val="24"/>
        </w:rPr>
        <w:t>Maher &amp; Anderson.</w:t>
      </w:r>
      <w:proofErr w:type="gramEnd"/>
      <w:r w:rsidRPr="006D0AA4">
        <w:rPr>
          <w:rFonts w:ascii="Times New Roman" w:hAnsi="Times New Roman"/>
          <w:sz w:val="24"/>
          <w:szCs w:val="24"/>
        </w:rPr>
        <w:t xml:space="preserve">  (2013). Corporate Financing and Investment Decisions when firms have information investors do not have. </w:t>
      </w:r>
      <w:r w:rsidRPr="006D0AA4">
        <w:rPr>
          <w:rFonts w:ascii="Times New Roman" w:hAnsi="Times New Roman"/>
          <w:i/>
          <w:sz w:val="24"/>
          <w:szCs w:val="24"/>
        </w:rPr>
        <w:t>Journal of Financial Economics,</w:t>
      </w:r>
      <w:r w:rsidRPr="006D0AA4">
        <w:rPr>
          <w:rFonts w:ascii="Times New Roman" w:hAnsi="Times New Roman"/>
          <w:sz w:val="24"/>
          <w:szCs w:val="24"/>
        </w:rPr>
        <w:t xml:space="preserve"> 13, 187-221.</w:t>
      </w:r>
      <w:r w:rsidRPr="006D0AA4">
        <w:rPr>
          <w:rFonts w:ascii="Times New Roman" w:hAnsi="Times New Roman"/>
          <w:i/>
          <w:sz w:val="24"/>
          <w:szCs w:val="24"/>
        </w:rPr>
        <w:t xml:space="preserve"> </w:t>
      </w:r>
    </w:p>
    <w:p w14:paraId="3D731E34" w14:textId="5DE55D0F" w:rsidR="0078153A" w:rsidRPr="006D0AA4" w:rsidRDefault="00DE381B" w:rsidP="006D0AA4">
      <w:pPr>
        <w:spacing w:after="0" w:line="240" w:lineRule="auto"/>
        <w:ind w:right="720" w:hanging="719"/>
        <w:jc w:val="both"/>
        <w:rPr>
          <w:rFonts w:ascii="Times New Roman" w:hAnsi="Times New Roman"/>
          <w:sz w:val="24"/>
          <w:szCs w:val="24"/>
        </w:rPr>
      </w:pPr>
      <w:proofErr w:type="gramStart"/>
      <w:r w:rsidRPr="006D0AA4">
        <w:rPr>
          <w:rFonts w:ascii="Times New Roman" w:hAnsi="Times New Roman"/>
          <w:bCs/>
          <w:sz w:val="24"/>
          <w:szCs w:val="24"/>
        </w:rPr>
        <w:t>Miller, M. (1977).</w:t>
      </w:r>
      <w:proofErr w:type="gramEnd"/>
      <w:r w:rsidRPr="006D0AA4">
        <w:rPr>
          <w:rFonts w:ascii="Times New Roman" w:hAnsi="Times New Roman"/>
          <w:bCs/>
          <w:sz w:val="24"/>
          <w:szCs w:val="24"/>
        </w:rPr>
        <w:t xml:space="preserve"> </w:t>
      </w:r>
      <w:proofErr w:type="gramStart"/>
      <w:r w:rsidRPr="006D0AA4">
        <w:rPr>
          <w:rFonts w:ascii="Times New Roman" w:hAnsi="Times New Roman"/>
          <w:bCs/>
          <w:sz w:val="24"/>
          <w:szCs w:val="24"/>
        </w:rPr>
        <w:t>Debt and Taxes.</w:t>
      </w:r>
      <w:proofErr w:type="gramEnd"/>
      <w:r w:rsidRPr="006D0AA4">
        <w:rPr>
          <w:rFonts w:ascii="Times New Roman" w:hAnsi="Times New Roman"/>
          <w:bCs/>
          <w:sz w:val="24"/>
          <w:szCs w:val="24"/>
        </w:rPr>
        <w:t xml:space="preserve"> </w:t>
      </w:r>
      <w:r w:rsidRPr="006D0AA4">
        <w:rPr>
          <w:rFonts w:ascii="Times New Roman" w:hAnsi="Times New Roman"/>
          <w:bCs/>
          <w:i/>
          <w:iCs/>
          <w:sz w:val="24"/>
          <w:szCs w:val="24"/>
        </w:rPr>
        <w:t>Journal of Finance,</w:t>
      </w:r>
      <w:r w:rsidRPr="006D0AA4">
        <w:rPr>
          <w:rFonts w:ascii="Times New Roman" w:hAnsi="Times New Roman"/>
          <w:bCs/>
          <w:sz w:val="24"/>
          <w:szCs w:val="24"/>
        </w:rPr>
        <w:t xml:space="preserve"> 32(1), 261-275.</w:t>
      </w:r>
    </w:p>
    <w:p w14:paraId="045A985F" w14:textId="77777777" w:rsidR="0078153A" w:rsidRPr="006D0AA4" w:rsidRDefault="00DE381B" w:rsidP="006D0AA4">
      <w:pPr>
        <w:spacing w:after="0" w:line="240" w:lineRule="auto"/>
        <w:ind w:right="720" w:hanging="719"/>
        <w:jc w:val="both"/>
        <w:rPr>
          <w:rFonts w:ascii="Times New Roman" w:hAnsi="Times New Roman"/>
          <w:sz w:val="24"/>
          <w:szCs w:val="24"/>
        </w:rPr>
      </w:pPr>
      <w:proofErr w:type="gramStart"/>
      <w:r w:rsidRPr="006D0AA4">
        <w:rPr>
          <w:rFonts w:ascii="Times New Roman" w:hAnsi="Times New Roman"/>
          <w:bCs/>
          <w:sz w:val="24"/>
          <w:szCs w:val="24"/>
        </w:rPr>
        <w:t>Modigliani, F &amp; Miller, M. (1958).</w:t>
      </w:r>
      <w:proofErr w:type="gramEnd"/>
      <w:r w:rsidRPr="006D0AA4">
        <w:rPr>
          <w:rFonts w:ascii="Times New Roman" w:hAnsi="Times New Roman"/>
          <w:bCs/>
          <w:sz w:val="24"/>
          <w:szCs w:val="24"/>
        </w:rPr>
        <w:t xml:space="preserve"> </w:t>
      </w:r>
      <w:proofErr w:type="gramStart"/>
      <w:r w:rsidRPr="006D0AA4">
        <w:rPr>
          <w:rFonts w:ascii="Times New Roman" w:hAnsi="Times New Roman"/>
          <w:bCs/>
          <w:sz w:val="24"/>
          <w:szCs w:val="24"/>
        </w:rPr>
        <w:t>The Cost of Capital, Corporation Finance and Theory of Investments.</w:t>
      </w:r>
      <w:proofErr w:type="gramEnd"/>
      <w:r w:rsidRPr="006D0AA4">
        <w:rPr>
          <w:rFonts w:ascii="Times New Roman" w:hAnsi="Times New Roman"/>
          <w:bCs/>
          <w:sz w:val="24"/>
          <w:szCs w:val="24"/>
        </w:rPr>
        <w:t xml:space="preserve"> </w:t>
      </w:r>
      <w:r w:rsidRPr="006D0AA4">
        <w:rPr>
          <w:rFonts w:ascii="Times New Roman" w:hAnsi="Times New Roman"/>
          <w:bCs/>
          <w:i/>
          <w:iCs/>
          <w:sz w:val="24"/>
          <w:szCs w:val="24"/>
        </w:rPr>
        <w:t>American Economic Review,</w:t>
      </w:r>
      <w:r w:rsidRPr="006D0AA4">
        <w:rPr>
          <w:rFonts w:ascii="Times New Roman" w:hAnsi="Times New Roman"/>
          <w:bCs/>
          <w:sz w:val="24"/>
          <w:szCs w:val="24"/>
        </w:rPr>
        <w:t xml:space="preserve"> 53(13), 261-297.</w:t>
      </w:r>
    </w:p>
    <w:p w14:paraId="22942212" w14:textId="77777777" w:rsidR="0078153A" w:rsidRPr="006D0AA4" w:rsidRDefault="00DE381B" w:rsidP="006D0AA4">
      <w:pPr>
        <w:spacing w:after="0" w:line="240" w:lineRule="auto"/>
        <w:ind w:right="720" w:hanging="719"/>
        <w:jc w:val="both"/>
        <w:rPr>
          <w:rFonts w:ascii="Times New Roman" w:hAnsi="Times New Roman"/>
          <w:bCs/>
          <w:sz w:val="24"/>
          <w:szCs w:val="24"/>
        </w:rPr>
      </w:pPr>
      <w:proofErr w:type="gramStart"/>
      <w:r w:rsidRPr="006D0AA4">
        <w:rPr>
          <w:rFonts w:ascii="Times New Roman" w:hAnsi="Times New Roman"/>
          <w:bCs/>
          <w:sz w:val="24"/>
          <w:szCs w:val="24"/>
        </w:rPr>
        <w:lastRenderedPageBreak/>
        <w:t>Modigliani, F &amp; Miller, M. (1963).</w:t>
      </w:r>
      <w:proofErr w:type="gramEnd"/>
      <w:r w:rsidRPr="006D0AA4">
        <w:rPr>
          <w:rFonts w:ascii="Times New Roman" w:hAnsi="Times New Roman"/>
          <w:bCs/>
          <w:sz w:val="24"/>
          <w:szCs w:val="24"/>
        </w:rPr>
        <w:t xml:space="preserve"> Corporate Income Taxes and the Cost of Capital: A</w:t>
      </w:r>
      <w:r w:rsidR="0078153A" w:rsidRPr="006D0AA4">
        <w:rPr>
          <w:rFonts w:ascii="Times New Roman" w:hAnsi="Times New Roman"/>
          <w:sz w:val="24"/>
          <w:szCs w:val="24"/>
        </w:rPr>
        <w:t xml:space="preserve"> </w:t>
      </w:r>
      <w:r w:rsidRPr="006D0AA4">
        <w:rPr>
          <w:rFonts w:ascii="Times New Roman" w:hAnsi="Times New Roman"/>
          <w:bCs/>
          <w:sz w:val="24"/>
          <w:szCs w:val="24"/>
        </w:rPr>
        <w:t xml:space="preserve">Correction. </w:t>
      </w:r>
      <w:r w:rsidRPr="006D0AA4">
        <w:rPr>
          <w:rFonts w:ascii="Times New Roman" w:hAnsi="Times New Roman"/>
          <w:bCs/>
          <w:i/>
          <w:iCs/>
          <w:sz w:val="24"/>
          <w:szCs w:val="24"/>
        </w:rPr>
        <w:t>American Economics Review</w:t>
      </w:r>
      <w:r w:rsidRPr="006D0AA4">
        <w:rPr>
          <w:rFonts w:ascii="Times New Roman" w:hAnsi="Times New Roman"/>
          <w:bCs/>
          <w:sz w:val="24"/>
          <w:szCs w:val="24"/>
        </w:rPr>
        <w:t>, 53(13), 433-443</w:t>
      </w:r>
      <w:r w:rsidR="0078153A" w:rsidRPr="006D0AA4">
        <w:rPr>
          <w:rFonts w:ascii="Times New Roman" w:hAnsi="Times New Roman"/>
          <w:bCs/>
          <w:sz w:val="24"/>
          <w:szCs w:val="24"/>
        </w:rPr>
        <w:t>.</w:t>
      </w:r>
    </w:p>
    <w:p w14:paraId="27EBD0CD" w14:textId="77777777" w:rsidR="003F7C25" w:rsidRPr="006D0AA4" w:rsidRDefault="003F7C25" w:rsidP="006D0AA4">
      <w:pPr>
        <w:spacing w:after="0" w:line="240" w:lineRule="auto"/>
        <w:ind w:right="720" w:hanging="719"/>
        <w:jc w:val="both"/>
        <w:rPr>
          <w:rFonts w:ascii="Times New Roman" w:hAnsi="Times New Roman"/>
          <w:bCs/>
          <w:sz w:val="24"/>
          <w:szCs w:val="24"/>
        </w:rPr>
      </w:pPr>
      <w:proofErr w:type="spellStart"/>
      <w:proofErr w:type="gramStart"/>
      <w:r w:rsidRPr="006D0AA4">
        <w:rPr>
          <w:rFonts w:ascii="Times New Roman" w:hAnsi="Times New Roman"/>
          <w:bCs/>
          <w:sz w:val="24"/>
          <w:szCs w:val="24"/>
        </w:rPr>
        <w:t>Musiega</w:t>
      </w:r>
      <w:proofErr w:type="spellEnd"/>
      <w:r w:rsidRPr="006D0AA4">
        <w:rPr>
          <w:rFonts w:ascii="Times New Roman" w:hAnsi="Times New Roman"/>
          <w:bCs/>
          <w:sz w:val="24"/>
          <w:szCs w:val="24"/>
        </w:rPr>
        <w:t>, M. G et al (2013).</w:t>
      </w:r>
      <w:proofErr w:type="gramEnd"/>
      <w:r w:rsidRPr="006D0AA4">
        <w:rPr>
          <w:rFonts w:ascii="Times New Roman" w:hAnsi="Times New Roman"/>
          <w:bCs/>
          <w:sz w:val="24"/>
          <w:szCs w:val="24"/>
        </w:rPr>
        <w:t xml:space="preserve"> Capital Structure and Performance: Evidence from Listed </w:t>
      </w:r>
    </w:p>
    <w:p w14:paraId="1CB60E29" w14:textId="77777777" w:rsidR="003F7C25" w:rsidRPr="006D0AA4" w:rsidRDefault="003F7C25" w:rsidP="006D0AA4">
      <w:pPr>
        <w:spacing w:after="0" w:line="240" w:lineRule="auto"/>
        <w:ind w:right="720"/>
        <w:jc w:val="both"/>
        <w:rPr>
          <w:rFonts w:ascii="Times New Roman" w:hAnsi="Times New Roman"/>
          <w:bCs/>
          <w:sz w:val="24"/>
          <w:szCs w:val="24"/>
        </w:rPr>
      </w:pPr>
      <w:proofErr w:type="gramStart"/>
      <w:r w:rsidRPr="006D0AA4">
        <w:rPr>
          <w:rFonts w:ascii="Times New Roman" w:hAnsi="Times New Roman"/>
          <w:bCs/>
          <w:sz w:val="24"/>
          <w:szCs w:val="24"/>
        </w:rPr>
        <w:t>Non-Financial Firms on Nairobi Securities Exchange (NSE), Kenya.</w:t>
      </w:r>
      <w:proofErr w:type="gramEnd"/>
      <w:r w:rsidRPr="006D0AA4">
        <w:rPr>
          <w:rFonts w:ascii="Times New Roman" w:hAnsi="Times New Roman"/>
          <w:bCs/>
          <w:sz w:val="24"/>
          <w:szCs w:val="24"/>
        </w:rPr>
        <w:t xml:space="preserve"> </w:t>
      </w:r>
      <w:proofErr w:type="gramStart"/>
      <w:r w:rsidRPr="006D0AA4">
        <w:rPr>
          <w:rFonts w:ascii="Times New Roman" w:hAnsi="Times New Roman"/>
          <w:bCs/>
          <w:i/>
          <w:sz w:val="24"/>
          <w:szCs w:val="24"/>
        </w:rPr>
        <w:t>International Journal for Management Science and Technology, 1(2).</w:t>
      </w:r>
      <w:proofErr w:type="gramEnd"/>
      <w:r w:rsidRPr="006D0AA4">
        <w:rPr>
          <w:rFonts w:ascii="Times New Roman" w:hAnsi="Times New Roman"/>
          <w:bCs/>
          <w:sz w:val="24"/>
          <w:szCs w:val="24"/>
        </w:rPr>
        <w:t xml:space="preserve">  </w:t>
      </w:r>
    </w:p>
    <w:p w14:paraId="0F49EB87" w14:textId="77777777" w:rsidR="003F7C25" w:rsidRPr="006D0AA4" w:rsidRDefault="003F7C25" w:rsidP="006D0AA4">
      <w:pPr>
        <w:spacing w:after="0" w:line="240" w:lineRule="auto"/>
        <w:ind w:right="720" w:hanging="719"/>
        <w:jc w:val="both"/>
        <w:rPr>
          <w:rFonts w:ascii="Times New Roman" w:hAnsi="Times New Roman"/>
          <w:sz w:val="24"/>
          <w:szCs w:val="24"/>
        </w:rPr>
      </w:pPr>
      <w:proofErr w:type="spellStart"/>
      <w:proofErr w:type="gramStart"/>
      <w:r w:rsidRPr="006D0AA4">
        <w:rPr>
          <w:rFonts w:ascii="Times New Roman" w:hAnsi="Times New Roman"/>
          <w:sz w:val="24"/>
          <w:szCs w:val="24"/>
        </w:rPr>
        <w:t>Mwangi</w:t>
      </w:r>
      <w:proofErr w:type="spellEnd"/>
      <w:r w:rsidRPr="006D0AA4">
        <w:rPr>
          <w:rFonts w:ascii="Times New Roman" w:hAnsi="Times New Roman"/>
          <w:sz w:val="24"/>
          <w:szCs w:val="24"/>
        </w:rPr>
        <w:t xml:space="preserve">, L. W. </w:t>
      </w:r>
      <w:proofErr w:type="spellStart"/>
      <w:r w:rsidRPr="006D0AA4">
        <w:rPr>
          <w:rFonts w:ascii="Times New Roman" w:hAnsi="Times New Roman"/>
          <w:sz w:val="24"/>
          <w:szCs w:val="24"/>
        </w:rPr>
        <w:t>Muathe</w:t>
      </w:r>
      <w:proofErr w:type="spellEnd"/>
      <w:r w:rsidRPr="006D0AA4">
        <w:rPr>
          <w:rFonts w:ascii="Times New Roman" w:hAnsi="Times New Roman"/>
          <w:sz w:val="24"/>
          <w:szCs w:val="24"/>
        </w:rPr>
        <w:t xml:space="preserve">, S. K. and </w:t>
      </w:r>
      <w:proofErr w:type="spellStart"/>
      <w:r w:rsidRPr="006D0AA4">
        <w:rPr>
          <w:rFonts w:ascii="Times New Roman" w:hAnsi="Times New Roman"/>
          <w:sz w:val="24"/>
          <w:szCs w:val="24"/>
        </w:rPr>
        <w:t>Kosimbei</w:t>
      </w:r>
      <w:proofErr w:type="spellEnd"/>
      <w:r w:rsidRPr="006D0AA4">
        <w:rPr>
          <w:rFonts w:ascii="Times New Roman" w:hAnsi="Times New Roman"/>
          <w:sz w:val="24"/>
          <w:szCs w:val="24"/>
        </w:rPr>
        <w:t>, G. (2014).</w:t>
      </w:r>
      <w:proofErr w:type="gramEnd"/>
      <w:r w:rsidRPr="006D0AA4">
        <w:rPr>
          <w:rFonts w:ascii="Times New Roman" w:hAnsi="Times New Roman"/>
          <w:sz w:val="24"/>
          <w:szCs w:val="24"/>
        </w:rPr>
        <w:t xml:space="preserve"> Relationship between </w:t>
      </w:r>
      <w:proofErr w:type="gramStart"/>
      <w:r w:rsidRPr="006D0AA4">
        <w:rPr>
          <w:rFonts w:ascii="Times New Roman" w:hAnsi="Times New Roman"/>
          <w:sz w:val="24"/>
          <w:szCs w:val="24"/>
        </w:rPr>
        <w:t>Capital</w:t>
      </w:r>
      <w:proofErr w:type="gramEnd"/>
      <w:r w:rsidRPr="006D0AA4">
        <w:rPr>
          <w:rFonts w:ascii="Times New Roman" w:hAnsi="Times New Roman"/>
          <w:sz w:val="24"/>
          <w:szCs w:val="24"/>
        </w:rPr>
        <w:t xml:space="preserve"> </w:t>
      </w:r>
    </w:p>
    <w:p w14:paraId="21DD491A" w14:textId="77777777" w:rsidR="003F7C25" w:rsidRPr="006D0AA4" w:rsidRDefault="003F7C25" w:rsidP="006D0AA4">
      <w:pPr>
        <w:spacing w:after="0" w:line="240" w:lineRule="auto"/>
        <w:ind w:right="720"/>
        <w:jc w:val="both"/>
        <w:rPr>
          <w:rFonts w:ascii="Times New Roman" w:hAnsi="Times New Roman"/>
          <w:i/>
          <w:sz w:val="24"/>
          <w:szCs w:val="24"/>
        </w:rPr>
      </w:pPr>
      <w:r w:rsidRPr="006D0AA4">
        <w:rPr>
          <w:rFonts w:ascii="Times New Roman" w:hAnsi="Times New Roman"/>
          <w:sz w:val="24"/>
          <w:szCs w:val="24"/>
        </w:rPr>
        <w:t>Structure and Performance of Non-Financial Companies Listed in the Nairobi Securities Exchange, Kenya</w:t>
      </w:r>
      <w:r w:rsidRPr="006D0AA4">
        <w:rPr>
          <w:rFonts w:ascii="Times New Roman" w:hAnsi="Times New Roman"/>
          <w:i/>
          <w:sz w:val="24"/>
          <w:szCs w:val="24"/>
        </w:rPr>
        <w:t>.</w:t>
      </w:r>
      <w:r w:rsidRPr="006D0AA4">
        <w:rPr>
          <w:rFonts w:ascii="Times New Roman" w:hAnsi="Times New Roman"/>
          <w:sz w:val="24"/>
          <w:szCs w:val="24"/>
        </w:rPr>
        <w:t xml:space="preserve"> </w:t>
      </w:r>
      <w:r w:rsidRPr="006D0AA4">
        <w:rPr>
          <w:rFonts w:ascii="Times New Roman" w:hAnsi="Times New Roman"/>
          <w:i/>
          <w:sz w:val="24"/>
          <w:szCs w:val="24"/>
        </w:rPr>
        <w:t xml:space="preserve">Global Journal of Contemporary Research in Accounting, Auditing and Business Ethics, 1(2), 72-90. </w:t>
      </w:r>
    </w:p>
    <w:p w14:paraId="414A209E" w14:textId="77777777" w:rsidR="0078153A" w:rsidRPr="006D0AA4" w:rsidRDefault="00DE381B" w:rsidP="006D0AA4">
      <w:pPr>
        <w:spacing w:after="0" w:line="240" w:lineRule="auto"/>
        <w:ind w:right="720" w:hanging="719"/>
        <w:jc w:val="both"/>
        <w:rPr>
          <w:rFonts w:ascii="Times New Roman" w:hAnsi="Times New Roman"/>
          <w:bCs/>
          <w:sz w:val="24"/>
          <w:szCs w:val="24"/>
        </w:rPr>
      </w:pPr>
      <w:proofErr w:type="spellStart"/>
      <w:proofErr w:type="gramStart"/>
      <w:r w:rsidRPr="006D0AA4">
        <w:rPr>
          <w:rFonts w:ascii="Times New Roman" w:hAnsi="Times New Roman"/>
          <w:bCs/>
          <w:sz w:val="24"/>
          <w:szCs w:val="24"/>
        </w:rPr>
        <w:t>Mugenda</w:t>
      </w:r>
      <w:proofErr w:type="spellEnd"/>
      <w:r w:rsidRPr="006D0AA4">
        <w:rPr>
          <w:rFonts w:ascii="Times New Roman" w:hAnsi="Times New Roman"/>
          <w:bCs/>
          <w:sz w:val="24"/>
          <w:szCs w:val="24"/>
        </w:rPr>
        <w:t xml:space="preserve">, O &amp; </w:t>
      </w:r>
      <w:proofErr w:type="spellStart"/>
      <w:r w:rsidRPr="006D0AA4">
        <w:rPr>
          <w:rFonts w:ascii="Times New Roman" w:hAnsi="Times New Roman"/>
          <w:bCs/>
          <w:sz w:val="24"/>
          <w:szCs w:val="24"/>
        </w:rPr>
        <w:t>Mugenda</w:t>
      </w:r>
      <w:proofErr w:type="spellEnd"/>
      <w:r w:rsidRPr="006D0AA4">
        <w:rPr>
          <w:rFonts w:ascii="Times New Roman" w:hAnsi="Times New Roman"/>
          <w:bCs/>
          <w:sz w:val="24"/>
          <w:szCs w:val="24"/>
        </w:rPr>
        <w:t>, A. (2012).</w:t>
      </w:r>
      <w:proofErr w:type="gramEnd"/>
      <w:r w:rsidRPr="006D0AA4">
        <w:rPr>
          <w:rFonts w:ascii="Times New Roman" w:hAnsi="Times New Roman"/>
          <w:bCs/>
          <w:sz w:val="24"/>
          <w:szCs w:val="24"/>
        </w:rPr>
        <w:t xml:space="preserve"> Research Methods, Qualitative and Quantitative Approaches. Nairobi Acts </w:t>
      </w:r>
      <w:r w:rsidRPr="006D0AA4">
        <w:rPr>
          <w:rFonts w:ascii="Times New Roman" w:hAnsi="Times New Roman"/>
          <w:bCs/>
          <w:i/>
          <w:iCs/>
          <w:sz w:val="24"/>
          <w:szCs w:val="24"/>
        </w:rPr>
        <w:t>press.</w:t>
      </w:r>
      <w:r w:rsidR="0078153A" w:rsidRPr="006D0AA4">
        <w:rPr>
          <w:rFonts w:ascii="Times New Roman" w:hAnsi="Times New Roman"/>
          <w:bCs/>
          <w:sz w:val="24"/>
          <w:szCs w:val="24"/>
        </w:rPr>
        <w:t xml:space="preserve"> </w:t>
      </w:r>
      <w:r w:rsidRPr="006D0AA4">
        <w:rPr>
          <w:rFonts w:ascii="Times New Roman" w:hAnsi="Times New Roman"/>
          <w:bCs/>
          <w:sz w:val="24"/>
          <w:szCs w:val="24"/>
        </w:rPr>
        <w:t xml:space="preserve">Myers, S. (2010). </w:t>
      </w:r>
      <w:proofErr w:type="gramStart"/>
      <w:r w:rsidRPr="006D0AA4">
        <w:rPr>
          <w:rFonts w:ascii="Times New Roman" w:hAnsi="Times New Roman"/>
          <w:bCs/>
          <w:sz w:val="24"/>
          <w:szCs w:val="24"/>
        </w:rPr>
        <w:t>The Search for Optimal Capital Structure.</w:t>
      </w:r>
      <w:proofErr w:type="gramEnd"/>
      <w:r w:rsidRPr="006D0AA4">
        <w:rPr>
          <w:rFonts w:ascii="Times New Roman" w:hAnsi="Times New Roman"/>
          <w:bCs/>
          <w:sz w:val="24"/>
          <w:szCs w:val="24"/>
        </w:rPr>
        <w:t xml:space="preserve"> </w:t>
      </w:r>
      <w:r w:rsidRPr="006D0AA4">
        <w:rPr>
          <w:rFonts w:ascii="Times New Roman" w:hAnsi="Times New Roman"/>
          <w:bCs/>
          <w:i/>
          <w:iCs/>
          <w:sz w:val="24"/>
          <w:szCs w:val="24"/>
        </w:rPr>
        <w:t xml:space="preserve">Midland Corporate </w:t>
      </w:r>
      <w:r w:rsidR="0068139C" w:rsidRPr="006D0AA4">
        <w:rPr>
          <w:rFonts w:ascii="Times New Roman" w:hAnsi="Times New Roman"/>
          <w:bCs/>
          <w:i/>
          <w:iCs/>
          <w:sz w:val="24"/>
          <w:szCs w:val="24"/>
        </w:rPr>
        <w:t>Finance, Journal</w:t>
      </w:r>
      <w:r w:rsidRPr="006D0AA4">
        <w:rPr>
          <w:rFonts w:ascii="Times New Roman" w:hAnsi="Times New Roman"/>
          <w:bCs/>
          <w:sz w:val="24"/>
          <w:szCs w:val="24"/>
        </w:rPr>
        <w:t>, 1(6), 10-16.</w:t>
      </w:r>
    </w:p>
    <w:p w14:paraId="53D233C0" w14:textId="77777777" w:rsidR="00BE3110" w:rsidRPr="006D0AA4" w:rsidRDefault="00DE381B" w:rsidP="006D0AA4">
      <w:pPr>
        <w:spacing w:after="0" w:line="240" w:lineRule="auto"/>
        <w:ind w:right="720" w:hanging="719"/>
        <w:jc w:val="both"/>
        <w:rPr>
          <w:rFonts w:ascii="Times New Roman" w:hAnsi="Times New Roman"/>
          <w:sz w:val="24"/>
          <w:szCs w:val="24"/>
        </w:rPr>
      </w:pPr>
      <w:proofErr w:type="spellStart"/>
      <w:proofErr w:type="gramStart"/>
      <w:r w:rsidRPr="006D0AA4">
        <w:rPr>
          <w:rFonts w:ascii="Times New Roman" w:hAnsi="Times New Roman"/>
          <w:bCs/>
          <w:sz w:val="24"/>
          <w:szCs w:val="24"/>
        </w:rPr>
        <w:t>Omondi</w:t>
      </w:r>
      <w:proofErr w:type="spellEnd"/>
      <w:r w:rsidRPr="006D0AA4">
        <w:rPr>
          <w:rFonts w:ascii="Times New Roman" w:hAnsi="Times New Roman"/>
          <w:bCs/>
          <w:sz w:val="24"/>
          <w:szCs w:val="24"/>
        </w:rPr>
        <w:t xml:space="preserve">, O. &amp; </w:t>
      </w:r>
      <w:proofErr w:type="spellStart"/>
      <w:r w:rsidRPr="006D0AA4">
        <w:rPr>
          <w:rFonts w:ascii="Times New Roman" w:hAnsi="Times New Roman"/>
          <w:bCs/>
          <w:sz w:val="24"/>
          <w:szCs w:val="24"/>
        </w:rPr>
        <w:t>Muturi</w:t>
      </w:r>
      <w:proofErr w:type="spellEnd"/>
      <w:r w:rsidRPr="006D0AA4">
        <w:rPr>
          <w:rFonts w:ascii="Times New Roman" w:hAnsi="Times New Roman"/>
          <w:bCs/>
          <w:sz w:val="24"/>
          <w:szCs w:val="24"/>
        </w:rPr>
        <w:t>, w. (2013).</w:t>
      </w:r>
      <w:proofErr w:type="gramEnd"/>
      <w:r w:rsidRPr="006D0AA4">
        <w:rPr>
          <w:rFonts w:ascii="Times New Roman" w:hAnsi="Times New Roman"/>
          <w:bCs/>
          <w:sz w:val="24"/>
          <w:szCs w:val="24"/>
        </w:rPr>
        <w:t xml:space="preserve"> </w:t>
      </w:r>
      <w:proofErr w:type="gramStart"/>
      <w:r w:rsidRPr="006D0AA4">
        <w:rPr>
          <w:rFonts w:ascii="Times New Roman" w:hAnsi="Times New Roman"/>
          <w:bCs/>
          <w:sz w:val="24"/>
          <w:szCs w:val="24"/>
        </w:rPr>
        <w:t>Factors Affecting the Performance of Listed Companies at Nairobi Securities Exchange in Kenya.</w:t>
      </w:r>
      <w:proofErr w:type="gramEnd"/>
      <w:r w:rsidRPr="006D0AA4">
        <w:rPr>
          <w:rFonts w:ascii="Times New Roman" w:hAnsi="Times New Roman"/>
          <w:bCs/>
          <w:sz w:val="24"/>
          <w:szCs w:val="24"/>
        </w:rPr>
        <w:t xml:space="preserve"> </w:t>
      </w:r>
      <w:r w:rsidRPr="006D0AA4">
        <w:rPr>
          <w:rFonts w:ascii="Times New Roman" w:hAnsi="Times New Roman"/>
          <w:bCs/>
          <w:i/>
          <w:iCs/>
          <w:sz w:val="24"/>
          <w:szCs w:val="24"/>
        </w:rPr>
        <w:t>Research Journal of Finance</w:t>
      </w:r>
      <w:r w:rsidRPr="006D0AA4">
        <w:rPr>
          <w:rFonts w:ascii="Times New Roman" w:hAnsi="Times New Roman"/>
          <w:bCs/>
          <w:sz w:val="24"/>
          <w:szCs w:val="24"/>
        </w:rPr>
        <w:t>, 4(15), 99-104</w:t>
      </w:r>
      <w:r w:rsidR="00BE3110" w:rsidRPr="006D0AA4">
        <w:rPr>
          <w:rFonts w:ascii="Times New Roman" w:hAnsi="Times New Roman"/>
          <w:sz w:val="24"/>
          <w:szCs w:val="24"/>
        </w:rPr>
        <w:t>.</w:t>
      </w:r>
    </w:p>
    <w:p w14:paraId="42182B3C" w14:textId="77777777" w:rsidR="00BE3110" w:rsidRPr="006D0AA4" w:rsidRDefault="00747F1D" w:rsidP="006D0AA4">
      <w:pPr>
        <w:spacing w:after="0" w:line="240" w:lineRule="auto"/>
        <w:ind w:right="720" w:hanging="719"/>
        <w:jc w:val="both"/>
        <w:rPr>
          <w:rFonts w:ascii="Times New Roman" w:hAnsi="Times New Roman"/>
          <w:sz w:val="24"/>
          <w:szCs w:val="24"/>
        </w:rPr>
      </w:pPr>
      <w:proofErr w:type="spellStart"/>
      <w:r w:rsidRPr="006D0AA4">
        <w:rPr>
          <w:rFonts w:ascii="Times New Roman" w:hAnsi="Times New Roman"/>
          <w:bCs/>
          <w:sz w:val="24"/>
          <w:szCs w:val="24"/>
        </w:rPr>
        <w:t>Omondi</w:t>
      </w:r>
      <w:proofErr w:type="spellEnd"/>
      <w:r w:rsidRPr="006D0AA4">
        <w:rPr>
          <w:rFonts w:ascii="Times New Roman" w:hAnsi="Times New Roman"/>
          <w:bCs/>
          <w:sz w:val="24"/>
          <w:szCs w:val="24"/>
        </w:rPr>
        <w:t xml:space="preserve"> W. A. (2005). </w:t>
      </w:r>
      <w:proofErr w:type="gramStart"/>
      <w:r w:rsidRPr="006D0AA4">
        <w:rPr>
          <w:rFonts w:ascii="Times New Roman" w:hAnsi="Times New Roman"/>
          <w:bCs/>
          <w:sz w:val="24"/>
          <w:szCs w:val="24"/>
        </w:rPr>
        <w:t>A study of Capital structure in Kenya.</w:t>
      </w:r>
      <w:proofErr w:type="gramEnd"/>
      <w:r w:rsidRPr="006D0AA4">
        <w:rPr>
          <w:rFonts w:ascii="Times New Roman" w:hAnsi="Times New Roman"/>
          <w:bCs/>
          <w:sz w:val="24"/>
          <w:szCs w:val="24"/>
        </w:rPr>
        <w:t xml:space="preserve"> Unpublished MBA project University of Nairobi.</w:t>
      </w:r>
    </w:p>
    <w:p w14:paraId="343F7883" w14:textId="77777777" w:rsidR="00BE3110" w:rsidRPr="006D0AA4" w:rsidRDefault="00747F1D" w:rsidP="006D0AA4">
      <w:pPr>
        <w:spacing w:after="0" w:line="240" w:lineRule="auto"/>
        <w:ind w:right="720" w:hanging="719"/>
        <w:jc w:val="both"/>
        <w:rPr>
          <w:rFonts w:ascii="Times New Roman" w:hAnsi="Times New Roman"/>
          <w:sz w:val="24"/>
          <w:szCs w:val="24"/>
        </w:rPr>
      </w:pPr>
      <w:proofErr w:type="spellStart"/>
      <w:proofErr w:type="gramStart"/>
      <w:r w:rsidRPr="006D0AA4">
        <w:rPr>
          <w:rFonts w:ascii="Times New Roman" w:hAnsi="Times New Roman"/>
          <w:bCs/>
          <w:sz w:val="24"/>
          <w:szCs w:val="24"/>
        </w:rPr>
        <w:t>Raza</w:t>
      </w:r>
      <w:proofErr w:type="spellEnd"/>
      <w:r w:rsidRPr="006D0AA4">
        <w:rPr>
          <w:rFonts w:ascii="Times New Roman" w:hAnsi="Times New Roman"/>
          <w:bCs/>
          <w:sz w:val="24"/>
          <w:szCs w:val="24"/>
        </w:rPr>
        <w:t>, M. (2013).</w:t>
      </w:r>
      <w:proofErr w:type="gramEnd"/>
      <w:r w:rsidRPr="006D0AA4">
        <w:rPr>
          <w:rFonts w:ascii="Times New Roman" w:hAnsi="Times New Roman"/>
          <w:bCs/>
          <w:sz w:val="24"/>
          <w:szCs w:val="24"/>
        </w:rPr>
        <w:t xml:space="preserve"> </w:t>
      </w:r>
      <w:proofErr w:type="gramStart"/>
      <w:r w:rsidRPr="006D0AA4">
        <w:rPr>
          <w:rFonts w:ascii="Times New Roman" w:hAnsi="Times New Roman"/>
          <w:bCs/>
          <w:sz w:val="24"/>
          <w:szCs w:val="24"/>
        </w:rPr>
        <w:t>Effect of Financial Leverage on Firm performance.</w:t>
      </w:r>
      <w:proofErr w:type="gramEnd"/>
      <w:r w:rsidRPr="006D0AA4">
        <w:rPr>
          <w:rFonts w:ascii="Times New Roman" w:hAnsi="Times New Roman"/>
          <w:bCs/>
          <w:sz w:val="24"/>
          <w:szCs w:val="24"/>
        </w:rPr>
        <w:t xml:space="preserve"> </w:t>
      </w:r>
      <w:proofErr w:type="gramStart"/>
      <w:r w:rsidRPr="006D0AA4">
        <w:rPr>
          <w:rFonts w:ascii="Times New Roman" w:hAnsi="Times New Roman"/>
          <w:bCs/>
          <w:sz w:val="24"/>
          <w:szCs w:val="24"/>
        </w:rPr>
        <w:t>Empirical Evidence from Karachi Stock Exchange.</w:t>
      </w:r>
      <w:proofErr w:type="gramEnd"/>
      <w:r w:rsidRPr="006D0AA4">
        <w:rPr>
          <w:rFonts w:ascii="Times New Roman" w:hAnsi="Times New Roman"/>
          <w:bCs/>
          <w:sz w:val="24"/>
          <w:szCs w:val="24"/>
        </w:rPr>
        <w:t xml:space="preserve"> </w:t>
      </w:r>
      <w:proofErr w:type="gramStart"/>
      <w:r w:rsidRPr="006D0AA4">
        <w:rPr>
          <w:rFonts w:ascii="Times New Roman" w:hAnsi="Times New Roman"/>
          <w:bCs/>
          <w:sz w:val="24"/>
          <w:szCs w:val="24"/>
        </w:rPr>
        <w:t xml:space="preserve">Online at </w:t>
      </w:r>
      <w:hyperlink r:id="rId10" w:history="1">
        <w:r w:rsidR="00BE3110" w:rsidRPr="006D0AA4">
          <w:rPr>
            <w:rStyle w:val="Hyperlink"/>
            <w:rFonts w:ascii="Times New Roman" w:hAnsi="Times New Roman"/>
            <w:bCs/>
            <w:i/>
            <w:color w:val="auto"/>
            <w:sz w:val="24"/>
            <w:szCs w:val="24"/>
            <w:u w:val="none"/>
          </w:rPr>
          <w:t>https://mpra.ub.uni-muenchen.de/50383/</w:t>
        </w:r>
      </w:hyperlink>
      <w:r w:rsidRPr="006D0AA4">
        <w:rPr>
          <w:rFonts w:ascii="Times New Roman" w:hAnsi="Times New Roman"/>
          <w:bCs/>
          <w:i/>
          <w:sz w:val="24"/>
          <w:szCs w:val="24"/>
        </w:rPr>
        <w:t>.</w:t>
      </w:r>
      <w:proofErr w:type="gramEnd"/>
    </w:p>
    <w:p w14:paraId="01FEF9A8" w14:textId="77777777" w:rsidR="00BE3110" w:rsidRPr="006D0AA4" w:rsidRDefault="00747F1D" w:rsidP="006D0AA4">
      <w:pPr>
        <w:spacing w:after="0" w:line="240" w:lineRule="auto"/>
        <w:ind w:right="720" w:hanging="719"/>
        <w:jc w:val="both"/>
        <w:rPr>
          <w:rFonts w:ascii="Times New Roman" w:hAnsi="Times New Roman"/>
          <w:bCs/>
          <w:sz w:val="24"/>
          <w:szCs w:val="24"/>
        </w:rPr>
      </w:pPr>
      <w:proofErr w:type="gramStart"/>
      <w:r w:rsidRPr="006D0AA4">
        <w:rPr>
          <w:rFonts w:ascii="Times New Roman" w:hAnsi="Times New Roman"/>
          <w:bCs/>
          <w:sz w:val="24"/>
          <w:szCs w:val="24"/>
        </w:rPr>
        <w:t xml:space="preserve">Su, G &amp; </w:t>
      </w:r>
      <w:proofErr w:type="spellStart"/>
      <w:r w:rsidRPr="006D0AA4">
        <w:rPr>
          <w:rFonts w:ascii="Times New Roman" w:hAnsi="Times New Roman"/>
          <w:bCs/>
          <w:sz w:val="24"/>
          <w:szCs w:val="24"/>
        </w:rPr>
        <w:t>Vo</w:t>
      </w:r>
      <w:r w:rsidR="00821A9A" w:rsidRPr="006D0AA4">
        <w:rPr>
          <w:rFonts w:ascii="Times New Roman" w:hAnsi="Times New Roman"/>
          <w:bCs/>
          <w:sz w:val="24"/>
          <w:szCs w:val="24"/>
        </w:rPr>
        <w:t>l</w:t>
      </w:r>
      <w:proofErr w:type="spellEnd"/>
      <w:r w:rsidRPr="006D0AA4">
        <w:rPr>
          <w:rFonts w:ascii="Times New Roman" w:hAnsi="Times New Roman"/>
          <w:bCs/>
          <w:sz w:val="24"/>
          <w:szCs w:val="24"/>
        </w:rPr>
        <w:t>, T. (2010).</w:t>
      </w:r>
      <w:proofErr w:type="gramEnd"/>
      <w:r w:rsidRPr="006D0AA4">
        <w:rPr>
          <w:rFonts w:ascii="Times New Roman" w:hAnsi="Times New Roman"/>
          <w:bCs/>
          <w:sz w:val="24"/>
          <w:szCs w:val="24"/>
        </w:rPr>
        <w:t xml:space="preserve"> </w:t>
      </w:r>
      <w:proofErr w:type="gramStart"/>
      <w:r w:rsidRPr="006D0AA4">
        <w:rPr>
          <w:rFonts w:ascii="Times New Roman" w:hAnsi="Times New Roman"/>
          <w:bCs/>
          <w:sz w:val="24"/>
          <w:szCs w:val="24"/>
        </w:rPr>
        <w:t>Relationship between Corporate Strategy, Capital Structure and Firm Performance.</w:t>
      </w:r>
      <w:proofErr w:type="gramEnd"/>
      <w:r w:rsidRPr="006D0AA4">
        <w:rPr>
          <w:rFonts w:ascii="Times New Roman" w:hAnsi="Times New Roman"/>
          <w:bCs/>
          <w:sz w:val="24"/>
          <w:szCs w:val="24"/>
        </w:rPr>
        <w:t xml:space="preserve"> </w:t>
      </w:r>
      <w:proofErr w:type="gramStart"/>
      <w:r w:rsidRPr="006D0AA4">
        <w:rPr>
          <w:rFonts w:ascii="Times New Roman" w:hAnsi="Times New Roman"/>
          <w:bCs/>
          <w:sz w:val="24"/>
          <w:szCs w:val="24"/>
        </w:rPr>
        <w:t>An Empirical Study of the Listed Companies in Vietnam.</w:t>
      </w:r>
      <w:proofErr w:type="gramEnd"/>
      <w:r w:rsidRPr="006D0AA4">
        <w:rPr>
          <w:rFonts w:ascii="Times New Roman" w:hAnsi="Times New Roman"/>
          <w:bCs/>
          <w:sz w:val="24"/>
          <w:szCs w:val="24"/>
        </w:rPr>
        <w:t xml:space="preserve"> </w:t>
      </w:r>
      <w:proofErr w:type="gramStart"/>
      <w:r w:rsidR="0068139C" w:rsidRPr="006D0AA4">
        <w:rPr>
          <w:rFonts w:ascii="Times New Roman" w:hAnsi="Times New Roman"/>
          <w:bCs/>
          <w:i/>
          <w:iCs/>
          <w:sz w:val="24"/>
          <w:szCs w:val="24"/>
        </w:rPr>
        <w:t>International Journal</w:t>
      </w:r>
      <w:r w:rsidRPr="006D0AA4">
        <w:rPr>
          <w:rFonts w:ascii="Times New Roman" w:hAnsi="Times New Roman"/>
          <w:bCs/>
          <w:i/>
          <w:iCs/>
          <w:sz w:val="24"/>
          <w:szCs w:val="24"/>
        </w:rPr>
        <w:t xml:space="preserve"> of Finance and Economics.</w:t>
      </w:r>
      <w:proofErr w:type="gramEnd"/>
      <w:r w:rsidRPr="006D0AA4">
        <w:rPr>
          <w:rFonts w:ascii="Times New Roman" w:hAnsi="Times New Roman"/>
          <w:bCs/>
          <w:i/>
          <w:iCs/>
          <w:sz w:val="24"/>
          <w:szCs w:val="24"/>
        </w:rPr>
        <w:t xml:space="preserve"> </w:t>
      </w:r>
      <w:r w:rsidRPr="006D0AA4">
        <w:rPr>
          <w:rFonts w:ascii="Times New Roman" w:hAnsi="Times New Roman"/>
          <w:bCs/>
          <w:sz w:val="24"/>
          <w:szCs w:val="24"/>
        </w:rPr>
        <w:t>3(13), 234-251</w:t>
      </w:r>
      <w:r w:rsidR="00BE3110" w:rsidRPr="006D0AA4">
        <w:rPr>
          <w:rFonts w:ascii="Times New Roman" w:hAnsi="Times New Roman"/>
          <w:bCs/>
          <w:sz w:val="24"/>
          <w:szCs w:val="24"/>
        </w:rPr>
        <w:t>.</w:t>
      </w:r>
    </w:p>
    <w:sectPr w:rsidR="00BE3110" w:rsidRPr="006D0AA4" w:rsidSect="00A46375">
      <w:footerReference w:type="default" r:id="rId11"/>
      <w:pgSz w:w="11906" w:h="16838" w:code="9"/>
      <w:pgMar w:top="1440" w:right="1440" w:bottom="1440" w:left="2160" w:header="0" w:footer="0" w:gutter="0"/>
      <w:pgNumType w:start="1"/>
      <w:cols w:space="720" w:equalWidth="0">
        <w:col w:w="9380"/>
      </w:cols>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08181F" w14:textId="77777777" w:rsidR="009B29DB" w:rsidRDefault="009B29DB">
      <w:pPr>
        <w:spacing w:after="0" w:line="240" w:lineRule="auto"/>
      </w:pPr>
      <w:r>
        <w:separator/>
      </w:r>
    </w:p>
  </w:endnote>
  <w:endnote w:type="continuationSeparator" w:id="0">
    <w:p w14:paraId="79733EFD" w14:textId="77777777" w:rsidR="009B29DB" w:rsidRDefault="009B2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C05287" w14:textId="782552BA" w:rsidR="002554A7" w:rsidRDefault="002554A7">
    <w:pPr>
      <w:pStyle w:val="Footer"/>
      <w:jc w:val="center"/>
    </w:pPr>
    <w:r>
      <w:fldChar w:fldCharType="begin"/>
    </w:r>
    <w:r>
      <w:instrText xml:space="preserve"> PAGE </w:instrText>
    </w:r>
    <w:r>
      <w:fldChar w:fldCharType="separate"/>
    </w:r>
    <w:r w:rsidR="00A362B8">
      <w:rPr>
        <w:noProof/>
      </w:rPr>
      <w:t>1</w:t>
    </w:r>
    <w:r>
      <w:fldChar w:fldCharType="end"/>
    </w:r>
  </w:p>
  <w:p w14:paraId="252AD2BF" w14:textId="77777777" w:rsidR="002554A7" w:rsidRDefault="002554A7">
    <w:pPr>
      <w:pStyle w:val="Footer"/>
    </w:pPr>
  </w:p>
  <w:p w14:paraId="76E3AAB9" w14:textId="77777777" w:rsidR="002554A7" w:rsidRDefault="002554A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C5E74F" w14:textId="77777777" w:rsidR="009B29DB" w:rsidRDefault="009B29DB">
      <w:pPr>
        <w:spacing w:after="0" w:line="240" w:lineRule="auto"/>
      </w:pPr>
      <w:r>
        <w:separator/>
      </w:r>
    </w:p>
  </w:footnote>
  <w:footnote w:type="continuationSeparator" w:id="0">
    <w:p w14:paraId="724CDB2A" w14:textId="77777777" w:rsidR="009B29DB" w:rsidRDefault="009B29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cs="Symbol" w:hint="default"/>
      </w:rPr>
    </w:lvl>
  </w:abstractNum>
  <w:abstractNum w:abstractNumId="1">
    <w:nsid w:val="00000002"/>
    <w:multiLevelType w:val="singleLevel"/>
    <w:tmpl w:val="00000002"/>
    <w:name w:val="WW8Num3"/>
    <w:lvl w:ilvl="0">
      <w:start w:val="1"/>
      <w:numFmt w:val="bullet"/>
      <w:lvlText w:val=""/>
      <w:lvlJc w:val="left"/>
      <w:pPr>
        <w:tabs>
          <w:tab w:val="num" w:pos="0"/>
        </w:tabs>
        <w:ind w:left="720" w:hanging="360"/>
      </w:pPr>
      <w:rPr>
        <w:rFonts w:ascii="Symbol" w:hAnsi="Symbol" w:cs="Symbol" w:hint="default"/>
      </w:rPr>
    </w:lvl>
  </w:abstractNum>
  <w:abstractNum w:abstractNumId="2">
    <w:nsid w:val="00000003"/>
    <w:multiLevelType w:val="singleLevel"/>
    <w:tmpl w:val="00000003"/>
    <w:name w:val="WW8Num5"/>
    <w:lvl w:ilvl="0">
      <w:start w:val="1"/>
      <w:numFmt w:val="bullet"/>
      <w:lvlText w:val=""/>
      <w:lvlJc w:val="left"/>
      <w:pPr>
        <w:tabs>
          <w:tab w:val="num" w:pos="0"/>
        </w:tabs>
        <w:ind w:left="720" w:hanging="360"/>
      </w:pPr>
      <w:rPr>
        <w:rFonts w:ascii="Symbol" w:hAnsi="Symbol" w:cs="Symbol" w:hint="default"/>
      </w:rPr>
    </w:lvl>
  </w:abstractNum>
  <w:abstractNum w:abstractNumId="3">
    <w:nsid w:val="00000004"/>
    <w:multiLevelType w:val="multilevel"/>
    <w:tmpl w:val="00000004"/>
    <w:name w:val="WW8Num6"/>
    <w:lvl w:ilvl="0">
      <w:start w:val="1"/>
      <w:numFmt w:val="decimal"/>
      <w:lvlText w:val="%1"/>
      <w:lvlJc w:val="left"/>
      <w:pPr>
        <w:tabs>
          <w:tab w:val="num" w:pos="0"/>
        </w:tabs>
        <w:ind w:left="480" w:hanging="480"/>
      </w:pPr>
      <w:rPr>
        <w:rFonts w:ascii="Times New Roman" w:hAnsi="Times New Roman" w:cs="Times New Roman" w:hint="default"/>
        <w:b/>
        <w:bCs/>
        <w:sz w:val="24"/>
        <w:szCs w:val="24"/>
      </w:rPr>
    </w:lvl>
    <w:lvl w:ilvl="1">
      <w:start w:val="1"/>
      <w:numFmt w:val="decimal"/>
      <w:lvlText w:val="%1.%2"/>
      <w:lvlJc w:val="left"/>
      <w:pPr>
        <w:tabs>
          <w:tab w:val="num" w:pos="0"/>
        </w:tabs>
        <w:ind w:left="480" w:hanging="480"/>
      </w:pPr>
      <w:rPr>
        <w:rFonts w:ascii="Times New Roman" w:hAnsi="Times New Roman" w:cs="Times New Roman" w:hint="default"/>
        <w:b/>
        <w:bCs/>
        <w:sz w:val="24"/>
        <w:szCs w:val="24"/>
      </w:rPr>
    </w:lvl>
    <w:lvl w:ilvl="2">
      <w:start w:val="4"/>
      <w:numFmt w:val="decimal"/>
      <w:lvlText w:val="%1.%2.%3"/>
      <w:lvlJc w:val="left"/>
      <w:pPr>
        <w:tabs>
          <w:tab w:val="num" w:pos="0"/>
        </w:tabs>
        <w:ind w:left="720" w:hanging="720"/>
      </w:pPr>
      <w:rPr>
        <w:rFonts w:ascii="Times New Roman" w:hAnsi="Times New Roman" w:cs="Times New Roman" w:hint="default"/>
        <w:b/>
        <w:bCs/>
        <w:sz w:val="24"/>
        <w:szCs w:val="24"/>
      </w:rPr>
    </w:lvl>
    <w:lvl w:ilvl="3">
      <w:start w:val="1"/>
      <w:numFmt w:val="decimal"/>
      <w:lvlText w:val="%1.%2.%3.%4"/>
      <w:lvlJc w:val="left"/>
      <w:pPr>
        <w:tabs>
          <w:tab w:val="num" w:pos="0"/>
        </w:tabs>
        <w:ind w:left="720" w:hanging="720"/>
      </w:pPr>
      <w:rPr>
        <w:rFonts w:ascii="Times New Roman" w:hAnsi="Times New Roman" w:cs="Times New Roman" w:hint="default"/>
        <w:b/>
        <w:bCs/>
        <w:sz w:val="24"/>
        <w:szCs w:val="24"/>
      </w:rPr>
    </w:lvl>
    <w:lvl w:ilvl="4">
      <w:start w:val="1"/>
      <w:numFmt w:val="decimal"/>
      <w:lvlText w:val="%1.%2.%3.%4.%5"/>
      <w:lvlJc w:val="left"/>
      <w:pPr>
        <w:tabs>
          <w:tab w:val="num" w:pos="0"/>
        </w:tabs>
        <w:ind w:left="1080" w:hanging="1080"/>
      </w:pPr>
      <w:rPr>
        <w:rFonts w:ascii="Times New Roman" w:hAnsi="Times New Roman" w:cs="Times New Roman" w:hint="default"/>
        <w:b/>
        <w:bCs/>
        <w:sz w:val="24"/>
        <w:szCs w:val="24"/>
      </w:rPr>
    </w:lvl>
    <w:lvl w:ilvl="5">
      <w:start w:val="1"/>
      <w:numFmt w:val="decimal"/>
      <w:lvlText w:val="%1.%2.%3.%4.%5.%6"/>
      <w:lvlJc w:val="left"/>
      <w:pPr>
        <w:tabs>
          <w:tab w:val="num" w:pos="0"/>
        </w:tabs>
        <w:ind w:left="1080" w:hanging="1080"/>
      </w:pPr>
      <w:rPr>
        <w:rFonts w:ascii="Times New Roman" w:hAnsi="Times New Roman" w:cs="Times New Roman" w:hint="default"/>
        <w:b/>
        <w:bCs/>
        <w:sz w:val="24"/>
        <w:szCs w:val="24"/>
      </w:rPr>
    </w:lvl>
    <w:lvl w:ilvl="6">
      <w:start w:val="1"/>
      <w:numFmt w:val="decimal"/>
      <w:lvlText w:val="%1.%2.%3.%4.%5.%6.%7"/>
      <w:lvlJc w:val="left"/>
      <w:pPr>
        <w:tabs>
          <w:tab w:val="num" w:pos="0"/>
        </w:tabs>
        <w:ind w:left="1440" w:hanging="1440"/>
      </w:pPr>
      <w:rPr>
        <w:rFonts w:ascii="Times New Roman" w:hAnsi="Times New Roman" w:cs="Times New Roman" w:hint="default"/>
        <w:b/>
        <w:bCs/>
        <w:sz w:val="24"/>
        <w:szCs w:val="24"/>
      </w:rPr>
    </w:lvl>
    <w:lvl w:ilvl="7">
      <w:start w:val="1"/>
      <w:numFmt w:val="decimal"/>
      <w:lvlText w:val="%1.%2.%3.%4.%5.%6.%7.%8"/>
      <w:lvlJc w:val="left"/>
      <w:pPr>
        <w:tabs>
          <w:tab w:val="num" w:pos="0"/>
        </w:tabs>
        <w:ind w:left="1440" w:hanging="1440"/>
      </w:pPr>
      <w:rPr>
        <w:rFonts w:ascii="Times New Roman" w:hAnsi="Times New Roman" w:cs="Times New Roman" w:hint="default"/>
        <w:b/>
        <w:bCs/>
        <w:sz w:val="24"/>
        <w:szCs w:val="24"/>
      </w:rPr>
    </w:lvl>
    <w:lvl w:ilvl="8">
      <w:start w:val="1"/>
      <w:numFmt w:val="decimal"/>
      <w:lvlText w:val="%1.%2.%3.%4.%5.%6.%7.%8.%9"/>
      <w:lvlJc w:val="left"/>
      <w:pPr>
        <w:tabs>
          <w:tab w:val="num" w:pos="0"/>
        </w:tabs>
        <w:ind w:left="1800" w:hanging="1800"/>
      </w:pPr>
      <w:rPr>
        <w:rFonts w:ascii="Times New Roman" w:hAnsi="Times New Roman" w:cs="Times New Roman" w:hint="default"/>
        <w:b/>
        <w:bCs/>
        <w:sz w:val="24"/>
        <w:szCs w:val="24"/>
      </w:rPr>
    </w:lvl>
  </w:abstractNum>
  <w:abstractNum w:abstractNumId="4">
    <w:nsid w:val="00000005"/>
    <w:multiLevelType w:val="singleLevel"/>
    <w:tmpl w:val="00000005"/>
    <w:name w:val="WW8Num7"/>
    <w:lvl w:ilvl="0">
      <w:start w:val="1"/>
      <w:numFmt w:val="bullet"/>
      <w:lvlText w:val=""/>
      <w:lvlJc w:val="left"/>
      <w:pPr>
        <w:tabs>
          <w:tab w:val="num" w:pos="0"/>
        </w:tabs>
        <w:ind w:left="720" w:hanging="360"/>
      </w:pPr>
      <w:rPr>
        <w:rFonts w:ascii="Symbol" w:hAnsi="Symbol" w:cs="Symbol" w:hint="default"/>
      </w:rPr>
    </w:lvl>
  </w:abstractNum>
  <w:abstractNum w:abstractNumId="5">
    <w:nsid w:val="00000006"/>
    <w:multiLevelType w:val="singleLevel"/>
    <w:tmpl w:val="00000006"/>
    <w:name w:val="WW8Num8"/>
    <w:lvl w:ilvl="0">
      <w:start w:val="1"/>
      <w:numFmt w:val="bullet"/>
      <w:lvlText w:val=""/>
      <w:lvlJc w:val="left"/>
      <w:pPr>
        <w:tabs>
          <w:tab w:val="num" w:pos="0"/>
        </w:tabs>
        <w:ind w:left="720" w:hanging="360"/>
      </w:pPr>
      <w:rPr>
        <w:rFonts w:ascii="Symbol" w:hAnsi="Symbol" w:cs="Symbol" w:hint="default"/>
      </w:rPr>
    </w:lvl>
  </w:abstractNum>
  <w:abstractNum w:abstractNumId="6">
    <w:nsid w:val="00000007"/>
    <w:multiLevelType w:val="singleLevel"/>
    <w:tmpl w:val="00000007"/>
    <w:name w:val="WW8Num10"/>
    <w:lvl w:ilvl="0">
      <w:start w:val="1"/>
      <w:numFmt w:val="bullet"/>
      <w:lvlText w:val=""/>
      <w:lvlJc w:val="left"/>
      <w:pPr>
        <w:tabs>
          <w:tab w:val="num" w:pos="0"/>
        </w:tabs>
        <w:ind w:left="720" w:hanging="360"/>
      </w:pPr>
      <w:rPr>
        <w:rFonts w:ascii="Symbol" w:hAnsi="Symbol" w:cs="Symbol" w:hint="default"/>
      </w:rPr>
    </w:lvl>
  </w:abstractNum>
  <w:abstractNum w:abstractNumId="7">
    <w:nsid w:val="00000008"/>
    <w:multiLevelType w:val="singleLevel"/>
    <w:tmpl w:val="00000008"/>
    <w:name w:val="WW8Num11"/>
    <w:lvl w:ilvl="0">
      <w:start w:val="1"/>
      <w:numFmt w:val="bullet"/>
      <w:lvlText w:val=""/>
      <w:lvlJc w:val="left"/>
      <w:pPr>
        <w:tabs>
          <w:tab w:val="num" w:pos="0"/>
        </w:tabs>
        <w:ind w:left="720" w:hanging="360"/>
      </w:pPr>
      <w:rPr>
        <w:rFonts w:ascii="Symbol" w:hAnsi="Symbol" w:cs="Symbol" w:hint="default"/>
      </w:rPr>
    </w:lvl>
  </w:abstractNum>
  <w:abstractNum w:abstractNumId="8">
    <w:nsid w:val="00000009"/>
    <w:multiLevelType w:val="singleLevel"/>
    <w:tmpl w:val="00000009"/>
    <w:name w:val="WW8Num12"/>
    <w:lvl w:ilvl="0">
      <w:start w:val="1"/>
      <w:numFmt w:val="bullet"/>
      <w:lvlText w:val=""/>
      <w:lvlJc w:val="left"/>
      <w:pPr>
        <w:tabs>
          <w:tab w:val="num" w:pos="0"/>
        </w:tabs>
        <w:ind w:left="720" w:hanging="360"/>
      </w:pPr>
      <w:rPr>
        <w:rFonts w:ascii="Symbol" w:hAnsi="Symbol" w:cs="Symbol" w:hint="default"/>
        <w:sz w:val="24"/>
        <w:szCs w:val="24"/>
      </w:rPr>
    </w:lvl>
  </w:abstractNum>
  <w:abstractNum w:abstractNumId="9">
    <w:nsid w:val="0000000A"/>
    <w:multiLevelType w:val="singleLevel"/>
    <w:tmpl w:val="0000000A"/>
    <w:name w:val="WW8Num13"/>
    <w:lvl w:ilvl="0">
      <w:start w:val="1"/>
      <w:numFmt w:val="bullet"/>
      <w:lvlText w:val=""/>
      <w:lvlJc w:val="left"/>
      <w:pPr>
        <w:tabs>
          <w:tab w:val="num" w:pos="0"/>
        </w:tabs>
        <w:ind w:left="720" w:hanging="360"/>
      </w:pPr>
      <w:rPr>
        <w:rFonts w:ascii="Symbol" w:hAnsi="Symbol" w:cs="Symbol" w:hint="default"/>
      </w:rPr>
    </w:lvl>
  </w:abstractNum>
  <w:abstractNum w:abstractNumId="10">
    <w:nsid w:val="0000000B"/>
    <w:multiLevelType w:val="singleLevel"/>
    <w:tmpl w:val="0000000B"/>
    <w:name w:val="WW8Num14"/>
    <w:lvl w:ilvl="0">
      <w:start w:val="1"/>
      <w:numFmt w:val="bullet"/>
      <w:lvlText w:val=""/>
      <w:lvlJc w:val="left"/>
      <w:pPr>
        <w:tabs>
          <w:tab w:val="num" w:pos="0"/>
        </w:tabs>
        <w:ind w:left="720" w:hanging="360"/>
      </w:pPr>
      <w:rPr>
        <w:rFonts w:ascii="Symbol" w:hAnsi="Symbol" w:cs="Symbol" w:hint="default"/>
      </w:rPr>
    </w:lvl>
  </w:abstractNum>
  <w:abstractNum w:abstractNumId="11">
    <w:nsid w:val="0000000C"/>
    <w:multiLevelType w:val="singleLevel"/>
    <w:tmpl w:val="0000000C"/>
    <w:name w:val="WW8Num15"/>
    <w:lvl w:ilvl="0">
      <w:start w:val="1"/>
      <w:numFmt w:val="bullet"/>
      <w:lvlText w:val=""/>
      <w:lvlJc w:val="right"/>
      <w:pPr>
        <w:tabs>
          <w:tab w:val="num" w:pos="0"/>
        </w:tabs>
        <w:ind w:left="720" w:hanging="360"/>
      </w:pPr>
      <w:rPr>
        <w:rFonts w:ascii="Symbol" w:hAnsi="Symbol" w:cs="Symbol" w:hint="default"/>
      </w:rPr>
    </w:lvl>
  </w:abstractNum>
  <w:abstractNum w:abstractNumId="12">
    <w:nsid w:val="0000000D"/>
    <w:multiLevelType w:val="singleLevel"/>
    <w:tmpl w:val="0000000D"/>
    <w:name w:val="WW8Num16"/>
    <w:lvl w:ilvl="0">
      <w:start w:val="1"/>
      <w:numFmt w:val="bullet"/>
      <w:lvlText w:val=""/>
      <w:lvlJc w:val="left"/>
      <w:pPr>
        <w:tabs>
          <w:tab w:val="num" w:pos="0"/>
        </w:tabs>
        <w:ind w:left="720" w:hanging="360"/>
      </w:pPr>
      <w:rPr>
        <w:rFonts w:ascii="Symbol" w:hAnsi="Symbol" w:cs="Symbol" w:hint="default"/>
      </w:rPr>
    </w:lvl>
  </w:abstractNum>
  <w:abstractNum w:abstractNumId="13">
    <w:nsid w:val="0000000E"/>
    <w:multiLevelType w:val="singleLevel"/>
    <w:tmpl w:val="0000000E"/>
    <w:name w:val="WW8Num18"/>
    <w:lvl w:ilvl="0">
      <w:start w:val="1"/>
      <w:numFmt w:val="bullet"/>
      <w:lvlText w:val=""/>
      <w:lvlJc w:val="left"/>
      <w:pPr>
        <w:tabs>
          <w:tab w:val="num" w:pos="0"/>
        </w:tabs>
        <w:ind w:left="720" w:hanging="360"/>
      </w:pPr>
      <w:rPr>
        <w:rFonts w:ascii="Symbol" w:hAnsi="Symbol" w:cs="Symbol" w:hint="default"/>
      </w:rPr>
    </w:lvl>
  </w:abstractNum>
  <w:abstractNum w:abstractNumId="14">
    <w:nsid w:val="0000000F"/>
    <w:multiLevelType w:val="multilevel"/>
    <w:tmpl w:val="24B0C9DC"/>
    <w:name w:val="WW8Num19"/>
    <w:lvl w:ilvl="0">
      <w:start w:val="1"/>
      <w:numFmt w:val="decimal"/>
      <w:lvlText w:val="%1"/>
      <w:lvlJc w:val="left"/>
      <w:pPr>
        <w:tabs>
          <w:tab w:val="num" w:pos="0"/>
        </w:tabs>
        <w:ind w:left="480" w:hanging="480"/>
      </w:pPr>
      <w:rPr>
        <w:rFonts w:hint="default"/>
      </w:rPr>
    </w:lvl>
    <w:lvl w:ilvl="1">
      <w:start w:val="1"/>
      <w:numFmt w:val="decimal"/>
      <w:lvlText w:val="%1.%2"/>
      <w:lvlJc w:val="left"/>
      <w:pPr>
        <w:tabs>
          <w:tab w:val="num" w:pos="0"/>
        </w:tabs>
        <w:ind w:left="480" w:hanging="480"/>
      </w:pPr>
      <w:rPr>
        <w:rFonts w:hint="default"/>
        <w:b/>
        <w:bCs/>
        <w:sz w:val="28"/>
        <w:szCs w:val="28"/>
      </w:rPr>
    </w:lvl>
    <w:lvl w:ilvl="2">
      <w:start w:val="2"/>
      <w:numFmt w:val="decimal"/>
      <w:lvlText w:val="%1.%2.%3"/>
      <w:lvlJc w:val="left"/>
      <w:pPr>
        <w:tabs>
          <w:tab w:val="num" w:pos="0"/>
        </w:tabs>
        <w:ind w:left="720" w:hanging="720"/>
      </w:pPr>
      <w:rPr>
        <w:rFonts w:hint="default"/>
        <w:b/>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5">
    <w:nsid w:val="00000010"/>
    <w:multiLevelType w:val="singleLevel"/>
    <w:tmpl w:val="00000010"/>
    <w:name w:val="WW8Num20"/>
    <w:lvl w:ilvl="0">
      <w:start w:val="1"/>
      <w:numFmt w:val="lowerRoman"/>
      <w:lvlText w:val="%1."/>
      <w:lvlJc w:val="right"/>
      <w:pPr>
        <w:tabs>
          <w:tab w:val="num" w:pos="0"/>
        </w:tabs>
        <w:ind w:left="720" w:hanging="360"/>
      </w:pPr>
      <w:rPr>
        <w:rFonts w:ascii="Times New Roman" w:hAnsi="Times New Roman" w:cs="Times New Roman"/>
        <w:sz w:val="24"/>
        <w:szCs w:val="24"/>
      </w:rPr>
    </w:lvl>
  </w:abstractNum>
  <w:abstractNum w:abstractNumId="16">
    <w:nsid w:val="00000011"/>
    <w:multiLevelType w:val="singleLevel"/>
    <w:tmpl w:val="00000011"/>
    <w:name w:val="WW8Num21"/>
    <w:lvl w:ilvl="0">
      <w:start w:val="1"/>
      <w:numFmt w:val="bullet"/>
      <w:lvlText w:val=""/>
      <w:lvlJc w:val="left"/>
      <w:pPr>
        <w:tabs>
          <w:tab w:val="num" w:pos="0"/>
        </w:tabs>
        <w:ind w:left="720" w:hanging="360"/>
      </w:pPr>
      <w:rPr>
        <w:rFonts w:ascii="Symbol" w:hAnsi="Symbol" w:cs="Symbol" w:hint="default"/>
      </w:rPr>
    </w:lvl>
  </w:abstractNum>
  <w:abstractNum w:abstractNumId="17">
    <w:nsid w:val="00001481"/>
    <w:multiLevelType w:val="hybridMultilevel"/>
    <w:tmpl w:val="632027A8"/>
    <w:lvl w:ilvl="0" w:tplc="B4385AAC">
      <w:start w:val="843"/>
      <w:numFmt w:val="decimal"/>
      <w:lvlText w:val="%1"/>
      <w:lvlJc w:val="left"/>
    </w:lvl>
    <w:lvl w:ilvl="1" w:tplc="D0063174">
      <w:numFmt w:val="decimal"/>
      <w:lvlText w:val=""/>
      <w:lvlJc w:val="left"/>
    </w:lvl>
    <w:lvl w:ilvl="2" w:tplc="770C8234">
      <w:numFmt w:val="decimal"/>
      <w:lvlText w:val=""/>
      <w:lvlJc w:val="left"/>
    </w:lvl>
    <w:lvl w:ilvl="3" w:tplc="93106A64">
      <w:numFmt w:val="decimal"/>
      <w:lvlText w:val=""/>
      <w:lvlJc w:val="left"/>
    </w:lvl>
    <w:lvl w:ilvl="4" w:tplc="DBEC8F7E">
      <w:numFmt w:val="decimal"/>
      <w:lvlText w:val=""/>
      <w:lvlJc w:val="left"/>
    </w:lvl>
    <w:lvl w:ilvl="5" w:tplc="754A33BE">
      <w:numFmt w:val="decimal"/>
      <w:lvlText w:val=""/>
      <w:lvlJc w:val="left"/>
    </w:lvl>
    <w:lvl w:ilvl="6" w:tplc="4C7ED23A">
      <w:numFmt w:val="decimal"/>
      <w:lvlText w:val=""/>
      <w:lvlJc w:val="left"/>
    </w:lvl>
    <w:lvl w:ilvl="7" w:tplc="76A28F62">
      <w:numFmt w:val="decimal"/>
      <w:lvlText w:val=""/>
      <w:lvlJc w:val="left"/>
    </w:lvl>
    <w:lvl w:ilvl="8" w:tplc="1A9AFD50">
      <w:numFmt w:val="decimal"/>
      <w:lvlText w:val=""/>
      <w:lvlJc w:val="left"/>
    </w:lvl>
  </w:abstractNum>
  <w:abstractNum w:abstractNumId="18">
    <w:nsid w:val="00004087"/>
    <w:multiLevelType w:val="hybridMultilevel"/>
    <w:tmpl w:val="8594FA06"/>
    <w:lvl w:ilvl="0" w:tplc="84122808">
      <w:start w:val="866"/>
      <w:numFmt w:val="decimal"/>
      <w:lvlText w:val="%1"/>
      <w:lvlJc w:val="left"/>
    </w:lvl>
    <w:lvl w:ilvl="1" w:tplc="06C624A0">
      <w:numFmt w:val="decimal"/>
      <w:lvlText w:val=""/>
      <w:lvlJc w:val="left"/>
    </w:lvl>
    <w:lvl w:ilvl="2" w:tplc="4FDCFDFA">
      <w:numFmt w:val="decimal"/>
      <w:lvlText w:val=""/>
      <w:lvlJc w:val="left"/>
    </w:lvl>
    <w:lvl w:ilvl="3" w:tplc="FBE88B92">
      <w:numFmt w:val="decimal"/>
      <w:lvlText w:val=""/>
      <w:lvlJc w:val="left"/>
    </w:lvl>
    <w:lvl w:ilvl="4" w:tplc="008690A8">
      <w:numFmt w:val="decimal"/>
      <w:lvlText w:val=""/>
      <w:lvlJc w:val="left"/>
    </w:lvl>
    <w:lvl w:ilvl="5" w:tplc="E5F8F450">
      <w:numFmt w:val="decimal"/>
      <w:lvlText w:val=""/>
      <w:lvlJc w:val="left"/>
    </w:lvl>
    <w:lvl w:ilvl="6" w:tplc="54CEE27E">
      <w:numFmt w:val="decimal"/>
      <w:lvlText w:val=""/>
      <w:lvlJc w:val="left"/>
    </w:lvl>
    <w:lvl w:ilvl="7" w:tplc="A5148834">
      <w:numFmt w:val="decimal"/>
      <w:lvlText w:val=""/>
      <w:lvlJc w:val="left"/>
    </w:lvl>
    <w:lvl w:ilvl="8" w:tplc="B6847A60">
      <w:numFmt w:val="decimal"/>
      <w:lvlText w:val=""/>
      <w:lvlJc w:val="left"/>
    </w:lvl>
  </w:abstractNum>
  <w:abstractNum w:abstractNumId="19">
    <w:nsid w:val="00007B44"/>
    <w:multiLevelType w:val="hybridMultilevel"/>
    <w:tmpl w:val="3CA4C280"/>
    <w:lvl w:ilvl="0" w:tplc="36DC1FD2">
      <w:start w:val="874"/>
      <w:numFmt w:val="decimal"/>
      <w:lvlText w:val="%1"/>
      <w:lvlJc w:val="left"/>
    </w:lvl>
    <w:lvl w:ilvl="1" w:tplc="0728DA48">
      <w:numFmt w:val="decimal"/>
      <w:lvlText w:val=""/>
      <w:lvlJc w:val="left"/>
    </w:lvl>
    <w:lvl w:ilvl="2" w:tplc="935484DE">
      <w:numFmt w:val="decimal"/>
      <w:lvlText w:val=""/>
      <w:lvlJc w:val="left"/>
    </w:lvl>
    <w:lvl w:ilvl="3" w:tplc="B53C4F1C">
      <w:numFmt w:val="decimal"/>
      <w:lvlText w:val=""/>
      <w:lvlJc w:val="left"/>
    </w:lvl>
    <w:lvl w:ilvl="4" w:tplc="57048D26">
      <w:numFmt w:val="decimal"/>
      <w:lvlText w:val=""/>
      <w:lvlJc w:val="left"/>
    </w:lvl>
    <w:lvl w:ilvl="5" w:tplc="6F6AC304">
      <w:numFmt w:val="decimal"/>
      <w:lvlText w:val=""/>
      <w:lvlJc w:val="left"/>
    </w:lvl>
    <w:lvl w:ilvl="6" w:tplc="2C6474BC">
      <w:numFmt w:val="decimal"/>
      <w:lvlText w:val=""/>
      <w:lvlJc w:val="left"/>
    </w:lvl>
    <w:lvl w:ilvl="7" w:tplc="F04C3CB0">
      <w:numFmt w:val="decimal"/>
      <w:lvlText w:val=""/>
      <w:lvlJc w:val="left"/>
    </w:lvl>
    <w:lvl w:ilvl="8" w:tplc="77E4E0DA">
      <w:numFmt w:val="decimal"/>
      <w:lvlText w:val=""/>
      <w:lvlJc w:val="left"/>
    </w:lvl>
  </w:abstractNum>
  <w:abstractNum w:abstractNumId="20">
    <w:nsid w:val="00E626C0"/>
    <w:multiLevelType w:val="hybridMultilevel"/>
    <w:tmpl w:val="9EE8D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10640C0"/>
    <w:multiLevelType w:val="multilevel"/>
    <w:tmpl w:val="6D6A15FC"/>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nsid w:val="3B7068CE"/>
    <w:multiLevelType w:val="multilevel"/>
    <w:tmpl w:val="0846B71E"/>
    <w:lvl w:ilvl="0">
      <w:start w:val="1"/>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60810158"/>
    <w:multiLevelType w:val="multilevel"/>
    <w:tmpl w:val="5624FE10"/>
    <w:lvl w:ilvl="0">
      <w:start w:val="1"/>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717601DB"/>
    <w:multiLevelType w:val="multilevel"/>
    <w:tmpl w:val="A106DA04"/>
    <w:lvl w:ilvl="0">
      <w:start w:val="1"/>
      <w:numFmt w:val="decimal"/>
      <w:lvlText w:val="%1"/>
      <w:lvlJc w:val="left"/>
      <w:pPr>
        <w:ind w:left="375" w:hanging="375"/>
      </w:pPr>
      <w:rPr>
        <w:rFonts w:hint="default"/>
      </w:rPr>
    </w:lvl>
    <w:lvl w:ilvl="1">
      <w:start w:val="1"/>
      <w:numFmt w:val="decimal"/>
      <w:pStyle w:val="Heading2"/>
      <w:lvlText w:val="%1.%2"/>
      <w:lvlJc w:val="left"/>
      <w:pPr>
        <w:ind w:left="375" w:hanging="375"/>
      </w:pPr>
      <w:rPr>
        <w:rFonts w:hint="default"/>
        <w:sz w:val="24"/>
        <w:szCs w:val="28"/>
      </w:rPr>
    </w:lvl>
    <w:lvl w:ilvl="2">
      <w:start w:val="1"/>
      <w:numFmt w:val="decimal"/>
      <w:pStyle w:val="Heading3"/>
      <w:lvlText w:val="%1.%2.%3"/>
      <w:lvlJc w:val="left"/>
      <w:pPr>
        <w:ind w:left="720" w:hanging="720"/>
      </w:pPr>
      <w:rPr>
        <w:rFonts w:hint="default"/>
        <w:b/>
        <w:sz w:val="24"/>
        <w:szCs w:val="28"/>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7F3E36D0"/>
    <w:multiLevelType w:val="hybridMultilevel"/>
    <w:tmpl w:val="046A9960"/>
    <w:lvl w:ilvl="0" w:tplc="14B6D71C">
      <w:start w:val="1"/>
      <w:numFmt w:val="lowerLetter"/>
      <w:lvlText w:val="%1."/>
      <w:lvlJc w:val="left"/>
      <w:pPr>
        <w:ind w:left="2190" w:hanging="360"/>
      </w:pPr>
      <w:rPr>
        <w:rFonts w:hint="default"/>
      </w:rPr>
    </w:lvl>
    <w:lvl w:ilvl="1" w:tplc="04090019" w:tentative="1">
      <w:start w:val="1"/>
      <w:numFmt w:val="lowerLetter"/>
      <w:lvlText w:val="%2."/>
      <w:lvlJc w:val="left"/>
      <w:pPr>
        <w:ind w:left="2910" w:hanging="360"/>
      </w:pPr>
    </w:lvl>
    <w:lvl w:ilvl="2" w:tplc="0409001B" w:tentative="1">
      <w:start w:val="1"/>
      <w:numFmt w:val="lowerRoman"/>
      <w:lvlText w:val="%3."/>
      <w:lvlJc w:val="right"/>
      <w:pPr>
        <w:ind w:left="3630" w:hanging="180"/>
      </w:pPr>
    </w:lvl>
    <w:lvl w:ilvl="3" w:tplc="0409000F" w:tentative="1">
      <w:start w:val="1"/>
      <w:numFmt w:val="decimal"/>
      <w:lvlText w:val="%4."/>
      <w:lvlJc w:val="left"/>
      <w:pPr>
        <w:ind w:left="4350" w:hanging="360"/>
      </w:pPr>
    </w:lvl>
    <w:lvl w:ilvl="4" w:tplc="04090019" w:tentative="1">
      <w:start w:val="1"/>
      <w:numFmt w:val="lowerLetter"/>
      <w:lvlText w:val="%5."/>
      <w:lvlJc w:val="left"/>
      <w:pPr>
        <w:ind w:left="5070" w:hanging="360"/>
      </w:pPr>
    </w:lvl>
    <w:lvl w:ilvl="5" w:tplc="0409001B" w:tentative="1">
      <w:start w:val="1"/>
      <w:numFmt w:val="lowerRoman"/>
      <w:lvlText w:val="%6."/>
      <w:lvlJc w:val="right"/>
      <w:pPr>
        <w:ind w:left="5790" w:hanging="180"/>
      </w:pPr>
    </w:lvl>
    <w:lvl w:ilvl="6" w:tplc="0409000F" w:tentative="1">
      <w:start w:val="1"/>
      <w:numFmt w:val="decimal"/>
      <w:lvlText w:val="%7."/>
      <w:lvlJc w:val="left"/>
      <w:pPr>
        <w:ind w:left="6510" w:hanging="360"/>
      </w:pPr>
    </w:lvl>
    <w:lvl w:ilvl="7" w:tplc="04090019" w:tentative="1">
      <w:start w:val="1"/>
      <w:numFmt w:val="lowerLetter"/>
      <w:lvlText w:val="%8."/>
      <w:lvlJc w:val="left"/>
      <w:pPr>
        <w:ind w:left="7230" w:hanging="360"/>
      </w:pPr>
    </w:lvl>
    <w:lvl w:ilvl="8" w:tplc="0409001B" w:tentative="1">
      <w:start w:val="1"/>
      <w:numFmt w:val="lowerRoman"/>
      <w:lvlText w:val="%9."/>
      <w:lvlJc w:val="right"/>
      <w:pPr>
        <w:ind w:left="7950" w:hanging="180"/>
      </w:pPr>
    </w:lvl>
  </w:abstractNum>
  <w:num w:numId="1">
    <w:abstractNumId w:val="11"/>
  </w:num>
  <w:num w:numId="2">
    <w:abstractNumId w:val="20"/>
  </w:num>
  <w:num w:numId="3">
    <w:abstractNumId w:val="24"/>
  </w:num>
  <w:num w:numId="4">
    <w:abstractNumId w:val="24"/>
    <w:lvlOverride w:ilvl="0">
      <w:startOverride w:val="4"/>
    </w:lvlOverride>
    <w:lvlOverride w:ilvl="1">
      <w:startOverride w:val="2"/>
    </w:lvlOverride>
  </w:num>
  <w:num w:numId="5">
    <w:abstractNumId w:val="25"/>
  </w:num>
  <w:num w:numId="6">
    <w:abstractNumId w:val="24"/>
    <w:lvlOverride w:ilvl="0">
      <w:startOverride w:val="4"/>
    </w:lvlOverride>
    <w:lvlOverride w:ilvl="1">
      <w:startOverride w:val="2"/>
    </w:lvlOverride>
  </w:num>
  <w:num w:numId="7">
    <w:abstractNumId w:val="24"/>
    <w:lvlOverride w:ilvl="0">
      <w:startOverride w:val="4"/>
    </w:lvlOverride>
    <w:lvlOverride w:ilvl="1">
      <w:startOverride w:val="2"/>
    </w:lvlOverride>
  </w:num>
  <w:num w:numId="8">
    <w:abstractNumId w:val="24"/>
    <w:lvlOverride w:ilvl="0">
      <w:startOverride w:val="4"/>
    </w:lvlOverride>
    <w:lvlOverride w:ilvl="1">
      <w:startOverride w:val="2"/>
    </w:lvlOverride>
  </w:num>
  <w:num w:numId="9">
    <w:abstractNumId w:val="21"/>
  </w:num>
  <w:num w:numId="10">
    <w:abstractNumId w:val="24"/>
    <w:lvlOverride w:ilvl="0">
      <w:startOverride w:val="1"/>
    </w:lvlOverride>
    <w:lvlOverride w:ilvl="1">
      <w:startOverride w:val="1"/>
    </w:lvlOverride>
    <w:lvlOverride w:ilvl="2">
      <w:startOverride w:val="2"/>
    </w:lvlOverride>
  </w:num>
  <w:num w:numId="11">
    <w:abstractNumId w:val="24"/>
    <w:lvlOverride w:ilvl="0">
      <w:startOverride w:val="1"/>
    </w:lvlOverride>
    <w:lvlOverride w:ilvl="1">
      <w:startOverride w:val="1"/>
    </w:lvlOverride>
    <w:lvlOverride w:ilvl="2">
      <w:startOverride w:val="3"/>
    </w:lvlOverride>
  </w:num>
  <w:num w:numId="12">
    <w:abstractNumId w:val="17"/>
  </w:num>
  <w:num w:numId="13">
    <w:abstractNumId w:val="18"/>
  </w:num>
  <w:num w:numId="14">
    <w:abstractNumId w:val="19"/>
  </w:num>
  <w:num w:numId="15">
    <w:abstractNumId w:val="23"/>
  </w:num>
  <w:num w:numId="16">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FB6"/>
    <w:rsid w:val="00002526"/>
    <w:rsid w:val="0000356C"/>
    <w:rsid w:val="0000391C"/>
    <w:rsid w:val="00003F9A"/>
    <w:rsid w:val="00004390"/>
    <w:rsid w:val="000075EA"/>
    <w:rsid w:val="000076A2"/>
    <w:rsid w:val="00011321"/>
    <w:rsid w:val="00011E39"/>
    <w:rsid w:val="0001208F"/>
    <w:rsid w:val="00013275"/>
    <w:rsid w:val="000141C9"/>
    <w:rsid w:val="00016D98"/>
    <w:rsid w:val="00024416"/>
    <w:rsid w:val="00026407"/>
    <w:rsid w:val="0002702B"/>
    <w:rsid w:val="00031E56"/>
    <w:rsid w:val="00032388"/>
    <w:rsid w:val="000339A2"/>
    <w:rsid w:val="00037F53"/>
    <w:rsid w:val="00042F31"/>
    <w:rsid w:val="00043FD3"/>
    <w:rsid w:val="00045D19"/>
    <w:rsid w:val="000462AB"/>
    <w:rsid w:val="000523AF"/>
    <w:rsid w:val="00054107"/>
    <w:rsid w:val="000569FB"/>
    <w:rsid w:val="00057DBB"/>
    <w:rsid w:val="00061678"/>
    <w:rsid w:val="00062329"/>
    <w:rsid w:val="000665C3"/>
    <w:rsid w:val="000716E1"/>
    <w:rsid w:val="000717CA"/>
    <w:rsid w:val="00075463"/>
    <w:rsid w:val="00080EF2"/>
    <w:rsid w:val="000813A5"/>
    <w:rsid w:val="00084BCC"/>
    <w:rsid w:val="00087203"/>
    <w:rsid w:val="00091434"/>
    <w:rsid w:val="00092B7A"/>
    <w:rsid w:val="00094024"/>
    <w:rsid w:val="00095095"/>
    <w:rsid w:val="000A1831"/>
    <w:rsid w:val="000A2AA3"/>
    <w:rsid w:val="000A6B33"/>
    <w:rsid w:val="000B1086"/>
    <w:rsid w:val="000B795C"/>
    <w:rsid w:val="000C15A8"/>
    <w:rsid w:val="000C33C7"/>
    <w:rsid w:val="000C360F"/>
    <w:rsid w:val="000C4C0E"/>
    <w:rsid w:val="000D13A7"/>
    <w:rsid w:val="000E1C51"/>
    <w:rsid w:val="000E23D2"/>
    <w:rsid w:val="000E453C"/>
    <w:rsid w:val="000E79C9"/>
    <w:rsid w:val="000F1905"/>
    <w:rsid w:val="000F4B7A"/>
    <w:rsid w:val="000F5F89"/>
    <w:rsid w:val="00100FEE"/>
    <w:rsid w:val="00101103"/>
    <w:rsid w:val="00103220"/>
    <w:rsid w:val="00104178"/>
    <w:rsid w:val="00106259"/>
    <w:rsid w:val="00107195"/>
    <w:rsid w:val="00113463"/>
    <w:rsid w:val="00114310"/>
    <w:rsid w:val="00115D80"/>
    <w:rsid w:val="00117FE2"/>
    <w:rsid w:val="001204FB"/>
    <w:rsid w:val="001207F6"/>
    <w:rsid w:val="00122BE0"/>
    <w:rsid w:val="001268A5"/>
    <w:rsid w:val="00131B1D"/>
    <w:rsid w:val="00132563"/>
    <w:rsid w:val="00132AD4"/>
    <w:rsid w:val="00132CFB"/>
    <w:rsid w:val="0013611D"/>
    <w:rsid w:val="00136462"/>
    <w:rsid w:val="001370C3"/>
    <w:rsid w:val="00140799"/>
    <w:rsid w:val="00141D59"/>
    <w:rsid w:val="0014228A"/>
    <w:rsid w:val="0014228F"/>
    <w:rsid w:val="0014299D"/>
    <w:rsid w:val="001439BD"/>
    <w:rsid w:val="001466E1"/>
    <w:rsid w:val="001520EF"/>
    <w:rsid w:val="001526A6"/>
    <w:rsid w:val="00152858"/>
    <w:rsid w:val="00152ED8"/>
    <w:rsid w:val="0015386C"/>
    <w:rsid w:val="0016016E"/>
    <w:rsid w:val="001621FB"/>
    <w:rsid w:val="001645D2"/>
    <w:rsid w:val="00164913"/>
    <w:rsid w:val="0016682F"/>
    <w:rsid w:val="00166DF7"/>
    <w:rsid w:val="001727B9"/>
    <w:rsid w:val="00183244"/>
    <w:rsid w:val="00183516"/>
    <w:rsid w:val="00185391"/>
    <w:rsid w:val="001864B6"/>
    <w:rsid w:val="00192CB6"/>
    <w:rsid w:val="00195A2F"/>
    <w:rsid w:val="00196CEC"/>
    <w:rsid w:val="001A0237"/>
    <w:rsid w:val="001A1250"/>
    <w:rsid w:val="001A4FDC"/>
    <w:rsid w:val="001A565E"/>
    <w:rsid w:val="001A5820"/>
    <w:rsid w:val="001B1247"/>
    <w:rsid w:val="001B3763"/>
    <w:rsid w:val="001B5CC5"/>
    <w:rsid w:val="001C2384"/>
    <w:rsid w:val="001C3749"/>
    <w:rsid w:val="001C3DB2"/>
    <w:rsid w:val="001C4169"/>
    <w:rsid w:val="001C6358"/>
    <w:rsid w:val="001D055E"/>
    <w:rsid w:val="001D05C6"/>
    <w:rsid w:val="001D0670"/>
    <w:rsid w:val="001D1E98"/>
    <w:rsid w:val="001D2D88"/>
    <w:rsid w:val="001D2DF9"/>
    <w:rsid w:val="001D4256"/>
    <w:rsid w:val="001D52B4"/>
    <w:rsid w:val="001D7791"/>
    <w:rsid w:val="001E130A"/>
    <w:rsid w:val="001E3E1C"/>
    <w:rsid w:val="001E5C0D"/>
    <w:rsid w:val="001E6B68"/>
    <w:rsid w:val="001E7BE5"/>
    <w:rsid w:val="001F361B"/>
    <w:rsid w:val="001F7081"/>
    <w:rsid w:val="002001DB"/>
    <w:rsid w:val="0020108A"/>
    <w:rsid w:val="002018E1"/>
    <w:rsid w:val="00203925"/>
    <w:rsid w:val="00212492"/>
    <w:rsid w:val="0021337B"/>
    <w:rsid w:val="00213C07"/>
    <w:rsid w:val="0021432A"/>
    <w:rsid w:val="002154BA"/>
    <w:rsid w:val="00221163"/>
    <w:rsid w:val="00222F9E"/>
    <w:rsid w:val="002236AE"/>
    <w:rsid w:val="002260C9"/>
    <w:rsid w:val="0022665A"/>
    <w:rsid w:val="002309F5"/>
    <w:rsid w:val="002334FA"/>
    <w:rsid w:val="0023575B"/>
    <w:rsid w:val="00235DD8"/>
    <w:rsid w:val="00235FE3"/>
    <w:rsid w:val="00237306"/>
    <w:rsid w:val="0023763B"/>
    <w:rsid w:val="0024060E"/>
    <w:rsid w:val="00243DE7"/>
    <w:rsid w:val="00246621"/>
    <w:rsid w:val="00246951"/>
    <w:rsid w:val="0025113F"/>
    <w:rsid w:val="00251507"/>
    <w:rsid w:val="00252177"/>
    <w:rsid w:val="00252A9A"/>
    <w:rsid w:val="002538A3"/>
    <w:rsid w:val="002554A7"/>
    <w:rsid w:val="002638AD"/>
    <w:rsid w:val="002664E4"/>
    <w:rsid w:val="002840FE"/>
    <w:rsid w:val="00285C14"/>
    <w:rsid w:val="0028607D"/>
    <w:rsid w:val="002903C2"/>
    <w:rsid w:val="00291AF6"/>
    <w:rsid w:val="002A1F01"/>
    <w:rsid w:val="002A76F9"/>
    <w:rsid w:val="002B0FD4"/>
    <w:rsid w:val="002B282F"/>
    <w:rsid w:val="002B3F5F"/>
    <w:rsid w:val="002C52AE"/>
    <w:rsid w:val="002C679E"/>
    <w:rsid w:val="002C7761"/>
    <w:rsid w:val="002D123B"/>
    <w:rsid w:val="002D30E4"/>
    <w:rsid w:val="002D3AC8"/>
    <w:rsid w:val="002D3E70"/>
    <w:rsid w:val="002D545E"/>
    <w:rsid w:val="002D5CEC"/>
    <w:rsid w:val="002E03CB"/>
    <w:rsid w:val="002E1144"/>
    <w:rsid w:val="002E3B92"/>
    <w:rsid w:val="002F03CA"/>
    <w:rsid w:val="002F21D9"/>
    <w:rsid w:val="002F504F"/>
    <w:rsid w:val="00300BE0"/>
    <w:rsid w:val="00306747"/>
    <w:rsid w:val="003077EC"/>
    <w:rsid w:val="00307DB2"/>
    <w:rsid w:val="00310C45"/>
    <w:rsid w:val="003136FB"/>
    <w:rsid w:val="003162E4"/>
    <w:rsid w:val="00317A9A"/>
    <w:rsid w:val="00320CE0"/>
    <w:rsid w:val="0032222B"/>
    <w:rsid w:val="0032568C"/>
    <w:rsid w:val="00325CB0"/>
    <w:rsid w:val="00326329"/>
    <w:rsid w:val="00330DB6"/>
    <w:rsid w:val="003327CD"/>
    <w:rsid w:val="003361A1"/>
    <w:rsid w:val="003364B2"/>
    <w:rsid w:val="003443C3"/>
    <w:rsid w:val="003465EC"/>
    <w:rsid w:val="00350DE7"/>
    <w:rsid w:val="00356259"/>
    <w:rsid w:val="0035696A"/>
    <w:rsid w:val="00360737"/>
    <w:rsid w:val="003611B3"/>
    <w:rsid w:val="003624F3"/>
    <w:rsid w:val="00362E62"/>
    <w:rsid w:val="0036300D"/>
    <w:rsid w:val="00364F1C"/>
    <w:rsid w:val="0037214B"/>
    <w:rsid w:val="00373422"/>
    <w:rsid w:val="00373B0E"/>
    <w:rsid w:val="0037518F"/>
    <w:rsid w:val="003757CE"/>
    <w:rsid w:val="00375E15"/>
    <w:rsid w:val="00377208"/>
    <w:rsid w:val="00382BAE"/>
    <w:rsid w:val="00390473"/>
    <w:rsid w:val="003947AB"/>
    <w:rsid w:val="003963AF"/>
    <w:rsid w:val="003A125F"/>
    <w:rsid w:val="003A7934"/>
    <w:rsid w:val="003B15E8"/>
    <w:rsid w:val="003B38E2"/>
    <w:rsid w:val="003B3BCE"/>
    <w:rsid w:val="003B3CD4"/>
    <w:rsid w:val="003B4ADF"/>
    <w:rsid w:val="003B5B99"/>
    <w:rsid w:val="003B7158"/>
    <w:rsid w:val="003B7F15"/>
    <w:rsid w:val="003C35D8"/>
    <w:rsid w:val="003C6EE7"/>
    <w:rsid w:val="003D65AA"/>
    <w:rsid w:val="003D78B1"/>
    <w:rsid w:val="003E0750"/>
    <w:rsid w:val="003E1734"/>
    <w:rsid w:val="003E2281"/>
    <w:rsid w:val="003E3180"/>
    <w:rsid w:val="003E41BD"/>
    <w:rsid w:val="003E4F56"/>
    <w:rsid w:val="003E6037"/>
    <w:rsid w:val="003F110F"/>
    <w:rsid w:val="003F7C25"/>
    <w:rsid w:val="00400B63"/>
    <w:rsid w:val="00402E7E"/>
    <w:rsid w:val="00404755"/>
    <w:rsid w:val="00404944"/>
    <w:rsid w:val="00404B80"/>
    <w:rsid w:val="00406B02"/>
    <w:rsid w:val="00407967"/>
    <w:rsid w:val="00413CFD"/>
    <w:rsid w:val="00420F03"/>
    <w:rsid w:val="0042222A"/>
    <w:rsid w:val="00422B74"/>
    <w:rsid w:val="00423546"/>
    <w:rsid w:val="00423F20"/>
    <w:rsid w:val="004303BD"/>
    <w:rsid w:val="00432A8D"/>
    <w:rsid w:val="004342ED"/>
    <w:rsid w:val="004346FF"/>
    <w:rsid w:val="00434CEA"/>
    <w:rsid w:val="00435879"/>
    <w:rsid w:val="00436A1F"/>
    <w:rsid w:val="00445398"/>
    <w:rsid w:val="00446F90"/>
    <w:rsid w:val="004521D4"/>
    <w:rsid w:val="00453193"/>
    <w:rsid w:val="0045715F"/>
    <w:rsid w:val="00457B6A"/>
    <w:rsid w:val="00461886"/>
    <w:rsid w:val="004715DB"/>
    <w:rsid w:val="00471F62"/>
    <w:rsid w:val="00483F33"/>
    <w:rsid w:val="004840B6"/>
    <w:rsid w:val="0048603E"/>
    <w:rsid w:val="00486073"/>
    <w:rsid w:val="00487762"/>
    <w:rsid w:val="00497673"/>
    <w:rsid w:val="00497D0C"/>
    <w:rsid w:val="004A0712"/>
    <w:rsid w:val="004A4F2B"/>
    <w:rsid w:val="004A5CC3"/>
    <w:rsid w:val="004A617B"/>
    <w:rsid w:val="004B4EB1"/>
    <w:rsid w:val="004B547D"/>
    <w:rsid w:val="004C0807"/>
    <w:rsid w:val="004C1BDA"/>
    <w:rsid w:val="004C50AC"/>
    <w:rsid w:val="004C5583"/>
    <w:rsid w:val="004D01B6"/>
    <w:rsid w:val="004D0B6F"/>
    <w:rsid w:val="004D2595"/>
    <w:rsid w:val="004D3B2A"/>
    <w:rsid w:val="004D55AE"/>
    <w:rsid w:val="004D5627"/>
    <w:rsid w:val="004E0CE3"/>
    <w:rsid w:val="004E1338"/>
    <w:rsid w:val="004E231E"/>
    <w:rsid w:val="004E4D35"/>
    <w:rsid w:val="004F1F60"/>
    <w:rsid w:val="004F58A7"/>
    <w:rsid w:val="004F60B0"/>
    <w:rsid w:val="004F6F22"/>
    <w:rsid w:val="004F7AB9"/>
    <w:rsid w:val="00500483"/>
    <w:rsid w:val="005028A8"/>
    <w:rsid w:val="00503C82"/>
    <w:rsid w:val="00504D9F"/>
    <w:rsid w:val="00504DE9"/>
    <w:rsid w:val="00507645"/>
    <w:rsid w:val="005102D7"/>
    <w:rsid w:val="005104E7"/>
    <w:rsid w:val="005120C8"/>
    <w:rsid w:val="005123F4"/>
    <w:rsid w:val="00512A6A"/>
    <w:rsid w:val="00513F7C"/>
    <w:rsid w:val="00515657"/>
    <w:rsid w:val="0051717C"/>
    <w:rsid w:val="00517EF3"/>
    <w:rsid w:val="005231C2"/>
    <w:rsid w:val="00524726"/>
    <w:rsid w:val="00527D86"/>
    <w:rsid w:val="00531A08"/>
    <w:rsid w:val="00531F4C"/>
    <w:rsid w:val="00534FB6"/>
    <w:rsid w:val="0053706D"/>
    <w:rsid w:val="005374F3"/>
    <w:rsid w:val="00537BB6"/>
    <w:rsid w:val="00542BA6"/>
    <w:rsid w:val="00550EEE"/>
    <w:rsid w:val="00551020"/>
    <w:rsid w:val="005536DF"/>
    <w:rsid w:val="00555E64"/>
    <w:rsid w:val="005561B7"/>
    <w:rsid w:val="005609E9"/>
    <w:rsid w:val="00561D20"/>
    <w:rsid w:val="005646CE"/>
    <w:rsid w:val="00564B6D"/>
    <w:rsid w:val="00564F62"/>
    <w:rsid w:val="00566887"/>
    <w:rsid w:val="00566E83"/>
    <w:rsid w:val="0056758E"/>
    <w:rsid w:val="00570A65"/>
    <w:rsid w:val="00573F5A"/>
    <w:rsid w:val="00574877"/>
    <w:rsid w:val="00582821"/>
    <w:rsid w:val="00582DE0"/>
    <w:rsid w:val="00582E11"/>
    <w:rsid w:val="00585FED"/>
    <w:rsid w:val="00592C7C"/>
    <w:rsid w:val="005A2BE3"/>
    <w:rsid w:val="005A707C"/>
    <w:rsid w:val="005B24CB"/>
    <w:rsid w:val="005B4D4C"/>
    <w:rsid w:val="005B5D2F"/>
    <w:rsid w:val="005C0C83"/>
    <w:rsid w:val="005C5520"/>
    <w:rsid w:val="005C7118"/>
    <w:rsid w:val="005D2B34"/>
    <w:rsid w:val="005D4364"/>
    <w:rsid w:val="005D5E1F"/>
    <w:rsid w:val="005D7797"/>
    <w:rsid w:val="005E160A"/>
    <w:rsid w:val="005E1CEB"/>
    <w:rsid w:val="005E201C"/>
    <w:rsid w:val="005E2892"/>
    <w:rsid w:val="005E4C81"/>
    <w:rsid w:val="005E5016"/>
    <w:rsid w:val="005F2095"/>
    <w:rsid w:val="005F2165"/>
    <w:rsid w:val="005F3C70"/>
    <w:rsid w:val="005F637B"/>
    <w:rsid w:val="0060209A"/>
    <w:rsid w:val="00603885"/>
    <w:rsid w:val="00606FA7"/>
    <w:rsid w:val="0061010F"/>
    <w:rsid w:val="00611C3B"/>
    <w:rsid w:val="00612017"/>
    <w:rsid w:val="006128D8"/>
    <w:rsid w:val="00620219"/>
    <w:rsid w:val="006234A5"/>
    <w:rsid w:val="00626EDB"/>
    <w:rsid w:val="006278F9"/>
    <w:rsid w:val="006312B0"/>
    <w:rsid w:val="00632885"/>
    <w:rsid w:val="00633444"/>
    <w:rsid w:val="00637A6F"/>
    <w:rsid w:val="00642D98"/>
    <w:rsid w:val="00643992"/>
    <w:rsid w:val="00645FFC"/>
    <w:rsid w:val="006463D0"/>
    <w:rsid w:val="00653D9E"/>
    <w:rsid w:val="00654E2E"/>
    <w:rsid w:val="006631FF"/>
    <w:rsid w:val="006635EB"/>
    <w:rsid w:val="006645E2"/>
    <w:rsid w:val="00667EE3"/>
    <w:rsid w:val="00671283"/>
    <w:rsid w:val="0067291C"/>
    <w:rsid w:val="00673490"/>
    <w:rsid w:val="006746B3"/>
    <w:rsid w:val="0068139C"/>
    <w:rsid w:val="00684C69"/>
    <w:rsid w:val="00686BF5"/>
    <w:rsid w:val="00692E37"/>
    <w:rsid w:val="006A02AD"/>
    <w:rsid w:val="006A258B"/>
    <w:rsid w:val="006A42E5"/>
    <w:rsid w:val="006A6B48"/>
    <w:rsid w:val="006A7F1C"/>
    <w:rsid w:val="006B1690"/>
    <w:rsid w:val="006B27B9"/>
    <w:rsid w:val="006C47B2"/>
    <w:rsid w:val="006C4C93"/>
    <w:rsid w:val="006C4E87"/>
    <w:rsid w:val="006D0AA4"/>
    <w:rsid w:val="006D3650"/>
    <w:rsid w:val="006D4028"/>
    <w:rsid w:val="006D73A0"/>
    <w:rsid w:val="006E23C1"/>
    <w:rsid w:val="006E2964"/>
    <w:rsid w:val="006E49F9"/>
    <w:rsid w:val="006E4DCB"/>
    <w:rsid w:val="006E5447"/>
    <w:rsid w:val="006F0074"/>
    <w:rsid w:val="006F2B4B"/>
    <w:rsid w:val="006F3F8F"/>
    <w:rsid w:val="006F6090"/>
    <w:rsid w:val="006F7237"/>
    <w:rsid w:val="006F7810"/>
    <w:rsid w:val="007019D7"/>
    <w:rsid w:val="007057AE"/>
    <w:rsid w:val="00706ED8"/>
    <w:rsid w:val="0071125E"/>
    <w:rsid w:val="00717E65"/>
    <w:rsid w:val="007215F0"/>
    <w:rsid w:val="00725F30"/>
    <w:rsid w:val="00733EA1"/>
    <w:rsid w:val="00741013"/>
    <w:rsid w:val="00742C4A"/>
    <w:rsid w:val="00746BA2"/>
    <w:rsid w:val="00747F1D"/>
    <w:rsid w:val="00753049"/>
    <w:rsid w:val="0075323B"/>
    <w:rsid w:val="00754699"/>
    <w:rsid w:val="00756683"/>
    <w:rsid w:val="00756B0E"/>
    <w:rsid w:val="007577FA"/>
    <w:rsid w:val="00767A45"/>
    <w:rsid w:val="00770BA5"/>
    <w:rsid w:val="00772589"/>
    <w:rsid w:val="00774F9D"/>
    <w:rsid w:val="0077578D"/>
    <w:rsid w:val="007774D6"/>
    <w:rsid w:val="007775B9"/>
    <w:rsid w:val="0078153A"/>
    <w:rsid w:val="00782C14"/>
    <w:rsid w:val="00784C81"/>
    <w:rsid w:val="0078778D"/>
    <w:rsid w:val="0079218D"/>
    <w:rsid w:val="00797A94"/>
    <w:rsid w:val="007A08F3"/>
    <w:rsid w:val="007A3585"/>
    <w:rsid w:val="007A5BCB"/>
    <w:rsid w:val="007B593F"/>
    <w:rsid w:val="007B67CC"/>
    <w:rsid w:val="007B6990"/>
    <w:rsid w:val="007B734B"/>
    <w:rsid w:val="007B7F87"/>
    <w:rsid w:val="007C00F5"/>
    <w:rsid w:val="007C1331"/>
    <w:rsid w:val="007C2B38"/>
    <w:rsid w:val="007C5582"/>
    <w:rsid w:val="007C5C3E"/>
    <w:rsid w:val="007D0D57"/>
    <w:rsid w:val="007D49AB"/>
    <w:rsid w:val="007E1DF9"/>
    <w:rsid w:val="007E33BC"/>
    <w:rsid w:val="007E35E8"/>
    <w:rsid w:val="007E48BE"/>
    <w:rsid w:val="007E7322"/>
    <w:rsid w:val="007E7502"/>
    <w:rsid w:val="007E78D1"/>
    <w:rsid w:val="007F02EA"/>
    <w:rsid w:val="007F06EC"/>
    <w:rsid w:val="007F276E"/>
    <w:rsid w:val="007F4526"/>
    <w:rsid w:val="007F6593"/>
    <w:rsid w:val="007F6D90"/>
    <w:rsid w:val="007F73C2"/>
    <w:rsid w:val="008019FF"/>
    <w:rsid w:val="00801DF5"/>
    <w:rsid w:val="00802C64"/>
    <w:rsid w:val="00803C3E"/>
    <w:rsid w:val="008059D9"/>
    <w:rsid w:val="00806683"/>
    <w:rsid w:val="00813ECB"/>
    <w:rsid w:val="00815206"/>
    <w:rsid w:val="00816550"/>
    <w:rsid w:val="00821094"/>
    <w:rsid w:val="00821A9A"/>
    <w:rsid w:val="008226F3"/>
    <w:rsid w:val="008256B3"/>
    <w:rsid w:val="0082638F"/>
    <w:rsid w:val="00826878"/>
    <w:rsid w:val="00827B55"/>
    <w:rsid w:val="0085000F"/>
    <w:rsid w:val="00851488"/>
    <w:rsid w:val="00855E11"/>
    <w:rsid w:val="008602F4"/>
    <w:rsid w:val="00863042"/>
    <w:rsid w:val="00863B9A"/>
    <w:rsid w:val="00867499"/>
    <w:rsid w:val="00875B0A"/>
    <w:rsid w:val="0088196C"/>
    <w:rsid w:val="00881DDF"/>
    <w:rsid w:val="00886D6A"/>
    <w:rsid w:val="008871DB"/>
    <w:rsid w:val="00887844"/>
    <w:rsid w:val="00890924"/>
    <w:rsid w:val="00890BE5"/>
    <w:rsid w:val="00890C40"/>
    <w:rsid w:val="0089277A"/>
    <w:rsid w:val="00894C9D"/>
    <w:rsid w:val="00895B87"/>
    <w:rsid w:val="00895E93"/>
    <w:rsid w:val="008965DE"/>
    <w:rsid w:val="008A1998"/>
    <w:rsid w:val="008A6012"/>
    <w:rsid w:val="008B352E"/>
    <w:rsid w:val="008B77EC"/>
    <w:rsid w:val="008C11BE"/>
    <w:rsid w:val="008C2532"/>
    <w:rsid w:val="008C3B23"/>
    <w:rsid w:val="008C5857"/>
    <w:rsid w:val="008D1FAE"/>
    <w:rsid w:val="008D366D"/>
    <w:rsid w:val="008D64BF"/>
    <w:rsid w:val="008E018E"/>
    <w:rsid w:val="008E2ED3"/>
    <w:rsid w:val="008E3D0C"/>
    <w:rsid w:val="008F019F"/>
    <w:rsid w:val="008F036F"/>
    <w:rsid w:val="008F2564"/>
    <w:rsid w:val="008F673F"/>
    <w:rsid w:val="008F7F35"/>
    <w:rsid w:val="0090094A"/>
    <w:rsid w:val="0090133A"/>
    <w:rsid w:val="00901971"/>
    <w:rsid w:val="00902CC2"/>
    <w:rsid w:val="00903872"/>
    <w:rsid w:val="00904E8F"/>
    <w:rsid w:val="009122F1"/>
    <w:rsid w:val="0091782D"/>
    <w:rsid w:val="009234DE"/>
    <w:rsid w:val="00924D3E"/>
    <w:rsid w:val="00925A79"/>
    <w:rsid w:val="00927597"/>
    <w:rsid w:val="00930CB5"/>
    <w:rsid w:val="00934D4C"/>
    <w:rsid w:val="00936EB4"/>
    <w:rsid w:val="00936F60"/>
    <w:rsid w:val="00937646"/>
    <w:rsid w:val="00941DFE"/>
    <w:rsid w:val="00942B98"/>
    <w:rsid w:val="009445CC"/>
    <w:rsid w:val="0094656E"/>
    <w:rsid w:val="0094696F"/>
    <w:rsid w:val="0095104F"/>
    <w:rsid w:val="0095400B"/>
    <w:rsid w:val="00963619"/>
    <w:rsid w:val="00965688"/>
    <w:rsid w:val="00965AE8"/>
    <w:rsid w:val="0096652A"/>
    <w:rsid w:val="0097026B"/>
    <w:rsid w:val="00975B63"/>
    <w:rsid w:val="009817B3"/>
    <w:rsid w:val="00986AA4"/>
    <w:rsid w:val="00986AD5"/>
    <w:rsid w:val="00991037"/>
    <w:rsid w:val="00991CC4"/>
    <w:rsid w:val="009948A5"/>
    <w:rsid w:val="0099514F"/>
    <w:rsid w:val="00997FC0"/>
    <w:rsid w:val="009A0B08"/>
    <w:rsid w:val="009A17E9"/>
    <w:rsid w:val="009A3271"/>
    <w:rsid w:val="009A3750"/>
    <w:rsid w:val="009A46A1"/>
    <w:rsid w:val="009A4B2E"/>
    <w:rsid w:val="009A580F"/>
    <w:rsid w:val="009A5C9E"/>
    <w:rsid w:val="009A601B"/>
    <w:rsid w:val="009A74B5"/>
    <w:rsid w:val="009B0F19"/>
    <w:rsid w:val="009B1FF7"/>
    <w:rsid w:val="009B29DB"/>
    <w:rsid w:val="009C09E9"/>
    <w:rsid w:val="009C3C18"/>
    <w:rsid w:val="009C5FFA"/>
    <w:rsid w:val="009C7AEB"/>
    <w:rsid w:val="009D13FE"/>
    <w:rsid w:val="009D1F24"/>
    <w:rsid w:val="009D3DE1"/>
    <w:rsid w:val="009D42F8"/>
    <w:rsid w:val="009D5A2B"/>
    <w:rsid w:val="009E0863"/>
    <w:rsid w:val="009E1A78"/>
    <w:rsid w:val="009E1E3A"/>
    <w:rsid w:val="009E398D"/>
    <w:rsid w:val="009E3A2B"/>
    <w:rsid w:val="009F35AB"/>
    <w:rsid w:val="009F51F0"/>
    <w:rsid w:val="009F529A"/>
    <w:rsid w:val="009F5E6A"/>
    <w:rsid w:val="009F6106"/>
    <w:rsid w:val="009F6633"/>
    <w:rsid w:val="00A030E1"/>
    <w:rsid w:val="00A057F4"/>
    <w:rsid w:val="00A0670E"/>
    <w:rsid w:val="00A06A3C"/>
    <w:rsid w:val="00A0792E"/>
    <w:rsid w:val="00A103D2"/>
    <w:rsid w:val="00A10458"/>
    <w:rsid w:val="00A1121C"/>
    <w:rsid w:val="00A11DF1"/>
    <w:rsid w:val="00A12F12"/>
    <w:rsid w:val="00A13EAB"/>
    <w:rsid w:val="00A15F13"/>
    <w:rsid w:val="00A22A8E"/>
    <w:rsid w:val="00A242D3"/>
    <w:rsid w:val="00A26116"/>
    <w:rsid w:val="00A33670"/>
    <w:rsid w:val="00A35DA9"/>
    <w:rsid w:val="00A362B8"/>
    <w:rsid w:val="00A406FA"/>
    <w:rsid w:val="00A41BA5"/>
    <w:rsid w:val="00A428F0"/>
    <w:rsid w:val="00A440D9"/>
    <w:rsid w:val="00A45F64"/>
    <w:rsid w:val="00A46375"/>
    <w:rsid w:val="00A503D8"/>
    <w:rsid w:val="00A512F5"/>
    <w:rsid w:val="00A625CF"/>
    <w:rsid w:val="00A62B87"/>
    <w:rsid w:val="00A71E62"/>
    <w:rsid w:val="00A74B88"/>
    <w:rsid w:val="00A76D51"/>
    <w:rsid w:val="00A83C95"/>
    <w:rsid w:val="00A842BE"/>
    <w:rsid w:val="00A8558D"/>
    <w:rsid w:val="00A907FB"/>
    <w:rsid w:val="00A90B77"/>
    <w:rsid w:val="00A93FBB"/>
    <w:rsid w:val="00A94950"/>
    <w:rsid w:val="00A9567D"/>
    <w:rsid w:val="00AA0A38"/>
    <w:rsid w:val="00AA2F4F"/>
    <w:rsid w:val="00AA3E2F"/>
    <w:rsid w:val="00AA7784"/>
    <w:rsid w:val="00AA7F48"/>
    <w:rsid w:val="00AB0A0F"/>
    <w:rsid w:val="00AB0E6E"/>
    <w:rsid w:val="00AB184C"/>
    <w:rsid w:val="00AB1B2C"/>
    <w:rsid w:val="00AB48D7"/>
    <w:rsid w:val="00AC3A7E"/>
    <w:rsid w:val="00AC4A46"/>
    <w:rsid w:val="00AC5FE6"/>
    <w:rsid w:val="00AC7830"/>
    <w:rsid w:val="00AD12D2"/>
    <w:rsid w:val="00AD4E88"/>
    <w:rsid w:val="00AD5E1F"/>
    <w:rsid w:val="00AD6500"/>
    <w:rsid w:val="00AE22D1"/>
    <w:rsid w:val="00AE3B49"/>
    <w:rsid w:val="00AE4976"/>
    <w:rsid w:val="00AF0A08"/>
    <w:rsid w:val="00AF6FD3"/>
    <w:rsid w:val="00B01659"/>
    <w:rsid w:val="00B045B6"/>
    <w:rsid w:val="00B0765C"/>
    <w:rsid w:val="00B10FF8"/>
    <w:rsid w:val="00B12F54"/>
    <w:rsid w:val="00B13C54"/>
    <w:rsid w:val="00B21212"/>
    <w:rsid w:val="00B21EE3"/>
    <w:rsid w:val="00B23605"/>
    <w:rsid w:val="00B248CB"/>
    <w:rsid w:val="00B30459"/>
    <w:rsid w:val="00B30BB0"/>
    <w:rsid w:val="00B31A94"/>
    <w:rsid w:val="00B347CE"/>
    <w:rsid w:val="00B3560E"/>
    <w:rsid w:val="00B379ED"/>
    <w:rsid w:val="00B40A67"/>
    <w:rsid w:val="00B42485"/>
    <w:rsid w:val="00B42E5F"/>
    <w:rsid w:val="00B44D82"/>
    <w:rsid w:val="00B45133"/>
    <w:rsid w:val="00B56D12"/>
    <w:rsid w:val="00B60B99"/>
    <w:rsid w:val="00B61C37"/>
    <w:rsid w:val="00B62494"/>
    <w:rsid w:val="00B63871"/>
    <w:rsid w:val="00B655E6"/>
    <w:rsid w:val="00B705A0"/>
    <w:rsid w:val="00B716A0"/>
    <w:rsid w:val="00B71E66"/>
    <w:rsid w:val="00B72A8F"/>
    <w:rsid w:val="00B77BD8"/>
    <w:rsid w:val="00B80193"/>
    <w:rsid w:val="00B821A1"/>
    <w:rsid w:val="00B8292F"/>
    <w:rsid w:val="00B848ED"/>
    <w:rsid w:val="00B84E16"/>
    <w:rsid w:val="00B97A75"/>
    <w:rsid w:val="00BA0828"/>
    <w:rsid w:val="00BA14D6"/>
    <w:rsid w:val="00BA4F69"/>
    <w:rsid w:val="00BA7A49"/>
    <w:rsid w:val="00BB072F"/>
    <w:rsid w:val="00BB2734"/>
    <w:rsid w:val="00BB33FD"/>
    <w:rsid w:val="00BB3F53"/>
    <w:rsid w:val="00BB5D1B"/>
    <w:rsid w:val="00BC1528"/>
    <w:rsid w:val="00BC57FC"/>
    <w:rsid w:val="00BC592E"/>
    <w:rsid w:val="00BD22FC"/>
    <w:rsid w:val="00BD3713"/>
    <w:rsid w:val="00BD455F"/>
    <w:rsid w:val="00BD6C5D"/>
    <w:rsid w:val="00BD6DE0"/>
    <w:rsid w:val="00BD7165"/>
    <w:rsid w:val="00BE3110"/>
    <w:rsid w:val="00BE40AB"/>
    <w:rsid w:val="00BE4475"/>
    <w:rsid w:val="00BE4C77"/>
    <w:rsid w:val="00BE5241"/>
    <w:rsid w:val="00BE7938"/>
    <w:rsid w:val="00BF2985"/>
    <w:rsid w:val="00BF587C"/>
    <w:rsid w:val="00BF5998"/>
    <w:rsid w:val="00BF7F81"/>
    <w:rsid w:val="00C03EF7"/>
    <w:rsid w:val="00C05988"/>
    <w:rsid w:val="00C0658F"/>
    <w:rsid w:val="00C11212"/>
    <w:rsid w:val="00C1134B"/>
    <w:rsid w:val="00C11702"/>
    <w:rsid w:val="00C12F34"/>
    <w:rsid w:val="00C14513"/>
    <w:rsid w:val="00C22F20"/>
    <w:rsid w:val="00C27621"/>
    <w:rsid w:val="00C302D4"/>
    <w:rsid w:val="00C31EB6"/>
    <w:rsid w:val="00C32DE7"/>
    <w:rsid w:val="00C36BDA"/>
    <w:rsid w:val="00C373B6"/>
    <w:rsid w:val="00C41C4F"/>
    <w:rsid w:val="00C47670"/>
    <w:rsid w:val="00C47AA2"/>
    <w:rsid w:val="00C554D4"/>
    <w:rsid w:val="00C56246"/>
    <w:rsid w:val="00C60C32"/>
    <w:rsid w:val="00C6204D"/>
    <w:rsid w:val="00C62E09"/>
    <w:rsid w:val="00C65CC7"/>
    <w:rsid w:val="00C728A1"/>
    <w:rsid w:val="00C733C5"/>
    <w:rsid w:val="00C7425D"/>
    <w:rsid w:val="00C776A1"/>
    <w:rsid w:val="00C77F53"/>
    <w:rsid w:val="00C861E8"/>
    <w:rsid w:val="00C869AE"/>
    <w:rsid w:val="00C87279"/>
    <w:rsid w:val="00C9008B"/>
    <w:rsid w:val="00C90CB0"/>
    <w:rsid w:val="00C91E21"/>
    <w:rsid w:val="00C93493"/>
    <w:rsid w:val="00C936EC"/>
    <w:rsid w:val="00C93D22"/>
    <w:rsid w:val="00C96BDE"/>
    <w:rsid w:val="00C96D2B"/>
    <w:rsid w:val="00CA0ADA"/>
    <w:rsid w:val="00CA37C5"/>
    <w:rsid w:val="00CA3AE9"/>
    <w:rsid w:val="00CA4DEE"/>
    <w:rsid w:val="00CA75DE"/>
    <w:rsid w:val="00CB0F30"/>
    <w:rsid w:val="00CB2999"/>
    <w:rsid w:val="00CB308A"/>
    <w:rsid w:val="00CB3AE2"/>
    <w:rsid w:val="00CB41F8"/>
    <w:rsid w:val="00CB4C1B"/>
    <w:rsid w:val="00CB6924"/>
    <w:rsid w:val="00CB7574"/>
    <w:rsid w:val="00CC1DC9"/>
    <w:rsid w:val="00CD18E2"/>
    <w:rsid w:val="00CD1E55"/>
    <w:rsid w:val="00CD4590"/>
    <w:rsid w:val="00CD4C48"/>
    <w:rsid w:val="00CD7B63"/>
    <w:rsid w:val="00CD7D14"/>
    <w:rsid w:val="00CE04AD"/>
    <w:rsid w:val="00CE0A20"/>
    <w:rsid w:val="00CF2FBF"/>
    <w:rsid w:val="00CF4BB0"/>
    <w:rsid w:val="00CF6416"/>
    <w:rsid w:val="00CF722A"/>
    <w:rsid w:val="00CF7C7D"/>
    <w:rsid w:val="00D0285D"/>
    <w:rsid w:val="00D03BBC"/>
    <w:rsid w:val="00D116B2"/>
    <w:rsid w:val="00D11E8A"/>
    <w:rsid w:val="00D177BD"/>
    <w:rsid w:val="00D209ED"/>
    <w:rsid w:val="00D2435A"/>
    <w:rsid w:val="00D25E51"/>
    <w:rsid w:val="00D3067D"/>
    <w:rsid w:val="00D3266B"/>
    <w:rsid w:val="00D32AFC"/>
    <w:rsid w:val="00D35D8A"/>
    <w:rsid w:val="00D3738C"/>
    <w:rsid w:val="00D41E1F"/>
    <w:rsid w:val="00D42BCA"/>
    <w:rsid w:val="00D439EC"/>
    <w:rsid w:val="00D43FE5"/>
    <w:rsid w:val="00D44183"/>
    <w:rsid w:val="00D47654"/>
    <w:rsid w:val="00D50911"/>
    <w:rsid w:val="00D5095E"/>
    <w:rsid w:val="00D5165D"/>
    <w:rsid w:val="00D51E76"/>
    <w:rsid w:val="00D56FBB"/>
    <w:rsid w:val="00D61301"/>
    <w:rsid w:val="00D62E32"/>
    <w:rsid w:val="00D6332D"/>
    <w:rsid w:val="00D66323"/>
    <w:rsid w:val="00D7356A"/>
    <w:rsid w:val="00D77FC1"/>
    <w:rsid w:val="00D802FE"/>
    <w:rsid w:val="00D80D1A"/>
    <w:rsid w:val="00D82402"/>
    <w:rsid w:val="00D83B0B"/>
    <w:rsid w:val="00D92947"/>
    <w:rsid w:val="00D975EF"/>
    <w:rsid w:val="00DA08F2"/>
    <w:rsid w:val="00DA28AE"/>
    <w:rsid w:val="00DA2BA5"/>
    <w:rsid w:val="00DA2FA3"/>
    <w:rsid w:val="00DA7EE1"/>
    <w:rsid w:val="00DB06C7"/>
    <w:rsid w:val="00DB2D79"/>
    <w:rsid w:val="00DB31CF"/>
    <w:rsid w:val="00DB3F49"/>
    <w:rsid w:val="00DB512F"/>
    <w:rsid w:val="00DB65CE"/>
    <w:rsid w:val="00DB715F"/>
    <w:rsid w:val="00DC0232"/>
    <w:rsid w:val="00DC262A"/>
    <w:rsid w:val="00DC3F4C"/>
    <w:rsid w:val="00DC45E2"/>
    <w:rsid w:val="00DC68E7"/>
    <w:rsid w:val="00DC77C0"/>
    <w:rsid w:val="00DD2822"/>
    <w:rsid w:val="00DD2EAA"/>
    <w:rsid w:val="00DD588F"/>
    <w:rsid w:val="00DE0BF9"/>
    <w:rsid w:val="00DE15F8"/>
    <w:rsid w:val="00DE22D0"/>
    <w:rsid w:val="00DE381B"/>
    <w:rsid w:val="00DE3C42"/>
    <w:rsid w:val="00DE482B"/>
    <w:rsid w:val="00DF0174"/>
    <w:rsid w:val="00DF1A88"/>
    <w:rsid w:val="00DF32CD"/>
    <w:rsid w:val="00DF4AC2"/>
    <w:rsid w:val="00DF51F4"/>
    <w:rsid w:val="00DF6A9E"/>
    <w:rsid w:val="00E06D46"/>
    <w:rsid w:val="00E0719E"/>
    <w:rsid w:val="00E07DC0"/>
    <w:rsid w:val="00E116DC"/>
    <w:rsid w:val="00E15121"/>
    <w:rsid w:val="00E17149"/>
    <w:rsid w:val="00E204CE"/>
    <w:rsid w:val="00E20DA9"/>
    <w:rsid w:val="00E25987"/>
    <w:rsid w:val="00E30D78"/>
    <w:rsid w:val="00E324E5"/>
    <w:rsid w:val="00E3468D"/>
    <w:rsid w:val="00E348EA"/>
    <w:rsid w:val="00E34B80"/>
    <w:rsid w:val="00E36124"/>
    <w:rsid w:val="00E364BF"/>
    <w:rsid w:val="00E37700"/>
    <w:rsid w:val="00E40D4C"/>
    <w:rsid w:val="00E42958"/>
    <w:rsid w:val="00E431FA"/>
    <w:rsid w:val="00E44B97"/>
    <w:rsid w:val="00E45882"/>
    <w:rsid w:val="00E555AB"/>
    <w:rsid w:val="00E555BD"/>
    <w:rsid w:val="00E55EB1"/>
    <w:rsid w:val="00E568DF"/>
    <w:rsid w:val="00E609CC"/>
    <w:rsid w:val="00E62520"/>
    <w:rsid w:val="00E64D74"/>
    <w:rsid w:val="00E654A5"/>
    <w:rsid w:val="00E6580F"/>
    <w:rsid w:val="00E65C75"/>
    <w:rsid w:val="00E71B41"/>
    <w:rsid w:val="00E7396F"/>
    <w:rsid w:val="00E756CB"/>
    <w:rsid w:val="00E77E1B"/>
    <w:rsid w:val="00E81C3C"/>
    <w:rsid w:val="00E820FC"/>
    <w:rsid w:val="00E827CC"/>
    <w:rsid w:val="00E8342A"/>
    <w:rsid w:val="00E83B7B"/>
    <w:rsid w:val="00E84FC9"/>
    <w:rsid w:val="00E8796C"/>
    <w:rsid w:val="00E87DB6"/>
    <w:rsid w:val="00E87DFC"/>
    <w:rsid w:val="00E900C7"/>
    <w:rsid w:val="00E90435"/>
    <w:rsid w:val="00E91792"/>
    <w:rsid w:val="00E91810"/>
    <w:rsid w:val="00E9450D"/>
    <w:rsid w:val="00E95CF4"/>
    <w:rsid w:val="00EA2174"/>
    <w:rsid w:val="00EA3795"/>
    <w:rsid w:val="00EA3A36"/>
    <w:rsid w:val="00EA3D6E"/>
    <w:rsid w:val="00EA58BA"/>
    <w:rsid w:val="00EB0678"/>
    <w:rsid w:val="00EB5F5E"/>
    <w:rsid w:val="00EB7B0C"/>
    <w:rsid w:val="00EC0F50"/>
    <w:rsid w:val="00EC1389"/>
    <w:rsid w:val="00EC1A99"/>
    <w:rsid w:val="00EC206E"/>
    <w:rsid w:val="00EC2A42"/>
    <w:rsid w:val="00EC5408"/>
    <w:rsid w:val="00EC6D78"/>
    <w:rsid w:val="00ED4FAF"/>
    <w:rsid w:val="00ED71DB"/>
    <w:rsid w:val="00ED7DC6"/>
    <w:rsid w:val="00EE097C"/>
    <w:rsid w:val="00EF6194"/>
    <w:rsid w:val="00F030F4"/>
    <w:rsid w:val="00F058A4"/>
    <w:rsid w:val="00F06386"/>
    <w:rsid w:val="00F064C5"/>
    <w:rsid w:val="00F06B43"/>
    <w:rsid w:val="00F07C14"/>
    <w:rsid w:val="00F14268"/>
    <w:rsid w:val="00F158E2"/>
    <w:rsid w:val="00F25F6C"/>
    <w:rsid w:val="00F26789"/>
    <w:rsid w:val="00F308C0"/>
    <w:rsid w:val="00F31D86"/>
    <w:rsid w:val="00F35D89"/>
    <w:rsid w:val="00F3602E"/>
    <w:rsid w:val="00F42D9A"/>
    <w:rsid w:val="00F457D9"/>
    <w:rsid w:val="00F47CA5"/>
    <w:rsid w:val="00F50732"/>
    <w:rsid w:val="00F518A4"/>
    <w:rsid w:val="00F51ABB"/>
    <w:rsid w:val="00F55E58"/>
    <w:rsid w:val="00F61FD3"/>
    <w:rsid w:val="00F62612"/>
    <w:rsid w:val="00F62F9B"/>
    <w:rsid w:val="00F64347"/>
    <w:rsid w:val="00F64FFC"/>
    <w:rsid w:val="00F655D0"/>
    <w:rsid w:val="00F67396"/>
    <w:rsid w:val="00F67432"/>
    <w:rsid w:val="00F6787C"/>
    <w:rsid w:val="00F71206"/>
    <w:rsid w:val="00F7373F"/>
    <w:rsid w:val="00F752CA"/>
    <w:rsid w:val="00F7567D"/>
    <w:rsid w:val="00F778E9"/>
    <w:rsid w:val="00F85535"/>
    <w:rsid w:val="00F92BB2"/>
    <w:rsid w:val="00F940EE"/>
    <w:rsid w:val="00F943A5"/>
    <w:rsid w:val="00F9488D"/>
    <w:rsid w:val="00F94A03"/>
    <w:rsid w:val="00F94B4C"/>
    <w:rsid w:val="00F969F3"/>
    <w:rsid w:val="00F9774C"/>
    <w:rsid w:val="00FA6547"/>
    <w:rsid w:val="00FA6BD9"/>
    <w:rsid w:val="00FA72A4"/>
    <w:rsid w:val="00FA72CC"/>
    <w:rsid w:val="00FA7312"/>
    <w:rsid w:val="00FB1801"/>
    <w:rsid w:val="00FB212E"/>
    <w:rsid w:val="00FB4F69"/>
    <w:rsid w:val="00FB5C42"/>
    <w:rsid w:val="00FB6DA7"/>
    <w:rsid w:val="00FC0BD6"/>
    <w:rsid w:val="00FC4632"/>
    <w:rsid w:val="00FC607E"/>
    <w:rsid w:val="00FC7CD7"/>
    <w:rsid w:val="00FD5F63"/>
    <w:rsid w:val="00FD6583"/>
    <w:rsid w:val="00FE0E2B"/>
    <w:rsid w:val="00FE1003"/>
    <w:rsid w:val="00FE13B6"/>
    <w:rsid w:val="00FE1868"/>
    <w:rsid w:val="00FE2C94"/>
    <w:rsid w:val="00FE488D"/>
    <w:rsid w:val="00FE4EE5"/>
    <w:rsid w:val="00FE50DB"/>
    <w:rsid w:val="00FE6FCF"/>
    <w:rsid w:val="00FE78B3"/>
    <w:rsid w:val="00FE7E58"/>
    <w:rsid w:val="00FF14D1"/>
    <w:rsid w:val="00FF2B10"/>
    <w:rsid w:val="00FF37FC"/>
    <w:rsid w:val="00FF5FF4"/>
    <w:rsid w:val="00FF6EA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89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D20"/>
    <w:pPr>
      <w:spacing w:after="120" w:line="264" w:lineRule="auto"/>
    </w:pPr>
  </w:style>
  <w:style w:type="paragraph" w:styleId="Heading1">
    <w:name w:val="heading 1"/>
    <w:basedOn w:val="Normal"/>
    <w:next w:val="Normal"/>
    <w:link w:val="Heading1Char"/>
    <w:uiPriority w:val="9"/>
    <w:qFormat/>
    <w:rsid w:val="003443C3"/>
    <w:pPr>
      <w:widowControl w:val="0"/>
      <w:autoSpaceDE w:val="0"/>
      <w:spacing w:after="0" w:line="360" w:lineRule="auto"/>
      <w:jc w:val="center"/>
      <w:outlineLvl w:val="0"/>
    </w:pPr>
    <w:rPr>
      <w:rFonts w:ascii="Times New Roman" w:hAnsi="Times New Roman"/>
      <w:b/>
      <w:bCs/>
      <w:sz w:val="28"/>
      <w:szCs w:val="24"/>
    </w:rPr>
  </w:style>
  <w:style w:type="paragraph" w:styleId="Heading2">
    <w:name w:val="heading 2"/>
    <w:basedOn w:val="ListParagraph"/>
    <w:next w:val="Normal"/>
    <w:link w:val="Heading2Char"/>
    <w:uiPriority w:val="9"/>
    <w:unhideWhenUsed/>
    <w:qFormat/>
    <w:rsid w:val="003443C3"/>
    <w:pPr>
      <w:widowControl w:val="0"/>
      <w:numPr>
        <w:ilvl w:val="1"/>
        <w:numId w:val="3"/>
      </w:numPr>
      <w:autoSpaceDE w:val="0"/>
      <w:spacing w:after="0" w:line="360" w:lineRule="auto"/>
      <w:jc w:val="both"/>
      <w:outlineLvl w:val="1"/>
    </w:pPr>
    <w:rPr>
      <w:rFonts w:ascii="Times New Roman" w:hAnsi="Times New Roman"/>
      <w:b/>
      <w:bCs/>
      <w:sz w:val="28"/>
      <w:szCs w:val="24"/>
    </w:rPr>
  </w:style>
  <w:style w:type="paragraph" w:styleId="Heading3">
    <w:name w:val="heading 3"/>
    <w:basedOn w:val="ListParagraph"/>
    <w:next w:val="Normal"/>
    <w:link w:val="Heading3Char"/>
    <w:uiPriority w:val="9"/>
    <w:unhideWhenUsed/>
    <w:qFormat/>
    <w:rsid w:val="003443C3"/>
    <w:pPr>
      <w:widowControl w:val="0"/>
      <w:numPr>
        <w:ilvl w:val="2"/>
        <w:numId w:val="3"/>
      </w:numPr>
      <w:overflowPunct w:val="0"/>
      <w:autoSpaceDE w:val="0"/>
      <w:spacing w:after="0" w:line="360" w:lineRule="auto"/>
      <w:jc w:val="both"/>
      <w:outlineLvl w:val="2"/>
    </w:pPr>
    <w:rPr>
      <w:rFonts w:ascii="Times New Roman" w:hAnsi="Times New Roman"/>
      <w:b/>
      <w:sz w:val="28"/>
      <w:szCs w:val="24"/>
    </w:rPr>
  </w:style>
  <w:style w:type="paragraph" w:styleId="Heading4">
    <w:name w:val="heading 4"/>
    <w:basedOn w:val="Normal"/>
    <w:next w:val="Normal"/>
    <w:link w:val="Heading4Char"/>
    <w:uiPriority w:val="9"/>
    <w:unhideWhenUsed/>
    <w:qFormat/>
    <w:rsid w:val="00AE4976"/>
    <w:pPr>
      <w:widowControl w:val="0"/>
      <w:overflowPunct w:val="0"/>
      <w:autoSpaceDE w:val="0"/>
      <w:spacing w:after="0" w:line="360" w:lineRule="auto"/>
      <w:jc w:val="center"/>
      <w:outlineLvl w:val="3"/>
    </w:pPr>
    <w:rPr>
      <w:rFonts w:ascii="Times New Roman" w:hAnsi="Times New Roman"/>
      <w:b/>
      <w:sz w:val="24"/>
      <w:szCs w:val="24"/>
    </w:rPr>
  </w:style>
  <w:style w:type="paragraph" w:styleId="Heading5">
    <w:name w:val="heading 5"/>
    <w:basedOn w:val="Normal"/>
    <w:next w:val="Normal"/>
    <w:link w:val="Heading5Char"/>
    <w:uiPriority w:val="9"/>
    <w:semiHidden/>
    <w:unhideWhenUsed/>
    <w:qFormat/>
    <w:rsid w:val="0095400B"/>
    <w:pPr>
      <w:keepNext/>
      <w:keepLines/>
      <w:spacing w:before="40" w:after="0"/>
      <w:outlineLvl w:val="4"/>
    </w:pPr>
    <w:rPr>
      <w:rFonts w:ascii="Calibri Light" w:hAnsi="Calibri Light"/>
      <w:color w:val="44546A"/>
      <w:sz w:val="22"/>
      <w:szCs w:val="22"/>
    </w:rPr>
  </w:style>
  <w:style w:type="paragraph" w:styleId="Heading6">
    <w:name w:val="heading 6"/>
    <w:basedOn w:val="Normal"/>
    <w:next w:val="Normal"/>
    <w:link w:val="Heading6Char"/>
    <w:uiPriority w:val="9"/>
    <w:semiHidden/>
    <w:unhideWhenUsed/>
    <w:qFormat/>
    <w:rsid w:val="0095400B"/>
    <w:pPr>
      <w:keepNext/>
      <w:keepLines/>
      <w:spacing w:before="40" w:after="0"/>
      <w:outlineLvl w:val="5"/>
    </w:pPr>
    <w:rPr>
      <w:rFonts w:ascii="Calibri Light" w:hAnsi="Calibri Light"/>
      <w:i/>
      <w:iCs/>
      <w:color w:val="44546A"/>
      <w:sz w:val="21"/>
      <w:szCs w:val="21"/>
    </w:rPr>
  </w:style>
  <w:style w:type="paragraph" w:styleId="Heading7">
    <w:name w:val="heading 7"/>
    <w:basedOn w:val="Normal"/>
    <w:next w:val="Normal"/>
    <w:link w:val="Heading7Char"/>
    <w:uiPriority w:val="9"/>
    <w:semiHidden/>
    <w:unhideWhenUsed/>
    <w:qFormat/>
    <w:rsid w:val="0095400B"/>
    <w:pPr>
      <w:keepNext/>
      <w:keepLines/>
      <w:spacing w:before="40" w:after="0"/>
      <w:outlineLvl w:val="6"/>
    </w:pPr>
    <w:rPr>
      <w:rFonts w:ascii="Calibri Light" w:hAnsi="Calibri Light"/>
      <w:i/>
      <w:iCs/>
      <w:color w:val="1F4E79"/>
      <w:sz w:val="21"/>
      <w:szCs w:val="21"/>
    </w:rPr>
  </w:style>
  <w:style w:type="paragraph" w:styleId="Heading8">
    <w:name w:val="heading 8"/>
    <w:basedOn w:val="Normal"/>
    <w:next w:val="Normal"/>
    <w:link w:val="Heading8Char"/>
    <w:uiPriority w:val="9"/>
    <w:semiHidden/>
    <w:unhideWhenUsed/>
    <w:qFormat/>
    <w:rsid w:val="0095400B"/>
    <w:pPr>
      <w:keepNext/>
      <w:keepLines/>
      <w:spacing w:before="40" w:after="0"/>
      <w:outlineLvl w:val="7"/>
    </w:pPr>
    <w:rPr>
      <w:rFonts w:ascii="Calibri Light" w:hAnsi="Calibri Light"/>
      <w:b/>
      <w:bCs/>
      <w:color w:val="44546A"/>
    </w:rPr>
  </w:style>
  <w:style w:type="paragraph" w:styleId="Heading9">
    <w:name w:val="heading 9"/>
    <w:basedOn w:val="Normal"/>
    <w:next w:val="Normal"/>
    <w:link w:val="Heading9Char"/>
    <w:uiPriority w:val="9"/>
    <w:semiHidden/>
    <w:unhideWhenUsed/>
    <w:qFormat/>
    <w:rsid w:val="0095400B"/>
    <w:pPr>
      <w:keepNext/>
      <w:keepLines/>
      <w:spacing w:before="40" w:after="0"/>
      <w:outlineLvl w:val="8"/>
    </w:pPr>
    <w:rPr>
      <w:rFonts w:ascii="Calibri Light" w:hAnsi="Calibri Light"/>
      <w:b/>
      <w:bCs/>
      <w:i/>
      <w:iCs/>
      <w:color w:val="44546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gc">
    <w:name w:val="_tgc"/>
    <w:rsid w:val="00534FB6"/>
  </w:style>
  <w:style w:type="paragraph" w:styleId="ListParagraph">
    <w:name w:val="List Paragraph"/>
    <w:basedOn w:val="Normal"/>
    <w:uiPriority w:val="34"/>
    <w:qFormat/>
    <w:rsid w:val="00534FB6"/>
    <w:pPr>
      <w:ind w:left="720"/>
      <w:contextualSpacing/>
    </w:pPr>
  </w:style>
  <w:style w:type="paragraph" w:customStyle="1" w:styleId="Default">
    <w:name w:val="Default"/>
    <w:rsid w:val="00534FB6"/>
    <w:pPr>
      <w:suppressAutoHyphens/>
      <w:autoSpaceDE w:val="0"/>
    </w:pPr>
    <w:rPr>
      <w:rFonts w:ascii="Times New Roman" w:eastAsia="Calibri" w:hAnsi="Times New Roman"/>
      <w:color w:val="000000"/>
      <w:sz w:val="24"/>
      <w:szCs w:val="24"/>
      <w:lang w:eastAsia="zh-CN"/>
    </w:rPr>
  </w:style>
  <w:style w:type="paragraph" w:styleId="NoSpacing">
    <w:name w:val="No Spacing"/>
    <w:uiPriority w:val="1"/>
    <w:qFormat/>
    <w:rsid w:val="0095400B"/>
  </w:style>
  <w:style w:type="paragraph" w:styleId="Footer">
    <w:name w:val="footer"/>
    <w:basedOn w:val="Normal"/>
    <w:link w:val="FooterChar"/>
    <w:rsid w:val="00534FB6"/>
    <w:pPr>
      <w:tabs>
        <w:tab w:val="center" w:pos="4680"/>
        <w:tab w:val="right" w:pos="9360"/>
      </w:tabs>
      <w:spacing w:after="0" w:line="240" w:lineRule="auto"/>
    </w:pPr>
  </w:style>
  <w:style w:type="character" w:customStyle="1" w:styleId="FooterChar">
    <w:name w:val="Footer Char"/>
    <w:link w:val="Footer"/>
    <w:rsid w:val="00534FB6"/>
    <w:rPr>
      <w:rFonts w:ascii="Calibri" w:eastAsia="Calibri" w:hAnsi="Calibri" w:cs="Times New Roman"/>
      <w:lang w:eastAsia="zh-CN"/>
    </w:rPr>
  </w:style>
  <w:style w:type="paragraph" w:styleId="Header">
    <w:name w:val="header"/>
    <w:basedOn w:val="Normal"/>
    <w:link w:val="HeaderChar"/>
    <w:uiPriority w:val="99"/>
    <w:unhideWhenUsed/>
    <w:rsid w:val="001A565E"/>
    <w:pPr>
      <w:tabs>
        <w:tab w:val="center" w:pos="4680"/>
        <w:tab w:val="right" w:pos="9360"/>
      </w:tabs>
      <w:spacing w:after="0" w:line="240" w:lineRule="auto"/>
    </w:pPr>
  </w:style>
  <w:style w:type="character" w:customStyle="1" w:styleId="HeaderChar">
    <w:name w:val="Header Char"/>
    <w:link w:val="Header"/>
    <w:uiPriority w:val="99"/>
    <w:rsid w:val="001A565E"/>
    <w:rPr>
      <w:rFonts w:ascii="Calibri" w:eastAsia="Calibri" w:hAnsi="Calibri" w:cs="Times New Roman"/>
      <w:lang w:eastAsia="zh-CN"/>
    </w:rPr>
  </w:style>
  <w:style w:type="table" w:styleId="TableGrid">
    <w:name w:val="Table Grid"/>
    <w:basedOn w:val="TableNormal"/>
    <w:uiPriority w:val="39"/>
    <w:rsid w:val="00A030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uiPriority w:val="9"/>
    <w:rsid w:val="003443C3"/>
    <w:rPr>
      <w:rFonts w:ascii="Times New Roman" w:hAnsi="Times New Roman"/>
      <w:b/>
      <w:bCs/>
      <w:sz w:val="28"/>
      <w:szCs w:val="24"/>
    </w:rPr>
  </w:style>
  <w:style w:type="character" w:customStyle="1" w:styleId="Heading2Char">
    <w:name w:val="Heading 2 Char"/>
    <w:link w:val="Heading2"/>
    <w:uiPriority w:val="9"/>
    <w:rsid w:val="003443C3"/>
    <w:rPr>
      <w:rFonts w:ascii="Times New Roman" w:hAnsi="Times New Roman"/>
      <w:b/>
      <w:bCs/>
      <w:sz w:val="28"/>
      <w:szCs w:val="24"/>
    </w:rPr>
  </w:style>
  <w:style w:type="character" w:customStyle="1" w:styleId="Heading3Char">
    <w:name w:val="Heading 3 Char"/>
    <w:link w:val="Heading3"/>
    <w:uiPriority w:val="9"/>
    <w:rsid w:val="003443C3"/>
    <w:rPr>
      <w:rFonts w:ascii="Times New Roman" w:hAnsi="Times New Roman"/>
      <w:b/>
      <w:sz w:val="28"/>
      <w:szCs w:val="24"/>
    </w:rPr>
  </w:style>
  <w:style w:type="character" w:customStyle="1" w:styleId="Heading4Char">
    <w:name w:val="Heading 4 Char"/>
    <w:link w:val="Heading4"/>
    <w:uiPriority w:val="9"/>
    <w:rsid w:val="00AE4976"/>
    <w:rPr>
      <w:rFonts w:ascii="Times New Roman" w:hAnsi="Times New Roman"/>
      <w:b/>
      <w:sz w:val="24"/>
      <w:szCs w:val="24"/>
    </w:rPr>
  </w:style>
  <w:style w:type="character" w:customStyle="1" w:styleId="Heading5Char">
    <w:name w:val="Heading 5 Char"/>
    <w:link w:val="Heading5"/>
    <w:uiPriority w:val="9"/>
    <w:semiHidden/>
    <w:rsid w:val="0095400B"/>
    <w:rPr>
      <w:rFonts w:ascii="Calibri Light" w:eastAsia="Times New Roman" w:hAnsi="Calibri Light" w:cs="Times New Roman"/>
      <w:color w:val="44546A"/>
      <w:sz w:val="22"/>
      <w:szCs w:val="22"/>
    </w:rPr>
  </w:style>
  <w:style w:type="character" w:customStyle="1" w:styleId="Heading6Char">
    <w:name w:val="Heading 6 Char"/>
    <w:link w:val="Heading6"/>
    <w:uiPriority w:val="9"/>
    <w:semiHidden/>
    <w:rsid w:val="0095400B"/>
    <w:rPr>
      <w:rFonts w:ascii="Calibri Light" w:eastAsia="Times New Roman" w:hAnsi="Calibri Light" w:cs="Times New Roman"/>
      <w:i/>
      <w:iCs/>
      <w:color w:val="44546A"/>
      <w:sz w:val="21"/>
      <w:szCs w:val="21"/>
    </w:rPr>
  </w:style>
  <w:style w:type="character" w:customStyle="1" w:styleId="Heading7Char">
    <w:name w:val="Heading 7 Char"/>
    <w:link w:val="Heading7"/>
    <w:uiPriority w:val="9"/>
    <w:semiHidden/>
    <w:rsid w:val="0095400B"/>
    <w:rPr>
      <w:rFonts w:ascii="Calibri Light" w:eastAsia="Times New Roman" w:hAnsi="Calibri Light" w:cs="Times New Roman"/>
      <w:i/>
      <w:iCs/>
      <w:color w:val="1F4E79"/>
      <w:sz w:val="21"/>
      <w:szCs w:val="21"/>
    </w:rPr>
  </w:style>
  <w:style w:type="character" w:customStyle="1" w:styleId="Heading8Char">
    <w:name w:val="Heading 8 Char"/>
    <w:link w:val="Heading8"/>
    <w:uiPriority w:val="9"/>
    <w:semiHidden/>
    <w:rsid w:val="0095400B"/>
    <w:rPr>
      <w:rFonts w:ascii="Calibri Light" w:eastAsia="Times New Roman" w:hAnsi="Calibri Light" w:cs="Times New Roman"/>
      <w:b/>
      <w:bCs/>
      <w:color w:val="44546A"/>
    </w:rPr>
  </w:style>
  <w:style w:type="character" w:customStyle="1" w:styleId="Heading9Char">
    <w:name w:val="Heading 9 Char"/>
    <w:link w:val="Heading9"/>
    <w:uiPriority w:val="9"/>
    <w:semiHidden/>
    <w:rsid w:val="0095400B"/>
    <w:rPr>
      <w:rFonts w:ascii="Calibri Light" w:eastAsia="Times New Roman" w:hAnsi="Calibri Light" w:cs="Times New Roman"/>
      <w:b/>
      <w:bCs/>
      <w:i/>
      <w:iCs/>
      <w:color w:val="44546A"/>
    </w:rPr>
  </w:style>
  <w:style w:type="paragraph" w:styleId="Caption">
    <w:name w:val="caption"/>
    <w:basedOn w:val="Normal"/>
    <w:next w:val="Normal"/>
    <w:uiPriority w:val="35"/>
    <w:semiHidden/>
    <w:unhideWhenUsed/>
    <w:qFormat/>
    <w:rsid w:val="0095400B"/>
    <w:pPr>
      <w:spacing w:line="240" w:lineRule="auto"/>
    </w:pPr>
    <w:rPr>
      <w:b/>
      <w:bCs/>
      <w:smallCaps/>
      <w:color w:val="595959"/>
      <w:spacing w:val="6"/>
    </w:rPr>
  </w:style>
  <w:style w:type="paragraph" w:styleId="Title">
    <w:name w:val="Title"/>
    <w:basedOn w:val="Normal"/>
    <w:next w:val="Normal"/>
    <w:link w:val="TitleChar"/>
    <w:uiPriority w:val="10"/>
    <w:qFormat/>
    <w:rsid w:val="0095400B"/>
    <w:pPr>
      <w:spacing w:after="0" w:line="240" w:lineRule="auto"/>
      <w:contextualSpacing/>
    </w:pPr>
    <w:rPr>
      <w:rFonts w:ascii="Calibri Light" w:hAnsi="Calibri Light"/>
      <w:color w:val="5B9BD5"/>
      <w:spacing w:val="-10"/>
      <w:sz w:val="56"/>
      <w:szCs w:val="56"/>
    </w:rPr>
  </w:style>
  <w:style w:type="character" w:customStyle="1" w:styleId="TitleChar">
    <w:name w:val="Title Char"/>
    <w:link w:val="Title"/>
    <w:uiPriority w:val="10"/>
    <w:rsid w:val="0095400B"/>
    <w:rPr>
      <w:rFonts w:ascii="Calibri Light" w:eastAsia="Times New Roman" w:hAnsi="Calibri Light" w:cs="Times New Roman"/>
      <w:color w:val="5B9BD5"/>
      <w:spacing w:val="-10"/>
      <w:sz w:val="56"/>
      <w:szCs w:val="56"/>
    </w:rPr>
  </w:style>
  <w:style w:type="paragraph" w:styleId="Subtitle">
    <w:name w:val="Subtitle"/>
    <w:basedOn w:val="Normal"/>
    <w:next w:val="Normal"/>
    <w:link w:val="SubtitleChar"/>
    <w:uiPriority w:val="11"/>
    <w:qFormat/>
    <w:rsid w:val="0095400B"/>
    <w:pPr>
      <w:numPr>
        <w:ilvl w:val="1"/>
      </w:numPr>
      <w:spacing w:line="240" w:lineRule="auto"/>
    </w:pPr>
    <w:rPr>
      <w:rFonts w:ascii="Calibri Light" w:hAnsi="Calibri Light"/>
      <w:sz w:val="24"/>
      <w:szCs w:val="24"/>
    </w:rPr>
  </w:style>
  <w:style w:type="character" w:customStyle="1" w:styleId="SubtitleChar">
    <w:name w:val="Subtitle Char"/>
    <w:link w:val="Subtitle"/>
    <w:uiPriority w:val="11"/>
    <w:rsid w:val="0095400B"/>
    <w:rPr>
      <w:rFonts w:ascii="Calibri Light" w:eastAsia="Times New Roman" w:hAnsi="Calibri Light" w:cs="Times New Roman"/>
      <w:sz w:val="24"/>
      <w:szCs w:val="24"/>
    </w:rPr>
  </w:style>
  <w:style w:type="character" w:styleId="Strong">
    <w:name w:val="Strong"/>
    <w:uiPriority w:val="22"/>
    <w:qFormat/>
    <w:rsid w:val="0095400B"/>
    <w:rPr>
      <w:b/>
      <w:bCs/>
    </w:rPr>
  </w:style>
  <w:style w:type="character" w:styleId="Emphasis">
    <w:name w:val="Emphasis"/>
    <w:uiPriority w:val="20"/>
    <w:qFormat/>
    <w:rsid w:val="0095400B"/>
    <w:rPr>
      <w:i/>
      <w:iCs/>
    </w:rPr>
  </w:style>
  <w:style w:type="paragraph" w:styleId="Quote">
    <w:name w:val="Quote"/>
    <w:basedOn w:val="Normal"/>
    <w:next w:val="Normal"/>
    <w:link w:val="QuoteChar"/>
    <w:uiPriority w:val="29"/>
    <w:qFormat/>
    <w:rsid w:val="0095400B"/>
    <w:pPr>
      <w:spacing w:before="160"/>
      <w:ind w:left="720" w:right="720"/>
    </w:pPr>
    <w:rPr>
      <w:i/>
      <w:iCs/>
      <w:color w:val="404040"/>
    </w:rPr>
  </w:style>
  <w:style w:type="character" w:customStyle="1" w:styleId="QuoteChar">
    <w:name w:val="Quote Char"/>
    <w:link w:val="Quote"/>
    <w:uiPriority w:val="29"/>
    <w:rsid w:val="0095400B"/>
    <w:rPr>
      <w:i/>
      <w:iCs/>
      <w:color w:val="404040"/>
    </w:rPr>
  </w:style>
  <w:style w:type="paragraph" w:styleId="IntenseQuote">
    <w:name w:val="Intense Quote"/>
    <w:basedOn w:val="Normal"/>
    <w:next w:val="Normal"/>
    <w:link w:val="IntenseQuoteChar"/>
    <w:uiPriority w:val="30"/>
    <w:qFormat/>
    <w:rsid w:val="0095400B"/>
    <w:pPr>
      <w:pBdr>
        <w:left w:val="single" w:sz="18" w:space="12" w:color="5B9BD5"/>
      </w:pBdr>
      <w:spacing w:before="100" w:beforeAutospacing="1" w:line="300" w:lineRule="auto"/>
      <w:ind w:left="1224" w:right="1224"/>
    </w:pPr>
    <w:rPr>
      <w:rFonts w:ascii="Calibri Light" w:hAnsi="Calibri Light"/>
      <w:color w:val="5B9BD5"/>
      <w:sz w:val="28"/>
      <w:szCs w:val="28"/>
    </w:rPr>
  </w:style>
  <w:style w:type="character" w:customStyle="1" w:styleId="IntenseQuoteChar">
    <w:name w:val="Intense Quote Char"/>
    <w:link w:val="IntenseQuote"/>
    <w:uiPriority w:val="30"/>
    <w:rsid w:val="0095400B"/>
    <w:rPr>
      <w:rFonts w:ascii="Calibri Light" w:eastAsia="Times New Roman" w:hAnsi="Calibri Light" w:cs="Times New Roman"/>
      <w:color w:val="5B9BD5"/>
      <w:sz w:val="28"/>
      <w:szCs w:val="28"/>
    </w:rPr>
  </w:style>
  <w:style w:type="character" w:styleId="SubtleEmphasis">
    <w:name w:val="Subtle Emphasis"/>
    <w:uiPriority w:val="19"/>
    <w:qFormat/>
    <w:rsid w:val="0095400B"/>
    <w:rPr>
      <w:i/>
      <w:iCs/>
      <w:color w:val="404040"/>
    </w:rPr>
  </w:style>
  <w:style w:type="character" w:styleId="IntenseEmphasis">
    <w:name w:val="Intense Emphasis"/>
    <w:uiPriority w:val="21"/>
    <w:qFormat/>
    <w:rsid w:val="0095400B"/>
    <w:rPr>
      <w:b/>
      <w:bCs/>
      <w:i/>
      <w:iCs/>
    </w:rPr>
  </w:style>
  <w:style w:type="character" w:styleId="SubtleReference">
    <w:name w:val="Subtle Reference"/>
    <w:uiPriority w:val="31"/>
    <w:qFormat/>
    <w:rsid w:val="0095400B"/>
    <w:rPr>
      <w:smallCaps/>
      <w:color w:val="404040"/>
      <w:u w:val="single" w:color="7F7F7F"/>
    </w:rPr>
  </w:style>
  <w:style w:type="character" w:styleId="IntenseReference">
    <w:name w:val="Intense Reference"/>
    <w:uiPriority w:val="32"/>
    <w:qFormat/>
    <w:rsid w:val="0095400B"/>
    <w:rPr>
      <w:b/>
      <w:bCs/>
      <w:smallCaps/>
      <w:spacing w:val="5"/>
      <w:u w:val="single"/>
    </w:rPr>
  </w:style>
  <w:style w:type="character" w:styleId="BookTitle">
    <w:name w:val="Book Title"/>
    <w:uiPriority w:val="33"/>
    <w:qFormat/>
    <w:rsid w:val="0095400B"/>
    <w:rPr>
      <w:b/>
      <w:bCs/>
      <w:smallCaps/>
    </w:rPr>
  </w:style>
  <w:style w:type="paragraph" w:styleId="TOCHeading">
    <w:name w:val="TOC Heading"/>
    <w:basedOn w:val="Heading1"/>
    <w:next w:val="Normal"/>
    <w:uiPriority w:val="39"/>
    <w:unhideWhenUsed/>
    <w:qFormat/>
    <w:rsid w:val="0095400B"/>
    <w:pPr>
      <w:outlineLvl w:val="9"/>
    </w:pPr>
  </w:style>
  <w:style w:type="table" w:customStyle="1" w:styleId="TableGrid1">
    <w:name w:val="Table Grid1"/>
    <w:basedOn w:val="TableNormal"/>
    <w:next w:val="TableGrid"/>
    <w:uiPriority w:val="39"/>
    <w:rsid w:val="001E7BE5"/>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10FF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10FF8"/>
    <w:rPr>
      <w:rFonts w:ascii="Segoe UI" w:hAnsi="Segoe UI" w:cs="Segoe UI"/>
      <w:sz w:val="18"/>
      <w:szCs w:val="18"/>
    </w:rPr>
  </w:style>
  <w:style w:type="character" w:styleId="CommentReference">
    <w:name w:val="annotation reference"/>
    <w:uiPriority w:val="99"/>
    <w:semiHidden/>
    <w:unhideWhenUsed/>
    <w:rsid w:val="008D1FAE"/>
    <w:rPr>
      <w:sz w:val="16"/>
      <w:szCs w:val="16"/>
    </w:rPr>
  </w:style>
  <w:style w:type="paragraph" w:styleId="CommentText">
    <w:name w:val="annotation text"/>
    <w:basedOn w:val="Normal"/>
    <w:link w:val="CommentTextChar"/>
    <w:uiPriority w:val="99"/>
    <w:semiHidden/>
    <w:unhideWhenUsed/>
    <w:rsid w:val="008D1FAE"/>
  </w:style>
  <w:style w:type="character" w:customStyle="1" w:styleId="CommentTextChar">
    <w:name w:val="Comment Text Char"/>
    <w:basedOn w:val="DefaultParagraphFont"/>
    <w:link w:val="CommentText"/>
    <w:uiPriority w:val="99"/>
    <w:semiHidden/>
    <w:rsid w:val="008D1FAE"/>
  </w:style>
  <w:style w:type="paragraph" w:styleId="CommentSubject">
    <w:name w:val="annotation subject"/>
    <w:basedOn w:val="CommentText"/>
    <w:next w:val="CommentText"/>
    <w:link w:val="CommentSubjectChar"/>
    <w:uiPriority w:val="99"/>
    <w:semiHidden/>
    <w:unhideWhenUsed/>
    <w:rsid w:val="008D1FAE"/>
    <w:rPr>
      <w:b/>
      <w:bCs/>
    </w:rPr>
  </w:style>
  <w:style w:type="character" w:customStyle="1" w:styleId="CommentSubjectChar">
    <w:name w:val="Comment Subject Char"/>
    <w:link w:val="CommentSubject"/>
    <w:uiPriority w:val="99"/>
    <w:semiHidden/>
    <w:rsid w:val="008D1FAE"/>
    <w:rPr>
      <w:b/>
      <w:bCs/>
    </w:rPr>
  </w:style>
  <w:style w:type="character" w:styleId="Hyperlink">
    <w:name w:val="Hyperlink"/>
    <w:uiPriority w:val="99"/>
    <w:unhideWhenUsed/>
    <w:rsid w:val="00BE3110"/>
    <w:rPr>
      <w:color w:val="0563C1"/>
      <w:u w:val="single"/>
    </w:rPr>
  </w:style>
  <w:style w:type="character" w:customStyle="1" w:styleId="UnresolvedMention1">
    <w:name w:val="Unresolved Mention1"/>
    <w:uiPriority w:val="99"/>
    <w:semiHidden/>
    <w:unhideWhenUsed/>
    <w:rsid w:val="00BE3110"/>
    <w:rPr>
      <w:color w:val="605E5C"/>
      <w:shd w:val="clear" w:color="auto" w:fill="E1DFDD"/>
    </w:rPr>
  </w:style>
  <w:style w:type="paragraph" w:styleId="TOC2">
    <w:name w:val="toc 2"/>
    <w:basedOn w:val="Normal"/>
    <w:next w:val="Normal"/>
    <w:autoRedefine/>
    <w:uiPriority w:val="39"/>
    <w:unhideWhenUsed/>
    <w:rsid w:val="00024416"/>
    <w:pPr>
      <w:tabs>
        <w:tab w:val="right" w:leader="dot" w:pos="9771"/>
      </w:tabs>
      <w:ind w:left="200"/>
    </w:pPr>
    <w:rPr>
      <w:rFonts w:ascii="Times New Roman" w:hAnsi="Times New Roman"/>
      <w:noProof/>
      <w:sz w:val="24"/>
      <w:szCs w:val="24"/>
    </w:rPr>
  </w:style>
  <w:style w:type="paragraph" w:styleId="TOC1">
    <w:name w:val="toc 1"/>
    <w:basedOn w:val="Normal"/>
    <w:next w:val="Normal"/>
    <w:autoRedefine/>
    <w:uiPriority w:val="39"/>
    <w:unhideWhenUsed/>
    <w:rsid w:val="00BE3110"/>
  </w:style>
  <w:style w:type="paragraph" w:styleId="TOC3">
    <w:name w:val="toc 3"/>
    <w:basedOn w:val="Normal"/>
    <w:next w:val="Normal"/>
    <w:autoRedefine/>
    <w:uiPriority w:val="39"/>
    <w:unhideWhenUsed/>
    <w:rsid w:val="00BE3110"/>
    <w:pPr>
      <w:ind w:left="400"/>
    </w:pPr>
  </w:style>
  <w:style w:type="paragraph" w:styleId="TOC4">
    <w:name w:val="toc 4"/>
    <w:basedOn w:val="Normal"/>
    <w:next w:val="Normal"/>
    <w:autoRedefine/>
    <w:uiPriority w:val="39"/>
    <w:unhideWhenUsed/>
    <w:rsid w:val="00024416"/>
    <w:pPr>
      <w:tabs>
        <w:tab w:val="right" w:leader="dot" w:pos="8296"/>
      </w:tabs>
      <w:ind w:left="600"/>
      <w:jc w:val="both"/>
    </w:pPr>
    <w:rPr>
      <w:rFonts w:ascii="Times New Roman" w:eastAsia="Calibri" w:hAnsi="Times New Roman"/>
      <w:noProof/>
      <w:sz w:val="24"/>
      <w:szCs w:val="24"/>
    </w:rPr>
  </w:style>
  <w:style w:type="character" w:styleId="FollowedHyperlink">
    <w:name w:val="FollowedHyperlink"/>
    <w:uiPriority w:val="99"/>
    <w:semiHidden/>
    <w:unhideWhenUsed/>
    <w:rsid w:val="00BE3110"/>
    <w:rPr>
      <w:color w:val="954F72"/>
      <w:u w:val="single"/>
    </w:rPr>
  </w:style>
  <w:style w:type="table" w:customStyle="1" w:styleId="TableGrid0">
    <w:name w:val="TableGrid"/>
    <w:rsid w:val="00564F62"/>
    <w:rPr>
      <w:sz w:val="22"/>
      <w:szCs w:val="22"/>
    </w:rPr>
    <w:tblPr>
      <w:tblCellMar>
        <w:top w:w="0" w:type="dxa"/>
        <w:left w:w="0" w:type="dxa"/>
        <w:bottom w:w="0" w:type="dxa"/>
        <w:right w:w="0" w:type="dxa"/>
      </w:tblCellMar>
    </w:tblPr>
  </w:style>
  <w:style w:type="table" w:customStyle="1" w:styleId="TableGrid10">
    <w:name w:val="TableGrid1"/>
    <w:rsid w:val="00564F62"/>
    <w:rPr>
      <w:sz w:val="22"/>
      <w:szCs w:val="22"/>
    </w:rPr>
    <w:tblPr>
      <w:tblCellMar>
        <w:top w:w="0" w:type="dxa"/>
        <w:left w:w="0" w:type="dxa"/>
        <w:bottom w:w="0" w:type="dxa"/>
        <w:right w:w="0" w:type="dxa"/>
      </w:tblCellMar>
    </w:tblPr>
  </w:style>
  <w:style w:type="table" w:customStyle="1" w:styleId="TableGrid2">
    <w:name w:val="TableGrid2"/>
    <w:rsid w:val="00564F62"/>
    <w:rPr>
      <w:sz w:val="22"/>
      <w:szCs w:val="22"/>
    </w:rPr>
    <w:tblPr>
      <w:tblCellMar>
        <w:top w:w="0" w:type="dxa"/>
        <w:left w:w="0" w:type="dxa"/>
        <w:bottom w:w="0" w:type="dxa"/>
        <w:right w:w="0" w:type="dxa"/>
      </w:tblCellMar>
    </w:tblPr>
  </w:style>
  <w:style w:type="table" w:customStyle="1" w:styleId="ListTable6ColorfulAccent6">
    <w:name w:val="List Table 6 Colorful Accent 6"/>
    <w:basedOn w:val="TableNormal"/>
    <w:uiPriority w:val="51"/>
    <w:rsid w:val="00C1134B"/>
    <w:rPr>
      <w:color w:val="538135" w:themeColor="accent6" w:themeShade="BF"/>
    </w:rPr>
    <w:tblPr>
      <w:tblStyleRowBandSize w:val="1"/>
      <w:tblStyleColBandSize w:val="1"/>
      <w:tblInd w:w="0" w:type="dxa"/>
      <w:tblBorders>
        <w:top w:val="single" w:sz="4" w:space="0" w:color="70AD47" w:themeColor="accent6"/>
        <w:bottom w:val="single" w:sz="4" w:space="0" w:color="70AD47" w:themeColor="accent6"/>
      </w:tblBorders>
      <w:tblCellMar>
        <w:top w:w="0" w:type="dxa"/>
        <w:left w:w="108" w:type="dxa"/>
        <w:bottom w:w="0" w:type="dxa"/>
        <w:right w:w="108" w:type="dxa"/>
      </w:tblCellMar>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UnresolvedMention2">
    <w:name w:val="Unresolved Mention2"/>
    <w:basedOn w:val="DefaultParagraphFont"/>
    <w:uiPriority w:val="99"/>
    <w:semiHidden/>
    <w:unhideWhenUsed/>
    <w:rsid w:val="007B7F87"/>
    <w:rPr>
      <w:color w:val="605E5C"/>
      <w:shd w:val="clear" w:color="auto" w:fill="E1DFDD"/>
    </w:rPr>
  </w:style>
  <w:style w:type="paragraph" w:styleId="TableofFigures">
    <w:name w:val="table of figures"/>
    <w:basedOn w:val="Normal"/>
    <w:next w:val="Normal"/>
    <w:uiPriority w:val="99"/>
    <w:semiHidden/>
    <w:unhideWhenUsed/>
    <w:rsid w:val="003364B2"/>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D20"/>
    <w:pPr>
      <w:spacing w:after="120" w:line="264" w:lineRule="auto"/>
    </w:pPr>
  </w:style>
  <w:style w:type="paragraph" w:styleId="Heading1">
    <w:name w:val="heading 1"/>
    <w:basedOn w:val="Normal"/>
    <w:next w:val="Normal"/>
    <w:link w:val="Heading1Char"/>
    <w:uiPriority w:val="9"/>
    <w:qFormat/>
    <w:rsid w:val="003443C3"/>
    <w:pPr>
      <w:widowControl w:val="0"/>
      <w:autoSpaceDE w:val="0"/>
      <w:spacing w:after="0" w:line="360" w:lineRule="auto"/>
      <w:jc w:val="center"/>
      <w:outlineLvl w:val="0"/>
    </w:pPr>
    <w:rPr>
      <w:rFonts w:ascii="Times New Roman" w:hAnsi="Times New Roman"/>
      <w:b/>
      <w:bCs/>
      <w:sz w:val="28"/>
      <w:szCs w:val="24"/>
    </w:rPr>
  </w:style>
  <w:style w:type="paragraph" w:styleId="Heading2">
    <w:name w:val="heading 2"/>
    <w:basedOn w:val="ListParagraph"/>
    <w:next w:val="Normal"/>
    <w:link w:val="Heading2Char"/>
    <w:uiPriority w:val="9"/>
    <w:unhideWhenUsed/>
    <w:qFormat/>
    <w:rsid w:val="003443C3"/>
    <w:pPr>
      <w:widowControl w:val="0"/>
      <w:numPr>
        <w:ilvl w:val="1"/>
        <w:numId w:val="3"/>
      </w:numPr>
      <w:autoSpaceDE w:val="0"/>
      <w:spacing w:after="0" w:line="360" w:lineRule="auto"/>
      <w:jc w:val="both"/>
      <w:outlineLvl w:val="1"/>
    </w:pPr>
    <w:rPr>
      <w:rFonts w:ascii="Times New Roman" w:hAnsi="Times New Roman"/>
      <w:b/>
      <w:bCs/>
      <w:sz w:val="28"/>
      <w:szCs w:val="24"/>
    </w:rPr>
  </w:style>
  <w:style w:type="paragraph" w:styleId="Heading3">
    <w:name w:val="heading 3"/>
    <w:basedOn w:val="ListParagraph"/>
    <w:next w:val="Normal"/>
    <w:link w:val="Heading3Char"/>
    <w:uiPriority w:val="9"/>
    <w:unhideWhenUsed/>
    <w:qFormat/>
    <w:rsid w:val="003443C3"/>
    <w:pPr>
      <w:widowControl w:val="0"/>
      <w:numPr>
        <w:ilvl w:val="2"/>
        <w:numId w:val="3"/>
      </w:numPr>
      <w:overflowPunct w:val="0"/>
      <w:autoSpaceDE w:val="0"/>
      <w:spacing w:after="0" w:line="360" w:lineRule="auto"/>
      <w:jc w:val="both"/>
      <w:outlineLvl w:val="2"/>
    </w:pPr>
    <w:rPr>
      <w:rFonts w:ascii="Times New Roman" w:hAnsi="Times New Roman"/>
      <w:b/>
      <w:sz w:val="28"/>
      <w:szCs w:val="24"/>
    </w:rPr>
  </w:style>
  <w:style w:type="paragraph" w:styleId="Heading4">
    <w:name w:val="heading 4"/>
    <w:basedOn w:val="Normal"/>
    <w:next w:val="Normal"/>
    <w:link w:val="Heading4Char"/>
    <w:uiPriority w:val="9"/>
    <w:unhideWhenUsed/>
    <w:qFormat/>
    <w:rsid w:val="00AE4976"/>
    <w:pPr>
      <w:widowControl w:val="0"/>
      <w:overflowPunct w:val="0"/>
      <w:autoSpaceDE w:val="0"/>
      <w:spacing w:after="0" w:line="360" w:lineRule="auto"/>
      <w:jc w:val="center"/>
      <w:outlineLvl w:val="3"/>
    </w:pPr>
    <w:rPr>
      <w:rFonts w:ascii="Times New Roman" w:hAnsi="Times New Roman"/>
      <w:b/>
      <w:sz w:val="24"/>
      <w:szCs w:val="24"/>
    </w:rPr>
  </w:style>
  <w:style w:type="paragraph" w:styleId="Heading5">
    <w:name w:val="heading 5"/>
    <w:basedOn w:val="Normal"/>
    <w:next w:val="Normal"/>
    <w:link w:val="Heading5Char"/>
    <w:uiPriority w:val="9"/>
    <w:semiHidden/>
    <w:unhideWhenUsed/>
    <w:qFormat/>
    <w:rsid w:val="0095400B"/>
    <w:pPr>
      <w:keepNext/>
      <w:keepLines/>
      <w:spacing w:before="40" w:after="0"/>
      <w:outlineLvl w:val="4"/>
    </w:pPr>
    <w:rPr>
      <w:rFonts w:ascii="Calibri Light" w:hAnsi="Calibri Light"/>
      <w:color w:val="44546A"/>
      <w:sz w:val="22"/>
      <w:szCs w:val="22"/>
    </w:rPr>
  </w:style>
  <w:style w:type="paragraph" w:styleId="Heading6">
    <w:name w:val="heading 6"/>
    <w:basedOn w:val="Normal"/>
    <w:next w:val="Normal"/>
    <w:link w:val="Heading6Char"/>
    <w:uiPriority w:val="9"/>
    <w:semiHidden/>
    <w:unhideWhenUsed/>
    <w:qFormat/>
    <w:rsid w:val="0095400B"/>
    <w:pPr>
      <w:keepNext/>
      <w:keepLines/>
      <w:spacing w:before="40" w:after="0"/>
      <w:outlineLvl w:val="5"/>
    </w:pPr>
    <w:rPr>
      <w:rFonts w:ascii="Calibri Light" w:hAnsi="Calibri Light"/>
      <w:i/>
      <w:iCs/>
      <w:color w:val="44546A"/>
      <w:sz w:val="21"/>
      <w:szCs w:val="21"/>
    </w:rPr>
  </w:style>
  <w:style w:type="paragraph" w:styleId="Heading7">
    <w:name w:val="heading 7"/>
    <w:basedOn w:val="Normal"/>
    <w:next w:val="Normal"/>
    <w:link w:val="Heading7Char"/>
    <w:uiPriority w:val="9"/>
    <w:semiHidden/>
    <w:unhideWhenUsed/>
    <w:qFormat/>
    <w:rsid w:val="0095400B"/>
    <w:pPr>
      <w:keepNext/>
      <w:keepLines/>
      <w:spacing w:before="40" w:after="0"/>
      <w:outlineLvl w:val="6"/>
    </w:pPr>
    <w:rPr>
      <w:rFonts w:ascii="Calibri Light" w:hAnsi="Calibri Light"/>
      <w:i/>
      <w:iCs/>
      <w:color w:val="1F4E79"/>
      <w:sz w:val="21"/>
      <w:szCs w:val="21"/>
    </w:rPr>
  </w:style>
  <w:style w:type="paragraph" w:styleId="Heading8">
    <w:name w:val="heading 8"/>
    <w:basedOn w:val="Normal"/>
    <w:next w:val="Normal"/>
    <w:link w:val="Heading8Char"/>
    <w:uiPriority w:val="9"/>
    <w:semiHidden/>
    <w:unhideWhenUsed/>
    <w:qFormat/>
    <w:rsid w:val="0095400B"/>
    <w:pPr>
      <w:keepNext/>
      <w:keepLines/>
      <w:spacing w:before="40" w:after="0"/>
      <w:outlineLvl w:val="7"/>
    </w:pPr>
    <w:rPr>
      <w:rFonts w:ascii="Calibri Light" w:hAnsi="Calibri Light"/>
      <w:b/>
      <w:bCs/>
      <w:color w:val="44546A"/>
    </w:rPr>
  </w:style>
  <w:style w:type="paragraph" w:styleId="Heading9">
    <w:name w:val="heading 9"/>
    <w:basedOn w:val="Normal"/>
    <w:next w:val="Normal"/>
    <w:link w:val="Heading9Char"/>
    <w:uiPriority w:val="9"/>
    <w:semiHidden/>
    <w:unhideWhenUsed/>
    <w:qFormat/>
    <w:rsid w:val="0095400B"/>
    <w:pPr>
      <w:keepNext/>
      <w:keepLines/>
      <w:spacing w:before="40" w:after="0"/>
      <w:outlineLvl w:val="8"/>
    </w:pPr>
    <w:rPr>
      <w:rFonts w:ascii="Calibri Light" w:hAnsi="Calibri Light"/>
      <w:b/>
      <w:bCs/>
      <w:i/>
      <w:iCs/>
      <w:color w:val="44546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gc">
    <w:name w:val="_tgc"/>
    <w:rsid w:val="00534FB6"/>
  </w:style>
  <w:style w:type="paragraph" w:styleId="ListParagraph">
    <w:name w:val="List Paragraph"/>
    <w:basedOn w:val="Normal"/>
    <w:uiPriority w:val="34"/>
    <w:qFormat/>
    <w:rsid w:val="00534FB6"/>
    <w:pPr>
      <w:ind w:left="720"/>
      <w:contextualSpacing/>
    </w:pPr>
  </w:style>
  <w:style w:type="paragraph" w:customStyle="1" w:styleId="Default">
    <w:name w:val="Default"/>
    <w:rsid w:val="00534FB6"/>
    <w:pPr>
      <w:suppressAutoHyphens/>
      <w:autoSpaceDE w:val="0"/>
    </w:pPr>
    <w:rPr>
      <w:rFonts w:ascii="Times New Roman" w:eastAsia="Calibri" w:hAnsi="Times New Roman"/>
      <w:color w:val="000000"/>
      <w:sz w:val="24"/>
      <w:szCs w:val="24"/>
      <w:lang w:eastAsia="zh-CN"/>
    </w:rPr>
  </w:style>
  <w:style w:type="paragraph" w:styleId="NoSpacing">
    <w:name w:val="No Spacing"/>
    <w:uiPriority w:val="1"/>
    <w:qFormat/>
    <w:rsid w:val="0095400B"/>
  </w:style>
  <w:style w:type="paragraph" w:styleId="Footer">
    <w:name w:val="footer"/>
    <w:basedOn w:val="Normal"/>
    <w:link w:val="FooterChar"/>
    <w:rsid w:val="00534FB6"/>
    <w:pPr>
      <w:tabs>
        <w:tab w:val="center" w:pos="4680"/>
        <w:tab w:val="right" w:pos="9360"/>
      </w:tabs>
      <w:spacing w:after="0" w:line="240" w:lineRule="auto"/>
    </w:pPr>
  </w:style>
  <w:style w:type="character" w:customStyle="1" w:styleId="FooterChar">
    <w:name w:val="Footer Char"/>
    <w:link w:val="Footer"/>
    <w:rsid w:val="00534FB6"/>
    <w:rPr>
      <w:rFonts w:ascii="Calibri" w:eastAsia="Calibri" w:hAnsi="Calibri" w:cs="Times New Roman"/>
      <w:lang w:eastAsia="zh-CN"/>
    </w:rPr>
  </w:style>
  <w:style w:type="paragraph" w:styleId="Header">
    <w:name w:val="header"/>
    <w:basedOn w:val="Normal"/>
    <w:link w:val="HeaderChar"/>
    <w:uiPriority w:val="99"/>
    <w:unhideWhenUsed/>
    <w:rsid w:val="001A565E"/>
    <w:pPr>
      <w:tabs>
        <w:tab w:val="center" w:pos="4680"/>
        <w:tab w:val="right" w:pos="9360"/>
      </w:tabs>
      <w:spacing w:after="0" w:line="240" w:lineRule="auto"/>
    </w:pPr>
  </w:style>
  <w:style w:type="character" w:customStyle="1" w:styleId="HeaderChar">
    <w:name w:val="Header Char"/>
    <w:link w:val="Header"/>
    <w:uiPriority w:val="99"/>
    <w:rsid w:val="001A565E"/>
    <w:rPr>
      <w:rFonts w:ascii="Calibri" w:eastAsia="Calibri" w:hAnsi="Calibri" w:cs="Times New Roman"/>
      <w:lang w:eastAsia="zh-CN"/>
    </w:rPr>
  </w:style>
  <w:style w:type="table" w:styleId="TableGrid">
    <w:name w:val="Table Grid"/>
    <w:basedOn w:val="TableNormal"/>
    <w:uiPriority w:val="39"/>
    <w:rsid w:val="00A030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uiPriority w:val="9"/>
    <w:rsid w:val="003443C3"/>
    <w:rPr>
      <w:rFonts w:ascii="Times New Roman" w:hAnsi="Times New Roman"/>
      <w:b/>
      <w:bCs/>
      <w:sz w:val="28"/>
      <w:szCs w:val="24"/>
    </w:rPr>
  </w:style>
  <w:style w:type="character" w:customStyle="1" w:styleId="Heading2Char">
    <w:name w:val="Heading 2 Char"/>
    <w:link w:val="Heading2"/>
    <w:uiPriority w:val="9"/>
    <w:rsid w:val="003443C3"/>
    <w:rPr>
      <w:rFonts w:ascii="Times New Roman" w:hAnsi="Times New Roman"/>
      <w:b/>
      <w:bCs/>
      <w:sz w:val="28"/>
      <w:szCs w:val="24"/>
    </w:rPr>
  </w:style>
  <w:style w:type="character" w:customStyle="1" w:styleId="Heading3Char">
    <w:name w:val="Heading 3 Char"/>
    <w:link w:val="Heading3"/>
    <w:uiPriority w:val="9"/>
    <w:rsid w:val="003443C3"/>
    <w:rPr>
      <w:rFonts w:ascii="Times New Roman" w:hAnsi="Times New Roman"/>
      <w:b/>
      <w:sz w:val="28"/>
      <w:szCs w:val="24"/>
    </w:rPr>
  </w:style>
  <w:style w:type="character" w:customStyle="1" w:styleId="Heading4Char">
    <w:name w:val="Heading 4 Char"/>
    <w:link w:val="Heading4"/>
    <w:uiPriority w:val="9"/>
    <w:rsid w:val="00AE4976"/>
    <w:rPr>
      <w:rFonts w:ascii="Times New Roman" w:hAnsi="Times New Roman"/>
      <w:b/>
      <w:sz w:val="24"/>
      <w:szCs w:val="24"/>
    </w:rPr>
  </w:style>
  <w:style w:type="character" w:customStyle="1" w:styleId="Heading5Char">
    <w:name w:val="Heading 5 Char"/>
    <w:link w:val="Heading5"/>
    <w:uiPriority w:val="9"/>
    <w:semiHidden/>
    <w:rsid w:val="0095400B"/>
    <w:rPr>
      <w:rFonts w:ascii="Calibri Light" w:eastAsia="Times New Roman" w:hAnsi="Calibri Light" w:cs="Times New Roman"/>
      <w:color w:val="44546A"/>
      <w:sz w:val="22"/>
      <w:szCs w:val="22"/>
    </w:rPr>
  </w:style>
  <w:style w:type="character" w:customStyle="1" w:styleId="Heading6Char">
    <w:name w:val="Heading 6 Char"/>
    <w:link w:val="Heading6"/>
    <w:uiPriority w:val="9"/>
    <w:semiHidden/>
    <w:rsid w:val="0095400B"/>
    <w:rPr>
      <w:rFonts w:ascii="Calibri Light" w:eastAsia="Times New Roman" w:hAnsi="Calibri Light" w:cs="Times New Roman"/>
      <w:i/>
      <w:iCs/>
      <w:color w:val="44546A"/>
      <w:sz w:val="21"/>
      <w:szCs w:val="21"/>
    </w:rPr>
  </w:style>
  <w:style w:type="character" w:customStyle="1" w:styleId="Heading7Char">
    <w:name w:val="Heading 7 Char"/>
    <w:link w:val="Heading7"/>
    <w:uiPriority w:val="9"/>
    <w:semiHidden/>
    <w:rsid w:val="0095400B"/>
    <w:rPr>
      <w:rFonts w:ascii="Calibri Light" w:eastAsia="Times New Roman" w:hAnsi="Calibri Light" w:cs="Times New Roman"/>
      <w:i/>
      <w:iCs/>
      <w:color w:val="1F4E79"/>
      <w:sz w:val="21"/>
      <w:szCs w:val="21"/>
    </w:rPr>
  </w:style>
  <w:style w:type="character" w:customStyle="1" w:styleId="Heading8Char">
    <w:name w:val="Heading 8 Char"/>
    <w:link w:val="Heading8"/>
    <w:uiPriority w:val="9"/>
    <w:semiHidden/>
    <w:rsid w:val="0095400B"/>
    <w:rPr>
      <w:rFonts w:ascii="Calibri Light" w:eastAsia="Times New Roman" w:hAnsi="Calibri Light" w:cs="Times New Roman"/>
      <w:b/>
      <w:bCs/>
      <w:color w:val="44546A"/>
    </w:rPr>
  </w:style>
  <w:style w:type="character" w:customStyle="1" w:styleId="Heading9Char">
    <w:name w:val="Heading 9 Char"/>
    <w:link w:val="Heading9"/>
    <w:uiPriority w:val="9"/>
    <w:semiHidden/>
    <w:rsid w:val="0095400B"/>
    <w:rPr>
      <w:rFonts w:ascii="Calibri Light" w:eastAsia="Times New Roman" w:hAnsi="Calibri Light" w:cs="Times New Roman"/>
      <w:b/>
      <w:bCs/>
      <w:i/>
      <w:iCs/>
      <w:color w:val="44546A"/>
    </w:rPr>
  </w:style>
  <w:style w:type="paragraph" w:styleId="Caption">
    <w:name w:val="caption"/>
    <w:basedOn w:val="Normal"/>
    <w:next w:val="Normal"/>
    <w:uiPriority w:val="35"/>
    <w:semiHidden/>
    <w:unhideWhenUsed/>
    <w:qFormat/>
    <w:rsid w:val="0095400B"/>
    <w:pPr>
      <w:spacing w:line="240" w:lineRule="auto"/>
    </w:pPr>
    <w:rPr>
      <w:b/>
      <w:bCs/>
      <w:smallCaps/>
      <w:color w:val="595959"/>
      <w:spacing w:val="6"/>
    </w:rPr>
  </w:style>
  <w:style w:type="paragraph" w:styleId="Title">
    <w:name w:val="Title"/>
    <w:basedOn w:val="Normal"/>
    <w:next w:val="Normal"/>
    <w:link w:val="TitleChar"/>
    <w:uiPriority w:val="10"/>
    <w:qFormat/>
    <w:rsid w:val="0095400B"/>
    <w:pPr>
      <w:spacing w:after="0" w:line="240" w:lineRule="auto"/>
      <w:contextualSpacing/>
    </w:pPr>
    <w:rPr>
      <w:rFonts w:ascii="Calibri Light" w:hAnsi="Calibri Light"/>
      <w:color w:val="5B9BD5"/>
      <w:spacing w:val="-10"/>
      <w:sz w:val="56"/>
      <w:szCs w:val="56"/>
    </w:rPr>
  </w:style>
  <w:style w:type="character" w:customStyle="1" w:styleId="TitleChar">
    <w:name w:val="Title Char"/>
    <w:link w:val="Title"/>
    <w:uiPriority w:val="10"/>
    <w:rsid w:val="0095400B"/>
    <w:rPr>
      <w:rFonts w:ascii="Calibri Light" w:eastAsia="Times New Roman" w:hAnsi="Calibri Light" w:cs="Times New Roman"/>
      <w:color w:val="5B9BD5"/>
      <w:spacing w:val="-10"/>
      <w:sz w:val="56"/>
      <w:szCs w:val="56"/>
    </w:rPr>
  </w:style>
  <w:style w:type="paragraph" w:styleId="Subtitle">
    <w:name w:val="Subtitle"/>
    <w:basedOn w:val="Normal"/>
    <w:next w:val="Normal"/>
    <w:link w:val="SubtitleChar"/>
    <w:uiPriority w:val="11"/>
    <w:qFormat/>
    <w:rsid w:val="0095400B"/>
    <w:pPr>
      <w:numPr>
        <w:ilvl w:val="1"/>
      </w:numPr>
      <w:spacing w:line="240" w:lineRule="auto"/>
    </w:pPr>
    <w:rPr>
      <w:rFonts w:ascii="Calibri Light" w:hAnsi="Calibri Light"/>
      <w:sz w:val="24"/>
      <w:szCs w:val="24"/>
    </w:rPr>
  </w:style>
  <w:style w:type="character" w:customStyle="1" w:styleId="SubtitleChar">
    <w:name w:val="Subtitle Char"/>
    <w:link w:val="Subtitle"/>
    <w:uiPriority w:val="11"/>
    <w:rsid w:val="0095400B"/>
    <w:rPr>
      <w:rFonts w:ascii="Calibri Light" w:eastAsia="Times New Roman" w:hAnsi="Calibri Light" w:cs="Times New Roman"/>
      <w:sz w:val="24"/>
      <w:szCs w:val="24"/>
    </w:rPr>
  </w:style>
  <w:style w:type="character" w:styleId="Strong">
    <w:name w:val="Strong"/>
    <w:uiPriority w:val="22"/>
    <w:qFormat/>
    <w:rsid w:val="0095400B"/>
    <w:rPr>
      <w:b/>
      <w:bCs/>
    </w:rPr>
  </w:style>
  <w:style w:type="character" w:styleId="Emphasis">
    <w:name w:val="Emphasis"/>
    <w:uiPriority w:val="20"/>
    <w:qFormat/>
    <w:rsid w:val="0095400B"/>
    <w:rPr>
      <w:i/>
      <w:iCs/>
    </w:rPr>
  </w:style>
  <w:style w:type="paragraph" w:styleId="Quote">
    <w:name w:val="Quote"/>
    <w:basedOn w:val="Normal"/>
    <w:next w:val="Normal"/>
    <w:link w:val="QuoteChar"/>
    <w:uiPriority w:val="29"/>
    <w:qFormat/>
    <w:rsid w:val="0095400B"/>
    <w:pPr>
      <w:spacing w:before="160"/>
      <w:ind w:left="720" w:right="720"/>
    </w:pPr>
    <w:rPr>
      <w:i/>
      <w:iCs/>
      <w:color w:val="404040"/>
    </w:rPr>
  </w:style>
  <w:style w:type="character" w:customStyle="1" w:styleId="QuoteChar">
    <w:name w:val="Quote Char"/>
    <w:link w:val="Quote"/>
    <w:uiPriority w:val="29"/>
    <w:rsid w:val="0095400B"/>
    <w:rPr>
      <w:i/>
      <w:iCs/>
      <w:color w:val="404040"/>
    </w:rPr>
  </w:style>
  <w:style w:type="paragraph" w:styleId="IntenseQuote">
    <w:name w:val="Intense Quote"/>
    <w:basedOn w:val="Normal"/>
    <w:next w:val="Normal"/>
    <w:link w:val="IntenseQuoteChar"/>
    <w:uiPriority w:val="30"/>
    <w:qFormat/>
    <w:rsid w:val="0095400B"/>
    <w:pPr>
      <w:pBdr>
        <w:left w:val="single" w:sz="18" w:space="12" w:color="5B9BD5"/>
      </w:pBdr>
      <w:spacing w:before="100" w:beforeAutospacing="1" w:line="300" w:lineRule="auto"/>
      <w:ind w:left="1224" w:right="1224"/>
    </w:pPr>
    <w:rPr>
      <w:rFonts w:ascii="Calibri Light" w:hAnsi="Calibri Light"/>
      <w:color w:val="5B9BD5"/>
      <w:sz w:val="28"/>
      <w:szCs w:val="28"/>
    </w:rPr>
  </w:style>
  <w:style w:type="character" w:customStyle="1" w:styleId="IntenseQuoteChar">
    <w:name w:val="Intense Quote Char"/>
    <w:link w:val="IntenseQuote"/>
    <w:uiPriority w:val="30"/>
    <w:rsid w:val="0095400B"/>
    <w:rPr>
      <w:rFonts w:ascii="Calibri Light" w:eastAsia="Times New Roman" w:hAnsi="Calibri Light" w:cs="Times New Roman"/>
      <w:color w:val="5B9BD5"/>
      <w:sz w:val="28"/>
      <w:szCs w:val="28"/>
    </w:rPr>
  </w:style>
  <w:style w:type="character" w:styleId="SubtleEmphasis">
    <w:name w:val="Subtle Emphasis"/>
    <w:uiPriority w:val="19"/>
    <w:qFormat/>
    <w:rsid w:val="0095400B"/>
    <w:rPr>
      <w:i/>
      <w:iCs/>
      <w:color w:val="404040"/>
    </w:rPr>
  </w:style>
  <w:style w:type="character" w:styleId="IntenseEmphasis">
    <w:name w:val="Intense Emphasis"/>
    <w:uiPriority w:val="21"/>
    <w:qFormat/>
    <w:rsid w:val="0095400B"/>
    <w:rPr>
      <w:b/>
      <w:bCs/>
      <w:i/>
      <w:iCs/>
    </w:rPr>
  </w:style>
  <w:style w:type="character" w:styleId="SubtleReference">
    <w:name w:val="Subtle Reference"/>
    <w:uiPriority w:val="31"/>
    <w:qFormat/>
    <w:rsid w:val="0095400B"/>
    <w:rPr>
      <w:smallCaps/>
      <w:color w:val="404040"/>
      <w:u w:val="single" w:color="7F7F7F"/>
    </w:rPr>
  </w:style>
  <w:style w:type="character" w:styleId="IntenseReference">
    <w:name w:val="Intense Reference"/>
    <w:uiPriority w:val="32"/>
    <w:qFormat/>
    <w:rsid w:val="0095400B"/>
    <w:rPr>
      <w:b/>
      <w:bCs/>
      <w:smallCaps/>
      <w:spacing w:val="5"/>
      <w:u w:val="single"/>
    </w:rPr>
  </w:style>
  <w:style w:type="character" w:styleId="BookTitle">
    <w:name w:val="Book Title"/>
    <w:uiPriority w:val="33"/>
    <w:qFormat/>
    <w:rsid w:val="0095400B"/>
    <w:rPr>
      <w:b/>
      <w:bCs/>
      <w:smallCaps/>
    </w:rPr>
  </w:style>
  <w:style w:type="paragraph" w:styleId="TOCHeading">
    <w:name w:val="TOC Heading"/>
    <w:basedOn w:val="Heading1"/>
    <w:next w:val="Normal"/>
    <w:uiPriority w:val="39"/>
    <w:unhideWhenUsed/>
    <w:qFormat/>
    <w:rsid w:val="0095400B"/>
    <w:pPr>
      <w:outlineLvl w:val="9"/>
    </w:pPr>
  </w:style>
  <w:style w:type="table" w:customStyle="1" w:styleId="TableGrid1">
    <w:name w:val="Table Grid1"/>
    <w:basedOn w:val="TableNormal"/>
    <w:next w:val="TableGrid"/>
    <w:uiPriority w:val="39"/>
    <w:rsid w:val="001E7BE5"/>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10FF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10FF8"/>
    <w:rPr>
      <w:rFonts w:ascii="Segoe UI" w:hAnsi="Segoe UI" w:cs="Segoe UI"/>
      <w:sz w:val="18"/>
      <w:szCs w:val="18"/>
    </w:rPr>
  </w:style>
  <w:style w:type="character" w:styleId="CommentReference">
    <w:name w:val="annotation reference"/>
    <w:uiPriority w:val="99"/>
    <w:semiHidden/>
    <w:unhideWhenUsed/>
    <w:rsid w:val="008D1FAE"/>
    <w:rPr>
      <w:sz w:val="16"/>
      <w:szCs w:val="16"/>
    </w:rPr>
  </w:style>
  <w:style w:type="paragraph" w:styleId="CommentText">
    <w:name w:val="annotation text"/>
    <w:basedOn w:val="Normal"/>
    <w:link w:val="CommentTextChar"/>
    <w:uiPriority w:val="99"/>
    <w:semiHidden/>
    <w:unhideWhenUsed/>
    <w:rsid w:val="008D1FAE"/>
  </w:style>
  <w:style w:type="character" w:customStyle="1" w:styleId="CommentTextChar">
    <w:name w:val="Comment Text Char"/>
    <w:basedOn w:val="DefaultParagraphFont"/>
    <w:link w:val="CommentText"/>
    <w:uiPriority w:val="99"/>
    <w:semiHidden/>
    <w:rsid w:val="008D1FAE"/>
  </w:style>
  <w:style w:type="paragraph" w:styleId="CommentSubject">
    <w:name w:val="annotation subject"/>
    <w:basedOn w:val="CommentText"/>
    <w:next w:val="CommentText"/>
    <w:link w:val="CommentSubjectChar"/>
    <w:uiPriority w:val="99"/>
    <w:semiHidden/>
    <w:unhideWhenUsed/>
    <w:rsid w:val="008D1FAE"/>
    <w:rPr>
      <w:b/>
      <w:bCs/>
    </w:rPr>
  </w:style>
  <w:style w:type="character" w:customStyle="1" w:styleId="CommentSubjectChar">
    <w:name w:val="Comment Subject Char"/>
    <w:link w:val="CommentSubject"/>
    <w:uiPriority w:val="99"/>
    <w:semiHidden/>
    <w:rsid w:val="008D1FAE"/>
    <w:rPr>
      <w:b/>
      <w:bCs/>
    </w:rPr>
  </w:style>
  <w:style w:type="character" w:styleId="Hyperlink">
    <w:name w:val="Hyperlink"/>
    <w:uiPriority w:val="99"/>
    <w:unhideWhenUsed/>
    <w:rsid w:val="00BE3110"/>
    <w:rPr>
      <w:color w:val="0563C1"/>
      <w:u w:val="single"/>
    </w:rPr>
  </w:style>
  <w:style w:type="character" w:customStyle="1" w:styleId="UnresolvedMention1">
    <w:name w:val="Unresolved Mention1"/>
    <w:uiPriority w:val="99"/>
    <w:semiHidden/>
    <w:unhideWhenUsed/>
    <w:rsid w:val="00BE3110"/>
    <w:rPr>
      <w:color w:val="605E5C"/>
      <w:shd w:val="clear" w:color="auto" w:fill="E1DFDD"/>
    </w:rPr>
  </w:style>
  <w:style w:type="paragraph" w:styleId="TOC2">
    <w:name w:val="toc 2"/>
    <w:basedOn w:val="Normal"/>
    <w:next w:val="Normal"/>
    <w:autoRedefine/>
    <w:uiPriority w:val="39"/>
    <w:unhideWhenUsed/>
    <w:rsid w:val="00024416"/>
    <w:pPr>
      <w:tabs>
        <w:tab w:val="right" w:leader="dot" w:pos="9771"/>
      </w:tabs>
      <w:ind w:left="200"/>
    </w:pPr>
    <w:rPr>
      <w:rFonts w:ascii="Times New Roman" w:hAnsi="Times New Roman"/>
      <w:noProof/>
      <w:sz w:val="24"/>
      <w:szCs w:val="24"/>
    </w:rPr>
  </w:style>
  <w:style w:type="paragraph" w:styleId="TOC1">
    <w:name w:val="toc 1"/>
    <w:basedOn w:val="Normal"/>
    <w:next w:val="Normal"/>
    <w:autoRedefine/>
    <w:uiPriority w:val="39"/>
    <w:unhideWhenUsed/>
    <w:rsid w:val="00BE3110"/>
  </w:style>
  <w:style w:type="paragraph" w:styleId="TOC3">
    <w:name w:val="toc 3"/>
    <w:basedOn w:val="Normal"/>
    <w:next w:val="Normal"/>
    <w:autoRedefine/>
    <w:uiPriority w:val="39"/>
    <w:unhideWhenUsed/>
    <w:rsid w:val="00BE3110"/>
    <w:pPr>
      <w:ind w:left="400"/>
    </w:pPr>
  </w:style>
  <w:style w:type="paragraph" w:styleId="TOC4">
    <w:name w:val="toc 4"/>
    <w:basedOn w:val="Normal"/>
    <w:next w:val="Normal"/>
    <w:autoRedefine/>
    <w:uiPriority w:val="39"/>
    <w:unhideWhenUsed/>
    <w:rsid w:val="00024416"/>
    <w:pPr>
      <w:tabs>
        <w:tab w:val="right" w:leader="dot" w:pos="8296"/>
      </w:tabs>
      <w:ind w:left="600"/>
      <w:jc w:val="both"/>
    </w:pPr>
    <w:rPr>
      <w:rFonts w:ascii="Times New Roman" w:eastAsia="Calibri" w:hAnsi="Times New Roman"/>
      <w:noProof/>
      <w:sz w:val="24"/>
      <w:szCs w:val="24"/>
    </w:rPr>
  </w:style>
  <w:style w:type="character" w:styleId="FollowedHyperlink">
    <w:name w:val="FollowedHyperlink"/>
    <w:uiPriority w:val="99"/>
    <w:semiHidden/>
    <w:unhideWhenUsed/>
    <w:rsid w:val="00BE3110"/>
    <w:rPr>
      <w:color w:val="954F72"/>
      <w:u w:val="single"/>
    </w:rPr>
  </w:style>
  <w:style w:type="table" w:customStyle="1" w:styleId="TableGrid0">
    <w:name w:val="TableGrid"/>
    <w:rsid w:val="00564F62"/>
    <w:rPr>
      <w:sz w:val="22"/>
      <w:szCs w:val="22"/>
    </w:rPr>
    <w:tblPr>
      <w:tblCellMar>
        <w:top w:w="0" w:type="dxa"/>
        <w:left w:w="0" w:type="dxa"/>
        <w:bottom w:w="0" w:type="dxa"/>
        <w:right w:w="0" w:type="dxa"/>
      </w:tblCellMar>
    </w:tblPr>
  </w:style>
  <w:style w:type="table" w:customStyle="1" w:styleId="TableGrid10">
    <w:name w:val="TableGrid1"/>
    <w:rsid w:val="00564F62"/>
    <w:rPr>
      <w:sz w:val="22"/>
      <w:szCs w:val="22"/>
    </w:rPr>
    <w:tblPr>
      <w:tblCellMar>
        <w:top w:w="0" w:type="dxa"/>
        <w:left w:w="0" w:type="dxa"/>
        <w:bottom w:w="0" w:type="dxa"/>
        <w:right w:w="0" w:type="dxa"/>
      </w:tblCellMar>
    </w:tblPr>
  </w:style>
  <w:style w:type="table" w:customStyle="1" w:styleId="TableGrid2">
    <w:name w:val="TableGrid2"/>
    <w:rsid w:val="00564F62"/>
    <w:rPr>
      <w:sz w:val="22"/>
      <w:szCs w:val="22"/>
    </w:rPr>
    <w:tblPr>
      <w:tblCellMar>
        <w:top w:w="0" w:type="dxa"/>
        <w:left w:w="0" w:type="dxa"/>
        <w:bottom w:w="0" w:type="dxa"/>
        <w:right w:w="0" w:type="dxa"/>
      </w:tblCellMar>
    </w:tblPr>
  </w:style>
  <w:style w:type="table" w:customStyle="1" w:styleId="ListTable6ColorfulAccent6">
    <w:name w:val="List Table 6 Colorful Accent 6"/>
    <w:basedOn w:val="TableNormal"/>
    <w:uiPriority w:val="51"/>
    <w:rsid w:val="00C1134B"/>
    <w:rPr>
      <w:color w:val="538135" w:themeColor="accent6" w:themeShade="BF"/>
    </w:rPr>
    <w:tblPr>
      <w:tblStyleRowBandSize w:val="1"/>
      <w:tblStyleColBandSize w:val="1"/>
      <w:tblInd w:w="0" w:type="dxa"/>
      <w:tblBorders>
        <w:top w:val="single" w:sz="4" w:space="0" w:color="70AD47" w:themeColor="accent6"/>
        <w:bottom w:val="single" w:sz="4" w:space="0" w:color="70AD47" w:themeColor="accent6"/>
      </w:tblBorders>
      <w:tblCellMar>
        <w:top w:w="0" w:type="dxa"/>
        <w:left w:w="108" w:type="dxa"/>
        <w:bottom w:w="0" w:type="dxa"/>
        <w:right w:w="108" w:type="dxa"/>
      </w:tblCellMar>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UnresolvedMention2">
    <w:name w:val="Unresolved Mention2"/>
    <w:basedOn w:val="DefaultParagraphFont"/>
    <w:uiPriority w:val="99"/>
    <w:semiHidden/>
    <w:unhideWhenUsed/>
    <w:rsid w:val="007B7F87"/>
    <w:rPr>
      <w:color w:val="605E5C"/>
      <w:shd w:val="clear" w:color="auto" w:fill="E1DFDD"/>
    </w:rPr>
  </w:style>
  <w:style w:type="paragraph" w:styleId="TableofFigures">
    <w:name w:val="table of figures"/>
    <w:basedOn w:val="Normal"/>
    <w:next w:val="Normal"/>
    <w:uiPriority w:val="99"/>
    <w:semiHidden/>
    <w:unhideWhenUsed/>
    <w:rsid w:val="003364B2"/>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8791380">
      <w:bodyDiv w:val="1"/>
      <w:marLeft w:val="0"/>
      <w:marRight w:val="0"/>
      <w:marTop w:val="0"/>
      <w:marBottom w:val="0"/>
      <w:divBdr>
        <w:top w:val="none" w:sz="0" w:space="0" w:color="auto"/>
        <w:left w:val="none" w:sz="0" w:space="0" w:color="auto"/>
        <w:bottom w:val="none" w:sz="0" w:space="0" w:color="auto"/>
        <w:right w:val="none" w:sz="0" w:space="0" w:color="auto"/>
      </w:divBdr>
    </w:div>
    <w:div w:id="1209301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mpra.ub.uni-muenchen.de/50383/" TargetMode="External"/><Relationship Id="rId4" Type="http://schemas.microsoft.com/office/2007/relationships/stylesWithEffects" Target="stylesWithEffects.xml"/><Relationship Id="rId9" Type="http://schemas.openxmlformats.org/officeDocument/2006/relationships/hyperlink" Target="http://eserver.kabarak.ac.ke/OCS/index.php/conf05/conf05/paper/view/1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Aki19</b:Tag>
    <b:SourceType>Book</b:SourceType>
    <b:Guid>{AB418431-CB59-4489-BAAE-6AA04C0EB319}</b:Guid>
    <b:Author>
      <b:Author>
        <b:NameList>
          <b:Person>
            <b:Last>Akinieye</b:Last>
            <b:First>G.</b:First>
            <b:Middle>T</b:Middle>
          </b:Person>
        </b:NameList>
      </b:Author>
    </b:Author>
    <b:Title>Asset Utilization and performance of manufacturing firms in Nigeria</b:Title>
    <b:Year>2019</b:Year>
    <b:Publisher>International Journal of Business management</b:Publisher>
    <b:Volume>14(4), 107-115</b:Volume>
    <b:RefOrder>1</b:RefOrder>
  </b:Source>
</b:Sources>
</file>

<file path=customXml/itemProps1.xml><?xml version="1.0" encoding="utf-8"?>
<ds:datastoreItem xmlns:ds="http://schemas.openxmlformats.org/officeDocument/2006/customXml" ds:itemID="{5F795327-9AB6-4D99-8658-3B28DB8C2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6288</Words>
  <Characters>35846</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42050</CharactersWithSpaces>
  <SharedDoc>false</SharedDoc>
  <HLinks>
    <vt:vector size="252" baseType="variant">
      <vt:variant>
        <vt:i4>6881407</vt:i4>
      </vt:variant>
      <vt:variant>
        <vt:i4>252</vt:i4>
      </vt:variant>
      <vt:variant>
        <vt:i4>0</vt:i4>
      </vt:variant>
      <vt:variant>
        <vt:i4>5</vt:i4>
      </vt:variant>
      <vt:variant>
        <vt:lpwstr>https://mpra.ub.uni-muenchen.de/50383/</vt:lpwstr>
      </vt:variant>
      <vt:variant>
        <vt:lpwstr/>
      </vt:variant>
      <vt:variant>
        <vt:i4>1310769</vt:i4>
      </vt:variant>
      <vt:variant>
        <vt:i4>243</vt:i4>
      </vt:variant>
      <vt:variant>
        <vt:i4>0</vt:i4>
      </vt:variant>
      <vt:variant>
        <vt:i4>5</vt:i4>
      </vt:variant>
      <vt:variant>
        <vt:lpwstr/>
      </vt:variant>
      <vt:variant>
        <vt:lpwstr>_Toc121252418</vt:lpwstr>
      </vt:variant>
      <vt:variant>
        <vt:i4>1310769</vt:i4>
      </vt:variant>
      <vt:variant>
        <vt:i4>237</vt:i4>
      </vt:variant>
      <vt:variant>
        <vt:i4>0</vt:i4>
      </vt:variant>
      <vt:variant>
        <vt:i4>5</vt:i4>
      </vt:variant>
      <vt:variant>
        <vt:lpwstr/>
      </vt:variant>
      <vt:variant>
        <vt:lpwstr>_Toc121252417</vt:lpwstr>
      </vt:variant>
      <vt:variant>
        <vt:i4>1376305</vt:i4>
      </vt:variant>
      <vt:variant>
        <vt:i4>231</vt:i4>
      </vt:variant>
      <vt:variant>
        <vt:i4>0</vt:i4>
      </vt:variant>
      <vt:variant>
        <vt:i4>5</vt:i4>
      </vt:variant>
      <vt:variant>
        <vt:lpwstr/>
      </vt:variant>
      <vt:variant>
        <vt:lpwstr>_Toc121252407</vt:lpwstr>
      </vt:variant>
      <vt:variant>
        <vt:i4>1376306</vt:i4>
      </vt:variant>
      <vt:variant>
        <vt:i4>224</vt:i4>
      </vt:variant>
      <vt:variant>
        <vt:i4>0</vt:i4>
      </vt:variant>
      <vt:variant>
        <vt:i4>5</vt:i4>
      </vt:variant>
      <vt:variant>
        <vt:lpwstr/>
      </vt:variant>
      <vt:variant>
        <vt:lpwstr>_Toc130544707</vt:lpwstr>
      </vt:variant>
      <vt:variant>
        <vt:i4>1376306</vt:i4>
      </vt:variant>
      <vt:variant>
        <vt:i4>218</vt:i4>
      </vt:variant>
      <vt:variant>
        <vt:i4>0</vt:i4>
      </vt:variant>
      <vt:variant>
        <vt:i4>5</vt:i4>
      </vt:variant>
      <vt:variant>
        <vt:lpwstr/>
      </vt:variant>
      <vt:variant>
        <vt:lpwstr>_Toc130544706</vt:lpwstr>
      </vt:variant>
      <vt:variant>
        <vt:i4>1376306</vt:i4>
      </vt:variant>
      <vt:variant>
        <vt:i4>212</vt:i4>
      </vt:variant>
      <vt:variant>
        <vt:i4>0</vt:i4>
      </vt:variant>
      <vt:variant>
        <vt:i4>5</vt:i4>
      </vt:variant>
      <vt:variant>
        <vt:lpwstr/>
      </vt:variant>
      <vt:variant>
        <vt:lpwstr>_Toc130544705</vt:lpwstr>
      </vt:variant>
      <vt:variant>
        <vt:i4>1376306</vt:i4>
      </vt:variant>
      <vt:variant>
        <vt:i4>206</vt:i4>
      </vt:variant>
      <vt:variant>
        <vt:i4>0</vt:i4>
      </vt:variant>
      <vt:variant>
        <vt:i4>5</vt:i4>
      </vt:variant>
      <vt:variant>
        <vt:lpwstr/>
      </vt:variant>
      <vt:variant>
        <vt:lpwstr>_Toc130544704</vt:lpwstr>
      </vt:variant>
      <vt:variant>
        <vt:i4>1376306</vt:i4>
      </vt:variant>
      <vt:variant>
        <vt:i4>200</vt:i4>
      </vt:variant>
      <vt:variant>
        <vt:i4>0</vt:i4>
      </vt:variant>
      <vt:variant>
        <vt:i4>5</vt:i4>
      </vt:variant>
      <vt:variant>
        <vt:lpwstr/>
      </vt:variant>
      <vt:variant>
        <vt:lpwstr>_Toc130544703</vt:lpwstr>
      </vt:variant>
      <vt:variant>
        <vt:i4>1376306</vt:i4>
      </vt:variant>
      <vt:variant>
        <vt:i4>194</vt:i4>
      </vt:variant>
      <vt:variant>
        <vt:i4>0</vt:i4>
      </vt:variant>
      <vt:variant>
        <vt:i4>5</vt:i4>
      </vt:variant>
      <vt:variant>
        <vt:lpwstr/>
      </vt:variant>
      <vt:variant>
        <vt:lpwstr>_Toc130544702</vt:lpwstr>
      </vt:variant>
      <vt:variant>
        <vt:i4>1376306</vt:i4>
      </vt:variant>
      <vt:variant>
        <vt:i4>188</vt:i4>
      </vt:variant>
      <vt:variant>
        <vt:i4>0</vt:i4>
      </vt:variant>
      <vt:variant>
        <vt:i4>5</vt:i4>
      </vt:variant>
      <vt:variant>
        <vt:lpwstr/>
      </vt:variant>
      <vt:variant>
        <vt:lpwstr>_Toc130544701</vt:lpwstr>
      </vt:variant>
      <vt:variant>
        <vt:i4>1376306</vt:i4>
      </vt:variant>
      <vt:variant>
        <vt:i4>182</vt:i4>
      </vt:variant>
      <vt:variant>
        <vt:i4>0</vt:i4>
      </vt:variant>
      <vt:variant>
        <vt:i4>5</vt:i4>
      </vt:variant>
      <vt:variant>
        <vt:lpwstr/>
      </vt:variant>
      <vt:variant>
        <vt:lpwstr>_Toc130544700</vt:lpwstr>
      </vt:variant>
      <vt:variant>
        <vt:i4>1835059</vt:i4>
      </vt:variant>
      <vt:variant>
        <vt:i4>176</vt:i4>
      </vt:variant>
      <vt:variant>
        <vt:i4>0</vt:i4>
      </vt:variant>
      <vt:variant>
        <vt:i4>5</vt:i4>
      </vt:variant>
      <vt:variant>
        <vt:lpwstr/>
      </vt:variant>
      <vt:variant>
        <vt:lpwstr>_Toc130544699</vt:lpwstr>
      </vt:variant>
      <vt:variant>
        <vt:i4>1835059</vt:i4>
      </vt:variant>
      <vt:variant>
        <vt:i4>170</vt:i4>
      </vt:variant>
      <vt:variant>
        <vt:i4>0</vt:i4>
      </vt:variant>
      <vt:variant>
        <vt:i4>5</vt:i4>
      </vt:variant>
      <vt:variant>
        <vt:lpwstr/>
      </vt:variant>
      <vt:variant>
        <vt:lpwstr>_Toc130544697</vt:lpwstr>
      </vt:variant>
      <vt:variant>
        <vt:i4>1835059</vt:i4>
      </vt:variant>
      <vt:variant>
        <vt:i4>164</vt:i4>
      </vt:variant>
      <vt:variant>
        <vt:i4>0</vt:i4>
      </vt:variant>
      <vt:variant>
        <vt:i4>5</vt:i4>
      </vt:variant>
      <vt:variant>
        <vt:lpwstr/>
      </vt:variant>
      <vt:variant>
        <vt:lpwstr>_Toc130544696</vt:lpwstr>
      </vt:variant>
      <vt:variant>
        <vt:i4>1835059</vt:i4>
      </vt:variant>
      <vt:variant>
        <vt:i4>158</vt:i4>
      </vt:variant>
      <vt:variant>
        <vt:i4>0</vt:i4>
      </vt:variant>
      <vt:variant>
        <vt:i4>5</vt:i4>
      </vt:variant>
      <vt:variant>
        <vt:lpwstr/>
      </vt:variant>
      <vt:variant>
        <vt:lpwstr>_Toc130544695</vt:lpwstr>
      </vt:variant>
      <vt:variant>
        <vt:i4>1835059</vt:i4>
      </vt:variant>
      <vt:variant>
        <vt:i4>152</vt:i4>
      </vt:variant>
      <vt:variant>
        <vt:i4>0</vt:i4>
      </vt:variant>
      <vt:variant>
        <vt:i4>5</vt:i4>
      </vt:variant>
      <vt:variant>
        <vt:lpwstr/>
      </vt:variant>
      <vt:variant>
        <vt:lpwstr>_Toc130544694</vt:lpwstr>
      </vt:variant>
      <vt:variant>
        <vt:i4>1835059</vt:i4>
      </vt:variant>
      <vt:variant>
        <vt:i4>146</vt:i4>
      </vt:variant>
      <vt:variant>
        <vt:i4>0</vt:i4>
      </vt:variant>
      <vt:variant>
        <vt:i4>5</vt:i4>
      </vt:variant>
      <vt:variant>
        <vt:lpwstr/>
      </vt:variant>
      <vt:variant>
        <vt:lpwstr>_Toc130544693</vt:lpwstr>
      </vt:variant>
      <vt:variant>
        <vt:i4>1835059</vt:i4>
      </vt:variant>
      <vt:variant>
        <vt:i4>140</vt:i4>
      </vt:variant>
      <vt:variant>
        <vt:i4>0</vt:i4>
      </vt:variant>
      <vt:variant>
        <vt:i4>5</vt:i4>
      </vt:variant>
      <vt:variant>
        <vt:lpwstr/>
      </vt:variant>
      <vt:variant>
        <vt:lpwstr>_Toc130544692</vt:lpwstr>
      </vt:variant>
      <vt:variant>
        <vt:i4>1835059</vt:i4>
      </vt:variant>
      <vt:variant>
        <vt:i4>134</vt:i4>
      </vt:variant>
      <vt:variant>
        <vt:i4>0</vt:i4>
      </vt:variant>
      <vt:variant>
        <vt:i4>5</vt:i4>
      </vt:variant>
      <vt:variant>
        <vt:lpwstr/>
      </vt:variant>
      <vt:variant>
        <vt:lpwstr>_Toc130544691</vt:lpwstr>
      </vt:variant>
      <vt:variant>
        <vt:i4>1835059</vt:i4>
      </vt:variant>
      <vt:variant>
        <vt:i4>128</vt:i4>
      </vt:variant>
      <vt:variant>
        <vt:i4>0</vt:i4>
      </vt:variant>
      <vt:variant>
        <vt:i4>5</vt:i4>
      </vt:variant>
      <vt:variant>
        <vt:lpwstr/>
      </vt:variant>
      <vt:variant>
        <vt:lpwstr>_Toc130544690</vt:lpwstr>
      </vt:variant>
      <vt:variant>
        <vt:i4>1900595</vt:i4>
      </vt:variant>
      <vt:variant>
        <vt:i4>122</vt:i4>
      </vt:variant>
      <vt:variant>
        <vt:i4>0</vt:i4>
      </vt:variant>
      <vt:variant>
        <vt:i4>5</vt:i4>
      </vt:variant>
      <vt:variant>
        <vt:lpwstr/>
      </vt:variant>
      <vt:variant>
        <vt:lpwstr>_Toc130544689</vt:lpwstr>
      </vt:variant>
      <vt:variant>
        <vt:i4>1900595</vt:i4>
      </vt:variant>
      <vt:variant>
        <vt:i4>116</vt:i4>
      </vt:variant>
      <vt:variant>
        <vt:i4>0</vt:i4>
      </vt:variant>
      <vt:variant>
        <vt:i4>5</vt:i4>
      </vt:variant>
      <vt:variant>
        <vt:lpwstr/>
      </vt:variant>
      <vt:variant>
        <vt:lpwstr>_Toc130544688</vt:lpwstr>
      </vt:variant>
      <vt:variant>
        <vt:i4>1900595</vt:i4>
      </vt:variant>
      <vt:variant>
        <vt:i4>110</vt:i4>
      </vt:variant>
      <vt:variant>
        <vt:i4>0</vt:i4>
      </vt:variant>
      <vt:variant>
        <vt:i4>5</vt:i4>
      </vt:variant>
      <vt:variant>
        <vt:lpwstr/>
      </vt:variant>
      <vt:variant>
        <vt:lpwstr>_Toc130544687</vt:lpwstr>
      </vt:variant>
      <vt:variant>
        <vt:i4>1900595</vt:i4>
      </vt:variant>
      <vt:variant>
        <vt:i4>104</vt:i4>
      </vt:variant>
      <vt:variant>
        <vt:i4>0</vt:i4>
      </vt:variant>
      <vt:variant>
        <vt:i4>5</vt:i4>
      </vt:variant>
      <vt:variant>
        <vt:lpwstr/>
      </vt:variant>
      <vt:variant>
        <vt:lpwstr>_Toc130544686</vt:lpwstr>
      </vt:variant>
      <vt:variant>
        <vt:i4>1900595</vt:i4>
      </vt:variant>
      <vt:variant>
        <vt:i4>98</vt:i4>
      </vt:variant>
      <vt:variant>
        <vt:i4>0</vt:i4>
      </vt:variant>
      <vt:variant>
        <vt:i4>5</vt:i4>
      </vt:variant>
      <vt:variant>
        <vt:lpwstr/>
      </vt:variant>
      <vt:variant>
        <vt:lpwstr>_Toc130544685</vt:lpwstr>
      </vt:variant>
      <vt:variant>
        <vt:i4>1900595</vt:i4>
      </vt:variant>
      <vt:variant>
        <vt:i4>92</vt:i4>
      </vt:variant>
      <vt:variant>
        <vt:i4>0</vt:i4>
      </vt:variant>
      <vt:variant>
        <vt:i4>5</vt:i4>
      </vt:variant>
      <vt:variant>
        <vt:lpwstr/>
      </vt:variant>
      <vt:variant>
        <vt:lpwstr>_Toc130544684</vt:lpwstr>
      </vt:variant>
      <vt:variant>
        <vt:i4>1900595</vt:i4>
      </vt:variant>
      <vt:variant>
        <vt:i4>86</vt:i4>
      </vt:variant>
      <vt:variant>
        <vt:i4>0</vt:i4>
      </vt:variant>
      <vt:variant>
        <vt:i4>5</vt:i4>
      </vt:variant>
      <vt:variant>
        <vt:lpwstr/>
      </vt:variant>
      <vt:variant>
        <vt:lpwstr>_Toc130544683</vt:lpwstr>
      </vt:variant>
      <vt:variant>
        <vt:i4>1900595</vt:i4>
      </vt:variant>
      <vt:variant>
        <vt:i4>80</vt:i4>
      </vt:variant>
      <vt:variant>
        <vt:i4>0</vt:i4>
      </vt:variant>
      <vt:variant>
        <vt:i4>5</vt:i4>
      </vt:variant>
      <vt:variant>
        <vt:lpwstr/>
      </vt:variant>
      <vt:variant>
        <vt:lpwstr>_Toc130544681</vt:lpwstr>
      </vt:variant>
      <vt:variant>
        <vt:i4>1900595</vt:i4>
      </vt:variant>
      <vt:variant>
        <vt:i4>74</vt:i4>
      </vt:variant>
      <vt:variant>
        <vt:i4>0</vt:i4>
      </vt:variant>
      <vt:variant>
        <vt:i4>5</vt:i4>
      </vt:variant>
      <vt:variant>
        <vt:lpwstr/>
      </vt:variant>
      <vt:variant>
        <vt:lpwstr>_Toc130544680</vt:lpwstr>
      </vt:variant>
      <vt:variant>
        <vt:i4>1179699</vt:i4>
      </vt:variant>
      <vt:variant>
        <vt:i4>68</vt:i4>
      </vt:variant>
      <vt:variant>
        <vt:i4>0</vt:i4>
      </vt:variant>
      <vt:variant>
        <vt:i4>5</vt:i4>
      </vt:variant>
      <vt:variant>
        <vt:lpwstr/>
      </vt:variant>
      <vt:variant>
        <vt:lpwstr>_Toc130544679</vt:lpwstr>
      </vt:variant>
      <vt:variant>
        <vt:i4>1179699</vt:i4>
      </vt:variant>
      <vt:variant>
        <vt:i4>62</vt:i4>
      </vt:variant>
      <vt:variant>
        <vt:i4>0</vt:i4>
      </vt:variant>
      <vt:variant>
        <vt:i4>5</vt:i4>
      </vt:variant>
      <vt:variant>
        <vt:lpwstr/>
      </vt:variant>
      <vt:variant>
        <vt:lpwstr>_Toc130544678</vt:lpwstr>
      </vt:variant>
      <vt:variant>
        <vt:i4>1179699</vt:i4>
      </vt:variant>
      <vt:variant>
        <vt:i4>56</vt:i4>
      </vt:variant>
      <vt:variant>
        <vt:i4>0</vt:i4>
      </vt:variant>
      <vt:variant>
        <vt:i4>5</vt:i4>
      </vt:variant>
      <vt:variant>
        <vt:lpwstr/>
      </vt:variant>
      <vt:variant>
        <vt:lpwstr>_Toc130544677</vt:lpwstr>
      </vt:variant>
      <vt:variant>
        <vt:i4>1179699</vt:i4>
      </vt:variant>
      <vt:variant>
        <vt:i4>50</vt:i4>
      </vt:variant>
      <vt:variant>
        <vt:i4>0</vt:i4>
      </vt:variant>
      <vt:variant>
        <vt:i4>5</vt:i4>
      </vt:variant>
      <vt:variant>
        <vt:lpwstr/>
      </vt:variant>
      <vt:variant>
        <vt:lpwstr>_Toc130544676</vt:lpwstr>
      </vt:variant>
      <vt:variant>
        <vt:i4>1179699</vt:i4>
      </vt:variant>
      <vt:variant>
        <vt:i4>44</vt:i4>
      </vt:variant>
      <vt:variant>
        <vt:i4>0</vt:i4>
      </vt:variant>
      <vt:variant>
        <vt:i4>5</vt:i4>
      </vt:variant>
      <vt:variant>
        <vt:lpwstr/>
      </vt:variant>
      <vt:variant>
        <vt:lpwstr>_Toc130544675</vt:lpwstr>
      </vt:variant>
      <vt:variant>
        <vt:i4>1179699</vt:i4>
      </vt:variant>
      <vt:variant>
        <vt:i4>38</vt:i4>
      </vt:variant>
      <vt:variant>
        <vt:i4>0</vt:i4>
      </vt:variant>
      <vt:variant>
        <vt:i4>5</vt:i4>
      </vt:variant>
      <vt:variant>
        <vt:lpwstr/>
      </vt:variant>
      <vt:variant>
        <vt:lpwstr>_Toc130544674</vt:lpwstr>
      </vt:variant>
      <vt:variant>
        <vt:i4>1179699</vt:i4>
      </vt:variant>
      <vt:variant>
        <vt:i4>32</vt:i4>
      </vt:variant>
      <vt:variant>
        <vt:i4>0</vt:i4>
      </vt:variant>
      <vt:variant>
        <vt:i4>5</vt:i4>
      </vt:variant>
      <vt:variant>
        <vt:lpwstr/>
      </vt:variant>
      <vt:variant>
        <vt:lpwstr>_Toc130544673</vt:lpwstr>
      </vt:variant>
      <vt:variant>
        <vt:i4>1179699</vt:i4>
      </vt:variant>
      <vt:variant>
        <vt:i4>26</vt:i4>
      </vt:variant>
      <vt:variant>
        <vt:i4>0</vt:i4>
      </vt:variant>
      <vt:variant>
        <vt:i4>5</vt:i4>
      </vt:variant>
      <vt:variant>
        <vt:lpwstr/>
      </vt:variant>
      <vt:variant>
        <vt:lpwstr>_Toc130544672</vt:lpwstr>
      </vt:variant>
      <vt:variant>
        <vt:i4>1179699</vt:i4>
      </vt:variant>
      <vt:variant>
        <vt:i4>20</vt:i4>
      </vt:variant>
      <vt:variant>
        <vt:i4>0</vt:i4>
      </vt:variant>
      <vt:variant>
        <vt:i4>5</vt:i4>
      </vt:variant>
      <vt:variant>
        <vt:lpwstr/>
      </vt:variant>
      <vt:variant>
        <vt:lpwstr>_Toc130544671</vt:lpwstr>
      </vt:variant>
      <vt:variant>
        <vt:i4>1179699</vt:i4>
      </vt:variant>
      <vt:variant>
        <vt:i4>14</vt:i4>
      </vt:variant>
      <vt:variant>
        <vt:i4>0</vt:i4>
      </vt:variant>
      <vt:variant>
        <vt:i4>5</vt:i4>
      </vt:variant>
      <vt:variant>
        <vt:lpwstr/>
      </vt:variant>
      <vt:variant>
        <vt:lpwstr>_Toc130544670</vt:lpwstr>
      </vt:variant>
      <vt:variant>
        <vt:i4>1245235</vt:i4>
      </vt:variant>
      <vt:variant>
        <vt:i4>8</vt:i4>
      </vt:variant>
      <vt:variant>
        <vt:i4>0</vt:i4>
      </vt:variant>
      <vt:variant>
        <vt:i4>5</vt:i4>
      </vt:variant>
      <vt:variant>
        <vt:lpwstr/>
      </vt:variant>
      <vt:variant>
        <vt:lpwstr>_Toc130544669</vt:lpwstr>
      </vt:variant>
      <vt:variant>
        <vt:i4>1245235</vt:i4>
      </vt:variant>
      <vt:variant>
        <vt:i4>2</vt:i4>
      </vt:variant>
      <vt:variant>
        <vt:i4>0</vt:i4>
      </vt:variant>
      <vt:variant>
        <vt:i4>5</vt:i4>
      </vt:variant>
      <vt:variant>
        <vt:lpwstr/>
      </vt:variant>
      <vt:variant>
        <vt:lpwstr>_Toc130544668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BONFACE</dc:creator>
  <cp:lastModifiedBy>Admin .</cp:lastModifiedBy>
  <cp:revision>3</cp:revision>
  <cp:lastPrinted>2023-11-09T07:12:00Z</cp:lastPrinted>
  <dcterms:created xsi:type="dcterms:W3CDTF">2026-06-23T10:51:00Z</dcterms:created>
  <dcterms:modified xsi:type="dcterms:W3CDTF">2026-06-23T11:28:00Z</dcterms:modified>
</cp:coreProperties>
</file>