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7A31F9" w14:textId="77777777" w:rsidR="00A019AC" w:rsidRPr="00104DA5" w:rsidRDefault="00A019AC" w:rsidP="00A019AC">
      <w:pPr>
        <w:jc w:val="center"/>
        <w:rPr>
          <w:rFonts w:eastAsia="DejaVu Sans"/>
          <w:b/>
          <w:bCs/>
          <w:sz w:val="48"/>
          <w:szCs w:val="48"/>
          <w:lang w:val="en-IN"/>
        </w:rPr>
      </w:pPr>
      <w:r w:rsidRPr="00104DA5">
        <w:rPr>
          <w:rFonts w:eastAsia="DejaVu Sans"/>
          <w:b/>
          <w:bCs/>
          <w:sz w:val="48"/>
          <w:szCs w:val="48"/>
          <w:lang w:val="en-IN"/>
        </w:rPr>
        <w:t>The Gaussian-Enhanced Rayleigh Distribution (GERD): A Hybrid Model for Wind Speed and Power Output Estimation in Tokyo</w:t>
      </w:r>
    </w:p>
    <w:p w14:paraId="6EDC0E26" w14:textId="77777777" w:rsidR="00BF4C3C" w:rsidRPr="00104DA5" w:rsidRDefault="00BF4C3C">
      <w:pPr>
        <w:jc w:val="center"/>
      </w:pPr>
    </w:p>
    <w:p w14:paraId="0B17A8D7" w14:textId="77777777" w:rsidR="00A019AC" w:rsidRPr="00104DA5" w:rsidRDefault="00A019AC" w:rsidP="00A019AC">
      <w:pPr>
        <w:jc w:val="center"/>
        <w:rPr>
          <w:b/>
          <w:bCs/>
          <w:sz w:val="32"/>
          <w:szCs w:val="32"/>
          <w:lang w:eastAsia="en-US"/>
        </w:rPr>
      </w:pPr>
      <w:r w:rsidRPr="00104DA5">
        <w:rPr>
          <w:b/>
          <w:bCs/>
          <w:sz w:val="32"/>
          <w:szCs w:val="32"/>
          <w:lang w:eastAsia="en-US"/>
        </w:rPr>
        <w:t xml:space="preserve">Flowery Francis </w:t>
      </w:r>
      <w:r w:rsidRPr="00104DA5">
        <w:rPr>
          <w:b/>
          <w:bCs/>
          <w:sz w:val="32"/>
          <w:szCs w:val="32"/>
          <w:vertAlign w:val="superscript"/>
          <w:lang w:eastAsia="en-US"/>
        </w:rPr>
        <w:t>1</w:t>
      </w:r>
      <w:r w:rsidRPr="00104DA5">
        <w:rPr>
          <w:b/>
          <w:bCs/>
          <w:sz w:val="32"/>
          <w:szCs w:val="32"/>
          <w:lang w:eastAsia="en-US"/>
        </w:rPr>
        <w:t xml:space="preserve">, Jeena Joseph </w:t>
      </w:r>
      <w:r w:rsidRPr="00104DA5">
        <w:rPr>
          <w:b/>
          <w:bCs/>
          <w:sz w:val="32"/>
          <w:szCs w:val="32"/>
          <w:vertAlign w:val="superscript"/>
          <w:lang w:eastAsia="en-US"/>
        </w:rPr>
        <w:t>2</w:t>
      </w:r>
    </w:p>
    <w:p w14:paraId="25B4FC46" w14:textId="77777777" w:rsidR="00A019AC" w:rsidRPr="00104DA5" w:rsidRDefault="00A019AC" w:rsidP="00A019AC">
      <w:pPr>
        <w:pStyle w:val="Affiliation"/>
        <w:spacing w:line="276" w:lineRule="auto"/>
        <w:rPr>
          <w:rFonts w:eastAsia="Times New Roman"/>
          <w:sz w:val="22"/>
          <w:szCs w:val="22"/>
          <w:vertAlign w:val="superscript"/>
        </w:rPr>
      </w:pPr>
    </w:p>
    <w:p w14:paraId="2B3EDDCD" w14:textId="77777777" w:rsidR="00A019AC" w:rsidRPr="00104DA5" w:rsidRDefault="00A019AC" w:rsidP="00A019AC">
      <w:pPr>
        <w:pStyle w:val="Affiliation"/>
        <w:spacing w:line="276" w:lineRule="auto"/>
        <w:rPr>
          <w:sz w:val="22"/>
          <w:szCs w:val="22"/>
        </w:rPr>
      </w:pPr>
      <w:r w:rsidRPr="00104DA5">
        <w:rPr>
          <w:rFonts w:eastAsia="Times New Roman"/>
          <w:sz w:val="22"/>
          <w:szCs w:val="22"/>
          <w:vertAlign w:val="superscript"/>
        </w:rPr>
        <w:t xml:space="preserve">1 </w:t>
      </w:r>
      <w:r w:rsidRPr="00104DA5">
        <w:rPr>
          <w:rFonts w:eastAsia="Times New Roman"/>
          <w:sz w:val="22"/>
          <w:szCs w:val="22"/>
        </w:rPr>
        <w:t xml:space="preserve">Associate Professor, Department of Statistics, </w:t>
      </w:r>
      <w:r w:rsidRPr="00104DA5">
        <w:rPr>
          <w:sz w:val="22"/>
          <w:szCs w:val="22"/>
        </w:rPr>
        <w:t>Sri. C. Achuthamenon Government College, Thrissur, India.</w:t>
      </w:r>
    </w:p>
    <w:p w14:paraId="25CFC92E" w14:textId="77777777" w:rsidR="00A019AC" w:rsidRPr="00104DA5" w:rsidRDefault="00A019AC" w:rsidP="00A019AC">
      <w:pPr>
        <w:pStyle w:val="Affiliation"/>
        <w:spacing w:line="276" w:lineRule="auto"/>
        <w:rPr>
          <w:sz w:val="22"/>
          <w:szCs w:val="22"/>
        </w:rPr>
      </w:pPr>
      <w:r w:rsidRPr="00104DA5">
        <w:rPr>
          <w:rFonts w:eastAsia="Times New Roman"/>
          <w:sz w:val="22"/>
          <w:szCs w:val="22"/>
          <w:vertAlign w:val="superscript"/>
        </w:rPr>
        <w:t xml:space="preserve">2 </w:t>
      </w:r>
      <w:r w:rsidRPr="00104DA5">
        <w:rPr>
          <w:rFonts w:eastAsia="Times New Roman"/>
          <w:sz w:val="22"/>
          <w:szCs w:val="22"/>
        </w:rPr>
        <w:t xml:space="preserve">Assistant Professor, Department of Statistics, </w:t>
      </w:r>
      <w:r w:rsidRPr="00104DA5">
        <w:rPr>
          <w:sz w:val="22"/>
          <w:szCs w:val="22"/>
        </w:rPr>
        <w:t>St. Thomas College (Autonomous), Thrissur, India.</w:t>
      </w:r>
    </w:p>
    <w:p w14:paraId="2F65BD08" w14:textId="77777777" w:rsidR="00A019AC" w:rsidRPr="00104DA5" w:rsidRDefault="00A019AC" w:rsidP="00A019AC">
      <w:pPr>
        <w:pStyle w:val="Affiliation"/>
        <w:spacing w:line="276" w:lineRule="auto"/>
        <w:rPr>
          <w:sz w:val="22"/>
          <w:szCs w:val="22"/>
        </w:rPr>
      </w:pPr>
      <w:r w:rsidRPr="00104DA5">
        <w:rPr>
          <w:sz w:val="22"/>
          <w:szCs w:val="22"/>
          <w:vertAlign w:val="superscript"/>
        </w:rPr>
        <w:t xml:space="preserve">1,2 </w:t>
      </w:r>
      <w:r w:rsidRPr="00104DA5">
        <w:rPr>
          <w:sz w:val="22"/>
          <w:szCs w:val="22"/>
        </w:rPr>
        <w:t>Affiliated to University of Calicut</w:t>
      </w:r>
    </w:p>
    <w:p w14:paraId="6D11B525" w14:textId="77777777" w:rsidR="00BF4C3C" w:rsidRPr="00104DA5" w:rsidRDefault="00BF4C3C"/>
    <w:p w14:paraId="5B5F3318" w14:textId="77777777" w:rsidR="00BF4C3C" w:rsidRPr="00104DA5" w:rsidRDefault="00000000">
      <w:pPr>
        <w:pStyle w:val="Heading1"/>
      </w:pPr>
      <w:r w:rsidRPr="00104DA5">
        <w:t>Abstract</w:t>
      </w:r>
    </w:p>
    <w:p w14:paraId="6E37F3B6" w14:textId="77777777" w:rsidR="00A019AC" w:rsidRPr="00104DA5" w:rsidRDefault="00A019AC" w:rsidP="00A019AC">
      <w:pPr>
        <w:rPr>
          <w:sz w:val="15"/>
          <w:szCs w:val="10"/>
          <w:shd w:val="clear" w:color="auto" w:fill="FFFFFF"/>
        </w:rPr>
      </w:pPr>
    </w:p>
    <w:p w14:paraId="738D7EB5" w14:textId="77777777" w:rsidR="00A019AC" w:rsidRPr="00104DA5" w:rsidRDefault="00A019AC" w:rsidP="00A019AC">
      <w:pPr>
        <w:rPr>
          <w:shd w:val="clear" w:color="auto" w:fill="FFFFFF"/>
        </w:rPr>
      </w:pPr>
      <w:r w:rsidRPr="00104DA5">
        <w:rPr>
          <w:shd w:val="clear" w:color="auto" w:fill="FFFFFF"/>
        </w:rPr>
        <w:t>In this paper, we came up with the Gaussian-Enhanced Rayleigh Distribution (GERD), a mix of Rayleigh and Gaussian parts, to see if it could do a better job with wind speed data.</w:t>
      </w:r>
      <w:r w:rsidRPr="00104DA5">
        <w:t xml:space="preserve"> </w:t>
      </w:r>
      <w:r w:rsidRPr="00104DA5">
        <w:rPr>
          <w:shd w:val="clear" w:color="auto" w:fill="FFFFFF"/>
        </w:rPr>
        <w:t>For testing, we used monthly records from Tokyo between 2000 and 2020.</w:t>
      </w:r>
      <w:r w:rsidRPr="00104DA5">
        <w:t xml:space="preserve"> We </w:t>
      </w:r>
      <w:r w:rsidRPr="00104DA5">
        <w:rPr>
          <w:shd w:val="clear" w:color="auto" w:fill="FFFFFF"/>
        </w:rPr>
        <w:t>compared GERD with the Weibull and Rayleigh models, looking at how they fit the data, their statistical measures, some simulations, and what they mean for power output.</w:t>
      </w:r>
      <w:r w:rsidRPr="00104DA5">
        <w:t xml:space="preserve"> </w:t>
      </w:r>
      <w:r w:rsidRPr="00104DA5">
        <w:rPr>
          <w:shd w:val="clear" w:color="auto" w:fill="FFFFFF"/>
        </w:rPr>
        <w:t>The Weibull model turned out strongest for extreme wind speeds and gave the highest power values.</w:t>
      </w:r>
      <w:r w:rsidRPr="00104DA5">
        <w:t xml:space="preserve"> </w:t>
      </w:r>
      <w:r w:rsidRPr="00104DA5">
        <w:rPr>
          <w:shd w:val="clear" w:color="auto" w:fill="FFFFFF"/>
        </w:rPr>
        <w:t>Rayleigh came out too low.</w:t>
      </w:r>
      <w:r w:rsidRPr="00104DA5">
        <w:t xml:space="preserve"> </w:t>
      </w:r>
      <w:r w:rsidRPr="00104DA5">
        <w:rPr>
          <w:shd w:val="clear" w:color="auto" w:fill="FFFFFF"/>
        </w:rPr>
        <w:t>GERD sat between the two, less extreme than Weibull but more realistic than Rayleigh, which makes it a practical option for wind energy studies.</w:t>
      </w:r>
    </w:p>
    <w:p w14:paraId="1642CDAF" w14:textId="77777777" w:rsidR="00BF4C3C" w:rsidRPr="00104DA5" w:rsidRDefault="00BF4C3C">
      <w:pPr>
        <w:rPr>
          <w:szCs w:val="24"/>
        </w:rPr>
      </w:pPr>
    </w:p>
    <w:p w14:paraId="1BD963A8" w14:textId="77777777" w:rsidR="00BF4C3C" w:rsidRPr="00104DA5" w:rsidRDefault="00000000" w:rsidP="00A019AC">
      <w:r w:rsidRPr="00104DA5">
        <w:rPr>
          <w:rFonts w:eastAsia="Times New Roman"/>
          <w:b/>
          <w:bCs/>
          <w:szCs w:val="24"/>
        </w:rPr>
        <w:t>Keywords:</w:t>
      </w:r>
      <w:r w:rsidRPr="00104DA5">
        <w:rPr>
          <w:rFonts w:eastAsia="Times New Roman"/>
          <w:szCs w:val="24"/>
        </w:rPr>
        <w:t xml:space="preserve"> </w:t>
      </w:r>
      <w:r w:rsidR="00A019AC" w:rsidRPr="00104DA5">
        <w:t>Wind Speed Modeling, Rayleigh Distribution, Weibull Distribution, Gaussian-Enhanced Rayleigh Distribution (GERD), Wind Power Estimation.</w:t>
      </w:r>
    </w:p>
    <w:p w14:paraId="7DD0D688" w14:textId="77777777" w:rsidR="00A019AC" w:rsidRPr="00104DA5" w:rsidRDefault="00A019AC" w:rsidP="00A019AC">
      <w:pPr>
        <w:rPr>
          <w:sz w:val="13"/>
          <w:szCs w:val="8"/>
        </w:rPr>
      </w:pPr>
    </w:p>
    <w:p w14:paraId="4FC30994" w14:textId="77777777" w:rsidR="00BF4C3C" w:rsidRPr="00104DA5" w:rsidRDefault="00BF4C3C">
      <w:pPr>
        <w:rPr>
          <w:i/>
          <w:szCs w:val="24"/>
        </w:rPr>
      </w:pPr>
    </w:p>
    <w:p w14:paraId="08535B72" w14:textId="77777777" w:rsidR="00A019AC" w:rsidRPr="00104DA5" w:rsidRDefault="00000000" w:rsidP="00A019AC">
      <w:pPr>
        <w:pStyle w:val="Heading1"/>
        <w:numPr>
          <w:ilvl w:val="0"/>
          <w:numId w:val="9"/>
        </w:numPr>
        <w:ind w:left="397" w:hanging="397"/>
      </w:pPr>
      <w:r w:rsidRPr="00104DA5">
        <w:t>Introduction</w:t>
      </w:r>
    </w:p>
    <w:p w14:paraId="00E7CE61" w14:textId="77777777" w:rsidR="00A019AC" w:rsidRPr="00A2575C" w:rsidRDefault="00A019AC" w:rsidP="00A019AC">
      <w:pPr>
        <w:rPr>
          <w:sz w:val="21"/>
          <w:szCs w:val="21"/>
        </w:rPr>
      </w:pPr>
    </w:p>
    <w:p w14:paraId="57E507EC" w14:textId="77777777" w:rsidR="00A019AC" w:rsidRPr="00104DA5" w:rsidRDefault="00A019AC" w:rsidP="00A019AC">
      <w:pPr>
        <w:rPr>
          <w:szCs w:val="24"/>
        </w:rPr>
      </w:pPr>
      <w:r w:rsidRPr="00104DA5">
        <w:rPr>
          <w:szCs w:val="24"/>
        </w:rPr>
        <w:t>Wind energy is now one of the most important renewable sources we have. Getting the models right matters: the way we describe wind speed distributions affects how turbines are designed, where they are placed, how much power we expect them to generate, and whether a site is even worth considering. The usual choices, Rayleigh and Weibull, are popular because they’re simple and flexible. But anyone who has worked with them knows they miss things, especially in cities or along coasts where geography and weather make the wind less predictable.</w:t>
      </w:r>
    </w:p>
    <w:p w14:paraId="086DDAC8" w14:textId="77777777" w:rsidR="00A019AC" w:rsidRPr="00104DA5" w:rsidRDefault="00A019AC" w:rsidP="00A019AC">
      <w:pPr>
        <w:rPr>
          <w:szCs w:val="24"/>
        </w:rPr>
      </w:pPr>
    </w:p>
    <w:p w14:paraId="796ED4C3" w14:textId="77777777" w:rsidR="00A019AC" w:rsidRPr="00104DA5" w:rsidRDefault="00A019AC" w:rsidP="00A019AC">
      <w:pPr>
        <w:rPr>
          <w:szCs w:val="24"/>
        </w:rPr>
      </w:pPr>
      <w:r w:rsidRPr="00104DA5">
        <w:rPr>
          <w:szCs w:val="24"/>
        </w:rPr>
        <w:t>Tokyo is a good example. It’s huge, built up, close to the sea, and shaped by strong seasonal shifts. Wind here doesn’t behave in a neat, regular way. That’s why a more adaptable model is needed.</w:t>
      </w:r>
    </w:p>
    <w:p w14:paraId="2BE54031" w14:textId="77777777" w:rsidR="00A019AC" w:rsidRPr="00104DA5" w:rsidRDefault="00A019AC" w:rsidP="00A019AC">
      <w:pPr>
        <w:rPr>
          <w:szCs w:val="24"/>
        </w:rPr>
      </w:pPr>
    </w:p>
    <w:p w14:paraId="14DC5B50" w14:textId="77777777" w:rsidR="00A019AC" w:rsidRPr="00104DA5" w:rsidRDefault="00A019AC" w:rsidP="00A019AC">
      <w:pPr>
        <w:rPr>
          <w:szCs w:val="24"/>
        </w:rPr>
      </w:pPr>
      <w:r w:rsidRPr="00104DA5">
        <w:rPr>
          <w:szCs w:val="24"/>
        </w:rPr>
        <w:t>In this paper, we introduce the Gaussian-Enhanced Rayleigh Distribution (GERD). It’s a hybrid of a Rayleigh and a Gaussian term, meant to capture both the “typical” wind behavior and the extremes. To test it, we used monthly NASA wind speed data for Tokyo from 2000 to 2020. We compared GERD against Rayleigh and Weibull by looking at their statistical properties, how well they fit, how they perform in simulations, and what they imply for power estimates. We also point to earlier studies (Safari &amp; Gasore, 2010; Pishgar-Komleh et al., 2015; Bidaoui et al., 2019) that show where the older models succeed and where they fail.</w:t>
      </w:r>
    </w:p>
    <w:p w14:paraId="64A7D8CA" w14:textId="77777777" w:rsidR="00A019AC" w:rsidRPr="00104DA5" w:rsidRDefault="00A019AC" w:rsidP="00A019AC">
      <w:pPr>
        <w:rPr>
          <w:szCs w:val="24"/>
        </w:rPr>
      </w:pPr>
    </w:p>
    <w:p w14:paraId="1634973A" w14:textId="77777777" w:rsidR="00BF4C3C" w:rsidRPr="00104DA5" w:rsidRDefault="00A019AC" w:rsidP="00A019AC">
      <w:pPr>
        <w:rPr>
          <w:szCs w:val="24"/>
        </w:rPr>
      </w:pPr>
      <w:r w:rsidRPr="00104DA5">
        <w:rPr>
          <w:szCs w:val="24"/>
        </w:rPr>
        <w:lastRenderedPageBreak/>
        <w:t>My aim is twofold: to show GERD as a better statistical tool and to give insights that are useful for real energy planning in large urban settings.</w:t>
      </w:r>
    </w:p>
    <w:p w14:paraId="7A9A3760" w14:textId="77777777" w:rsidR="00A019AC" w:rsidRPr="00104DA5" w:rsidRDefault="00A019AC" w:rsidP="00A019AC">
      <w:pPr>
        <w:rPr>
          <w:i/>
          <w:szCs w:val="24"/>
        </w:rPr>
      </w:pPr>
    </w:p>
    <w:p w14:paraId="094B5DA2" w14:textId="77777777" w:rsidR="00BF4C3C" w:rsidRPr="00104DA5" w:rsidRDefault="00A019AC">
      <w:pPr>
        <w:pStyle w:val="Heading1"/>
        <w:numPr>
          <w:ilvl w:val="0"/>
          <w:numId w:val="9"/>
        </w:numPr>
        <w:ind w:left="397" w:hanging="397"/>
      </w:pPr>
      <w:r w:rsidRPr="00104DA5">
        <w:t>Methodology</w:t>
      </w:r>
    </w:p>
    <w:p w14:paraId="2B53B7CA" w14:textId="77777777" w:rsidR="00A019AC" w:rsidRPr="00104DA5" w:rsidRDefault="00A019AC" w:rsidP="00A019AC">
      <w:pPr>
        <w:pStyle w:val="BodyText"/>
        <w:rPr>
          <w:lang w:eastAsia="en-US"/>
        </w:rPr>
      </w:pPr>
    </w:p>
    <w:p w14:paraId="45BE931B" w14:textId="77777777" w:rsidR="00A019AC" w:rsidRPr="00104DA5" w:rsidRDefault="00A019AC" w:rsidP="00A019AC">
      <w:r w:rsidRPr="00104DA5">
        <w:t>We apply a four-step approach, data collection, distribution modeling, parameter estimation, and simulation, to characterize Tokyo’s wind speeds and power potential.</w:t>
      </w:r>
    </w:p>
    <w:p w14:paraId="3B1E3AAA" w14:textId="77777777" w:rsidR="00104DA5" w:rsidRPr="00104DA5" w:rsidRDefault="00104DA5" w:rsidP="00A019AC"/>
    <w:p w14:paraId="11BD6D05" w14:textId="77777777" w:rsidR="00A019AC" w:rsidRPr="00104DA5" w:rsidRDefault="00A019AC" w:rsidP="00A019AC">
      <w:pPr>
        <w:pStyle w:val="ListParagraph"/>
        <w:numPr>
          <w:ilvl w:val="0"/>
          <w:numId w:val="14"/>
        </w:numPr>
        <w:suppressAutoHyphens w:val="0"/>
        <w:spacing w:after="160" w:line="278" w:lineRule="auto"/>
      </w:pPr>
      <w:r w:rsidRPr="00104DA5">
        <w:t>Dataset description: we used NASA POWER monthly mean 10 m wind speeds for Tokyo from January 2000 to December 2020. The file contains 1,008 monthly records, reflecting four spatial grid points (or variables) per month. After stripping header metadata, we converted it into a tidy monthly time series.</w:t>
      </w:r>
    </w:p>
    <w:p w14:paraId="2B0C0374" w14:textId="77777777" w:rsidR="00A019AC" w:rsidRPr="00104DA5" w:rsidRDefault="00A019AC" w:rsidP="00A019AC">
      <w:pPr>
        <w:numPr>
          <w:ilvl w:val="0"/>
          <w:numId w:val="14"/>
        </w:numPr>
        <w:tabs>
          <w:tab w:val="left" w:pos="720"/>
        </w:tabs>
        <w:suppressAutoHyphens w:val="0"/>
        <w:spacing w:after="160" w:line="278" w:lineRule="auto"/>
      </w:pPr>
      <w:r w:rsidRPr="00104DA5">
        <w:rPr>
          <w:b/>
          <w:bCs/>
        </w:rPr>
        <w:t xml:space="preserve">Model Framework: </w:t>
      </w:r>
      <w:r w:rsidRPr="00104DA5">
        <w:t>To model the wind speed distribution, three probability distribution functions were selected:</w:t>
      </w:r>
    </w:p>
    <w:p w14:paraId="06ED3A2F" w14:textId="77777777" w:rsidR="00104DA5" w:rsidRPr="00104DA5" w:rsidRDefault="00A019AC" w:rsidP="00104DA5">
      <w:pPr>
        <w:pStyle w:val="ListParagraph"/>
        <w:numPr>
          <w:ilvl w:val="1"/>
          <w:numId w:val="14"/>
        </w:numPr>
        <w:suppressAutoHyphens w:val="0"/>
        <w:spacing w:after="160" w:line="278" w:lineRule="auto"/>
      </w:pPr>
      <w:r w:rsidRPr="00104DA5">
        <w:rPr>
          <w:b/>
          <w:bCs/>
        </w:rPr>
        <w:t>Gaussian-Enhanced Rayleigh Distribution (GERD):</w:t>
      </w:r>
      <w:r w:rsidRPr="00104DA5">
        <w:t xml:space="preserve"> We take the Rayleigh law and add a small Gaussian term to catch the quirks in real wind data. It is defined as:</w:t>
      </w:r>
    </w:p>
    <w:p w14:paraId="55DDC3A9" w14:textId="77777777" w:rsidR="00104DA5" w:rsidRPr="00104DA5" w:rsidRDefault="00104DA5" w:rsidP="00A019AC">
      <w:pPr>
        <w:pStyle w:val="ListParagraph"/>
        <w:ind w:left="1440"/>
      </w:pPr>
    </w:p>
    <w:p w14:paraId="37A81924" w14:textId="77777777" w:rsidR="00A019AC" w:rsidRPr="00104DA5" w:rsidRDefault="00A019AC" w:rsidP="00A019AC">
      <w:pPr>
        <w:pStyle w:val="ListParagraph"/>
        <w:ind w:left="1440"/>
      </w:pPr>
      <m:oMathPara>
        <m:oMath>
          <m:r>
            <w:rPr>
              <w:rFonts w:ascii="Cambria Math" w:eastAsia="Times New Roman" w:hAnsi="Cambria Math"/>
            </w:rPr>
            <m:t>f</m:t>
          </m:r>
          <m:d>
            <m:dPr>
              <m:ctrlPr>
                <w:rPr>
                  <w:rFonts w:ascii="Cambria Math" w:eastAsia="Times New Roman" w:hAnsi="Cambria Math"/>
                  <w:i/>
                </w:rPr>
              </m:ctrlPr>
            </m:dPr>
            <m:e>
              <m:r>
                <w:rPr>
                  <w:rFonts w:ascii="Cambria Math" w:eastAsia="Times New Roman" w:hAnsi="Cambria Math"/>
                </w:rPr>
                <m:t>v;σ,μ,τ,λ</m:t>
              </m:r>
            </m:e>
          </m:d>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v</m:t>
              </m:r>
              <m:ctrlPr>
                <w:rPr>
                  <w:rFonts w:ascii="Cambria Math" w:eastAsia="Times New Roman" w:hAnsi="Cambria Math"/>
                </w:rPr>
              </m:ctrlPr>
            </m:num>
            <m:den>
              <m:sSup>
                <m:sSupPr>
                  <m:ctrlPr>
                    <w:rPr>
                      <w:rFonts w:ascii="Cambria Math" w:eastAsia="Times New Roman" w:hAnsi="Cambria Math"/>
                    </w:rPr>
                  </m:ctrlPr>
                </m:sSupPr>
                <m:e>
                  <m:r>
                    <w:rPr>
                      <w:rFonts w:ascii="Cambria Math" w:eastAsia="Times New Roman" w:hAnsi="Cambria Math"/>
                    </w:rPr>
                    <m:t>σ</m:t>
                  </m:r>
                </m:e>
                <m:sup>
                  <m:r>
                    <w:rPr>
                      <w:rFonts w:ascii="Cambria Math" w:eastAsia="Times New Roman" w:hAnsi="Cambria Math"/>
                    </w:rPr>
                    <m:t>2</m:t>
                  </m:r>
                </m:sup>
              </m:sSup>
              <m:ctrlPr>
                <w:rPr>
                  <w:rFonts w:ascii="Cambria Math" w:eastAsia="Times New Roman" w:hAnsi="Cambria Math"/>
                </w:rPr>
              </m:ctrlPr>
            </m:den>
          </m:f>
          <m:sSup>
            <m:sSupPr>
              <m:ctrlPr>
                <w:rPr>
                  <w:rFonts w:ascii="Cambria Math" w:eastAsia="Times New Roman" w:hAnsi="Cambria Math"/>
                </w:rPr>
              </m:ctrlPr>
            </m:sSupPr>
            <m:e>
              <m:r>
                <w:rPr>
                  <w:rFonts w:ascii="Cambria Math" w:eastAsia="Times New Roman" w:hAnsi="Cambria Math"/>
                </w:rPr>
                <m:t>e</m:t>
              </m:r>
            </m:e>
            <m:sup>
              <m:r>
                <w:rPr>
                  <w:rFonts w:ascii="Cambria Math" w:eastAsia="Times New Roman" w:hAnsi="Cambria Math"/>
                </w:rPr>
                <m:t>-</m:t>
              </m:r>
              <m:f>
                <m:fPr>
                  <m:ctrlPr>
                    <w:rPr>
                      <w:rFonts w:ascii="Cambria Math" w:eastAsia="Times New Roman" w:hAnsi="Cambria Math"/>
                      <w:i/>
                    </w:rPr>
                  </m:ctrlPr>
                </m:fPr>
                <m:num>
                  <m:sSup>
                    <m:sSupPr>
                      <m:ctrlPr>
                        <w:rPr>
                          <w:rFonts w:ascii="Cambria Math" w:eastAsia="Times New Roman" w:hAnsi="Cambria Math"/>
                        </w:rPr>
                      </m:ctrlPr>
                    </m:sSupPr>
                    <m:e>
                      <m:r>
                        <w:rPr>
                          <w:rFonts w:ascii="Cambria Math" w:eastAsia="Times New Roman" w:hAnsi="Cambria Math"/>
                        </w:rPr>
                        <m:t>v</m:t>
                      </m:r>
                    </m:e>
                    <m:sup>
                      <m:r>
                        <w:rPr>
                          <w:rFonts w:ascii="Cambria Math" w:eastAsia="Times New Roman" w:hAnsi="Cambria Math"/>
                        </w:rPr>
                        <m:t>2</m:t>
                      </m:r>
                    </m:sup>
                  </m:sSup>
                  <m:ctrlPr>
                    <w:rPr>
                      <w:rFonts w:ascii="Cambria Math" w:eastAsia="Times New Roman" w:hAnsi="Cambria Math"/>
                    </w:rPr>
                  </m:ctrlPr>
                </m:num>
                <m:den>
                  <m:r>
                    <w:rPr>
                      <w:rFonts w:ascii="Cambria Math" w:eastAsia="Times New Roman" w:hAnsi="Cambria Math"/>
                    </w:rPr>
                    <m:t>2</m:t>
                  </m:r>
                  <m:sSup>
                    <m:sSupPr>
                      <m:ctrlPr>
                        <w:rPr>
                          <w:rFonts w:ascii="Cambria Math" w:eastAsia="Times New Roman" w:hAnsi="Cambria Math"/>
                        </w:rPr>
                      </m:ctrlPr>
                    </m:sSupPr>
                    <m:e>
                      <m:r>
                        <w:rPr>
                          <w:rFonts w:ascii="Cambria Math" w:eastAsia="Times New Roman" w:hAnsi="Cambria Math"/>
                        </w:rPr>
                        <m:t>σ</m:t>
                      </m:r>
                    </m:e>
                    <m:sup>
                      <m:r>
                        <w:rPr>
                          <w:rFonts w:ascii="Cambria Math" w:eastAsia="Times New Roman" w:hAnsi="Cambria Math"/>
                        </w:rPr>
                        <m:t>2</m:t>
                      </m:r>
                    </m:sup>
                  </m:sSup>
                  <m:ctrlPr>
                    <w:rPr>
                      <w:rFonts w:ascii="Cambria Math" w:eastAsia="Times New Roman" w:hAnsi="Cambria Math"/>
                    </w:rPr>
                  </m:ctrlPr>
                </m:den>
              </m:f>
              <m:ctrlPr>
                <w:rPr>
                  <w:rFonts w:ascii="Cambria Math" w:eastAsia="Times New Roman" w:hAnsi="Cambria Math"/>
                  <w:i/>
                </w:rPr>
              </m:ctrlPr>
            </m:sup>
          </m:sSup>
          <m:r>
            <w:rPr>
              <w:rFonts w:ascii="Cambria Math" w:eastAsia="Times New Roman" w:hAnsi="Cambria Math"/>
            </w:rPr>
            <m:t>+λ⋅</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τ</m:t>
              </m:r>
              <m:rad>
                <m:radPr>
                  <m:degHide m:val="1"/>
                  <m:ctrlPr>
                    <w:rPr>
                      <w:rFonts w:ascii="Cambria Math" w:eastAsia="Times New Roman" w:hAnsi="Cambria Math"/>
                      <w:i/>
                    </w:rPr>
                  </m:ctrlPr>
                </m:radPr>
                <m:deg>
                  <m:ctrlPr>
                    <w:rPr>
                      <w:rFonts w:ascii="Cambria Math" w:eastAsia="Times New Roman" w:hAnsi="Cambria Math"/>
                    </w:rPr>
                  </m:ctrlPr>
                </m:deg>
                <m:e>
                  <m:r>
                    <w:rPr>
                      <w:rFonts w:ascii="Cambria Math" w:eastAsia="Times New Roman" w:hAnsi="Cambria Math"/>
                    </w:rPr>
                    <m:t>2π</m:t>
                  </m:r>
                  <m:ctrlPr>
                    <w:rPr>
                      <w:rFonts w:ascii="Cambria Math" w:eastAsia="Times New Roman" w:hAnsi="Cambria Math"/>
                    </w:rPr>
                  </m:ctrlPr>
                </m:e>
              </m:rad>
            </m:den>
          </m:f>
          <m:sSup>
            <m:sSupPr>
              <m:ctrlPr>
                <w:rPr>
                  <w:rFonts w:ascii="Cambria Math" w:eastAsia="Times New Roman" w:hAnsi="Cambria Math"/>
                </w:rPr>
              </m:ctrlPr>
            </m:sSupPr>
            <m:e>
              <m:r>
                <w:rPr>
                  <w:rFonts w:ascii="Cambria Math" w:eastAsia="Times New Roman" w:hAnsi="Cambria Math"/>
                </w:rPr>
                <m:t>e</m:t>
              </m:r>
              <m:ctrlPr>
                <w:rPr>
                  <w:rFonts w:ascii="Cambria Math" w:eastAsia="Times New Roman" w:hAnsi="Cambria Math"/>
                  <w:i/>
                </w:rPr>
              </m:ctrlPr>
            </m:e>
            <m:sup>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(v-μ</m:t>
                  </m:r>
                  <m:sSup>
                    <m:sSupPr>
                      <m:ctrlPr>
                        <w:rPr>
                          <w:rFonts w:ascii="Cambria Math" w:eastAsia="Times New Roman" w:hAnsi="Cambria Math"/>
                        </w:rPr>
                      </m:ctrlPr>
                    </m:sSupPr>
                    <m:e>
                      <m:r>
                        <w:rPr>
                          <w:rFonts w:ascii="Cambria Math" w:eastAsia="Times New Roman" w:hAnsi="Cambria Math"/>
                        </w:rPr>
                        <m:t>)</m:t>
                      </m:r>
                    </m:e>
                    <m:sup>
                      <m:r>
                        <w:rPr>
                          <w:rFonts w:ascii="Cambria Math" w:eastAsia="Times New Roman" w:hAnsi="Cambria Math"/>
                        </w:rPr>
                        <m:t>2</m:t>
                      </m:r>
                    </m:sup>
                  </m:sSup>
                  <m:ctrlPr>
                    <w:rPr>
                      <w:rFonts w:ascii="Cambria Math" w:eastAsia="Times New Roman" w:hAnsi="Cambria Math"/>
                    </w:rPr>
                  </m:ctrlPr>
                </m:num>
                <m:den>
                  <m:r>
                    <w:rPr>
                      <w:rFonts w:ascii="Cambria Math" w:eastAsia="Times New Roman" w:hAnsi="Cambria Math"/>
                    </w:rPr>
                    <m:t>2</m:t>
                  </m:r>
                  <m:sSup>
                    <m:sSupPr>
                      <m:ctrlPr>
                        <w:rPr>
                          <w:rFonts w:ascii="Cambria Math" w:eastAsia="Times New Roman" w:hAnsi="Cambria Math"/>
                        </w:rPr>
                      </m:ctrlPr>
                    </m:sSupPr>
                    <m:e>
                      <m:r>
                        <w:rPr>
                          <w:rFonts w:ascii="Cambria Math" w:eastAsia="Times New Roman" w:hAnsi="Cambria Math"/>
                        </w:rPr>
                        <m:t>τ</m:t>
                      </m:r>
                    </m:e>
                    <m:sup>
                      <m:r>
                        <w:rPr>
                          <w:rFonts w:ascii="Cambria Math" w:eastAsia="Times New Roman" w:hAnsi="Cambria Math"/>
                        </w:rPr>
                        <m:t>2</m:t>
                      </m:r>
                    </m:sup>
                  </m:sSup>
                  <m:ctrlPr>
                    <w:rPr>
                      <w:rFonts w:ascii="Cambria Math" w:eastAsia="Times New Roman" w:hAnsi="Cambria Math"/>
                    </w:rPr>
                  </m:ctrlPr>
                </m:den>
              </m:f>
              <m:ctrlPr>
                <w:rPr>
                  <w:rFonts w:ascii="Cambria Math" w:eastAsia="Times New Roman" w:hAnsi="Cambria Math"/>
                  <w:i/>
                </w:rPr>
              </m:ctrlPr>
            </m:sup>
          </m:sSup>
          <m:r>
            <w:rPr>
              <w:rFonts w:ascii="Cambria Math" w:eastAsia="Times New Roman" w:hAnsi="Cambria Math"/>
              <w:i/>
            </w:rPr>
            <m:t> </m:t>
          </m:r>
          <m:d>
            <m:dPr>
              <m:ctrlPr>
                <w:rPr>
                  <w:rFonts w:ascii="Cambria Math" w:eastAsia="Times New Roman" w:hAnsi="Cambria Math"/>
                  <w:i/>
                </w:rPr>
              </m:ctrlPr>
            </m:dPr>
            <m:e>
              <m:r>
                <w:rPr>
                  <w:rFonts w:ascii="Cambria Math" w:eastAsia="Times New Roman" w:hAnsi="Cambria Math"/>
                </w:rPr>
                <m:t>v≥0</m:t>
              </m:r>
            </m:e>
          </m:d>
        </m:oMath>
      </m:oMathPara>
    </w:p>
    <w:p w14:paraId="46D93F63" w14:textId="77777777" w:rsidR="00104DA5" w:rsidRPr="00104DA5" w:rsidRDefault="00104DA5" w:rsidP="00A019AC">
      <w:pPr>
        <w:pStyle w:val="ListParagraph"/>
        <w:ind w:left="1440"/>
      </w:pPr>
    </w:p>
    <w:p w14:paraId="1761937B" w14:textId="77777777" w:rsidR="00A019AC" w:rsidRPr="00104DA5" w:rsidRDefault="00A019AC" w:rsidP="00A019AC">
      <w:pPr>
        <w:numPr>
          <w:ilvl w:val="1"/>
          <w:numId w:val="15"/>
        </w:numPr>
        <w:suppressAutoHyphens w:val="0"/>
        <w:spacing w:after="160" w:line="278" w:lineRule="auto"/>
      </w:pPr>
      <w:r w:rsidRPr="00104DA5">
        <w:rPr>
          <w:b/>
          <w:bCs/>
        </w:rPr>
        <w:t>Weibull Distribution:</w:t>
      </w:r>
      <w:r w:rsidRPr="00104DA5">
        <w:t xml:space="preserve"> A widely used two-parameter model for wind speed:</w:t>
      </w:r>
    </w:p>
    <w:p w14:paraId="15639959" w14:textId="77777777" w:rsidR="00104DA5" w:rsidRPr="00104DA5" w:rsidRDefault="00104DA5" w:rsidP="00A019AC">
      <w:pPr>
        <w:jc w:val="center"/>
      </w:pPr>
    </w:p>
    <w:p w14:paraId="28FE9FA2" w14:textId="77777777" w:rsidR="00A019AC" w:rsidRPr="00104DA5" w:rsidRDefault="00A019AC" w:rsidP="00A019AC">
      <w:pPr>
        <w:jc w:val="center"/>
      </w:pPr>
      <m:oMathPara>
        <m:oMath>
          <m:r>
            <w:rPr>
              <w:rFonts w:ascii="Cambria Math" w:hAnsi="Cambria Math"/>
            </w:rPr>
            <m:t>f</m:t>
          </m:r>
          <m:d>
            <m:dPr>
              <m:ctrlPr>
                <w:rPr>
                  <w:rFonts w:ascii="Cambria Math" w:hAnsi="Cambria Math"/>
                  <w:i/>
                </w:rPr>
              </m:ctrlPr>
            </m:dPr>
            <m:e>
              <m:r>
                <w:rPr>
                  <w:rFonts w:ascii="Cambria Math" w:hAnsi="Cambria Math"/>
                </w:rPr>
                <m:t>v;k,c</m:t>
              </m:r>
            </m:e>
          </m:d>
          <m:r>
            <w:rPr>
              <w:rFonts w:ascii="Cambria Math" w:hAnsi="Cambria Math"/>
            </w:rPr>
            <m:t>=</m:t>
          </m:r>
          <m:f>
            <m:fPr>
              <m:ctrlPr>
                <w:rPr>
                  <w:rFonts w:ascii="Cambria Math" w:hAnsi="Cambria Math"/>
                  <w:i/>
                </w:rPr>
              </m:ctrlPr>
            </m:fPr>
            <m:num>
              <m:r>
                <w:rPr>
                  <w:rFonts w:ascii="Cambria Math" w:hAnsi="Cambria Math"/>
                </w:rPr>
                <m:t>k</m:t>
              </m:r>
              <m:ctrlPr>
                <w:rPr>
                  <w:rFonts w:ascii="Cambria Math" w:hAnsi="Cambria Math"/>
                </w:rPr>
              </m:ctrlPr>
            </m:num>
            <m:den>
              <m:r>
                <w:rPr>
                  <w:rFonts w:ascii="Cambria Math" w:hAnsi="Cambria Math"/>
                </w:rPr>
                <m:t>c</m:t>
              </m:r>
              <m:ctrlPr>
                <w:rPr>
                  <w:rFonts w:ascii="Cambria Math" w:hAnsi="Cambria Math"/>
                </w:rPr>
              </m:ctrlPr>
            </m:den>
          </m:f>
          <m:sSup>
            <m:sSupPr>
              <m:ctrlPr>
                <w:rPr>
                  <w:rFonts w:ascii="Cambria Math" w:hAnsi="Cambria Math"/>
                </w:rPr>
              </m:ctrlPr>
            </m:sSupPr>
            <m:e>
              <m:d>
                <m:dPr>
                  <m:ctrlPr>
                    <w:rPr>
                      <w:rFonts w:ascii="Cambria Math" w:hAnsi="Cambria Math"/>
                    </w:rPr>
                  </m:ctrlPr>
                </m:dPr>
                <m:e>
                  <m:f>
                    <m:fPr>
                      <m:ctrlPr>
                        <w:rPr>
                          <w:rFonts w:ascii="Cambria Math" w:hAnsi="Cambria Math"/>
                          <w:i/>
                        </w:rPr>
                      </m:ctrlPr>
                    </m:fPr>
                    <m:num>
                      <m:r>
                        <w:rPr>
                          <w:rFonts w:ascii="Cambria Math" w:hAnsi="Cambria Math"/>
                        </w:rPr>
                        <m:t>v</m:t>
                      </m:r>
                      <m:ctrlPr>
                        <w:rPr>
                          <w:rFonts w:ascii="Cambria Math" w:hAnsi="Cambria Math"/>
                        </w:rPr>
                      </m:ctrlPr>
                    </m:num>
                    <m:den>
                      <m:r>
                        <w:rPr>
                          <w:rFonts w:ascii="Cambria Math" w:hAnsi="Cambria Math"/>
                        </w:rPr>
                        <m:t>c</m:t>
                      </m:r>
                      <m:ctrlPr>
                        <w:rPr>
                          <w:rFonts w:ascii="Cambria Math" w:hAnsi="Cambria Math"/>
                        </w:rPr>
                      </m:ctrlPr>
                    </m:den>
                  </m:f>
                  <m:ctrlPr>
                    <w:rPr>
                      <w:rFonts w:ascii="Cambria Math" w:hAnsi="Cambria Math"/>
                      <w:i/>
                    </w:rPr>
                  </m:ctrlPr>
                </m:e>
              </m:d>
            </m:e>
            <m:sup>
              <m:r>
                <w:rPr>
                  <w:rFonts w:ascii="Cambria Math" w:hAnsi="Cambria Math"/>
                </w:rPr>
                <m:t>k-1</m:t>
              </m:r>
            </m:sup>
          </m:sSup>
          <m:sSup>
            <m:sSupPr>
              <m:ctrlPr>
                <w:rPr>
                  <w:rFonts w:ascii="Cambria Math" w:hAnsi="Cambria Math"/>
                </w:rPr>
              </m:ctrlPr>
            </m:sSupPr>
            <m:e>
              <m:r>
                <w:rPr>
                  <w:rFonts w:ascii="Cambria Math" w:hAnsi="Cambria Math"/>
                </w:rPr>
                <m:t>e</m:t>
              </m:r>
            </m:e>
            <m:sup>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i/>
                            </w:rPr>
                          </m:ctrlPr>
                        </m:fPr>
                        <m:num>
                          <m:r>
                            <w:rPr>
                              <w:rFonts w:ascii="Cambria Math" w:hAnsi="Cambria Math"/>
                            </w:rPr>
                            <m:t>v</m:t>
                          </m:r>
                          <m:ctrlPr>
                            <w:rPr>
                              <w:rFonts w:ascii="Cambria Math" w:hAnsi="Cambria Math"/>
                            </w:rPr>
                          </m:ctrlPr>
                        </m:num>
                        <m:den>
                          <m:r>
                            <w:rPr>
                              <w:rFonts w:ascii="Cambria Math" w:hAnsi="Cambria Math"/>
                            </w:rPr>
                            <m:t>c</m:t>
                          </m:r>
                          <m:ctrlPr>
                            <w:rPr>
                              <w:rFonts w:ascii="Cambria Math" w:hAnsi="Cambria Math"/>
                            </w:rPr>
                          </m:ctrlPr>
                        </m:den>
                      </m:f>
                      <m:ctrlPr>
                        <w:rPr>
                          <w:rFonts w:ascii="Cambria Math" w:hAnsi="Cambria Math"/>
                          <w:i/>
                        </w:rPr>
                      </m:ctrlPr>
                    </m:e>
                  </m:d>
                </m:e>
                <m:sup>
                  <m:r>
                    <w:rPr>
                      <w:rFonts w:ascii="Cambria Math" w:hAnsi="Cambria Math"/>
                    </w:rPr>
                    <m:t>k</m:t>
                  </m:r>
                </m:sup>
              </m:sSup>
            </m:sup>
          </m:sSup>
        </m:oMath>
      </m:oMathPara>
    </w:p>
    <w:p w14:paraId="4B3EDB73" w14:textId="77777777" w:rsidR="00104DA5" w:rsidRPr="00104DA5" w:rsidRDefault="00104DA5" w:rsidP="00A019AC">
      <w:pPr>
        <w:jc w:val="center"/>
      </w:pPr>
    </w:p>
    <w:p w14:paraId="45759D33" w14:textId="77777777" w:rsidR="00A019AC" w:rsidRDefault="00A019AC" w:rsidP="00A019AC">
      <w:pPr>
        <w:ind w:left="720" w:firstLine="720"/>
      </w:pPr>
      <w:r w:rsidRPr="00104DA5">
        <w:t xml:space="preserve">where </w:t>
      </w:r>
      <w:r w:rsidRPr="00104DA5">
        <w:rPr>
          <w:i/>
          <w:iCs/>
        </w:rPr>
        <w:t>k</w:t>
      </w:r>
      <w:r w:rsidRPr="00104DA5">
        <w:t xml:space="preserve"> is the shape parameter and c is the scale parameter.</w:t>
      </w:r>
    </w:p>
    <w:p w14:paraId="4C1C7FE0" w14:textId="77777777" w:rsidR="00A2575C" w:rsidRPr="00104DA5" w:rsidRDefault="00A2575C" w:rsidP="00A019AC">
      <w:pPr>
        <w:ind w:left="720" w:firstLine="720"/>
      </w:pPr>
    </w:p>
    <w:p w14:paraId="7C627FC0" w14:textId="77777777" w:rsidR="00A019AC" w:rsidRPr="00104DA5" w:rsidRDefault="00A019AC" w:rsidP="00A019AC">
      <w:pPr>
        <w:pStyle w:val="ListParagraph"/>
        <w:numPr>
          <w:ilvl w:val="1"/>
          <w:numId w:val="15"/>
        </w:numPr>
        <w:suppressAutoHyphens w:val="0"/>
        <w:spacing w:line="278" w:lineRule="auto"/>
      </w:pPr>
      <w:r w:rsidRPr="00104DA5">
        <w:rPr>
          <w:b/>
          <w:bCs/>
        </w:rPr>
        <w:t>Rayleigh Distribution:</w:t>
      </w:r>
      <w:r w:rsidRPr="00104DA5">
        <w:t xml:space="preserve"> A special case of Weibull distribution </w:t>
      </w:r>
    </w:p>
    <w:p w14:paraId="69CBDE9C" w14:textId="77777777" w:rsidR="00A019AC" w:rsidRPr="00104DA5" w:rsidRDefault="00A019AC" w:rsidP="00A019AC">
      <w:pPr>
        <w:pStyle w:val="ListParagraph"/>
        <w:ind w:left="1440"/>
      </w:pPr>
      <w:r w:rsidRPr="00104DA5">
        <w:t xml:space="preserve">when </w:t>
      </w:r>
      <m:oMath>
        <m:r>
          <w:rPr>
            <w:rFonts w:ascii="Cambria Math" w:hAnsi="Cambria Math"/>
          </w:rPr>
          <m:t>k=2,c=</m:t>
        </m:r>
        <m:rad>
          <m:radPr>
            <m:degHide m:val="1"/>
            <m:ctrlPr>
              <w:rPr>
                <w:rFonts w:ascii="Cambria Math" w:hAnsi="Cambria Math"/>
                <w:i/>
              </w:rPr>
            </m:ctrlPr>
          </m:radPr>
          <m:deg/>
          <m:e>
            <m:r>
              <w:rPr>
                <w:rFonts w:ascii="Cambria Math" w:hAnsi="Cambria Math"/>
              </w:rPr>
              <m:t>2</m:t>
            </m:r>
          </m:e>
        </m:rad>
        <m:r>
          <w:rPr>
            <w:rFonts w:ascii="Cambria Math" w:eastAsiaTheme="minorEastAsia" w:hAnsi="Cambria Math"/>
          </w:rPr>
          <m:t xml:space="preserve"> σ</m:t>
        </m:r>
      </m:oMath>
      <w:r w:rsidRPr="00104DA5">
        <w:t>:</w:t>
      </w:r>
    </w:p>
    <w:p w14:paraId="4D27FC3C" w14:textId="77777777" w:rsidR="00104DA5" w:rsidRPr="00104DA5" w:rsidRDefault="00104DA5" w:rsidP="00A019AC"/>
    <w:p w14:paraId="1204636A" w14:textId="77777777" w:rsidR="00A019AC" w:rsidRPr="00104DA5" w:rsidRDefault="00A019AC" w:rsidP="00A019AC">
      <m:oMathPara>
        <m:oMath>
          <m:r>
            <w:rPr>
              <w:rFonts w:ascii="Cambria Math" w:hAnsi="Cambria Math"/>
            </w:rPr>
            <m:t>f</m:t>
          </m:r>
          <m:d>
            <m:dPr>
              <m:ctrlPr>
                <w:rPr>
                  <w:rFonts w:ascii="Cambria Math" w:hAnsi="Cambria Math"/>
                  <w:i/>
                </w:rPr>
              </m:ctrlPr>
            </m:dPr>
            <m:e>
              <m:r>
                <w:rPr>
                  <w:rFonts w:ascii="Cambria Math" w:hAnsi="Cambria Math"/>
                </w:rPr>
                <m:t>v;σ</m:t>
              </m:r>
            </m:e>
          </m:d>
          <m:r>
            <w:rPr>
              <w:rFonts w:ascii="Cambria Math" w:hAnsi="Cambria Math"/>
            </w:rPr>
            <m:t>=</m:t>
          </m:r>
          <m:f>
            <m:fPr>
              <m:ctrlPr>
                <w:rPr>
                  <w:rFonts w:ascii="Cambria Math" w:hAnsi="Cambria Math"/>
                  <w:i/>
                </w:rPr>
              </m:ctrlPr>
            </m:fPr>
            <m:num>
              <m:r>
                <w:rPr>
                  <w:rFonts w:ascii="Cambria Math" w:hAnsi="Cambria Math"/>
                </w:rPr>
                <m:t>v</m:t>
              </m:r>
              <m:ctrlPr>
                <w:rPr>
                  <w:rFonts w:ascii="Cambria Math" w:hAnsi="Cambria Math"/>
                </w:rPr>
              </m:ctrlPr>
            </m:num>
            <m:den>
              <m:sSup>
                <m:sSupPr>
                  <m:ctrlPr>
                    <w:rPr>
                      <w:rFonts w:ascii="Cambria Math" w:hAnsi="Cambria Math"/>
                    </w:rPr>
                  </m:ctrlPr>
                </m:sSupPr>
                <m:e>
                  <m:r>
                    <w:rPr>
                      <w:rFonts w:ascii="Cambria Math" w:hAnsi="Cambria Math"/>
                    </w:rPr>
                    <m:t>σ</m:t>
                  </m:r>
                </m:e>
                <m:sup>
                  <m:r>
                    <w:rPr>
                      <w:rFonts w:ascii="Cambria Math" w:hAnsi="Cambria Math"/>
                    </w:rPr>
                    <m:t>2</m:t>
                  </m:r>
                </m:sup>
              </m:sSup>
              <m:ctrlPr>
                <w:rPr>
                  <w:rFonts w:ascii="Cambria Math" w:hAnsi="Cambria Math"/>
                </w:rPr>
              </m:ctrlPr>
            </m:den>
          </m:f>
          <m:sSup>
            <m:sSupPr>
              <m:ctrlPr>
                <w:rPr>
                  <w:rFonts w:ascii="Cambria Math" w:hAnsi="Cambria Math"/>
                </w:rPr>
              </m:ctrlPr>
            </m:sSupPr>
            <m:e>
              <m:r>
                <w:rPr>
                  <w:rFonts w:ascii="Cambria Math" w:hAnsi="Cambria Math"/>
                </w:rPr>
                <m:t>e</m:t>
              </m:r>
            </m:e>
            <m:sup>
              <m:r>
                <w:rPr>
                  <w:rFonts w:ascii="Cambria Math" w:hAnsi="Cambria Math"/>
                </w:rPr>
                <m:t>-</m:t>
              </m:r>
              <m:f>
                <m:fPr>
                  <m:ctrlPr>
                    <w:rPr>
                      <w:rFonts w:ascii="Cambria Math" w:hAnsi="Cambria Math"/>
                      <w:i/>
                    </w:rPr>
                  </m:ctrlPr>
                </m:fPr>
                <m:num>
                  <m:sSup>
                    <m:sSupPr>
                      <m:ctrlPr>
                        <w:rPr>
                          <w:rFonts w:ascii="Cambria Math" w:hAnsi="Cambria Math"/>
                        </w:rPr>
                      </m:ctrlPr>
                    </m:sSupPr>
                    <m:e>
                      <m:r>
                        <w:rPr>
                          <w:rFonts w:ascii="Cambria Math" w:hAnsi="Cambria Math"/>
                        </w:rPr>
                        <m:t>v</m:t>
                      </m:r>
                    </m:e>
                    <m:sup>
                      <m:r>
                        <w:rPr>
                          <w:rFonts w:ascii="Cambria Math" w:hAnsi="Cambria Math"/>
                        </w:rPr>
                        <m:t>2</m:t>
                      </m:r>
                    </m:sup>
                  </m:sSup>
                  <m:ctrlPr>
                    <w:rPr>
                      <w:rFonts w:ascii="Cambria Math" w:hAnsi="Cambria Math"/>
                    </w:rPr>
                  </m:ctrlPr>
                </m:num>
                <m:den>
                  <m:r>
                    <w:rPr>
                      <w:rFonts w:ascii="Cambria Math" w:hAnsi="Cambria Math"/>
                    </w:rPr>
                    <m:t>2</m:t>
                  </m:r>
                  <m:sSup>
                    <m:sSupPr>
                      <m:ctrlPr>
                        <w:rPr>
                          <w:rFonts w:ascii="Cambria Math" w:hAnsi="Cambria Math"/>
                        </w:rPr>
                      </m:ctrlPr>
                    </m:sSupPr>
                    <m:e>
                      <m:r>
                        <w:rPr>
                          <w:rFonts w:ascii="Cambria Math" w:hAnsi="Cambria Math"/>
                        </w:rPr>
                        <m:t>σ</m:t>
                      </m:r>
                    </m:e>
                    <m:sup>
                      <m:r>
                        <w:rPr>
                          <w:rFonts w:ascii="Cambria Math" w:hAnsi="Cambria Math"/>
                        </w:rPr>
                        <m:t>2</m:t>
                      </m:r>
                    </m:sup>
                  </m:sSup>
                  <m:ctrlPr>
                    <w:rPr>
                      <w:rFonts w:ascii="Cambria Math" w:hAnsi="Cambria Math"/>
                    </w:rPr>
                  </m:ctrlPr>
                </m:den>
              </m:f>
              <m:ctrlPr>
                <w:rPr>
                  <w:rFonts w:ascii="Cambria Math" w:hAnsi="Cambria Math"/>
                  <w:i/>
                </w:rPr>
              </m:ctrlPr>
            </m:sup>
          </m:sSup>
          <m:r>
            <w:rPr>
              <w:rFonts w:ascii="Cambria Math" w:hAnsi="Cambria Math"/>
              <w:i/>
            </w:rPr>
            <m:t> </m:t>
          </m:r>
          <m:d>
            <m:dPr>
              <m:ctrlPr>
                <w:rPr>
                  <w:rFonts w:ascii="Cambria Math" w:hAnsi="Cambria Math"/>
                  <w:i/>
                </w:rPr>
              </m:ctrlPr>
            </m:dPr>
            <m:e>
              <m:r>
                <w:rPr>
                  <w:rFonts w:ascii="Cambria Math" w:hAnsi="Cambria Math"/>
                </w:rPr>
                <m:t>v≥0</m:t>
              </m:r>
            </m:e>
          </m:d>
        </m:oMath>
      </m:oMathPara>
    </w:p>
    <w:p w14:paraId="4D669646" w14:textId="77777777" w:rsidR="00104DA5" w:rsidRPr="00104DA5" w:rsidRDefault="00104DA5" w:rsidP="00A019AC"/>
    <w:p w14:paraId="739FE12E" w14:textId="77777777" w:rsidR="00A019AC" w:rsidRPr="00104DA5" w:rsidRDefault="00A019AC" w:rsidP="00A019AC">
      <w:pPr>
        <w:numPr>
          <w:ilvl w:val="0"/>
          <w:numId w:val="15"/>
        </w:numPr>
        <w:tabs>
          <w:tab w:val="clear" w:pos="720"/>
        </w:tabs>
        <w:suppressAutoHyphens w:val="0"/>
        <w:spacing w:after="160" w:line="278" w:lineRule="auto"/>
      </w:pPr>
      <w:r w:rsidRPr="00104DA5">
        <w:rPr>
          <w:b/>
          <w:bCs/>
        </w:rPr>
        <w:t>Parameter Estimation and Fitting Process:</w:t>
      </w:r>
    </w:p>
    <w:p w14:paraId="578E952D" w14:textId="77777777" w:rsidR="00A019AC" w:rsidRPr="00104DA5" w:rsidRDefault="00A019AC" w:rsidP="00A019AC">
      <w:pPr>
        <w:pStyle w:val="ListParagraph"/>
        <w:numPr>
          <w:ilvl w:val="1"/>
          <w:numId w:val="15"/>
        </w:numPr>
        <w:suppressAutoHyphens w:val="0"/>
        <w:spacing w:after="160" w:line="278" w:lineRule="auto"/>
        <w:rPr>
          <w:rFonts w:eastAsia="Times New Roman"/>
          <w:lang w:eastAsia="en-GB"/>
        </w:rPr>
      </w:pPr>
      <w:r w:rsidRPr="00104DA5">
        <w:t>GERD parameters were estimated utilising Maximum likelihood estimation (MLE) via scipy. Optimize and minimize the inhospitable log-likelihood function.</w:t>
      </w:r>
      <w:r w:rsidRPr="00104DA5">
        <w:rPr>
          <w:rStyle w:val="apple-converted-space"/>
          <w:color w:val="000000"/>
          <w:sz w:val="22"/>
          <w:szCs w:val="22"/>
        </w:rPr>
        <w:t> </w:t>
      </w:r>
    </w:p>
    <w:p w14:paraId="13FDB5BE" w14:textId="77777777" w:rsidR="00A019AC" w:rsidRPr="00104DA5" w:rsidRDefault="00A019AC" w:rsidP="00A019AC">
      <w:pPr>
        <w:pStyle w:val="ListParagraph"/>
        <w:numPr>
          <w:ilvl w:val="1"/>
          <w:numId w:val="15"/>
        </w:numPr>
        <w:suppressAutoHyphens w:val="0"/>
        <w:spacing w:after="160" w:line="278" w:lineRule="auto"/>
        <w:jc w:val="left"/>
      </w:pPr>
      <w:r w:rsidRPr="00104DA5">
        <w:t xml:space="preserve">Weibull and Rayleigh parameters were fitted utilising scipy.stats.weibull_min.bout() </w:t>
      </w:r>
      <w:r w:rsidRPr="00104DA5">
        <w:rPr>
          <w:color w:val="000000" w:themeColor="text1"/>
        </w:rPr>
        <w:t>and</w:t>
      </w:r>
      <w:r w:rsidRPr="00104DA5">
        <w:rPr>
          <w:rStyle w:val="apple-converted-space"/>
          <w:color w:val="000000" w:themeColor="text1"/>
          <w:sz w:val="22"/>
          <w:szCs w:val="22"/>
        </w:rPr>
        <w:t> </w:t>
      </w:r>
      <w:hyperlink r:id="rId7" w:tgtFrame="_blank" w:history="1">
        <w:r w:rsidRPr="00104DA5">
          <w:rPr>
            <w:rStyle w:val="Hyperlink"/>
            <w:color w:val="000000" w:themeColor="text1"/>
            <w:sz w:val="22"/>
            <w:szCs w:val="22"/>
          </w:rPr>
          <w:t>scipy.stats.rayleigh.fit</w:t>
        </w:r>
      </w:hyperlink>
      <w:r w:rsidRPr="00104DA5">
        <w:t>(), independently.</w:t>
      </w:r>
      <w:r w:rsidRPr="00104DA5">
        <w:rPr>
          <w:rStyle w:val="apple-converted-space"/>
          <w:color w:val="000000"/>
          <w:sz w:val="22"/>
          <w:szCs w:val="22"/>
        </w:rPr>
        <w:t> </w:t>
      </w:r>
    </w:p>
    <w:p w14:paraId="0731FE10" w14:textId="77777777" w:rsidR="00A019AC" w:rsidRPr="00104DA5" w:rsidRDefault="00A019AC" w:rsidP="00A019AC">
      <w:pPr>
        <w:pStyle w:val="ListParagraph"/>
        <w:numPr>
          <w:ilvl w:val="1"/>
          <w:numId w:val="15"/>
        </w:numPr>
        <w:suppressAutoHyphens w:val="0"/>
        <w:spacing w:after="160" w:line="278" w:lineRule="auto"/>
        <w:jc w:val="left"/>
      </w:pPr>
      <w:r w:rsidRPr="00104DA5">
        <w:t>The virtuousness of the bout was validated utilising the Kolmogorov–Smirnov (KS) test.</w:t>
      </w:r>
      <w:r w:rsidRPr="00104DA5">
        <w:rPr>
          <w:rStyle w:val="apple-converted-space"/>
          <w:color w:val="000000"/>
          <w:sz w:val="22"/>
          <w:szCs w:val="22"/>
        </w:rPr>
        <w:t> </w:t>
      </w:r>
    </w:p>
    <w:p w14:paraId="23EC5C98" w14:textId="77777777" w:rsidR="00A019AC" w:rsidRPr="00104DA5" w:rsidRDefault="00A019AC" w:rsidP="00A019AC">
      <w:pPr>
        <w:numPr>
          <w:ilvl w:val="0"/>
          <w:numId w:val="15"/>
        </w:numPr>
        <w:tabs>
          <w:tab w:val="clear" w:pos="720"/>
        </w:tabs>
        <w:suppressAutoHyphens w:val="0"/>
        <w:spacing w:after="160" w:line="278" w:lineRule="auto"/>
      </w:pPr>
      <w:r w:rsidRPr="00104DA5">
        <w:rPr>
          <w:b/>
          <w:bCs/>
        </w:rPr>
        <w:t>Statistical Metrics Computed:</w:t>
      </w:r>
    </w:p>
    <w:p w14:paraId="3DA8F036" w14:textId="77777777" w:rsidR="00A019AC" w:rsidRPr="00104DA5" w:rsidRDefault="00A019AC" w:rsidP="00A019AC">
      <w:pPr>
        <w:numPr>
          <w:ilvl w:val="1"/>
          <w:numId w:val="15"/>
        </w:numPr>
        <w:suppressAutoHyphens w:val="0"/>
        <w:spacing w:line="278" w:lineRule="auto"/>
      </w:pPr>
      <w:r w:rsidRPr="00104DA5">
        <w:t>Central moments including mean, variance, skewness, and kurtosis.</w:t>
      </w:r>
    </w:p>
    <w:p w14:paraId="15141BEA" w14:textId="77777777" w:rsidR="00A019AC" w:rsidRPr="00104DA5" w:rsidRDefault="00A019AC" w:rsidP="00A019AC">
      <w:pPr>
        <w:numPr>
          <w:ilvl w:val="1"/>
          <w:numId w:val="15"/>
        </w:numPr>
        <w:suppressAutoHyphens w:val="0"/>
        <w:spacing w:after="160" w:line="278" w:lineRule="auto"/>
      </w:pPr>
      <w:r w:rsidRPr="00104DA5">
        <w:t>Moment Generating Function (MGF) for GERD:</w:t>
      </w:r>
    </w:p>
    <w:p w14:paraId="3F7FA0BF" w14:textId="77777777" w:rsidR="00104DA5" w:rsidRPr="00104DA5" w:rsidRDefault="00104DA5" w:rsidP="00A019AC">
      <w:pPr>
        <w:jc w:val="center"/>
      </w:pPr>
    </w:p>
    <w:p w14:paraId="1E4696D5" w14:textId="77777777" w:rsidR="00A019AC" w:rsidRPr="00104DA5" w:rsidRDefault="00A019AC" w:rsidP="00A019AC">
      <w:pPr>
        <w:jc w:val="center"/>
      </w:pPr>
      <m:oMathPara>
        <m:oMath>
          <m:r>
            <w:rPr>
              <w:rFonts w:ascii="Cambria Math" w:hAnsi="Cambria Math"/>
            </w:rPr>
            <w:lastRenderedPageBreak/>
            <m:t>M</m:t>
          </m:r>
          <m:d>
            <m:dPr>
              <m:ctrlPr>
                <w:rPr>
                  <w:rFonts w:ascii="Cambria Math" w:hAnsi="Cambria Math"/>
                  <w:i/>
                </w:rPr>
              </m:ctrlPr>
            </m:dPr>
            <m:e>
              <m:r>
                <w:rPr>
                  <w:rFonts w:ascii="Cambria Math" w:hAnsi="Cambria Math"/>
                </w:rPr>
                <m:t>t</m:t>
              </m:r>
            </m:e>
          </m:d>
          <m:r>
            <w:rPr>
              <w:rFonts w:ascii="Cambria Math" w:hAnsi="Cambria Math"/>
            </w:rPr>
            <m:t>=</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μt+</m:t>
                  </m:r>
                  <m:f>
                    <m:fPr>
                      <m:ctrlPr>
                        <w:rPr>
                          <w:rFonts w:ascii="Cambria Math" w:hAnsi="Cambria Math"/>
                          <w:i/>
                        </w:rPr>
                      </m:ctrlPr>
                    </m:fPr>
                    <m:num>
                      <m:r>
                        <w:rPr>
                          <w:rFonts w:ascii="Cambria Math" w:hAnsi="Cambria Math"/>
                        </w:rPr>
                        <m:t>1</m:t>
                      </m:r>
                      <m:ctrlPr>
                        <w:rPr>
                          <w:rFonts w:ascii="Cambria Math" w:hAnsi="Cambria Math"/>
                        </w:rPr>
                      </m:ctrlPr>
                    </m:num>
                    <m:den>
                      <m:r>
                        <w:rPr>
                          <w:rFonts w:ascii="Cambria Math" w:hAnsi="Cambria Math"/>
                        </w:rPr>
                        <m:t>2</m:t>
                      </m:r>
                      <m:ctrlPr>
                        <w:rPr>
                          <w:rFonts w:ascii="Cambria Math" w:hAnsi="Cambria Math"/>
                        </w:rPr>
                      </m:ctrlPr>
                    </m:den>
                  </m:f>
                  <m:sSup>
                    <m:sSupPr>
                      <m:ctrlPr>
                        <w:rPr>
                          <w:rFonts w:ascii="Cambria Math" w:hAnsi="Cambria Math"/>
                        </w:rPr>
                      </m:ctrlPr>
                    </m:sSupPr>
                    <m:e>
                      <m:r>
                        <w:rPr>
                          <w:rFonts w:ascii="Cambria Math" w:hAnsi="Cambria Math"/>
                        </w:rPr>
                        <m:t>τ</m:t>
                      </m:r>
                    </m:e>
                    <m:sup>
                      <m:r>
                        <w:rPr>
                          <w:rFonts w:ascii="Cambria Math" w:hAnsi="Cambria Math"/>
                        </w:rPr>
                        <m:t>2</m:t>
                      </m:r>
                    </m:sup>
                  </m:sSup>
                  <m:sSup>
                    <m:sSupPr>
                      <m:ctrlPr>
                        <w:rPr>
                          <w:rFonts w:ascii="Cambria Math" w:hAnsi="Cambria Math"/>
                        </w:rPr>
                      </m:ctrlPr>
                    </m:sSupPr>
                    <m:e>
                      <m:r>
                        <w:rPr>
                          <w:rFonts w:ascii="Cambria Math" w:hAnsi="Cambria Math"/>
                        </w:rPr>
                        <m:t>t</m:t>
                      </m:r>
                    </m:e>
                    <m:sup>
                      <m:r>
                        <w:rPr>
                          <w:rFonts w:ascii="Cambria Math" w:hAnsi="Cambria Math"/>
                        </w:rPr>
                        <m:t>2</m:t>
                      </m:r>
                    </m:sup>
                  </m:sSup>
                </m:e>
              </m:d>
            </m:e>
          </m:func>
        </m:oMath>
      </m:oMathPara>
    </w:p>
    <w:p w14:paraId="15151BE2" w14:textId="77777777" w:rsidR="00104DA5" w:rsidRPr="00104DA5" w:rsidRDefault="00104DA5" w:rsidP="00A019AC">
      <w:pPr>
        <w:jc w:val="center"/>
      </w:pPr>
    </w:p>
    <w:p w14:paraId="65DB70E9" w14:textId="77777777" w:rsidR="00A019AC" w:rsidRPr="00104DA5" w:rsidRDefault="00A019AC" w:rsidP="00A019AC">
      <w:pPr>
        <w:numPr>
          <w:ilvl w:val="1"/>
          <w:numId w:val="15"/>
        </w:numPr>
        <w:suppressAutoHyphens w:val="0"/>
        <w:spacing w:after="160" w:line="278" w:lineRule="auto"/>
      </w:pPr>
      <w:r w:rsidRPr="00104DA5">
        <w:t>Approximate Quantile Function:</w:t>
      </w:r>
    </w:p>
    <w:p w14:paraId="2E87833F" w14:textId="77777777" w:rsidR="00104DA5" w:rsidRPr="00104DA5" w:rsidRDefault="00104DA5" w:rsidP="00A019AC"/>
    <w:p w14:paraId="1FC2D13E" w14:textId="77777777" w:rsidR="00A019AC" w:rsidRPr="00104DA5" w:rsidRDefault="00A019AC" w:rsidP="00A019AC">
      <m:oMathPara>
        <m:oMath>
          <m:r>
            <w:rPr>
              <w:rFonts w:ascii="Cambria Math" w:hAnsi="Cambria Math"/>
            </w:rPr>
            <m:t>Q</m:t>
          </m:r>
          <m:d>
            <m:dPr>
              <m:ctrlPr>
                <w:rPr>
                  <w:rFonts w:ascii="Cambria Math" w:hAnsi="Cambria Math"/>
                  <w:i/>
                </w:rPr>
              </m:ctrlPr>
            </m:dPr>
            <m:e>
              <m:r>
                <w:rPr>
                  <w:rFonts w:ascii="Cambria Math" w:hAnsi="Cambria Math"/>
                </w:rPr>
                <m:t>p</m:t>
              </m:r>
            </m:e>
          </m:d>
          <m:r>
            <w:rPr>
              <w:rFonts w:ascii="Cambria Math" w:hAnsi="Cambria Math"/>
            </w:rPr>
            <m:t>≈μ+τ</m:t>
          </m:r>
          <m:sSup>
            <m:sSupPr>
              <m:ctrlPr>
                <w:rPr>
                  <w:rFonts w:ascii="Cambria Math" w:hAnsi="Cambria Math"/>
                </w:rPr>
              </m:ctrlPr>
            </m:sSupPr>
            <m:e>
              <m:r>
                <w:rPr>
                  <w:rFonts w:ascii="Cambria Math" w:hAnsi="Cambria Math"/>
                </w:rPr>
                <m:t>Φ</m:t>
              </m:r>
            </m:e>
            <m:sup>
              <m:r>
                <w:rPr>
                  <w:rFonts w:ascii="Cambria Math" w:hAnsi="Cambria Math"/>
                </w:rPr>
                <m:t>-1</m:t>
              </m:r>
            </m:sup>
          </m:sSup>
          <m:d>
            <m:dPr>
              <m:ctrlPr>
                <w:rPr>
                  <w:rFonts w:ascii="Cambria Math" w:hAnsi="Cambria Math"/>
                  <w:i/>
                </w:rPr>
              </m:ctrlPr>
            </m:dPr>
            <m:e>
              <m:r>
                <w:rPr>
                  <w:rFonts w:ascii="Cambria Math" w:hAnsi="Cambria Math"/>
                </w:rPr>
                <m:t>p</m:t>
              </m:r>
            </m:e>
          </m:d>
        </m:oMath>
      </m:oMathPara>
    </w:p>
    <w:p w14:paraId="0FE20AB2" w14:textId="77777777" w:rsidR="00104DA5" w:rsidRPr="00104DA5" w:rsidRDefault="00104DA5" w:rsidP="00A019AC"/>
    <w:p w14:paraId="6DC119F7" w14:textId="77777777" w:rsidR="00A019AC" w:rsidRPr="00104DA5" w:rsidRDefault="00A019AC" w:rsidP="00A019AC">
      <w:pPr>
        <w:pStyle w:val="p1"/>
        <w:numPr>
          <w:ilvl w:val="0"/>
          <w:numId w:val="15"/>
        </w:numPr>
        <w:jc w:val="both"/>
      </w:pPr>
      <w:r w:rsidRPr="00104DA5">
        <w:rPr>
          <w:rStyle w:val="s1"/>
          <w:rFonts w:eastAsiaTheme="majorEastAsia"/>
          <w:b/>
          <w:bCs/>
        </w:rPr>
        <w:t>Simulation and power estimation:</w:t>
      </w:r>
      <w:r w:rsidRPr="00104DA5">
        <w:t xml:space="preserve"> From each fitted model we generated 10,000 wind-speed values. We then estimated power for each value using the equation.</w:t>
      </w:r>
    </w:p>
    <w:p w14:paraId="240E07A0" w14:textId="77777777" w:rsidR="00104DA5" w:rsidRPr="00104DA5" w:rsidRDefault="00104DA5" w:rsidP="00A019AC">
      <w:pPr>
        <w:pStyle w:val="ListParagraph"/>
        <w:jc w:val="center"/>
        <w:rPr>
          <w:rFonts w:eastAsia="Times New Roman"/>
        </w:rPr>
      </w:pPr>
    </w:p>
    <w:p w14:paraId="4947585F" w14:textId="77777777" w:rsidR="00A019AC" w:rsidRPr="00104DA5" w:rsidRDefault="00A019AC" w:rsidP="00A019AC">
      <w:pPr>
        <w:pStyle w:val="ListParagraph"/>
        <w:jc w:val="center"/>
      </w:pPr>
      <m:oMathPara>
        <m:oMath>
          <m:r>
            <w:rPr>
              <w:rFonts w:ascii="Cambria Math" w:hAnsi="Cambria Math"/>
            </w:rPr>
            <m:t>P=</m:t>
          </m:r>
          <m:f>
            <m:fPr>
              <m:ctrlPr>
                <w:rPr>
                  <w:rFonts w:ascii="Cambria Math" w:hAnsi="Cambria Math"/>
                  <w:i/>
                </w:rPr>
              </m:ctrlPr>
            </m:fPr>
            <m:num>
              <m:r>
                <w:rPr>
                  <w:rFonts w:ascii="Cambria Math" w:hAnsi="Cambria Math"/>
                </w:rPr>
                <m:t>1</m:t>
              </m:r>
              <m:ctrlPr>
                <w:rPr>
                  <w:rFonts w:ascii="Cambria Math" w:hAnsi="Cambria Math"/>
                </w:rPr>
              </m:ctrlPr>
            </m:num>
            <m:den>
              <m:r>
                <w:rPr>
                  <w:rFonts w:ascii="Cambria Math" w:hAnsi="Cambria Math"/>
                </w:rPr>
                <m:t>2</m:t>
              </m:r>
              <m:ctrlPr>
                <w:rPr>
                  <w:rFonts w:ascii="Cambria Math" w:hAnsi="Cambria Math"/>
                </w:rPr>
              </m:ctrlPr>
            </m:den>
          </m:f>
          <m:r>
            <w:rPr>
              <w:rFonts w:ascii="Cambria Math" w:hAnsi="Cambria Math"/>
            </w:rPr>
            <m:t>ρAη</m:t>
          </m:r>
          <m:bar>
            <m:barPr>
              <m:pos m:val="top"/>
              <m:ctrlPr>
                <w:rPr>
                  <w:rFonts w:ascii="Cambria Math" w:hAnsi="Cambria Math"/>
                </w:rPr>
              </m:ctrlPr>
            </m:barPr>
            <m:e>
              <m:sSup>
                <m:sSupPr>
                  <m:ctrlPr>
                    <w:rPr>
                      <w:rFonts w:ascii="Cambria Math" w:hAnsi="Cambria Math"/>
                    </w:rPr>
                  </m:ctrlPr>
                </m:sSupPr>
                <m:e>
                  <m:r>
                    <w:rPr>
                      <w:rFonts w:ascii="Cambria Math" w:hAnsi="Cambria Math"/>
                    </w:rPr>
                    <m:t>v</m:t>
                  </m:r>
                </m:e>
                <m:sup>
                  <m:r>
                    <w:rPr>
                      <w:rFonts w:ascii="Cambria Math" w:hAnsi="Cambria Math"/>
                    </w:rPr>
                    <m:t>3</m:t>
                  </m:r>
                </m:sup>
              </m:sSup>
            </m:e>
          </m:bar>
        </m:oMath>
      </m:oMathPara>
    </w:p>
    <w:p w14:paraId="511606C8" w14:textId="77777777" w:rsidR="00104DA5" w:rsidRPr="00104DA5" w:rsidRDefault="00104DA5" w:rsidP="00A019AC">
      <w:pPr>
        <w:pStyle w:val="ListParagraph"/>
        <w:jc w:val="center"/>
      </w:pPr>
    </w:p>
    <w:p w14:paraId="550F116E" w14:textId="77777777" w:rsidR="00A019AC" w:rsidRPr="00104DA5" w:rsidRDefault="00A019AC" w:rsidP="00A019AC">
      <w:pPr>
        <w:spacing w:before="100" w:beforeAutospacing="1" w:after="100" w:afterAutospacing="1" w:line="240" w:lineRule="auto"/>
        <w:ind w:left="720"/>
        <w:rPr>
          <w:rFonts w:eastAsia="Times New Roman"/>
          <w:color w:val="000000"/>
          <w:lang w:eastAsia="en-GB"/>
        </w:rPr>
      </w:pPr>
      <w:r w:rsidRPr="00104DA5">
        <w:rPr>
          <w:rFonts w:eastAsia="Times New Roman"/>
          <w:color w:val="000000"/>
          <w:lang w:eastAsia="en-GB"/>
        </w:rPr>
        <w:t xml:space="preserve">where ρ = 1.225 kg/m³ is air viscosity, A = 100 m² is rotor area, and η = 0.4 is the effectiveness procurator. This formula reflects the proportionality between wind authority and the cell of wind celerity. </w:t>
      </w:r>
    </w:p>
    <w:p w14:paraId="3E1C7C95" w14:textId="77777777" w:rsidR="00A019AC" w:rsidRPr="00104DA5" w:rsidRDefault="00A019AC" w:rsidP="00A019AC">
      <w:pPr>
        <w:spacing w:before="100" w:beforeAutospacing="1" w:after="100" w:afterAutospacing="1" w:line="240" w:lineRule="auto"/>
        <w:ind w:left="720"/>
        <w:rPr>
          <w:rFonts w:eastAsia="Times New Roman"/>
          <w:color w:val="000000"/>
          <w:lang w:eastAsia="en-GB"/>
        </w:rPr>
      </w:pPr>
      <w:r w:rsidRPr="00104DA5">
        <w:rPr>
          <w:rFonts w:eastAsia="Times New Roman"/>
          <w:color w:val="000000"/>
          <w:lang w:eastAsia="en-GB"/>
        </w:rPr>
        <w:t>This methodological frame ensures a robust and relative evaluation of statistical models and their counter-accusations for wind dynamism resource valuation in Tokyo.</w:t>
      </w:r>
    </w:p>
    <w:p w14:paraId="65E42EE0" w14:textId="77777777" w:rsidR="00BF4C3C" w:rsidRPr="00104DA5" w:rsidRDefault="00BF4C3C">
      <w:pPr>
        <w:rPr>
          <w:i/>
          <w:szCs w:val="24"/>
        </w:rPr>
      </w:pPr>
    </w:p>
    <w:p w14:paraId="7DE743E7" w14:textId="77777777" w:rsidR="00BF4C3C" w:rsidRPr="00104DA5" w:rsidRDefault="00A019AC">
      <w:pPr>
        <w:pStyle w:val="Heading1"/>
        <w:numPr>
          <w:ilvl w:val="0"/>
          <w:numId w:val="9"/>
        </w:numPr>
        <w:ind w:left="397" w:hanging="397"/>
      </w:pPr>
      <w:r w:rsidRPr="00104DA5">
        <w:t>The Gaussian-Enhanced Rayleigh Distribution (GERD)</w:t>
      </w:r>
    </w:p>
    <w:p w14:paraId="2C24F0C7" w14:textId="77777777" w:rsidR="00BF4C3C" w:rsidRPr="00104DA5" w:rsidRDefault="00A019AC">
      <w:pPr>
        <w:pStyle w:val="BodyText"/>
        <w:rPr>
          <w:szCs w:val="24"/>
        </w:rPr>
      </w:pPr>
      <w:r w:rsidRPr="00104DA5">
        <w:rPr>
          <w:szCs w:val="24"/>
        </w:rPr>
        <w:t xml:space="preserve"> </w:t>
      </w:r>
    </w:p>
    <w:p w14:paraId="2035BF83" w14:textId="77777777" w:rsidR="00A019AC" w:rsidRPr="00A2575C" w:rsidRDefault="00A019AC" w:rsidP="00A019AC">
      <w:pPr>
        <w:rPr>
          <w:b/>
          <w:bCs/>
        </w:rPr>
      </w:pPr>
      <w:r w:rsidRPr="00A2575C">
        <w:rPr>
          <w:b/>
          <w:bCs/>
        </w:rPr>
        <w:t>Gaussian-Enhanced Rayleigh Distribution (GERD) for Wind Speed Modelling</w:t>
      </w:r>
    </w:p>
    <w:p w14:paraId="4900C76D" w14:textId="77777777" w:rsidR="00A2575C" w:rsidRDefault="00A2575C" w:rsidP="00A019AC">
      <w:pPr>
        <w:rPr>
          <w:b/>
          <w:bCs/>
        </w:rPr>
      </w:pPr>
    </w:p>
    <w:p w14:paraId="3DEF7B56" w14:textId="77777777" w:rsidR="00A2575C" w:rsidRPr="00A2575C" w:rsidRDefault="00A2575C" w:rsidP="00A019AC">
      <w:pPr>
        <w:rPr>
          <w:b/>
          <w:bCs/>
          <w:sz w:val="10"/>
          <w:szCs w:val="4"/>
        </w:rPr>
      </w:pPr>
    </w:p>
    <w:p w14:paraId="275B6ACF" w14:textId="77777777" w:rsidR="00A019AC" w:rsidRPr="00104DA5" w:rsidRDefault="00A019AC" w:rsidP="00A019AC">
      <w:pPr>
        <w:rPr>
          <w:b/>
          <w:bCs/>
        </w:rPr>
      </w:pPr>
      <m:oMathPara>
        <m:oMath>
          <m:r>
            <w:rPr>
              <w:rFonts w:ascii="Cambria Math" w:hAnsi="Cambria Math"/>
            </w:rPr>
            <m:t>f</m:t>
          </m:r>
          <m:d>
            <m:dPr>
              <m:ctrlPr>
                <w:rPr>
                  <w:rFonts w:ascii="Cambria Math" w:hAnsi="Cambria Math"/>
                  <w:i/>
                </w:rPr>
              </m:ctrlPr>
            </m:dPr>
            <m:e>
              <m:r>
                <w:rPr>
                  <w:rFonts w:ascii="Cambria Math" w:hAnsi="Cambria Math"/>
                </w:rPr>
                <m:t>v;σ,μ,τ,λ</m:t>
              </m:r>
            </m:e>
          </m:d>
          <m:r>
            <w:rPr>
              <w:rFonts w:ascii="Cambria Math" w:hAnsi="Cambria Math"/>
            </w:rPr>
            <m:t>=</m:t>
          </m:r>
          <m:f>
            <m:fPr>
              <m:ctrlPr>
                <w:rPr>
                  <w:rFonts w:ascii="Cambria Math" w:hAnsi="Cambria Math"/>
                  <w:i/>
                </w:rPr>
              </m:ctrlPr>
            </m:fPr>
            <m:num>
              <m:r>
                <w:rPr>
                  <w:rFonts w:ascii="Cambria Math" w:hAnsi="Cambria Math"/>
                </w:rPr>
                <m:t>v</m:t>
              </m:r>
            </m:num>
            <m:den>
              <m:sSup>
                <m:sSupPr>
                  <m:ctrlPr>
                    <w:rPr>
                      <w:rFonts w:ascii="Cambria Math" w:hAnsi="Cambria Math"/>
                    </w:rPr>
                  </m:ctrlPr>
                </m:sSupPr>
                <m:e>
                  <m:r>
                    <w:rPr>
                      <w:rFonts w:ascii="Cambria Math" w:hAnsi="Cambria Math"/>
                    </w:rPr>
                    <m:t>σ</m:t>
                  </m:r>
                  <m:ctrlPr>
                    <w:rPr>
                      <w:rFonts w:ascii="Cambria Math" w:hAnsi="Cambria Math"/>
                      <w:i/>
                    </w:rPr>
                  </m:ctrlPr>
                </m:e>
                <m:sup>
                  <m:r>
                    <w:rPr>
                      <w:rFonts w:ascii="Cambria Math" w:hAnsi="Cambria Math"/>
                    </w:rPr>
                    <m:t>2</m:t>
                  </m:r>
                </m:sup>
              </m:sSup>
            </m:den>
          </m:f>
          <m:sSup>
            <m:sSupPr>
              <m:ctrlPr>
                <w:rPr>
                  <w:rFonts w:ascii="Cambria Math" w:hAnsi="Cambria Math"/>
                </w:rPr>
              </m:ctrlPr>
            </m:sSupPr>
            <m:e>
              <m:r>
                <w:rPr>
                  <w:rFonts w:ascii="Cambria Math" w:hAnsi="Cambria Math"/>
                </w:rPr>
                <m:t>e</m:t>
              </m:r>
              <m:ctrlPr>
                <w:rPr>
                  <w:rFonts w:ascii="Cambria Math" w:hAnsi="Cambria Math"/>
                  <w:i/>
                </w:rPr>
              </m:ctrlPr>
            </m:e>
            <m:sup>
              <m:r>
                <w:rPr>
                  <w:rFonts w:ascii="Cambria Math" w:hAnsi="Cambria Math"/>
                </w:rPr>
                <m:t>-</m:t>
              </m:r>
              <m:f>
                <m:fPr>
                  <m:ctrlPr>
                    <w:rPr>
                      <w:rFonts w:ascii="Cambria Math" w:hAnsi="Cambria Math"/>
                      <w:i/>
                    </w:rPr>
                  </m:ctrlPr>
                </m:fPr>
                <m:num>
                  <m:sSup>
                    <m:sSupPr>
                      <m:ctrlPr>
                        <w:rPr>
                          <w:rFonts w:ascii="Cambria Math" w:hAnsi="Cambria Math"/>
                        </w:rPr>
                      </m:ctrlPr>
                    </m:sSupPr>
                    <m:e>
                      <m:r>
                        <w:rPr>
                          <w:rFonts w:ascii="Cambria Math" w:hAnsi="Cambria Math"/>
                        </w:rPr>
                        <m:t>v</m:t>
                      </m:r>
                      <m:ctrlPr>
                        <w:rPr>
                          <w:rFonts w:ascii="Cambria Math" w:hAnsi="Cambria Math"/>
                          <w:i/>
                        </w:rPr>
                      </m:ctrlPr>
                    </m:e>
                    <m:sup>
                      <m:r>
                        <w:rPr>
                          <w:rFonts w:ascii="Cambria Math" w:hAnsi="Cambria Math"/>
                        </w:rPr>
                        <m:t>2</m:t>
                      </m:r>
                    </m:sup>
                  </m:sSup>
                </m:num>
                <m:den>
                  <m:r>
                    <w:rPr>
                      <w:rFonts w:ascii="Cambria Math" w:hAnsi="Cambria Math"/>
                    </w:rPr>
                    <m:t>2</m:t>
                  </m:r>
                  <m:sSup>
                    <m:sSupPr>
                      <m:ctrlPr>
                        <w:rPr>
                          <w:rFonts w:ascii="Cambria Math" w:hAnsi="Cambria Math"/>
                        </w:rPr>
                      </m:ctrlPr>
                    </m:sSupPr>
                    <m:e>
                      <m:r>
                        <w:rPr>
                          <w:rFonts w:ascii="Cambria Math" w:hAnsi="Cambria Math"/>
                        </w:rPr>
                        <m:t>σ</m:t>
                      </m:r>
                      <m:ctrlPr>
                        <w:rPr>
                          <w:rFonts w:ascii="Cambria Math" w:hAnsi="Cambria Math"/>
                          <w:i/>
                        </w:rPr>
                      </m:ctrlPr>
                    </m:e>
                    <m:sup>
                      <m:r>
                        <w:rPr>
                          <w:rFonts w:ascii="Cambria Math" w:hAnsi="Cambria Math"/>
                        </w:rPr>
                        <m:t>2</m:t>
                      </m:r>
                    </m:sup>
                  </m:sSup>
                </m:den>
              </m:f>
            </m:sup>
          </m:sSup>
          <m:r>
            <w:rPr>
              <w:rFonts w:ascii="Cambria Math" w:hAnsi="Cambria Math"/>
            </w:rPr>
            <m:t>+λ⋅</m:t>
          </m:r>
          <m:f>
            <m:fPr>
              <m:ctrlPr>
                <w:rPr>
                  <w:rFonts w:ascii="Cambria Math" w:hAnsi="Cambria Math"/>
                  <w:i/>
                </w:rPr>
              </m:ctrlPr>
            </m:fPr>
            <m:num>
              <m:r>
                <w:rPr>
                  <w:rFonts w:ascii="Cambria Math" w:hAnsi="Cambria Math"/>
                </w:rPr>
                <m:t>1</m:t>
              </m:r>
            </m:num>
            <m:den>
              <m:r>
                <w:rPr>
                  <w:rFonts w:ascii="Cambria Math" w:hAnsi="Cambria Math"/>
                </w:rPr>
                <m:t>τ</m:t>
              </m:r>
              <m:rad>
                <m:radPr>
                  <m:degHide m:val="1"/>
                  <m:ctrlPr>
                    <w:rPr>
                      <w:rFonts w:ascii="Cambria Math" w:hAnsi="Cambria Math"/>
                      <w:i/>
                    </w:rPr>
                  </m:ctrlPr>
                </m:radPr>
                <m:deg/>
                <m:e>
                  <m:r>
                    <w:rPr>
                      <w:rFonts w:ascii="Cambria Math" w:hAnsi="Cambria Math"/>
                    </w:rPr>
                    <m:t>2π</m:t>
                  </m:r>
                </m:e>
              </m:rad>
            </m:den>
          </m:f>
          <m:sSup>
            <m:sSupPr>
              <m:ctrlPr>
                <w:rPr>
                  <w:rFonts w:ascii="Cambria Math" w:hAnsi="Cambria Math"/>
                </w:rPr>
              </m:ctrlPr>
            </m:sSupPr>
            <m:e>
              <m:r>
                <w:rPr>
                  <w:rFonts w:ascii="Cambria Math" w:hAnsi="Cambria Math"/>
                </w:rPr>
                <m:t>e</m:t>
              </m:r>
              <m:ctrlPr>
                <w:rPr>
                  <w:rFonts w:ascii="Cambria Math" w:hAnsi="Cambria Math"/>
                  <w:i/>
                </w:rPr>
              </m:ctrlPr>
            </m:e>
            <m:sup>
              <m:r>
                <w:rPr>
                  <w:rFonts w:ascii="Cambria Math" w:hAnsi="Cambria Math"/>
                </w:rPr>
                <m:t>-</m:t>
              </m:r>
              <m:f>
                <m:fPr>
                  <m:ctrlPr>
                    <w:rPr>
                      <w:rFonts w:ascii="Cambria Math" w:hAnsi="Cambria Math"/>
                      <w:i/>
                    </w:rPr>
                  </m:ctrlPr>
                </m:fPr>
                <m:num>
                  <m:sSup>
                    <m:sSupPr>
                      <m:ctrlPr>
                        <w:rPr>
                          <w:rFonts w:ascii="Cambria Math" w:hAnsi="Cambria Math"/>
                        </w:rPr>
                      </m:ctrlPr>
                    </m:sSupPr>
                    <m:e>
                      <m:d>
                        <m:dPr>
                          <m:ctrlPr>
                            <w:rPr>
                              <w:rFonts w:ascii="Cambria Math" w:hAnsi="Cambria Math"/>
                              <w:i/>
                            </w:rPr>
                          </m:ctrlPr>
                        </m:dPr>
                        <m:e>
                          <m:r>
                            <w:rPr>
                              <w:rFonts w:ascii="Cambria Math" w:hAnsi="Cambria Math"/>
                            </w:rPr>
                            <m:t>v-μ</m:t>
                          </m:r>
                        </m:e>
                      </m:d>
                      <m:ctrlPr>
                        <w:rPr>
                          <w:rFonts w:ascii="Cambria Math" w:hAnsi="Cambria Math"/>
                          <w:i/>
                        </w:rPr>
                      </m:ctrlPr>
                    </m:e>
                    <m:sup>
                      <m:r>
                        <w:rPr>
                          <w:rFonts w:ascii="Cambria Math" w:hAnsi="Cambria Math"/>
                        </w:rPr>
                        <m:t>2</m:t>
                      </m:r>
                    </m:sup>
                  </m:sSup>
                </m:num>
                <m:den>
                  <m:r>
                    <w:rPr>
                      <w:rFonts w:ascii="Cambria Math" w:hAnsi="Cambria Math"/>
                    </w:rPr>
                    <m:t>2</m:t>
                  </m:r>
                  <m:sSup>
                    <m:sSupPr>
                      <m:ctrlPr>
                        <w:rPr>
                          <w:rFonts w:ascii="Cambria Math" w:hAnsi="Cambria Math"/>
                        </w:rPr>
                      </m:ctrlPr>
                    </m:sSupPr>
                    <m:e>
                      <m:r>
                        <w:rPr>
                          <w:rFonts w:ascii="Cambria Math" w:hAnsi="Cambria Math"/>
                        </w:rPr>
                        <m:t>τ</m:t>
                      </m:r>
                      <m:ctrlPr>
                        <w:rPr>
                          <w:rFonts w:ascii="Cambria Math" w:hAnsi="Cambria Math"/>
                          <w:i/>
                        </w:rPr>
                      </m:ctrlPr>
                    </m:e>
                    <m:sup>
                      <m:r>
                        <w:rPr>
                          <w:rFonts w:ascii="Cambria Math" w:hAnsi="Cambria Math"/>
                        </w:rPr>
                        <m:t>2</m:t>
                      </m:r>
                    </m:sup>
                  </m:sSup>
                </m:den>
              </m:f>
            </m:sup>
          </m:sSup>
          <m:r>
            <w:rPr>
              <w:rFonts w:ascii="Cambria Math" w:hAnsi="Cambria Math"/>
            </w:rPr>
            <m:t>, v≥0</m:t>
          </m:r>
        </m:oMath>
      </m:oMathPara>
    </w:p>
    <w:p w14:paraId="791D557F" w14:textId="77777777" w:rsidR="00104DA5" w:rsidRPr="00104DA5" w:rsidRDefault="00104DA5" w:rsidP="00A019AC"/>
    <w:p w14:paraId="7565E238" w14:textId="77777777" w:rsidR="00A019AC" w:rsidRPr="00104DA5" w:rsidRDefault="00A019AC" w:rsidP="00A019AC">
      <w:r w:rsidRPr="00104DA5">
        <w:t>Where:</w:t>
      </w:r>
    </w:p>
    <w:p w14:paraId="60A46C90" w14:textId="77777777" w:rsidR="00A019AC" w:rsidRPr="00104DA5" w:rsidRDefault="00A019AC" w:rsidP="00A019AC">
      <w:pPr>
        <w:numPr>
          <w:ilvl w:val="0"/>
          <w:numId w:val="16"/>
        </w:numPr>
        <w:suppressAutoHyphens w:val="0"/>
      </w:pPr>
      <w:r w:rsidRPr="00104DA5">
        <w:t>σ = scale parameter (Rayleigh)</w:t>
      </w:r>
    </w:p>
    <w:p w14:paraId="1EE5B1A6" w14:textId="77777777" w:rsidR="00A019AC" w:rsidRPr="00104DA5" w:rsidRDefault="00A019AC" w:rsidP="00A019AC">
      <w:pPr>
        <w:numPr>
          <w:ilvl w:val="0"/>
          <w:numId w:val="16"/>
        </w:numPr>
        <w:suppressAutoHyphens w:val="0"/>
      </w:pPr>
      <w:r w:rsidRPr="00104DA5">
        <w:t xml:space="preserve">μ, τ = mean and SD of Gaussian </w:t>
      </w:r>
    </w:p>
    <w:p w14:paraId="6CDCDEE8" w14:textId="77777777" w:rsidR="00A019AC" w:rsidRPr="00104DA5" w:rsidRDefault="00A019AC" w:rsidP="00A019AC">
      <w:pPr>
        <w:numPr>
          <w:ilvl w:val="0"/>
          <w:numId w:val="16"/>
        </w:numPr>
        <w:suppressAutoHyphens w:val="0"/>
      </w:pPr>
      <w:r w:rsidRPr="00104DA5">
        <w:t>λ = mixing parameter (controls anomaly weight)</w:t>
      </w:r>
    </w:p>
    <w:p w14:paraId="70604D8F" w14:textId="77777777" w:rsidR="00A019AC" w:rsidRPr="00104DA5" w:rsidRDefault="00A019AC" w:rsidP="00A019AC">
      <w:pPr>
        <w:tabs>
          <w:tab w:val="left" w:pos="720"/>
        </w:tabs>
        <w:ind w:left="360"/>
        <w:rPr>
          <w:sz w:val="18"/>
          <w:szCs w:val="18"/>
        </w:rPr>
      </w:pPr>
    </w:p>
    <w:p w14:paraId="398C5AB7" w14:textId="77777777" w:rsidR="00104DA5" w:rsidRPr="00104DA5" w:rsidRDefault="00104DA5" w:rsidP="00A019AC">
      <w:pPr>
        <w:tabs>
          <w:tab w:val="left" w:pos="720"/>
        </w:tabs>
        <w:ind w:left="360"/>
        <w:rPr>
          <w:sz w:val="18"/>
          <w:szCs w:val="18"/>
        </w:rPr>
      </w:pPr>
    </w:p>
    <w:p w14:paraId="5880EA62" w14:textId="77777777" w:rsidR="00A019AC" w:rsidRPr="00104DA5" w:rsidRDefault="00A019AC" w:rsidP="00A019AC">
      <w:pPr>
        <w:numPr>
          <w:ilvl w:val="0"/>
          <w:numId w:val="17"/>
        </w:numPr>
        <w:suppressAutoHyphens w:val="0"/>
      </w:pPr>
      <w:r w:rsidRPr="00104DA5">
        <w:rPr>
          <w:b/>
          <w:bCs/>
        </w:rPr>
        <w:t>Mean</w:t>
      </w:r>
      <w:r w:rsidRPr="00104DA5">
        <w:t>:</w:t>
      </w:r>
    </w:p>
    <w:p w14:paraId="64AC8B83" w14:textId="77777777" w:rsidR="00104DA5" w:rsidRPr="00104DA5" w:rsidRDefault="00104DA5" w:rsidP="00A019AC"/>
    <w:p w14:paraId="4A711F98" w14:textId="77777777" w:rsidR="00A019AC" w:rsidRPr="00104DA5" w:rsidRDefault="00A019AC" w:rsidP="00A019AC">
      <m:oMathPara>
        <m:oMath>
          <m:r>
            <m:rPr>
              <m:scr m:val="double-struck"/>
            </m:rPr>
            <w:rPr>
              <w:rFonts w:ascii="Cambria Math" w:eastAsia="MS Mincho" w:hAnsi="Cambria Math"/>
            </w:rPr>
            <m:t>E</m:t>
          </m:r>
          <m:d>
            <m:dPr>
              <m:begChr m:val="["/>
              <m:endChr m:val="]"/>
              <m:ctrlPr>
                <w:rPr>
                  <w:rFonts w:ascii="Cambria Math" w:hAnsi="Cambria Math"/>
                  <w:i/>
                </w:rPr>
              </m:ctrlPr>
            </m:dPr>
            <m:e>
              <m:r>
                <w:rPr>
                  <w:rFonts w:ascii="Cambria Math" w:hAnsi="Cambria Math"/>
                </w:rPr>
                <m:t>V</m:t>
              </m:r>
            </m:e>
          </m:d>
          <m:r>
            <w:rPr>
              <w:rFonts w:ascii="Cambria Math" w:hAnsi="Cambria Math"/>
            </w:rPr>
            <m:t>≈σ</m:t>
          </m:r>
          <m:rad>
            <m:radPr>
              <m:degHide m:val="1"/>
              <m:ctrlPr>
                <w:rPr>
                  <w:rFonts w:ascii="Cambria Math" w:hAnsi="Cambria Math"/>
                  <w:i/>
                </w:rPr>
              </m:ctrlPr>
            </m:radPr>
            <m:deg>
              <m:ctrlPr>
                <w:rPr>
                  <w:rFonts w:ascii="Cambria Math" w:hAnsi="Cambria Math"/>
                </w:rPr>
              </m:ctrlPr>
            </m:deg>
            <m:e>
              <m:f>
                <m:fPr>
                  <m:ctrlPr>
                    <w:rPr>
                      <w:rFonts w:ascii="Cambria Math" w:hAnsi="Cambria Math"/>
                      <w:i/>
                    </w:rPr>
                  </m:ctrlPr>
                </m:fPr>
                <m:num>
                  <m:r>
                    <w:rPr>
                      <w:rFonts w:ascii="Cambria Math" w:hAnsi="Cambria Math"/>
                    </w:rPr>
                    <m:t>π</m:t>
                  </m:r>
                  <m:ctrlPr>
                    <w:rPr>
                      <w:rFonts w:ascii="Cambria Math" w:hAnsi="Cambria Math"/>
                    </w:rPr>
                  </m:ctrlPr>
                </m:num>
                <m:den>
                  <m:r>
                    <w:rPr>
                      <w:rFonts w:ascii="Cambria Math" w:hAnsi="Cambria Math"/>
                    </w:rPr>
                    <m:t>2</m:t>
                  </m:r>
                  <m:ctrlPr>
                    <w:rPr>
                      <w:rFonts w:ascii="Cambria Math" w:hAnsi="Cambria Math"/>
                    </w:rPr>
                  </m:ctrlPr>
                </m:den>
              </m:f>
            </m:e>
          </m:rad>
          <m:r>
            <w:rPr>
              <w:rFonts w:ascii="Cambria Math" w:hAnsi="Cambria Math"/>
            </w:rPr>
            <m:t>+λμ</m:t>
          </m:r>
        </m:oMath>
      </m:oMathPara>
    </w:p>
    <w:p w14:paraId="70D5DF7C" w14:textId="77777777" w:rsidR="00104DA5" w:rsidRPr="00104DA5" w:rsidRDefault="00104DA5" w:rsidP="00A019AC"/>
    <w:p w14:paraId="57EB8D02" w14:textId="77777777" w:rsidR="00104DA5" w:rsidRPr="00104DA5" w:rsidRDefault="00104DA5" w:rsidP="00104DA5">
      <w:pPr>
        <w:suppressAutoHyphens w:val="0"/>
        <w:rPr>
          <w:sz w:val="10"/>
          <w:szCs w:val="4"/>
        </w:rPr>
      </w:pPr>
    </w:p>
    <w:p w14:paraId="028D7466" w14:textId="77777777" w:rsidR="00A019AC" w:rsidRPr="00104DA5" w:rsidRDefault="00A019AC" w:rsidP="00A019AC">
      <w:pPr>
        <w:numPr>
          <w:ilvl w:val="0"/>
          <w:numId w:val="17"/>
        </w:numPr>
        <w:suppressAutoHyphens w:val="0"/>
      </w:pPr>
      <w:r w:rsidRPr="00104DA5">
        <w:rPr>
          <w:b/>
          <w:bCs/>
        </w:rPr>
        <w:t>Variance</w:t>
      </w:r>
      <w:r w:rsidRPr="00104DA5">
        <w:t>:</w:t>
      </w:r>
    </w:p>
    <w:p w14:paraId="07B72B66" w14:textId="77777777" w:rsidR="00104DA5" w:rsidRPr="00104DA5" w:rsidRDefault="00104DA5" w:rsidP="00A019AC"/>
    <w:p w14:paraId="1908A055" w14:textId="77777777" w:rsidR="00A019AC" w:rsidRPr="00104DA5" w:rsidRDefault="00A019AC" w:rsidP="00A019AC">
      <m:oMathPara>
        <m:oMath>
          <m:r>
            <m:rPr>
              <m:sty m:val="p"/>
            </m:rPr>
            <w:rPr>
              <w:rFonts w:ascii="Cambria Math" w:hAnsi="Cambria Math"/>
            </w:rPr>
            <m:t>Var</m:t>
          </m:r>
          <m:d>
            <m:dPr>
              <m:ctrlPr>
                <w:rPr>
                  <w:rFonts w:ascii="Cambria Math" w:hAnsi="Cambria Math"/>
                  <w:i/>
                </w:rPr>
              </m:ctrlPr>
            </m:dPr>
            <m:e>
              <m:r>
                <w:rPr>
                  <w:rFonts w:ascii="Cambria Math" w:hAnsi="Cambria Math"/>
                </w:rPr>
                <m:t>V</m:t>
              </m:r>
            </m:e>
          </m:d>
          <m:r>
            <w:rPr>
              <w:rFonts w:ascii="Cambria Math" w:hAnsi="Cambria Math"/>
            </w:rPr>
            <m:t>≈</m:t>
          </m:r>
          <m:d>
            <m:dPr>
              <m:ctrlPr>
                <w:rPr>
                  <w:rFonts w:ascii="Cambria Math" w:hAnsi="Cambria Math"/>
                </w:rPr>
              </m:ctrlPr>
            </m:dPr>
            <m:e>
              <m:r>
                <w:rPr>
                  <w:rFonts w:ascii="Cambria Math" w:hAnsi="Cambria Math"/>
                </w:rPr>
                <m:t>2-</m:t>
              </m:r>
              <m:f>
                <m:fPr>
                  <m:ctrlPr>
                    <w:rPr>
                      <w:rFonts w:ascii="Cambria Math" w:hAnsi="Cambria Math"/>
                      <w:i/>
                    </w:rPr>
                  </m:ctrlPr>
                </m:fPr>
                <m:num>
                  <m:r>
                    <w:rPr>
                      <w:rFonts w:ascii="Cambria Math" w:hAnsi="Cambria Math"/>
                    </w:rPr>
                    <m:t>π</m:t>
                  </m:r>
                  <m:ctrlPr>
                    <w:rPr>
                      <w:rFonts w:ascii="Cambria Math" w:hAnsi="Cambria Math"/>
                    </w:rPr>
                  </m:ctrlPr>
                </m:num>
                <m:den>
                  <m:r>
                    <w:rPr>
                      <w:rFonts w:ascii="Cambria Math" w:hAnsi="Cambria Math"/>
                    </w:rPr>
                    <m:t>2</m:t>
                  </m:r>
                  <m:ctrlPr>
                    <w:rPr>
                      <w:rFonts w:ascii="Cambria Math" w:hAnsi="Cambria Math"/>
                    </w:rPr>
                  </m:ctrlPr>
                </m:den>
              </m:f>
              <m:ctrlPr>
                <w:rPr>
                  <w:rFonts w:ascii="Cambria Math" w:hAnsi="Cambria Math"/>
                  <w:i/>
                </w:rPr>
              </m:ctrlPr>
            </m:e>
          </m:d>
          <m:sSup>
            <m:sSupPr>
              <m:ctrlPr>
                <w:rPr>
                  <w:rFonts w:ascii="Cambria Math" w:hAnsi="Cambria Math"/>
                </w:rPr>
              </m:ctrlPr>
            </m:sSupPr>
            <m:e>
              <m:r>
                <w:rPr>
                  <w:rFonts w:ascii="Cambria Math" w:hAnsi="Cambria Math"/>
                </w:rPr>
                <m:t>σ</m:t>
              </m:r>
              <m:ctrlPr>
                <w:rPr>
                  <w:rFonts w:ascii="Cambria Math" w:hAnsi="Cambria Math"/>
                  <w:i/>
                </w:rPr>
              </m:ctrlPr>
            </m:e>
            <m:sup>
              <m:r>
                <w:rPr>
                  <w:rFonts w:ascii="Cambria Math" w:hAnsi="Cambria Math"/>
                </w:rPr>
                <m:t>2</m:t>
              </m:r>
              <m:ctrlPr>
                <w:rPr>
                  <w:rFonts w:ascii="Cambria Math" w:hAnsi="Cambria Math"/>
                  <w:i/>
                </w:rPr>
              </m:ctrlPr>
            </m:sup>
          </m:sSup>
          <m:r>
            <w:rPr>
              <w:rFonts w:ascii="Cambria Math" w:hAnsi="Cambria Math"/>
            </w:rPr>
            <m:t>+</m:t>
          </m:r>
          <m:sSup>
            <m:sSupPr>
              <m:ctrlPr>
                <w:rPr>
                  <w:rFonts w:ascii="Cambria Math" w:hAnsi="Cambria Math"/>
                </w:rPr>
              </m:ctrlPr>
            </m:sSupPr>
            <m:e>
              <m:r>
                <w:rPr>
                  <w:rFonts w:ascii="Cambria Math" w:hAnsi="Cambria Math"/>
                </w:rPr>
                <m:t>λ</m:t>
              </m:r>
              <m:ctrlPr>
                <w:rPr>
                  <w:rFonts w:ascii="Cambria Math" w:hAnsi="Cambria Math"/>
                  <w:i/>
                </w:rPr>
              </m:ctrlPr>
            </m:e>
            <m:sup>
              <m:r>
                <w:rPr>
                  <w:rFonts w:ascii="Cambria Math" w:hAnsi="Cambria Math"/>
                </w:rPr>
                <m:t>2</m:t>
              </m:r>
              <m:ctrlPr>
                <w:rPr>
                  <w:rFonts w:ascii="Cambria Math" w:hAnsi="Cambria Math"/>
                  <w:i/>
                </w:rPr>
              </m:ctrlPr>
            </m:sup>
          </m:sSup>
          <m:sSup>
            <m:sSupPr>
              <m:ctrlPr>
                <w:rPr>
                  <w:rFonts w:ascii="Cambria Math" w:hAnsi="Cambria Math"/>
                </w:rPr>
              </m:ctrlPr>
            </m:sSupPr>
            <m:e>
              <m:r>
                <w:rPr>
                  <w:rFonts w:ascii="Cambria Math" w:hAnsi="Cambria Math"/>
                </w:rPr>
                <m:t>τ</m:t>
              </m:r>
              <m:ctrlPr>
                <w:rPr>
                  <w:rFonts w:ascii="Cambria Math" w:hAnsi="Cambria Math"/>
                  <w:i/>
                </w:rPr>
              </m:ctrlPr>
            </m:e>
            <m:sup>
              <m:r>
                <w:rPr>
                  <w:rFonts w:ascii="Cambria Math" w:hAnsi="Cambria Math"/>
                </w:rPr>
                <m:t>2</m:t>
              </m:r>
              <m:ctrlPr>
                <w:rPr>
                  <w:rFonts w:ascii="Cambria Math" w:hAnsi="Cambria Math"/>
                  <w:i/>
                </w:rPr>
              </m:ctrlPr>
            </m:sup>
          </m:sSup>
        </m:oMath>
      </m:oMathPara>
    </w:p>
    <w:p w14:paraId="7AFB90CB" w14:textId="77777777" w:rsidR="00104DA5" w:rsidRPr="00104DA5" w:rsidRDefault="00104DA5" w:rsidP="00A019AC"/>
    <w:p w14:paraId="1FEEA7FB" w14:textId="77777777" w:rsidR="00104DA5" w:rsidRPr="00104DA5" w:rsidRDefault="00104DA5" w:rsidP="00104DA5">
      <w:pPr>
        <w:suppressAutoHyphens w:val="0"/>
        <w:spacing w:after="200" w:line="240" w:lineRule="auto"/>
        <w:rPr>
          <w:b/>
          <w:bCs/>
          <w:sz w:val="6"/>
          <w:szCs w:val="2"/>
        </w:rPr>
      </w:pPr>
    </w:p>
    <w:p w14:paraId="21AF1D61" w14:textId="77777777" w:rsidR="00A019AC" w:rsidRPr="00104DA5" w:rsidRDefault="00A019AC" w:rsidP="00A019AC">
      <w:pPr>
        <w:numPr>
          <w:ilvl w:val="0"/>
          <w:numId w:val="17"/>
        </w:numPr>
        <w:suppressAutoHyphens w:val="0"/>
        <w:spacing w:after="200" w:line="240" w:lineRule="auto"/>
        <w:rPr>
          <w:b/>
          <w:bCs/>
        </w:rPr>
      </w:pPr>
      <w:r w:rsidRPr="00104DA5">
        <w:rPr>
          <w:b/>
          <w:bCs/>
        </w:rPr>
        <w:lastRenderedPageBreak/>
        <w:t>Moment Generating Function (MGF)</w:t>
      </w:r>
    </w:p>
    <w:p w14:paraId="5606D9DE" w14:textId="77777777" w:rsidR="00104DA5" w:rsidRPr="00104DA5" w:rsidRDefault="00104DA5" w:rsidP="00A019AC"/>
    <w:p w14:paraId="5FE10C5D" w14:textId="77777777" w:rsidR="00A019AC" w:rsidRPr="00104DA5" w:rsidRDefault="00000000" w:rsidP="00A019AC">
      <m:oMathPara>
        <m:oMath>
          <m:sSub>
            <m:sSubPr>
              <m:ctrlPr>
                <w:rPr>
                  <w:rFonts w:ascii="Cambria Math" w:hAnsi="Cambria Math"/>
                </w:rPr>
              </m:ctrlPr>
            </m:sSubPr>
            <m:e>
              <m:r>
                <w:rPr>
                  <w:rFonts w:ascii="Cambria Math" w:hAnsi="Cambria Math"/>
                </w:rPr>
                <m:t>M</m:t>
              </m:r>
            </m:e>
            <m:sub>
              <m:r>
                <w:rPr>
                  <w:rFonts w:ascii="Cambria Math" w:hAnsi="Cambria Math"/>
                </w:rPr>
                <m:t>V</m:t>
              </m:r>
            </m:sub>
          </m:sSub>
          <m:r>
            <w:rPr>
              <w:rFonts w:ascii="Cambria Math" w:hAnsi="Cambria Math"/>
            </w:rPr>
            <m:t>(t)=(1-</m:t>
          </m:r>
          <m:sSup>
            <m:sSupPr>
              <m:ctrlPr>
                <w:rPr>
                  <w:rFonts w:ascii="Cambria Math" w:hAnsi="Cambria Math"/>
                </w:rPr>
              </m:ctrlPr>
            </m:sSupPr>
            <m:e>
              <m:r>
                <w:rPr>
                  <w:rFonts w:ascii="Cambria Math" w:hAnsi="Cambria Math"/>
                </w:rPr>
                <m:t>σ</m:t>
              </m:r>
            </m:e>
            <m:sup>
              <m:r>
                <w:rPr>
                  <w:rFonts w:ascii="Cambria Math" w:hAnsi="Cambria Math"/>
                </w:rPr>
                <m:t>2</m:t>
              </m:r>
            </m:sup>
          </m:sSup>
          <m:r>
            <w:rPr>
              <w:rFonts w:ascii="Cambria Math" w:hAnsi="Cambria Math"/>
            </w:rPr>
            <m:t>t</m:t>
          </m:r>
          <m:sSup>
            <m:sSupPr>
              <m:ctrlPr>
                <w:rPr>
                  <w:rFonts w:ascii="Cambria Math" w:hAnsi="Cambria Math"/>
                </w:rPr>
              </m:ctrlPr>
            </m:sSupPr>
            <m:e>
              <m:r>
                <w:rPr>
                  <w:rFonts w:ascii="Cambria Math" w:hAnsi="Cambria Math"/>
                </w:rPr>
                <m:t>)</m:t>
              </m:r>
            </m:e>
            <m:sup>
              <m:r>
                <w:rPr>
                  <w:rFonts w:ascii="Cambria Math" w:hAnsi="Cambria Math"/>
                </w:rPr>
                <m:t>-1</m:t>
              </m:r>
            </m:sup>
          </m:sSup>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f>
                    <m:fPr>
                      <m:ctrlPr>
                        <w:rPr>
                          <w:rFonts w:ascii="Cambria Math" w:hAnsi="Cambria Math"/>
                          <w:i/>
                        </w:rPr>
                      </m:ctrlPr>
                    </m:fPr>
                    <m:num>
                      <m:sSup>
                        <m:sSupPr>
                          <m:ctrlPr>
                            <w:rPr>
                              <w:rFonts w:ascii="Cambria Math" w:hAnsi="Cambria Math"/>
                            </w:rPr>
                          </m:ctrlPr>
                        </m:sSupPr>
                        <m:e>
                          <m:r>
                            <w:rPr>
                              <w:rFonts w:ascii="Cambria Math" w:hAnsi="Cambria Math"/>
                            </w:rPr>
                            <m:t>σ</m:t>
                          </m:r>
                        </m:e>
                        <m:sup>
                          <m:r>
                            <w:rPr>
                              <w:rFonts w:ascii="Cambria Math" w:hAnsi="Cambria Math"/>
                            </w:rPr>
                            <m:t>2</m:t>
                          </m:r>
                        </m:sup>
                      </m:sSup>
                      <m:sSup>
                        <m:sSupPr>
                          <m:ctrlPr>
                            <w:rPr>
                              <w:rFonts w:ascii="Cambria Math" w:hAnsi="Cambria Math"/>
                            </w:rPr>
                          </m:ctrlPr>
                        </m:sSupPr>
                        <m:e>
                          <m:r>
                            <w:rPr>
                              <w:rFonts w:ascii="Cambria Math" w:hAnsi="Cambria Math"/>
                            </w:rPr>
                            <m:t>t</m:t>
                          </m:r>
                        </m:e>
                        <m:sup>
                          <m:r>
                            <w:rPr>
                              <w:rFonts w:ascii="Cambria Math" w:hAnsi="Cambria Math"/>
                            </w:rPr>
                            <m:t>2</m:t>
                          </m:r>
                        </m:sup>
                      </m:sSup>
                      <m:ctrlPr>
                        <w:rPr>
                          <w:rFonts w:ascii="Cambria Math" w:hAnsi="Cambria Math"/>
                        </w:rPr>
                      </m:ctrlPr>
                    </m:num>
                    <m:den>
                      <m:r>
                        <w:rPr>
                          <w:rFonts w:ascii="Cambria Math" w:hAnsi="Cambria Math"/>
                        </w:rPr>
                        <m:t>2</m:t>
                      </m:r>
                      <m:d>
                        <m:dPr>
                          <m:ctrlPr>
                            <w:rPr>
                              <w:rFonts w:ascii="Cambria Math" w:hAnsi="Cambria Math"/>
                              <w:i/>
                            </w:rPr>
                          </m:ctrlPr>
                        </m:dPr>
                        <m:e>
                          <m:r>
                            <w:rPr>
                              <w:rFonts w:ascii="Cambria Math" w:hAnsi="Cambria Math"/>
                            </w:rPr>
                            <m:t>1-</m:t>
                          </m:r>
                          <m:sSup>
                            <m:sSupPr>
                              <m:ctrlPr>
                                <w:rPr>
                                  <w:rFonts w:ascii="Cambria Math" w:hAnsi="Cambria Math"/>
                                </w:rPr>
                              </m:ctrlPr>
                            </m:sSupPr>
                            <m:e>
                              <m:r>
                                <w:rPr>
                                  <w:rFonts w:ascii="Cambria Math" w:hAnsi="Cambria Math"/>
                                </w:rPr>
                                <m:t>σ</m:t>
                              </m:r>
                            </m:e>
                            <m:sup>
                              <m:r>
                                <w:rPr>
                                  <w:rFonts w:ascii="Cambria Math" w:hAnsi="Cambria Math"/>
                                </w:rPr>
                                <m:t>2</m:t>
                              </m:r>
                            </m:sup>
                          </m:sSup>
                          <m:r>
                            <w:rPr>
                              <w:rFonts w:ascii="Cambria Math" w:hAnsi="Cambria Math"/>
                            </w:rPr>
                            <m:t>t</m:t>
                          </m:r>
                        </m:e>
                      </m:d>
                      <m:ctrlPr>
                        <w:rPr>
                          <w:rFonts w:ascii="Cambria Math" w:hAnsi="Cambria Math"/>
                        </w:rPr>
                      </m:ctrlPr>
                    </m:den>
                  </m:f>
                  <m:ctrlPr>
                    <w:rPr>
                      <w:rFonts w:ascii="Cambria Math" w:hAnsi="Cambria Math"/>
                      <w:i/>
                    </w:rPr>
                  </m:ctrlPr>
                </m:e>
              </m:d>
            </m:e>
          </m:func>
          <m:r>
            <w:rPr>
              <w:rFonts w:ascii="Cambria Math" w:hAnsi="Cambria Math"/>
            </w:rPr>
            <m:t>+λ</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w:rPr>
                      <w:rFonts w:ascii="Cambria Math" w:hAnsi="Cambria Math"/>
                    </w:rPr>
                    <m:t>μt+</m:t>
                  </m:r>
                  <m:f>
                    <m:fPr>
                      <m:ctrlPr>
                        <w:rPr>
                          <w:rFonts w:ascii="Cambria Math" w:hAnsi="Cambria Math"/>
                          <w:i/>
                        </w:rPr>
                      </m:ctrlPr>
                    </m:fPr>
                    <m:num>
                      <m:r>
                        <w:rPr>
                          <w:rFonts w:ascii="Cambria Math" w:hAnsi="Cambria Math"/>
                        </w:rPr>
                        <m:t>1</m:t>
                      </m:r>
                      <m:ctrlPr>
                        <w:rPr>
                          <w:rFonts w:ascii="Cambria Math" w:hAnsi="Cambria Math"/>
                        </w:rPr>
                      </m:ctrlPr>
                    </m:num>
                    <m:den>
                      <m:r>
                        <w:rPr>
                          <w:rFonts w:ascii="Cambria Math" w:hAnsi="Cambria Math"/>
                        </w:rPr>
                        <m:t>2</m:t>
                      </m:r>
                      <m:ctrlPr>
                        <w:rPr>
                          <w:rFonts w:ascii="Cambria Math" w:hAnsi="Cambria Math"/>
                        </w:rPr>
                      </m:ctrlPr>
                    </m:den>
                  </m:f>
                  <m:sSup>
                    <m:sSupPr>
                      <m:ctrlPr>
                        <w:rPr>
                          <w:rFonts w:ascii="Cambria Math" w:hAnsi="Cambria Math"/>
                        </w:rPr>
                      </m:ctrlPr>
                    </m:sSupPr>
                    <m:e>
                      <m:r>
                        <w:rPr>
                          <w:rFonts w:ascii="Cambria Math" w:hAnsi="Cambria Math"/>
                        </w:rPr>
                        <m:t>τ</m:t>
                      </m:r>
                    </m:e>
                    <m:sup>
                      <m:r>
                        <w:rPr>
                          <w:rFonts w:ascii="Cambria Math" w:hAnsi="Cambria Math"/>
                        </w:rPr>
                        <m:t>2</m:t>
                      </m:r>
                    </m:sup>
                  </m:sSup>
                  <m:sSup>
                    <m:sSupPr>
                      <m:ctrlPr>
                        <w:rPr>
                          <w:rFonts w:ascii="Cambria Math" w:hAnsi="Cambria Math"/>
                        </w:rPr>
                      </m:ctrlPr>
                    </m:sSupPr>
                    <m:e>
                      <m:r>
                        <w:rPr>
                          <w:rFonts w:ascii="Cambria Math" w:hAnsi="Cambria Math"/>
                        </w:rPr>
                        <m:t>t</m:t>
                      </m:r>
                    </m:e>
                    <m:sup>
                      <m:r>
                        <w:rPr>
                          <w:rFonts w:ascii="Cambria Math" w:hAnsi="Cambria Math"/>
                        </w:rPr>
                        <m:t>2</m:t>
                      </m:r>
                    </m:sup>
                  </m:sSup>
                </m:e>
              </m:d>
            </m:e>
          </m:func>
        </m:oMath>
      </m:oMathPara>
    </w:p>
    <w:p w14:paraId="57A42925" w14:textId="77777777" w:rsidR="00104DA5" w:rsidRPr="00104DA5" w:rsidRDefault="00104DA5" w:rsidP="00A019AC"/>
    <w:p w14:paraId="4FCB56B8" w14:textId="77777777" w:rsidR="00104DA5" w:rsidRPr="00104DA5" w:rsidRDefault="00104DA5" w:rsidP="00A019AC"/>
    <w:p w14:paraId="46CAA85C" w14:textId="77777777" w:rsidR="00104DA5" w:rsidRPr="00104DA5" w:rsidRDefault="00104DA5" w:rsidP="00A019AC">
      <w:pPr>
        <w:rPr>
          <w:sz w:val="2"/>
          <w:szCs w:val="2"/>
        </w:rPr>
      </w:pPr>
    </w:p>
    <w:p w14:paraId="67A9B141" w14:textId="77777777" w:rsidR="00A019AC" w:rsidRPr="00104DA5" w:rsidRDefault="00A019AC" w:rsidP="00A019AC">
      <w:r w:rsidRPr="00104DA5">
        <w:t>The first part is the MGF of Rayleigh (though approximate).</w:t>
      </w:r>
    </w:p>
    <w:p w14:paraId="7401F0AA" w14:textId="77777777" w:rsidR="00A019AC" w:rsidRPr="00104DA5" w:rsidRDefault="00A019AC" w:rsidP="00A019AC">
      <w:r w:rsidRPr="00104DA5">
        <w:t>The second is a Gaussian MGF scaled by λ.</w:t>
      </w:r>
    </w:p>
    <w:p w14:paraId="097A92BC" w14:textId="77777777" w:rsidR="00104DA5" w:rsidRPr="00104DA5" w:rsidRDefault="00104DA5" w:rsidP="00104DA5">
      <w:pPr>
        <w:pStyle w:val="ListParagraph"/>
        <w:suppressAutoHyphens w:val="0"/>
        <w:spacing w:line="278" w:lineRule="auto"/>
        <w:ind w:left="0"/>
        <w:rPr>
          <w:b/>
          <w:bCs/>
        </w:rPr>
      </w:pPr>
    </w:p>
    <w:p w14:paraId="3E5BFC35" w14:textId="77777777" w:rsidR="00A019AC" w:rsidRPr="00104DA5" w:rsidRDefault="00A019AC" w:rsidP="00A019AC">
      <w:pPr>
        <w:pStyle w:val="ListParagraph"/>
        <w:numPr>
          <w:ilvl w:val="0"/>
          <w:numId w:val="17"/>
        </w:numPr>
        <w:suppressAutoHyphens w:val="0"/>
        <w:spacing w:line="278" w:lineRule="auto"/>
        <w:rPr>
          <w:b/>
          <w:bCs/>
        </w:rPr>
      </w:pPr>
      <w:r w:rsidRPr="00104DA5">
        <w:rPr>
          <w:b/>
          <w:bCs/>
        </w:rPr>
        <w:t>Quantile Function (Inverse CDF)</w:t>
      </w:r>
    </w:p>
    <w:p w14:paraId="69E742C9" w14:textId="77777777" w:rsidR="00A019AC" w:rsidRPr="00104DA5" w:rsidRDefault="00A019AC" w:rsidP="00A019AC">
      <w:r w:rsidRPr="00104DA5">
        <w:t xml:space="preserve">The quantile function </w:t>
      </w:r>
      <w:r w:rsidRPr="00104DA5">
        <w:rPr>
          <w:i/>
          <w:iCs/>
        </w:rPr>
        <w:t>Q(p)</w:t>
      </w:r>
      <w:r w:rsidRPr="00104DA5">
        <w:t xml:space="preserve"> is not closed-form but approximated via numerical inversion</w:t>
      </w:r>
    </w:p>
    <w:p w14:paraId="67FA0870" w14:textId="77777777" w:rsidR="00104DA5" w:rsidRPr="00104DA5" w:rsidRDefault="00104DA5" w:rsidP="00A019AC"/>
    <w:p w14:paraId="7E228E58" w14:textId="77777777" w:rsidR="00A019AC" w:rsidRPr="00104DA5" w:rsidRDefault="00A019AC" w:rsidP="00A019AC">
      <m:oMathPara>
        <m:oMath>
          <m:r>
            <w:rPr>
              <w:rFonts w:ascii="Cambria Math" w:hAnsi="Cambria Math"/>
            </w:rPr>
            <m:t>Q</m:t>
          </m:r>
          <m:d>
            <m:dPr>
              <m:ctrlPr>
                <w:rPr>
                  <w:rFonts w:ascii="Cambria Math" w:hAnsi="Cambria Math"/>
                  <w:i/>
                </w:rPr>
              </m:ctrlPr>
            </m:dPr>
            <m:e>
              <m:r>
                <w:rPr>
                  <w:rFonts w:ascii="Cambria Math" w:hAnsi="Cambria Math"/>
                </w:rPr>
                <m:t>p</m:t>
              </m:r>
            </m:e>
          </m:d>
          <m:r>
            <w:rPr>
              <w:rFonts w:ascii="Cambria Math" w:hAnsi="Cambria Math"/>
            </w:rPr>
            <m:t>≈</m:t>
          </m:r>
          <m:sSub>
            <m:sSubPr>
              <m:ctrlPr>
                <w:rPr>
                  <w:rFonts w:ascii="Cambria Math" w:hAnsi="Cambria Math"/>
                </w:rPr>
              </m:ctrlPr>
            </m:sSubPr>
            <m:e>
              <m:r>
                <m:rPr>
                  <m:sty m:val="p"/>
                </m:rPr>
                <w:rPr>
                  <w:rFonts w:ascii="Cambria Math" w:hAnsi="Cambria Math"/>
                </w:rPr>
                <m:t>InverseCDF</m:t>
              </m:r>
            </m:e>
            <m:sub>
              <m:r>
                <m:rPr>
                  <m:sty m:val="p"/>
                </m:rPr>
                <w:rPr>
                  <w:rFonts w:ascii="Cambria Math" w:hAnsi="Cambria Math"/>
                </w:rPr>
                <m:t>GERD</m:t>
              </m:r>
            </m:sub>
          </m:sSub>
          <m:d>
            <m:dPr>
              <m:ctrlPr>
                <w:rPr>
                  <w:rFonts w:ascii="Cambria Math" w:hAnsi="Cambria Math"/>
                  <w:i/>
                </w:rPr>
              </m:ctrlPr>
            </m:dPr>
            <m:e>
              <m:r>
                <w:rPr>
                  <w:rFonts w:ascii="Cambria Math" w:hAnsi="Cambria Math"/>
                </w:rPr>
                <m:t>p</m:t>
              </m:r>
            </m:e>
          </m:d>
          <m:r>
            <w:rPr>
              <w:rFonts w:ascii="Cambria Math" w:hAnsi="Cambria Math"/>
            </w:rPr>
            <m:t>=</m:t>
          </m:r>
          <m:rad>
            <m:radPr>
              <m:degHide m:val="1"/>
              <m:ctrlPr>
                <w:rPr>
                  <w:rFonts w:ascii="Cambria Math" w:hAnsi="Cambria Math"/>
                  <w:i/>
                </w:rPr>
              </m:ctrlPr>
            </m:radPr>
            <m:deg/>
            <m:e>
              <m:r>
                <w:rPr>
                  <w:rFonts w:ascii="Cambria Math" w:hAnsi="Cambria Math"/>
                </w:rPr>
                <m:t>F</m:t>
              </m:r>
              <m:d>
                <m:dPr>
                  <m:ctrlPr>
                    <w:rPr>
                      <w:rFonts w:ascii="Cambria Math" w:hAnsi="Cambria Math"/>
                      <w:i/>
                    </w:rPr>
                  </m:ctrlPr>
                </m:dPr>
                <m:e>
                  <m:r>
                    <w:rPr>
                      <w:rFonts w:ascii="Cambria Math" w:hAnsi="Cambria Math"/>
                    </w:rPr>
                    <m:t>v</m:t>
                  </m:r>
                </m:e>
              </m:d>
            </m:e>
          </m:rad>
          <m:r>
            <w:rPr>
              <w:rFonts w:ascii="Cambria Math" w:hAnsi="Cambria Math"/>
            </w:rPr>
            <m:t>=p</m:t>
          </m:r>
        </m:oMath>
      </m:oMathPara>
    </w:p>
    <w:p w14:paraId="0EBBC81F" w14:textId="77777777" w:rsidR="00104DA5" w:rsidRPr="00104DA5" w:rsidRDefault="00104DA5" w:rsidP="00A019AC"/>
    <w:p w14:paraId="54F9145E" w14:textId="77777777" w:rsidR="00A019AC" w:rsidRPr="00104DA5" w:rsidRDefault="00A019AC" w:rsidP="00A019AC">
      <w:r w:rsidRPr="00104DA5">
        <w:t xml:space="preserve">or use the </w:t>
      </w:r>
      <w:r w:rsidRPr="00104DA5">
        <w:rPr>
          <w:b/>
          <w:bCs/>
        </w:rPr>
        <w:t>Rayleigh part</w:t>
      </w:r>
      <w:r w:rsidRPr="00104DA5">
        <w:t xml:space="preserve"> if λ≈0.</w:t>
      </w:r>
    </w:p>
    <w:p w14:paraId="728F4272" w14:textId="77777777" w:rsidR="00A019AC" w:rsidRPr="00104DA5" w:rsidRDefault="00A019AC" w:rsidP="00A019AC">
      <w:pPr>
        <w:rPr>
          <w:sz w:val="2"/>
          <w:szCs w:val="2"/>
        </w:rPr>
      </w:pPr>
    </w:p>
    <w:p w14:paraId="7CF5099E" w14:textId="77777777" w:rsidR="00104DA5" w:rsidRPr="00104DA5" w:rsidRDefault="00104DA5" w:rsidP="00A019AC"/>
    <w:p w14:paraId="5F7EFC7D" w14:textId="77777777" w:rsidR="00A019AC" w:rsidRPr="00104DA5" w:rsidRDefault="00000000" w:rsidP="00A019AC">
      <m:oMathPara>
        <m:oMath>
          <m:sSub>
            <m:sSubPr>
              <m:ctrlPr>
                <w:rPr>
                  <w:rFonts w:ascii="Cambria Math" w:hAnsi="Cambria Math"/>
                </w:rPr>
              </m:ctrlPr>
            </m:sSubPr>
            <m:e>
              <m:r>
                <w:rPr>
                  <w:rFonts w:ascii="Cambria Math" w:hAnsi="Cambria Math"/>
                </w:rPr>
                <m:t>Q</m:t>
              </m:r>
            </m:e>
            <m:sub>
              <m:r>
                <w:rPr>
                  <w:rFonts w:ascii="Cambria Math" w:hAnsi="Cambria Math"/>
                </w:rPr>
                <m:t>R</m:t>
              </m:r>
            </m:sub>
          </m:sSub>
          <m:d>
            <m:dPr>
              <m:ctrlPr>
                <w:rPr>
                  <w:rFonts w:ascii="Cambria Math" w:hAnsi="Cambria Math"/>
                  <w:i/>
                </w:rPr>
              </m:ctrlPr>
            </m:dPr>
            <m:e>
              <m:r>
                <w:rPr>
                  <w:rFonts w:ascii="Cambria Math" w:hAnsi="Cambria Math"/>
                </w:rPr>
                <m:t>p</m:t>
              </m:r>
            </m:e>
          </m:d>
          <m:r>
            <w:rPr>
              <w:rFonts w:ascii="Cambria Math" w:hAnsi="Cambria Math"/>
            </w:rPr>
            <m:t>=σ</m:t>
          </m:r>
          <m:rad>
            <m:radPr>
              <m:degHide m:val="1"/>
              <m:ctrlPr>
                <w:rPr>
                  <w:rFonts w:ascii="Cambria Math" w:hAnsi="Cambria Math"/>
                  <w:i/>
                </w:rPr>
              </m:ctrlPr>
            </m:radPr>
            <m:deg>
              <m:ctrlPr>
                <w:rPr>
                  <w:rFonts w:ascii="Cambria Math" w:hAnsi="Cambria Math"/>
                </w:rPr>
              </m:ctrlPr>
            </m:deg>
            <m:e>
              <m:r>
                <w:rPr>
                  <w:rFonts w:ascii="Cambria Math" w:hAnsi="Cambria Math"/>
                </w:rPr>
                <m:t>-2</m:t>
              </m:r>
              <m:func>
                <m:funcPr>
                  <m:ctrlPr>
                    <w:rPr>
                      <w:rFonts w:ascii="Cambria Math" w:hAnsi="Cambria Math"/>
                    </w:rPr>
                  </m:ctrlPr>
                </m:funcPr>
                <m:fName>
                  <m:r>
                    <m:rPr>
                      <m:sty m:val="p"/>
                    </m:rPr>
                    <w:rPr>
                      <w:rFonts w:ascii="Cambria Math" w:hAnsi="Cambria Math"/>
                    </w:rPr>
                    <m:t>ln</m:t>
                  </m:r>
                </m:fName>
                <m:e>
                  <m:r>
                    <w:rPr>
                      <w:rFonts w:ascii="Cambria Math" w:hAnsi="Cambria Math"/>
                    </w:rPr>
                    <m:t>(</m:t>
                  </m:r>
                </m:e>
              </m:func>
              <m:r>
                <w:rPr>
                  <w:rFonts w:ascii="Cambria Math" w:hAnsi="Cambria Math"/>
                </w:rPr>
                <m:t>1-p)</m:t>
              </m:r>
              <m:ctrlPr>
                <w:rPr>
                  <w:rFonts w:ascii="Cambria Math" w:hAnsi="Cambria Math"/>
                </w:rPr>
              </m:ctrlPr>
            </m:e>
          </m:rad>
        </m:oMath>
      </m:oMathPara>
    </w:p>
    <w:p w14:paraId="25A93E9F" w14:textId="77777777" w:rsidR="00A019AC" w:rsidRPr="00104DA5" w:rsidRDefault="00104DA5" w:rsidP="00A019AC">
      <w:pPr>
        <w:rPr>
          <w:sz w:val="2"/>
          <w:szCs w:val="2"/>
        </w:rPr>
      </w:pPr>
      <w:r w:rsidRPr="00104DA5">
        <w:rPr>
          <w:sz w:val="2"/>
          <w:szCs w:val="2"/>
        </w:rPr>
        <w:t>\</w:t>
      </w:r>
    </w:p>
    <w:p w14:paraId="68D43339" w14:textId="77777777" w:rsidR="00104DA5" w:rsidRPr="00104DA5" w:rsidRDefault="00104DA5" w:rsidP="00A019AC">
      <w:pPr>
        <w:rPr>
          <w:sz w:val="2"/>
          <w:szCs w:val="2"/>
        </w:rPr>
      </w:pPr>
    </w:p>
    <w:p w14:paraId="2FBE0D44" w14:textId="77777777" w:rsidR="00104DA5" w:rsidRPr="00104DA5" w:rsidRDefault="00104DA5" w:rsidP="00104DA5">
      <w:pPr>
        <w:pStyle w:val="ListParagraph"/>
        <w:suppressAutoHyphens w:val="0"/>
        <w:spacing w:line="278" w:lineRule="auto"/>
        <w:ind w:left="0"/>
        <w:rPr>
          <w:b/>
          <w:bCs/>
        </w:rPr>
      </w:pPr>
    </w:p>
    <w:p w14:paraId="290FB156" w14:textId="77777777" w:rsidR="00A019AC" w:rsidRPr="00104DA5" w:rsidRDefault="00A019AC" w:rsidP="00A019AC">
      <w:pPr>
        <w:pStyle w:val="ListParagraph"/>
        <w:numPr>
          <w:ilvl w:val="0"/>
          <w:numId w:val="17"/>
        </w:numPr>
        <w:suppressAutoHyphens w:val="0"/>
        <w:spacing w:line="278" w:lineRule="auto"/>
        <w:rPr>
          <w:b/>
          <w:bCs/>
        </w:rPr>
      </w:pPr>
      <w:r w:rsidRPr="00104DA5">
        <w:rPr>
          <w:b/>
          <w:bCs/>
        </w:rPr>
        <w:t>Skewness (</w:t>
      </w:r>
      <m:oMath>
        <m:sSub>
          <m:sSubPr>
            <m:ctrlPr>
              <w:rPr>
                <w:rFonts w:ascii="Cambria Math" w:hAnsi="Cambria Math"/>
                <w:b/>
                <w:bCs/>
              </w:rPr>
            </m:ctrlPr>
          </m:sSubPr>
          <m:e>
            <m:r>
              <m:rPr>
                <m:sty m:val="bi"/>
              </m:rPr>
              <w:rPr>
                <w:rFonts w:ascii="Cambria Math" w:hAnsi="Cambria Math"/>
              </w:rPr>
              <m:t>γ</m:t>
            </m:r>
          </m:e>
          <m:sub>
            <m:r>
              <m:rPr>
                <m:sty m:val="bi"/>
              </m:rPr>
              <w:rPr>
                <w:rFonts w:ascii="Cambria Math" w:hAnsi="Cambria Math"/>
              </w:rPr>
              <m:t>1</m:t>
            </m:r>
          </m:sub>
        </m:sSub>
      </m:oMath>
      <w:r w:rsidRPr="00104DA5">
        <w:rPr>
          <w:b/>
          <w:bCs/>
        </w:rPr>
        <w:t>)</w:t>
      </w:r>
    </w:p>
    <w:p w14:paraId="5A12FC98" w14:textId="77777777" w:rsidR="00A019AC" w:rsidRPr="00104DA5" w:rsidRDefault="00A019AC" w:rsidP="00A019AC">
      <w:r w:rsidRPr="00104DA5">
        <w:t>Using a moment-based formula:</w:t>
      </w:r>
    </w:p>
    <w:p w14:paraId="25713095" w14:textId="77777777" w:rsidR="00A019AC" w:rsidRPr="00104DA5" w:rsidRDefault="00000000" w:rsidP="00A019AC">
      <m:oMathPara>
        <m:oMath>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f>
            <m:fPr>
              <m:ctrlPr>
                <w:rPr>
                  <w:rFonts w:ascii="Cambria Math" w:hAnsi="Cambria Math"/>
                  <w:i/>
                </w:rPr>
              </m:ctrlPr>
            </m:fPr>
            <m:num>
              <m:r>
                <m:rPr>
                  <m:scr m:val="double-struck"/>
                </m:rPr>
                <w:rPr>
                  <w:rFonts w:ascii="Cambria Math" w:eastAsia="MS Mincho" w:hAnsi="Cambria Math"/>
                </w:rPr>
                <m:t>E</m:t>
              </m:r>
              <m:r>
                <w:rPr>
                  <w:rFonts w:ascii="Cambria Math" w:hAnsi="Cambria Math"/>
                </w:rPr>
                <m:t>[(V-μ</m:t>
              </m:r>
              <m:sSup>
                <m:sSupPr>
                  <m:ctrlPr>
                    <w:rPr>
                      <w:rFonts w:ascii="Cambria Math" w:hAnsi="Cambria Math"/>
                    </w:rPr>
                  </m:ctrlPr>
                </m:sSupPr>
                <m:e>
                  <m:r>
                    <w:rPr>
                      <w:rFonts w:ascii="Cambria Math" w:hAnsi="Cambria Math"/>
                    </w:rPr>
                    <m:t>)</m:t>
                  </m:r>
                </m:e>
                <m:sup>
                  <m:r>
                    <w:rPr>
                      <w:rFonts w:ascii="Cambria Math" w:hAnsi="Cambria Math"/>
                    </w:rPr>
                    <m:t>3</m:t>
                  </m:r>
                </m:sup>
              </m:sSup>
              <m:r>
                <w:rPr>
                  <w:rFonts w:ascii="Cambria Math" w:hAnsi="Cambria Math"/>
                </w:rPr>
                <m:t>]</m:t>
              </m:r>
              <m:ctrlPr>
                <w:rPr>
                  <w:rFonts w:ascii="Cambria Math" w:hAnsi="Cambria Math"/>
                </w:rPr>
              </m:ctrlPr>
            </m:num>
            <m:den>
              <m:r>
                <m:rPr>
                  <m:sty m:val="p"/>
                </m:rPr>
                <w:rPr>
                  <w:rFonts w:ascii="Cambria Math" w:hAnsi="Cambria Math"/>
                </w:rPr>
                <m:t>Var</m:t>
              </m:r>
              <m:r>
                <w:rPr>
                  <w:rFonts w:ascii="Cambria Math" w:hAnsi="Cambria Math"/>
                </w:rPr>
                <m:t>(V</m:t>
              </m:r>
              <m:sSup>
                <m:sSupPr>
                  <m:ctrlPr>
                    <w:rPr>
                      <w:rFonts w:ascii="Cambria Math" w:hAnsi="Cambria Math"/>
                    </w:rPr>
                  </m:ctrlPr>
                </m:sSupPr>
                <m:e>
                  <m:r>
                    <w:rPr>
                      <w:rFonts w:ascii="Cambria Math" w:hAnsi="Cambria Math"/>
                    </w:rPr>
                    <m:t>)</m:t>
                  </m:r>
                </m:e>
                <m:sup>
                  <m:f>
                    <m:fPr>
                      <m:ctrlPr>
                        <w:rPr>
                          <w:rFonts w:ascii="Cambria Math" w:hAnsi="Cambria Math"/>
                          <w:i/>
                        </w:rPr>
                      </m:ctrlPr>
                    </m:fPr>
                    <m:num>
                      <m:r>
                        <w:rPr>
                          <w:rFonts w:ascii="Cambria Math" w:hAnsi="Cambria Math"/>
                        </w:rPr>
                        <m:t>3</m:t>
                      </m:r>
                    </m:num>
                    <m:den>
                      <m:r>
                        <w:rPr>
                          <w:rFonts w:ascii="Cambria Math" w:hAnsi="Cambria Math"/>
                        </w:rPr>
                        <m:t>2</m:t>
                      </m:r>
                    </m:den>
                  </m:f>
                </m:sup>
              </m:sSup>
              <m:ctrlPr>
                <w:rPr>
                  <w:rFonts w:ascii="Cambria Math" w:hAnsi="Cambria Math"/>
                </w:rPr>
              </m:ctrlPr>
            </m:den>
          </m:f>
          <m:r>
            <w:rPr>
              <w:rFonts w:ascii="Cambria Math" w:hAnsi="Cambria Math"/>
            </w:rPr>
            <m:t>≈</m:t>
          </m:r>
          <m:f>
            <m:fPr>
              <m:ctrlPr>
                <w:rPr>
                  <w:rFonts w:ascii="Cambria Math" w:hAnsi="Cambria Math"/>
                  <w:i/>
                </w:rPr>
              </m:ctrlPr>
            </m:fPr>
            <m:num>
              <m:r>
                <w:rPr>
                  <w:rFonts w:ascii="Cambria Math" w:hAnsi="Cambria Math"/>
                </w:rPr>
                <m:t>2</m:t>
              </m:r>
              <m:rad>
                <m:radPr>
                  <m:degHide m:val="1"/>
                  <m:ctrlPr>
                    <w:rPr>
                      <w:rFonts w:ascii="Cambria Math" w:hAnsi="Cambria Math"/>
                      <w:i/>
                    </w:rPr>
                  </m:ctrlPr>
                </m:radPr>
                <m:deg>
                  <m:ctrlPr>
                    <w:rPr>
                      <w:rFonts w:ascii="Cambria Math" w:hAnsi="Cambria Math"/>
                    </w:rPr>
                  </m:ctrlPr>
                </m:deg>
                <m:e>
                  <m:r>
                    <w:rPr>
                      <w:rFonts w:ascii="Cambria Math" w:hAnsi="Cambria Math"/>
                    </w:rPr>
                    <m:t>π</m:t>
                  </m:r>
                  <m:d>
                    <m:dPr>
                      <m:ctrlPr>
                        <w:rPr>
                          <w:rFonts w:ascii="Cambria Math" w:hAnsi="Cambria Math"/>
                          <w:i/>
                        </w:rPr>
                      </m:ctrlPr>
                    </m:dPr>
                    <m:e>
                      <m:r>
                        <w:rPr>
                          <w:rFonts w:ascii="Cambria Math" w:hAnsi="Cambria Math"/>
                        </w:rPr>
                        <m:t>π-3</m:t>
                      </m:r>
                    </m:e>
                  </m:d>
                  <m:ctrlPr>
                    <w:rPr>
                      <w:rFonts w:ascii="Cambria Math" w:hAnsi="Cambria Math"/>
                    </w:rPr>
                  </m:ctrlPr>
                </m:e>
              </m:rad>
            </m:num>
            <m:den>
              <m:r>
                <w:rPr>
                  <w:rFonts w:ascii="Cambria Math" w:hAnsi="Cambria Math"/>
                </w:rPr>
                <m:t>(4-π</m:t>
              </m:r>
              <m:sSup>
                <m:sSupPr>
                  <m:ctrlPr>
                    <w:rPr>
                      <w:rFonts w:ascii="Cambria Math" w:hAnsi="Cambria Math"/>
                    </w:rPr>
                  </m:ctrlPr>
                </m:sSupPr>
                <m:e>
                  <m:r>
                    <w:rPr>
                      <w:rFonts w:ascii="Cambria Math" w:hAnsi="Cambria Math"/>
                    </w:rPr>
                    <m:t>)</m:t>
                  </m:r>
                </m:e>
                <m:sup>
                  <m:f>
                    <m:fPr>
                      <m:ctrlPr>
                        <w:rPr>
                          <w:rFonts w:ascii="Cambria Math" w:hAnsi="Cambria Math"/>
                          <w:i/>
                        </w:rPr>
                      </m:ctrlPr>
                    </m:fPr>
                    <m:num>
                      <m:r>
                        <w:rPr>
                          <w:rFonts w:ascii="Cambria Math" w:hAnsi="Cambria Math"/>
                        </w:rPr>
                        <m:t>3</m:t>
                      </m:r>
                    </m:num>
                    <m:den>
                      <m:r>
                        <w:rPr>
                          <w:rFonts w:ascii="Cambria Math" w:hAnsi="Cambria Math"/>
                        </w:rPr>
                        <m:t>2</m:t>
                      </m:r>
                    </m:den>
                  </m:f>
                </m:sup>
              </m:sSup>
              <m:ctrlPr>
                <w:rPr>
                  <w:rFonts w:ascii="Cambria Math" w:hAnsi="Cambria Math"/>
                </w:rPr>
              </m:ctrlPr>
            </m:den>
          </m:f>
          <m:r>
            <w:rPr>
              <w:rFonts w:ascii="Cambria Math" w:hAnsi="Cambria Math"/>
            </w:rPr>
            <m:t>+</m:t>
          </m:r>
          <m:r>
            <m:rPr>
              <m:sty m:val="p"/>
            </m:rPr>
            <w:rPr>
              <w:rFonts w:ascii="Cambria Math" w:hAnsi="Cambria Math"/>
            </w:rPr>
            <m:t>Correction</m:t>
          </m:r>
        </m:oMath>
      </m:oMathPara>
    </w:p>
    <w:p w14:paraId="0261840C" w14:textId="77777777" w:rsidR="00104DA5" w:rsidRPr="00104DA5" w:rsidRDefault="00104DA5" w:rsidP="00A019AC"/>
    <w:p w14:paraId="72137182" w14:textId="77777777" w:rsidR="00A019AC" w:rsidRPr="00104DA5" w:rsidRDefault="00A019AC" w:rsidP="00A019AC">
      <w:pPr>
        <w:rPr>
          <w:sz w:val="20"/>
        </w:rPr>
      </w:pPr>
      <w:r w:rsidRPr="00104DA5">
        <w:tab/>
      </w:r>
      <w:r w:rsidRPr="00104DA5">
        <w:tab/>
      </w:r>
      <w:r w:rsidRPr="00104DA5">
        <w:rPr>
          <w:sz w:val="20"/>
        </w:rPr>
        <w:t>* Correction from Gaussian part</w:t>
      </w:r>
    </w:p>
    <w:p w14:paraId="6EF68E6C" w14:textId="77777777" w:rsidR="00104DA5" w:rsidRDefault="00104DA5" w:rsidP="00A019AC">
      <w:pPr>
        <w:rPr>
          <w:sz w:val="18"/>
          <w:szCs w:val="18"/>
        </w:rPr>
      </w:pPr>
    </w:p>
    <w:p w14:paraId="03C2C24B" w14:textId="77777777" w:rsidR="00104DA5" w:rsidRPr="00104DA5" w:rsidRDefault="00104DA5" w:rsidP="00A019AC">
      <w:pPr>
        <w:rPr>
          <w:sz w:val="18"/>
          <w:szCs w:val="18"/>
        </w:rPr>
      </w:pPr>
    </w:p>
    <w:p w14:paraId="61A470DD" w14:textId="77777777" w:rsidR="00104DA5" w:rsidRPr="00A2575C" w:rsidRDefault="00A019AC" w:rsidP="00A019AC">
      <w:pPr>
        <w:pStyle w:val="ListParagraph"/>
        <w:numPr>
          <w:ilvl w:val="0"/>
          <w:numId w:val="17"/>
        </w:numPr>
        <w:suppressAutoHyphens w:val="0"/>
        <w:spacing w:line="278" w:lineRule="auto"/>
        <w:rPr>
          <w:b/>
          <w:bCs/>
        </w:rPr>
      </w:pPr>
      <w:r w:rsidRPr="00104DA5">
        <w:rPr>
          <w:b/>
          <w:bCs/>
        </w:rPr>
        <w:t>Kurtosis (</w:t>
      </w:r>
      <m:oMath>
        <m:sSub>
          <m:sSubPr>
            <m:ctrlPr>
              <w:rPr>
                <w:rFonts w:ascii="Cambria Math" w:hAnsi="Cambria Math"/>
                <w:b/>
                <w:bCs/>
              </w:rPr>
            </m:ctrlPr>
          </m:sSubPr>
          <m:e>
            <m:r>
              <m:rPr>
                <m:sty m:val="bi"/>
              </m:rPr>
              <w:rPr>
                <w:rFonts w:ascii="Cambria Math" w:hAnsi="Cambria Math"/>
              </w:rPr>
              <m:t>γ</m:t>
            </m:r>
          </m:e>
          <m:sub>
            <m:r>
              <m:rPr>
                <m:sty m:val="bi"/>
              </m:rPr>
              <w:rPr>
                <w:rFonts w:ascii="Cambria Math" w:hAnsi="Cambria Math"/>
              </w:rPr>
              <m:t>2</m:t>
            </m:r>
          </m:sub>
        </m:sSub>
      </m:oMath>
      <w:r w:rsidRPr="00104DA5">
        <w:rPr>
          <w:b/>
          <w:bCs/>
        </w:rPr>
        <w:t>)</w:t>
      </w:r>
    </w:p>
    <w:p w14:paraId="7C8AC245" w14:textId="77777777" w:rsidR="00A019AC" w:rsidRPr="00104DA5" w:rsidRDefault="00A019AC" w:rsidP="00A019AC">
      <w:r w:rsidRPr="00104DA5">
        <w:t>Approximate (Rayleigh part):</w:t>
      </w:r>
    </w:p>
    <w:p w14:paraId="724BD829" w14:textId="77777777" w:rsidR="00104DA5" w:rsidRPr="00104DA5" w:rsidRDefault="00104DA5" w:rsidP="00A019AC"/>
    <w:p w14:paraId="62B089EA" w14:textId="77777777" w:rsidR="00A019AC" w:rsidRPr="00104DA5" w:rsidRDefault="00000000" w:rsidP="00A019AC">
      <m:oMathPara>
        <m:oMath>
          <m:sSub>
            <m:sSubPr>
              <m:ctrlPr>
                <w:rPr>
                  <w:rFonts w:ascii="Cambria Math" w:hAnsi="Cambria Math"/>
                </w:rPr>
              </m:ctrlPr>
            </m:sSubPr>
            <m:e>
              <m:r>
                <w:rPr>
                  <w:rFonts w:ascii="Cambria Math" w:hAnsi="Cambria Math"/>
                </w:rPr>
                <m:t>γ</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6π-16</m:t>
              </m:r>
              <m:ctrlPr>
                <w:rPr>
                  <w:rFonts w:ascii="Cambria Math" w:hAnsi="Cambria Math"/>
                </w:rPr>
              </m:ctrlPr>
            </m:num>
            <m:den>
              <m:d>
                <m:dPr>
                  <m:ctrlPr>
                    <w:rPr>
                      <w:rFonts w:ascii="Cambria Math" w:hAnsi="Cambria Math"/>
                      <w:i/>
                    </w:rPr>
                  </m:ctrlPr>
                </m:dPr>
                <m:e>
                  <m:r>
                    <w:rPr>
                      <w:rFonts w:ascii="Cambria Math" w:hAnsi="Cambria Math"/>
                    </w:rPr>
                    <m:t>4-π</m:t>
                  </m:r>
                </m:e>
              </m:d>
              <m:ctrlPr>
                <w:rPr>
                  <w:rFonts w:ascii="Cambria Math" w:hAnsi="Cambria Math"/>
                </w:rPr>
              </m:ctrlPr>
            </m:den>
          </m:f>
          <m:r>
            <w:rPr>
              <w:rFonts w:ascii="Cambria Math" w:hAnsi="Cambria Math"/>
            </w:rPr>
            <m:t>≈0.245</m:t>
          </m:r>
        </m:oMath>
      </m:oMathPara>
    </w:p>
    <w:p w14:paraId="29A7BAF0" w14:textId="77777777" w:rsidR="00104DA5" w:rsidRPr="00104DA5" w:rsidRDefault="00104DA5" w:rsidP="00A019AC"/>
    <w:p w14:paraId="22BB565E" w14:textId="77777777" w:rsidR="00104DA5" w:rsidRDefault="00104DA5" w:rsidP="00A019AC"/>
    <w:p w14:paraId="07ED0B13" w14:textId="77777777" w:rsidR="00A019AC" w:rsidRDefault="00A019AC" w:rsidP="00A019AC">
      <w:r w:rsidRPr="00104DA5">
        <w:t>Gaussian mixture increases kurtosis if heavy-tailed.</w:t>
      </w:r>
    </w:p>
    <w:p w14:paraId="2BCE90D9" w14:textId="77777777" w:rsidR="00104DA5" w:rsidRPr="00104DA5" w:rsidRDefault="00104DA5" w:rsidP="00A019AC"/>
    <w:p w14:paraId="2E97B079" w14:textId="77777777" w:rsidR="00104DA5" w:rsidRPr="00A2575C" w:rsidRDefault="00A019AC" w:rsidP="00A019AC">
      <w:pPr>
        <w:pStyle w:val="ListParagraph"/>
        <w:numPr>
          <w:ilvl w:val="0"/>
          <w:numId w:val="17"/>
        </w:numPr>
        <w:suppressAutoHyphens w:val="0"/>
        <w:spacing w:line="278" w:lineRule="auto"/>
        <w:rPr>
          <w:b/>
          <w:bCs/>
        </w:rPr>
      </w:pPr>
      <w:r w:rsidRPr="00104DA5">
        <w:rPr>
          <w:b/>
          <w:bCs/>
        </w:rPr>
        <w:t>Mode</w:t>
      </w:r>
    </w:p>
    <w:p w14:paraId="0C59CB0E" w14:textId="77777777" w:rsidR="00A019AC" w:rsidRDefault="00A019AC" w:rsidP="00A019AC">
      <w:r w:rsidRPr="00104DA5">
        <w:t>Numerical mode can be estimated by maximizing f(v):</w:t>
      </w:r>
    </w:p>
    <w:p w14:paraId="6BCF9B4B" w14:textId="77777777" w:rsidR="00104DA5" w:rsidRPr="00104DA5" w:rsidRDefault="00104DA5" w:rsidP="00A019AC"/>
    <w:p w14:paraId="168589D4" w14:textId="77777777" w:rsidR="00104DA5" w:rsidRPr="00A2575C" w:rsidRDefault="00104DA5" w:rsidP="00A019AC">
      <w:pPr>
        <w:spacing w:line="240" w:lineRule="auto"/>
        <w:jc w:val="center"/>
        <w:rPr>
          <w:sz w:val="13"/>
          <w:szCs w:val="8"/>
        </w:rPr>
      </w:pPr>
    </w:p>
    <w:p w14:paraId="1C054DFA" w14:textId="77777777" w:rsidR="00A019AC" w:rsidRPr="00104DA5" w:rsidRDefault="00A019AC" w:rsidP="00A2575C">
      <w:pPr>
        <w:spacing w:line="240" w:lineRule="auto"/>
        <w:jc w:val="center"/>
      </w:pPr>
      <m:oMathPara>
        <m:oMath>
          <m:r>
            <m:rPr>
              <m:sty m:val="p"/>
            </m:rPr>
            <w:rPr>
              <w:rFonts w:ascii="Cambria Math" w:hAnsi="Cambria Math"/>
            </w:rPr>
            <m:t>mode</m:t>
          </m:r>
          <m:r>
            <w:rPr>
              <w:rFonts w:ascii="Cambria Math" w:hAnsi="Cambria Math"/>
            </w:rPr>
            <m:t>=</m:t>
          </m:r>
          <m:func>
            <m:funcPr>
              <m:ctrlPr>
                <w:rPr>
                  <w:rFonts w:ascii="Cambria Math" w:hAnsi="Cambria Math"/>
                </w:rPr>
              </m:ctrlPr>
            </m:funcPr>
            <m:fName>
              <m:r>
                <w:rPr>
                  <w:rFonts w:ascii="Cambria Math" w:hAnsi="Cambria Math"/>
                </w:rPr>
                <m:t>arg</m:t>
              </m:r>
            </m:fName>
            <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r>
                        <w:rPr>
                          <w:rFonts w:ascii="Cambria Math" w:hAnsi="Cambria Math"/>
                        </w:rPr>
                        <m:t>v≥0</m:t>
                      </m:r>
                    </m:lim>
                  </m:limLow>
                </m:fName>
                <m:e>
                  <m:r>
                    <w:rPr>
                      <w:rFonts w:ascii="Cambria Math" w:hAnsi="Cambria Math"/>
                    </w:rPr>
                    <m:t>f</m:t>
                  </m:r>
                </m:e>
              </m:func>
            </m:e>
          </m:func>
          <m:d>
            <m:dPr>
              <m:ctrlPr>
                <w:rPr>
                  <w:rFonts w:ascii="Cambria Math" w:hAnsi="Cambria Math"/>
                  <w:i/>
                </w:rPr>
              </m:ctrlPr>
            </m:dPr>
            <m:e>
              <m:r>
                <w:rPr>
                  <w:rFonts w:ascii="Cambria Math" w:hAnsi="Cambria Math"/>
                </w:rPr>
                <m:t>v;σ,μ,τ,λ</m:t>
              </m:r>
            </m:e>
          </m:d>
        </m:oMath>
      </m:oMathPara>
    </w:p>
    <w:p w14:paraId="128D3FFF" w14:textId="77777777" w:rsidR="00BF4C3C" w:rsidRPr="00104DA5" w:rsidRDefault="00BF4C3C">
      <w:pPr>
        <w:rPr>
          <w:i/>
          <w:szCs w:val="24"/>
        </w:rPr>
      </w:pPr>
    </w:p>
    <w:p w14:paraId="4FDCDAC0" w14:textId="77777777" w:rsidR="00BF4C3C" w:rsidRDefault="00A019AC">
      <w:pPr>
        <w:pStyle w:val="Heading1"/>
        <w:numPr>
          <w:ilvl w:val="0"/>
          <w:numId w:val="9"/>
        </w:numPr>
        <w:ind w:left="397" w:hanging="397"/>
      </w:pPr>
      <w:bookmarkStart w:id="0" w:name="_Hlk195562053"/>
      <w:r w:rsidRPr="00104DA5">
        <w:t>Results and Analysis</w:t>
      </w:r>
      <w:bookmarkEnd w:id="0"/>
    </w:p>
    <w:p w14:paraId="66C0CBAB" w14:textId="77777777" w:rsidR="00104DA5" w:rsidRPr="00104DA5" w:rsidRDefault="00104DA5" w:rsidP="00104DA5">
      <w:pPr>
        <w:pStyle w:val="BodyText"/>
        <w:rPr>
          <w:lang w:eastAsia="en-US"/>
        </w:rPr>
      </w:pPr>
    </w:p>
    <w:p w14:paraId="0D5249BF" w14:textId="77777777" w:rsidR="00A019AC" w:rsidRDefault="00A019AC" w:rsidP="00A019AC">
      <w:pPr>
        <w:spacing w:line="240" w:lineRule="auto"/>
      </w:pPr>
      <w:r w:rsidRPr="00104DA5">
        <w:t>We evaluated each fitted model on three fronts: statistical behavior, visual agreement with the observations, and the impact on wind-energy estimates.</w:t>
      </w:r>
    </w:p>
    <w:p w14:paraId="28E3EA12" w14:textId="77777777" w:rsidR="00104DA5" w:rsidRPr="00104DA5" w:rsidRDefault="00104DA5" w:rsidP="00A019AC">
      <w:pPr>
        <w:spacing w:line="240" w:lineRule="auto"/>
      </w:pPr>
    </w:p>
    <w:p w14:paraId="4A978B88" w14:textId="77777777" w:rsidR="00104DA5" w:rsidRPr="00104DA5" w:rsidRDefault="00A019AC" w:rsidP="00104DA5">
      <w:pPr>
        <w:pStyle w:val="ListParagraph"/>
        <w:numPr>
          <w:ilvl w:val="0"/>
          <w:numId w:val="15"/>
        </w:numPr>
        <w:suppressAutoHyphens w:val="0"/>
        <w:spacing w:after="160" w:line="240" w:lineRule="auto"/>
      </w:pPr>
      <w:r w:rsidRPr="00104DA5">
        <w:rPr>
          <w:rStyle w:val="s1"/>
          <w:b/>
          <w:bCs/>
        </w:rPr>
        <w:lastRenderedPageBreak/>
        <w:t>Estimated parameters:</w:t>
      </w:r>
      <w:r w:rsidRPr="00104DA5">
        <w:t xml:space="preserve"> Parameters were obtained by fitting to the empirical data. For GERD, maximum likelihood produced:</w:t>
      </w:r>
    </w:p>
    <w:p w14:paraId="32D0B5D3" w14:textId="77777777" w:rsidR="00A019AC" w:rsidRPr="00104DA5" w:rsidRDefault="00A019AC" w:rsidP="00A2575C">
      <w:pPr>
        <w:numPr>
          <w:ilvl w:val="1"/>
          <w:numId w:val="18"/>
        </w:numPr>
        <w:suppressAutoHyphens w:val="0"/>
      </w:pPr>
      <w:r w:rsidRPr="00104DA5">
        <w:t>σ=8.11 (Rayleigh scale)</w:t>
      </w:r>
    </w:p>
    <w:p w14:paraId="0BDC3C31" w14:textId="77777777" w:rsidR="00A019AC" w:rsidRPr="00104DA5" w:rsidRDefault="00A019AC" w:rsidP="00A2575C">
      <w:pPr>
        <w:numPr>
          <w:ilvl w:val="1"/>
          <w:numId w:val="18"/>
        </w:numPr>
        <w:suppressAutoHyphens w:val="0"/>
      </w:pPr>
      <w:r w:rsidRPr="00104DA5">
        <w:t>μ=1.70 (Gaussian mean)</w:t>
      </w:r>
    </w:p>
    <w:p w14:paraId="1AFDE3CB" w14:textId="77777777" w:rsidR="00A019AC" w:rsidRPr="00104DA5" w:rsidRDefault="00A019AC" w:rsidP="00A2575C">
      <w:pPr>
        <w:numPr>
          <w:ilvl w:val="1"/>
          <w:numId w:val="18"/>
        </w:numPr>
        <w:suppressAutoHyphens w:val="0"/>
      </w:pPr>
      <m:oMath>
        <m:r>
          <w:rPr>
            <w:rFonts w:ascii="Cambria Math" w:hAnsi="Cambria Math"/>
          </w:rPr>
          <m:t>τ</m:t>
        </m:r>
      </m:oMath>
      <w:r w:rsidRPr="00104DA5">
        <w:t xml:space="preserve"> =1.88 (Gaussian standard deviation)</w:t>
      </w:r>
    </w:p>
    <w:p w14:paraId="19189ADF" w14:textId="77777777" w:rsidR="00A019AC" w:rsidRPr="00104DA5" w:rsidRDefault="00A019AC" w:rsidP="00A2575C">
      <w:pPr>
        <w:numPr>
          <w:ilvl w:val="1"/>
          <w:numId w:val="18"/>
        </w:numPr>
        <w:suppressAutoHyphens w:val="0"/>
      </w:pPr>
      <w:r w:rsidRPr="00104DA5">
        <w:t>λ=1.00 (full Gaussian dominance)</w:t>
      </w:r>
    </w:p>
    <w:p w14:paraId="5FFA125C" w14:textId="77777777" w:rsidR="00A019AC" w:rsidRPr="00104DA5" w:rsidRDefault="00A019AC" w:rsidP="00A019AC">
      <w:pPr>
        <w:spacing w:before="100" w:beforeAutospacing="1" w:line="240" w:lineRule="auto"/>
        <w:ind w:left="720"/>
        <w:rPr>
          <w:rFonts w:eastAsia="Times New Roman"/>
          <w:color w:val="000000"/>
          <w:lang w:eastAsia="en-GB"/>
        </w:rPr>
      </w:pPr>
      <w:r w:rsidRPr="00104DA5">
        <w:rPr>
          <w:rFonts w:eastAsia="Times New Roman"/>
          <w:color w:val="000000"/>
          <w:lang w:eastAsia="en-GB"/>
        </w:rPr>
        <w:t>For context, the Weibull fit returned shape k and scale c; the Rayleigh scale was estimated by the method of moments.</w:t>
      </w:r>
    </w:p>
    <w:p w14:paraId="179F39DA" w14:textId="77777777" w:rsidR="00A019AC" w:rsidRPr="00A2575C" w:rsidRDefault="00A019AC" w:rsidP="00A019AC">
      <w:pPr>
        <w:pStyle w:val="ListParagraph"/>
        <w:numPr>
          <w:ilvl w:val="0"/>
          <w:numId w:val="15"/>
        </w:numPr>
        <w:suppressAutoHyphens w:val="0"/>
        <w:spacing w:before="100" w:beforeAutospacing="1" w:after="100" w:afterAutospacing="1" w:line="240" w:lineRule="auto"/>
        <w:rPr>
          <w:rFonts w:eastAsia="Times New Roman"/>
          <w:color w:val="000000"/>
          <w:lang w:eastAsia="en-GB"/>
        </w:rPr>
      </w:pPr>
      <w:r w:rsidRPr="00104DA5">
        <w:rPr>
          <w:rStyle w:val="s1"/>
          <w:b/>
          <w:bCs/>
        </w:rPr>
        <w:t>Visual fit:</w:t>
      </w:r>
      <w:r w:rsidRPr="00104DA5">
        <w:t xml:space="preserve"> The Kernel Density Estimate (KDE) shows GERD hugging the empirical curve, with the Gaussian term doing most of the heavy lifting. Weibull captures the tails better. Rayleigh falls short at higher speeds.</w:t>
      </w:r>
    </w:p>
    <w:p w14:paraId="527B1F49" w14:textId="77777777" w:rsidR="00A2575C" w:rsidRPr="00104DA5" w:rsidRDefault="00A2575C" w:rsidP="00A2575C">
      <w:pPr>
        <w:pStyle w:val="ListParagraph"/>
        <w:suppressAutoHyphens w:val="0"/>
        <w:spacing w:before="100" w:beforeAutospacing="1" w:after="100" w:afterAutospacing="1" w:line="240" w:lineRule="auto"/>
        <w:rPr>
          <w:rFonts w:eastAsia="Times New Roman"/>
          <w:color w:val="000000"/>
          <w:lang w:eastAsia="en-GB"/>
        </w:rPr>
      </w:pPr>
    </w:p>
    <w:p w14:paraId="586C0B1C" w14:textId="77777777" w:rsidR="00A019AC" w:rsidRPr="00104DA5" w:rsidRDefault="00A019AC" w:rsidP="00A2575C">
      <w:pPr>
        <w:spacing w:before="100" w:beforeAutospacing="1" w:after="100" w:afterAutospacing="1" w:line="240" w:lineRule="auto"/>
        <w:jc w:val="center"/>
        <w:rPr>
          <w:rFonts w:eastAsia="Times New Roman"/>
          <w:color w:val="000000"/>
          <w:lang w:eastAsia="en-GB"/>
        </w:rPr>
      </w:pPr>
      <w:r w:rsidRPr="00104DA5">
        <w:rPr>
          <w:noProof/>
        </w:rPr>
        <w:drawing>
          <wp:inline distT="0" distB="0" distL="0" distR="0" wp14:anchorId="24246F89" wp14:editId="24D7AA45">
            <wp:extent cx="4467354" cy="2630311"/>
            <wp:effectExtent l="0" t="0" r="0" b="0"/>
            <wp:docPr id="242370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70887"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82807" cy="2639409"/>
                    </a:xfrm>
                    <a:prstGeom prst="rect">
                      <a:avLst/>
                    </a:prstGeom>
                  </pic:spPr>
                </pic:pic>
              </a:graphicData>
            </a:graphic>
          </wp:inline>
        </w:drawing>
      </w:r>
    </w:p>
    <w:p w14:paraId="43F317F9" w14:textId="77777777" w:rsidR="00A2575C" w:rsidRDefault="00A2575C" w:rsidP="00A019AC">
      <w:pPr>
        <w:ind w:left="720"/>
        <w:rPr>
          <w:b/>
          <w:bCs/>
        </w:rPr>
      </w:pPr>
    </w:p>
    <w:p w14:paraId="5FEB8D63" w14:textId="77777777" w:rsidR="00A019AC" w:rsidRDefault="00A019AC" w:rsidP="00A019AC">
      <w:pPr>
        <w:ind w:left="720"/>
      </w:pPr>
      <w:r w:rsidRPr="00104DA5">
        <w:rPr>
          <w:b/>
          <w:bCs/>
        </w:rPr>
        <w:t>Graph 1:</w:t>
      </w:r>
      <w:r w:rsidRPr="00104DA5">
        <w:t xml:space="preserve"> GERD, Weibull, and Rayleigh KDE comparison plotted against the empirical histogram illustrates the superior adaptability of the Weibull model, followed by GERD.</w:t>
      </w:r>
    </w:p>
    <w:p w14:paraId="6A9BF850" w14:textId="77777777" w:rsidR="00104DA5" w:rsidRPr="00104DA5" w:rsidRDefault="00104DA5" w:rsidP="00A019AC">
      <w:pPr>
        <w:ind w:left="720"/>
      </w:pPr>
    </w:p>
    <w:p w14:paraId="7C91FDBC" w14:textId="77777777" w:rsidR="00A019AC" w:rsidRDefault="00A019AC" w:rsidP="00A019AC">
      <w:pPr>
        <w:numPr>
          <w:ilvl w:val="0"/>
          <w:numId w:val="18"/>
        </w:numPr>
        <w:suppressAutoHyphens w:val="0"/>
        <w:spacing w:after="160" w:line="278" w:lineRule="auto"/>
      </w:pPr>
      <w:r w:rsidRPr="00104DA5">
        <w:rPr>
          <w:b/>
          <w:bCs/>
        </w:rPr>
        <w:t>Statistical Moments Comparison:</w:t>
      </w:r>
      <w:r w:rsidRPr="00104DA5">
        <w:t xml:space="preserve"> The models were evaluated on key statistical moments:</w:t>
      </w:r>
    </w:p>
    <w:p w14:paraId="07C00BFD" w14:textId="77777777" w:rsidR="00A2575C" w:rsidRPr="00A2575C" w:rsidRDefault="00A2575C" w:rsidP="00A2575C">
      <w:pPr>
        <w:suppressAutoHyphens w:val="0"/>
        <w:spacing w:after="160" w:line="278" w:lineRule="auto"/>
        <w:ind w:left="720"/>
        <w:rPr>
          <w:sz w:val="8"/>
          <w:szCs w:val="8"/>
        </w:rPr>
      </w:pPr>
    </w:p>
    <w:tbl>
      <w:tblPr>
        <w:tblStyle w:val="TableGrid"/>
        <w:tblW w:w="8611" w:type="dxa"/>
        <w:jc w:val="center"/>
        <w:tblLook w:val="04A0" w:firstRow="1" w:lastRow="0" w:firstColumn="1" w:lastColumn="0" w:noHBand="0" w:noVBand="1"/>
      </w:tblPr>
      <w:tblGrid>
        <w:gridCol w:w="2740"/>
        <w:gridCol w:w="1685"/>
        <w:gridCol w:w="1401"/>
        <w:gridCol w:w="1449"/>
        <w:gridCol w:w="1336"/>
      </w:tblGrid>
      <w:tr w:rsidR="00A2575C" w:rsidRPr="00104DA5" w14:paraId="1B41CE22" w14:textId="77777777" w:rsidTr="00A2575C">
        <w:trPr>
          <w:trHeight w:val="486"/>
          <w:jc w:val="center"/>
        </w:trPr>
        <w:tc>
          <w:tcPr>
            <w:tcW w:w="2740" w:type="dxa"/>
            <w:vAlign w:val="center"/>
          </w:tcPr>
          <w:p w14:paraId="6D989198" w14:textId="77777777" w:rsidR="00A019AC" w:rsidRPr="00104DA5" w:rsidRDefault="00A019AC" w:rsidP="00A2575C">
            <w:pPr>
              <w:ind w:left="273"/>
              <w:jc w:val="center"/>
              <w:rPr>
                <w:b/>
                <w:bCs/>
              </w:rPr>
            </w:pPr>
            <w:r w:rsidRPr="00104DA5">
              <w:rPr>
                <w:b/>
                <w:bCs/>
              </w:rPr>
              <w:t>Model</w:t>
            </w:r>
          </w:p>
        </w:tc>
        <w:tc>
          <w:tcPr>
            <w:tcW w:w="0" w:type="auto"/>
            <w:vAlign w:val="center"/>
          </w:tcPr>
          <w:p w14:paraId="11166643" w14:textId="77777777" w:rsidR="00A019AC" w:rsidRPr="00104DA5" w:rsidRDefault="00A019AC" w:rsidP="00A2575C">
            <w:pPr>
              <w:jc w:val="center"/>
              <w:rPr>
                <w:b/>
                <w:bCs/>
              </w:rPr>
            </w:pPr>
            <w:r w:rsidRPr="00104DA5">
              <w:rPr>
                <w:b/>
                <w:bCs/>
              </w:rPr>
              <w:t>Mean (m/s)</w:t>
            </w:r>
          </w:p>
        </w:tc>
        <w:tc>
          <w:tcPr>
            <w:tcW w:w="0" w:type="auto"/>
            <w:vAlign w:val="center"/>
          </w:tcPr>
          <w:p w14:paraId="235DDD5A" w14:textId="77777777" w:rsidR="00A019AC" w:rsidRPr="00104DA5" w:rsidRDefault="00A019AC" w:rsidP="00A2575C">
            <w:pPr>
              <w:jc w:val="center"/>
              <w:rPr>
                <w:b/>
                <w:bCs/>
              </w:rPr>
            </w:pPr>
            <w:r w:rsidRPr="00104DA5">
              <w:rPr>
                <w:b/>
                <w:bCs/>
              </w:rPr>
              <w:t>Variance</w:t>
            </w:r>
          </w:p>
        </w:tc>
        <w:tc>
          <w:tcPr>
            <w:tcW w:w="0" w:type="auto"/>
            <w:vAlign w:val="center"/>
          </w:tcPr>
          <w:p w14:paraId="63018455" w14:textId="77777777" w:rsidR="00A019AC" w:rsidRPr="00104DA5" w:rsidRDefault="00A019AC" w:rsidP="00A2575C">
            <w:pPr>
              <w:jc w:val="center"/>
              <w:rPr>
                <w:b/>
                <w:bCs/>
              </w:rPr>
            </w:pPr>
            <w:r w:rsidRPr="00104DA5">
              <w:rPr>
                <w:b/>
                <w:bCs/>
              </w:rPr>
              <w:t>Skewness</w:t>
            </w:r>
          </w:p>
        </w:tc>
        <w:tc>
          <w:tcPr>
            <w:tcW w:w="0" w:type="auto"/>
            <w:vAlign w:val="center"/>
          </w:tcPr>
          <w:p w14:paraId="4C3EAB63" w14:textId="77777777" w:rsidR="00A019AC" w:rsidRPr="00104DA5" w:rsidRDefault="00A019AC" w:rsidP="00A2575C">
            <w:pPr>
              <w:jc w:val="center"/>
              <w:rPr>
                <w:b/>
                <w:bCs/>
              </w:rPr>
            </w:pPr>
            <w:r w:rsidRPr="00104DA5">
              <w:rPr>
                <w:b/>
                <w:bCs/>
              </w:rPr>
              <w:t>Kurtosis</w:t>
            </w:r>
          </w:p>
        </w:tc>
      </w:tr>
      <w:tr w:rsidR="00A2575C" w:rsidRPr="00104DA5" w14:paraId="1292D8FA" w14:textId="77777777" w:rsidTr="00A2575C">
        <w:trPr>
          <w:trHeight w:val="469"/>
          <w:jc w:val="center"/>
        </w:trPr>
        <w:tc>
          <w:tcPr>
            <w:tcW w:w="2740" w:type="dxa"/>
            <w:vAlign w:val="center"/>
          </w:tcPr>
          <w:p w14:paraId="468DA7AC" w14:textId="77777777" w:rsidR="00A019AC" w:rsidRPr="00104DA5" w:rsidRDefault="00A019AC" w:rsidP="00A2575C">
            <w:pPr>
              <w:ind w:left="273"/>
              <w:jc w:val="center"/>
            </w:pPr>
            <w:r w:rsidRPr="00104DA5">
              <w:t>GERD (Gaussian)</w:t>
            </w:r>
          </w:p>
        </w:tc>
        <w:tc>
          <w:tcPr>
            <w:tcW w:w="0" w:type="auto"/>
            <w:vAlign w:val="center"/>
          </w:tcPr>
          <w:p w14:paraId="4366499A" w14:textId="77777777" w:rsidR="00A019AC" w:rsidRPr="00104DA5" w:rsidRDefault="00A019AC" w:rsidP="00A2575C">
            <w:pPr>
              <w:jc w:val="center"/>
            </w:pPr>
            <w:r w:rsidRPr="00104DA5">
              <w:t>2.32</w:t>
            </w:r>
          </w:p>
        </w:tc>
        <w:tc>
          <w:tcPr>
            <w:tcW w:w="0" w:type="auto"/>
            <w:vAlign w:val="center"/>
          </w:tcPr>
          <w:p w14:paraId="462263CC" w14:textId="77777777" w:rsidR="00A019AC" w:rsidRPr="00104DA5" w:rsidRDefault="00A019AC" w:rsidP="00A2575C">
            <w:pPr>
              <w:jc w:val="center"/>
            </w:pPr>
            <w:r w:rsidRPr="00104DA5">
              <w:t>2.17</w:t>
            </w:r>
          </w:p>
        </w:tc>
        <w:tc>
          <w:tcPr>
            <w:tcW w:w="0" w:type="auto"/>
            <w:vAlign w:val="center"/>
          </w:tcPr>
          <w:p w14:paraId="305B748F" w14:textId="77777777" w:rsidR="00A019AC" w:rsidRPr="00104DA5" w:rsidRDefault="00A019AC" w:rsidP="00A2575C">
            <w:pPr>
              <w:jc w:val="center"/>
            </w:pPr>
            <w:r w:rsidRPr="00104DA5">
              <w:t>0.64</w:t>
            </w:r>
          </w:p>
        </w:tc>
        <w:tc>
          <w:tcPr>
            <w:tcW w:w="0" w:type="auto"/>
            <w:vAlign w:val="center"/>
          </w:tcPr>
          <w:p w14:paraId="3F93578F" w14:textId="77777777" w:rsidR="00A019AC" w:rsidRPr="00104DA5" w:rsidRDefault="00A019AC" w:rsidP="00A2575C">
            <w:pPr>
              <w:jc w:val="center"/>
            </w:pPr>
            <w:r w:rsidRPr="00104DA5">
              <w:t>0.12</w:t>
            </w:r>
          </w:p>
        </w:tc>
      </w:tr>
      <w:tr w:rsidR="00A2575C" w:rsidRPr="00104DA5" w14:paraId="23C2F9BE" w14:textId="77777777" w:rsidTr="00A2575C">
        <w:trPr>
          <w:trHeight w:val="486"/>
          <w:jc w:val="center"/>
        </w:trPr>
        <w:tc>
          <w:tcPr>
            <w:tcW w:w="2740" w:type="dxa"/>
            <w:vAlign w:val="center"/>
          </w:tcPr>
          <w:p w14:paraId="269AA200" w14:textId="77777777" w:rsidR="00A019AC" w:rsidRPr="00104DA5" w:rsidRDefault="00A019AC" w:rsidP="00A2575C">
            <w:pPr>
              <w:ind w:left="273"/>
              <w:jc w:val="center"/>
            </w:pPr>
            <w:r w:rsidRPr="00104DA5">
              <w:t>Weibull</w:t>
            </w:r>
          </w:p>
        </w:tc>
        <w:tc>
          <w:tcPr>
            <w:tcW w:w="0" w:type="auto"/>
            <w:vAlign w:val="center"/>
          </w:tcPr>
          <w:p w14:paraId="15458FCD" w14:textId="77777777" w:rsidR="00A019AC" w:rsidRPr="00104DA5" w:rsidRDefault="00A019AC" w:rsidP="00A2575C">
            <w:pPr>
              <w:jc w:val="center"/>
            </w:pPr>
            <w:r w:rsidRPr="00104DA5">
              <w:t>2.29</w:t>
            </w:r>
          </w:p>
        </w:tc>
        <w:tc>
          <w:tcPr>
            <w:tcW w:w="0" w:type="auto"/>
            <w:vAlign w:val="center"/>
          </w:tcPr>
          <w:p w14:paraId="28AA6EFC" w14:textId="77777777" w:rsidR="00A019AC" w:rsidRPr="00104DA5" w:rsidRDefault="00A019AC" w:rsidP="00A2575C">
            <w:pPr>
              <w:jc w:val="center"/>
            </w:pPr>
            <w:r w:rsidRPr="00104DA5">
              <w:t>2.32</w:t>
            </w:r>
          </w:p>
        </w:tc>
        <w:tc>
          <w:tcPr>
            <w:tcW w:w="0" w:type="auto"/>
            <w:vAlign w:val="center"/>
          </w:tcPr>
          <w:p w14:paraId="2D708646" w14:textId="77777777" w:rsidR="00A019AC" w:rsidRPr="00104DA5" w:rsidRDefault="00A019AC" w:rsidP="00A2575C">
            <w:pPr>
              <w:jc w:val="center"/>
            </w:pPr>
            <w:r w:rsidRPr="00104DA5">
              <w:t>1.06</w:t>
            </w:r>
          </w:p>
        </w:tc>
        <w:tc>
          <w:tcPr>
            <w:tcW w:w="0" w:type="auto"/>
            <w:vAlign w:val="center"/>
          </w:tcPr>
          <w:p w14:paraId="50DC0545" w14:textId="77777777" w:rsidR="00A019AC" w:rsidRPr="00104DA5" w:rsidRDefault="00A019AC" w:rsidP="00A2575C">
            <w:pPr>
              <w:jc w:val="center"/>
            </w:pPr>
            <w:r w:rsidRPr="00104DA5">
              <w:t>1.37</w:t>
            </w:r>
          </w:p>
        </w:tc>
      </w:tr>
      <w:tr w:rsidR="00A2575C" w:rsidRPr="00104DA5" w14:paraId="111CE712" w14:textId="77777777" w:rsidTr="00A2575C">
        <w:trPr>
          <w:trHeight w:val="469"/>
          <w:jc w:val="center"/>
        </w:trPr>
        <w:tc>
          <w:tcPr>
            <w:tcW w:w="2740" w:type="dxa"/>
            <w:vAlign w:val="center"/>
          </w:tcPr>
          <w:p w14:paraId="09F3A10E" w14:textId="77777777" w:rsidR="00A019AC" w:rsidRPr="00104DA5" w:rsidRDefault="00A019AC" w:rsidP="00A2575C">
            <w:pPr>
              <w:ind w:left="273"/>
              <w:jc w:val="center"/>
            </w:pPr>
            <w:r w:rsidRPr="00104DA5">
              <w:t>Rayleigh</w:t>
            </w:r>
          </w:p>
        </w:tc>
        <w:tc>
          <w:tcPr>
            <w:tcW w:w="0" w:type="auto"/>
            <w:vAlign w:val="center"/>
          </w:tcPr>
          <w:p w14:paraId="62763DF2" w14:textId="77777777" w:rsidR="00A019AC" w:rsidRPr="00104DA5" w:rsidRDefault="00A019AC" w:rsidP="00A2575C">
            <w:pPr>
              <w:jc w:val="center"/>
            </w:pPr>
            <w:r w:rsidRPr="00104DA5">
              <w:t>2.35</w:t>
            </w:r>
          </w:p>
        </w:tc>
        <w:tc>
          <w:tcPr>
            <w:tcW w:w="0" w:type="auto"/>
            <w:vAlign w:val="center"/>
          </w:tcPr>
          <w:p w14:paraId="6D335F07" w14:textId="77777777" w:rsidR="00A019AC" w:rsidRPr="00104DA5" w:rsidRDefault="00A019AC" w:rsidP="00A2575C">
            <w:pPr>
              <w:jc w:val="center"/>
            </w:pPr>
            <w:r w:rsidRPr="00104DA5">
              <w:t>1.49</w:t>
            </w:r>
          </w:p>
        </w:tc>
        <w:tc>
          <w:tcPr>
            <w:tcW w:w="0" w:type="auto"/>
            <w:vAlign w:val="center"/>
          </w:tcPr>
          <w:p w14:paraId="66D181E2" w14:textId="77777777" w:rsidR="00A019AC" w:rsidRPr="00104DA5" w:rsidRDefault="00A019AC" w:rsidP="00A2575C">
            <w:pPr>
              <w:jc w:val="center"/>
            </w:pPr>
            <w:r w:rsidRPr="00104DA5">
              <w:t>0.61</w:t>
            </w:r>
          </w:p>
        </w:tc>
        <w:tc>
          <w:tcPr>
            <w:tcW w:w="0" w:type="auto"/>
            <w:vAlign w:val="center"/>
          </w:tcPr>
          <w:p w14:paraId="0E709BFD" w14:textId="77777777" w:rsidR="00A019AC" w:rsidRPr="00104DA5" w:rsidRDefault="00A019AC" w:rsidP="00A2575C">
            <w:pPr>
              <w:jc w:val="center"/>
            </w:pPr>
            <w:r w:rsidRPr="00104DA5">
              <w:t>0.20</w:t>
            </w:r>
          </w:p>
        </w:tc>
      </w:tr>
    </w:tbl>
    <w:p w14:paraId="1CD94CD2" w14:textId="77777777" w:rsidR="00A2575C" w:rsidRPr="00A2575C" w:rsidRDefault="00A2575C" w:rsidP="00A2575C">
      <w:pPr>
        <w:pStyle w:val="ListParagraph"/>
        <w:suppressAutoHyphens w:val="0"/>
        <w:spacing w:before="100" w:beforeAutospacing="1" w:after="100" w:afterAutospacing="1" w:line="240" w:lineRule="auto"/>
        <w:rPr>
          <w:rFonts w:eastAsia="Times New Roman"/>
          <w:color w:val="000000"/>
          <w:sz w:val="8"/>
          <w:szCs w:val="8"/>
          <w:lang w:eastAsia="en-GB"/>
        </w:rPr>
      </w:pPr>
    </w:p>
    <w:p w14:paraId="5764DF5E" w14:textId="77777777" w:rsidR="00A019AC" w:rsidRDefault="00A019AC" w:rsidP="00A019AC">
      <w:pPr>
        <w:pStyle w:val="ListParagraph"/>
        <w:numPr>
          <w:ilvl w:val="0"/>
          <w:numId w:val="15"/>
        </w:numPr>
        <w:suppressAutoHyphens w:val="0"/>
        <w:spacing w:before="100" w:beforeAutospacing="1" w:after="100" w:afterAutospacing="1" w:line="240" w:lineRule="auto"/>
        <w:rPr>
          <w:rFonts w:eastAsia="Times New Roman"/>
          <w:color w:val="000000"/>
          <w:lang w:eastAsia="en-GB"/>
        </w:rPr>
      </w:pPr>
      <w:r w:rsidRPr="00104DA5">
        <w:rPr>
          <w:rFonts w:eastAsia="Times New Roman"/>
          <w:color w:val="000000"/>
          <w:lang w:eastAsia="en-GB"/>
        </w:rPr>
        <w:t>Weibull shows higher skewness and kurtosis, so it catches rare gusts and other extremes. GERD stays tighter around the middle.</w:t>
      </w:r>
    </w:p>
    <w:p w14:paraId="53D9F323" w14:textId="77777777" w:rsidR="00104DA5" w:rsidRPr="00104DA5" w:rsidRDefault="00104DA5" w:rsidP="00104DA5">
      <w:pPr>
        <w:pStyle w:val="ListParagraph"/>
        <w:suppressAutoHyphens w:val="0"/>
        <w:spacing w:before="100" w:beforeAutospacing="1" w:after="100" w:afterAutospacing="1" w:line="240" w:lineRule="auto"/>
        <w:rPr>
          <w:rFonts w:eastAsia="Times New Roman"/>
          <w:color w:val="000000"/>
          <w:lang w:eastAsia="en-GB"/>
        </w:rPr>
      </w:pPr>
    </w:p>
    <w:p w14:paraId="6B516552" w14:textId="77777777" w:rsidR="00A2575C" w:rsidRPr="00104DA5" w:rsidRDefault="00A019AC" w:rsidP="00A2575C">
      <w:pPr>
        <w:pStyle w:val="ListParagraph"/>
        <w:numPr>
          <w:ilvl w:val="0"/>
          <w:numId w:val="15"/>
        </w:numPr>
        <w:suppressAutoHyphens w:val="0"/>
        <w:spacing w:after="160" w:line="278" w:lineRule="auto"/>
      </w:pPr>
      <w:r w:rsidRPr="00104DA5">
        <w:rPr>
          <w:rStyle w:val="s1"/>
          <w:b/>
          <w:bCs/>
        </w:rPr>
        <w:t>Goodness-of-fit (KS):</w:t>
      </w:r>
      <w:r w:rsidRPr="00104DA5">
        <w:t xml:space="preserve"> We used the Kolmogorov–Smirnov test to see how closely Weibull and Rayleigh match data simulated from GERD:</w:t>
      </w:r>
    </w:p>
    <w:p w14:paraId="2CA8F24D" w14:textId="77777777" w:rsidR="00A019AC" w:rsidRPr="00104DA5" w:rsidRDefault="00A019AC" w:rsidP="00A019AC">
      <w:pPr>
        <w:numPr>
          <w:ilvl w:val="1"/>
          <w:numId w:val="15"/>
        </w:numPr>
        <w:suppressAutoHyphens w:val="0"/>
        <w:spacing w:line="278" w:lineRule="auto"/>
      </w:pPr>
      <w:r w:rsidRPr="00104DA5">
        <w:lastRenderedPageBreak/>
        <w:t>Weibull vs GERD: D = 0.0419, p &lt; 0.001</w:t>
      </w:r>
    </w:p>
    <w:p w14:paraId="68644305" w14:textId="77777777" w:rsidR="00A019AC" w:rsidRPr="00104DA5" w:rsidRDefault="00A019AC" w:rsidP="00A019AC">
      <w:pPr>
        <w:numPr>
          <w:ilvl w:val="1"/>
          <w:numId w:val="15"/>
        </w:numPr>
        <w:suppressAutoHyphens w:val="0"/>
        <w:spacing w:after="160" w:line="278" w:lineRule="auto"/>
      </w:pPr>
      <w:r w:rsidRPr="00104DA5">
        <w:t>Rayleigh vs GERD: D = 0.0832, p &lt; 0.001</w:t>
      </w:r>
    </w:p>
    <w:p w14:paraId="696C08DB" w14:textId="77777777" w:rsidR="00A2575C" w:rsidRPr="00A2575C" w:rsidRDefault="00A2575C" w:rsidP="00A019AC">
      <w:pPr>
        <w:pStyle w:val="ListParagraph"/>
        <w:rPr>
          <w:sz w:val="6"/>
          <w:szCs w:val="4"/>
        </w:rPr>
      </w:pPr>
    </w:p>
    <w:p w14:paraId="709CA4EE" w14:textId="77777777" w:rsidR="00A019AC" w:rsidRDefault="00A019AC" w:rsidP="00A019AC">
      <w:pPr>
        <w:pStyle w:val="ListParagraph"/>
      </w:pPr>
      <w:r w:rsidRPr="00104DA5">
        <w:t xml:space="preserve">These results confirm that while both alternative models differ significantly from GERD, Weibull demonstrates a closer fit. </w:t>
      </w:r>
    </w:p>
    <w:p w14:paraId="44702377" w14:textId="77777777" w:rsidR="00104DA5" w:rsidRPr="00104DA5" w:rsidRDefault="00104DA5" w:rsidP="00A019AC">
      <w:pPr>
        <w:pStyle w:val="ListParagraph"/>
      </w:pPr>
    </w:p>
    <w:p w14:paraId="1D0D6061" w14:textId="77777777" w:rsidR="00A019AC" w:rsidRPr="00104DA5" w:rsidRDefault="00A019AC" w:rsidP="00A019AC">
      <w:pPr>
        <w:numPr>
          <w:ilvl w:val="0"/>
          <w:numId w:val="18"/>
        </w:numPr>
        <w:suppressAutoHyphens w:val="0"/>
        <w:spacing w:after="160" w:line="278" w:lineRule="auto"/>
      </w:pPr>
      <w:r w:rsidRPr="00104DA5">
        <w:rPr>
          <w:b/>
          <w:bCs/>
        </w:rPr>
        <w:t>Quantile Behavior:</w:t>
      </w:r>
      <w:r w:rsidRPr="00104DA5">
        <w:t xml:space="preserve"> The quantile function of the GERD model, approximated by:</w:t>
      </w:r>
    </w:p>
    <w:p w14:paraId="25371C0B" w14:textId="77777777" w:rsidR="00104DA5" w:rsidRPr="00104DA5" w:rsidRDefault="00104DA5" w:rsidP="00A019AC">
      <w:pPr>
        <w:ind w:left="360"/>
      </w:pPr>
    </w:p>
    <w:p w14:paraId="4E3B8B51" w14:textId="77777777" w:rsidR="00A019AC" w:rsidRPr="00104DA5" w:rsidRDefault="00A019AC" w:rsidP="00A019AC">
      <w:pPr>
        <w:ind w:left="360"/>
      </w:pPr>
      <m:oMathPara>
        <m:oMath>
          <m:r>
            <w:rPr>
              <w:rFonts w:ascii="Cambria Math" w:hAnsi="Cambria Math"/>
            </w:rPr>
            <m:t>Q</m:t>
          </m:r>
          <m:d>
            <m:dPr>
              <m:ctrlPr>
                <w:rPr>
                  <w:rFonts w:ascii="Cambria Math" w:hAnsi="Cambria Math"/>
                  <w:i/>
                </w:rPr>
              </m:ctrlPr>
            </m:dPr>
            <m:e>
              <m:r>
                <w:rPr>
                  <w:rFonts w:ascii="Cambria Math" w:hAnsi="Cambria Math"/>
                </w:rPr>
                <m:t>p</m:t>
              </m:r>
            </m:e>
          </m:d>
          <m:r>
            <w:rPr>
              <w:rFonts w:ascii="Cambria Math" w:hAnsi="Cambria Math"/>
            </w:rPr>
            <m:t>≈μ+au</m:t>
          </m:r>
          <m:sSup>
            <m:sSupPr>
              <m:ctrlPr>
                <w:rPr>
                  <w:rFonts w:ascii="Cambria Math" w:hAnsi="Cambria Math"/>
                </w:rPr>
              </m:ctrlPr>
            </m:sSupPr>
            <m:e>
              <m:r>
                <w:rPr>
                  <w:rFonts w:ascii="Cambria Math" w:hAnsi="Cambria Math"/>
                </w:rPr>
                <m:t>Φ</m:t>
              </m:r>
            </m:e>
            <m:sup>
              <m:r>
                <w:rPr>
                  <w:rFonts w:ascii="Cambria Math" w:hAnsi="Cambria Math"/>
                </w:rPr>
                <m:t>-1</m:t>
              </m:r>
            </m:sup>
          </m:sSup>
          <m:d>
            <m:dPr>
              <m:ctrlPr>
                <w:rPr>
                  <w:rFonts w:ascii="Cambria Math" w:hAnsi="Cambria Math"/>
                  <w:i/>
                </w:rPr>
              </m:ctrlPr>
            </m:dPr>
            <m:e>
              <m:r>
                <w:rPr>
                  <w:rFonts w:ascii="Cambria Math" w:hAnsi="Cambria Math"/>
                </w:rPr>
                <m:t>p</m:t>
              </m:r>
            </m:e>
          </m:d>
        </m:oMath>
      </m:oMathPara>
    </w:p>
    <w:p w14:paraId="5D5C7A8A" w14:textId="77777777" w:rsidR="00104DA5" w:rsidRPr="00104DA5" w:rsidRDefault="00104DA5" w:rsidP="00A019AC">
      <w:pPr>
        <w:ind w:left="360"/>
      </w:pPr>
    </w:p>
    <w:p w14:paraId="3FD5F15A" w14:textId="77777777" w:rsidR="00A019AC" w:rsidRPr="00104DA5" w:rsidRDefault="00A019AC" w:rsidP="00A2575C">
      <w:pPr>
        <w:pStyle w:val="ListParagraph"/>
        <w:spacing w:before="100" w:beforeAutospacing="1" w:after="100" w:afterAutospacing="1" w:line="240" w:lineRule="auto"/>
        <w:ind w:left="0"/>
        <w:jc w:val="center"/>
        <w:rPr>
          <w:rFonts w:eastAsia="Times New Roman"/>
          <w:color w:val="000000"/>
          <w:lang w:eastAsia="en-GB"/>
        </w:rPr>
      </w:pPr>
      <w:r w:rsidRPr="00104DA5">
        <w:rPr>
          <w:noProof/>
          <w:sz w:val="18"/>
          <w:szCs w:val="18"/>
        </w:rPr>
        <w:drawing>
          <wp:inline distT="0" distB="0" distL="0" distR="0" wp14:anchorId="00ABE832" wp14:editId="5DF77272">
            <wp:extent cx="4496542" cy="2698044"/>
            <wp:effectExtent l="0" t="0" r="0" b="0"/>
            <wp:docPr id="757157870" name="Picture 2"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57870" name="Picture 2" descr="A graph with a line&#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22185" cy="2713430"/>
                    </a:xfrm>
                    <a:prstGeom prst="rect">
                      <a:avLst/>
                    </a:prstGeom>
                  </pic:spPr>
                </pic:pic>
              </a:graphicData>
            </a:graphic>
          </wp:inline>
        </w:drawing>
      </w:r>
    </w:p>
    <w:p w14:paraId="0D98CEC8" w14:textId="77777777" w:rsidR="00A019AC" w:rsidRDefault="00A019AC" w:rsidP="00A019AC">
      <w:r w:rsidRPr="00104DA5">
        <w:t>The results show the model gives clear, reliable percentiles for wind speeds. Graph 2 shows the smooth, symmetric shape of a Gaussian-based quantile function.</w:t>
      </w:r>
    </w:p>
    <w:p w14:paraId="3A419444" w14:textId="77777777" w:rsidR="00104DA5" w:rsidRPr="00104DA5" w:rsidRDefault="00104DA5" w:rsidP="00A019AC"/>
    <w:p w14:paraId="00E1C4BB" w14:textId="77777777" w:rsidR="00A019AC" w:rsidRDefault="00A019AC" w:rsidP="00A019AC">
      <w:pPr>
        <w:pStyle w:val="ListParagraph"/>
        <w:numPr>
          <w:ilvl w:val="0"/>
          <w:numId w:val="19"/>
        </w:numPr>
        <w:suppressAutoHyphens w:val="0"/>
        <w:spacing w:after="160" w:line="278" w:lineRule="auto"/>
      </w:pPr>
      <w:r w:rsidRPr="00104DA5">
        <w:t xml:space="preserve">Simulation and power: For each model, we simulated 10,000 wind speeds and computed mean power </w:t>
      </w:r>
      <m:oMath>
        <m:bar>
          <m:barPr>
            <m:pos m:val="top"/>
            <m:ctrlPr>
              <w:rPr>
                <w:rFonts w:ascii="Cambria Math" w:hAnsi="Cambria Math"/>
              </w:rPr>
            </m:ctrlPr>
          </m:barPr>
          <m:e>
            <m:sSup>
              <m:sSupPr>
                <m:ctrlPr>
                  <w:rPr>
                    <w:rFonts w:ascii="Cambria Math" w:hAnsi="Cambria Math"/>
                    <w:i/>
                  </w:rPr>
                </m:ctrlPr>
              </m:sSupPr>
              <m:e>
                <m:r>
                  <w:rPr>
                    <w:rFonts w:ascii="Cambria Math" w:hAnsi="Cambria Math"/>
                  </w:rPr>
                  <m:t>v</m:t>
                </m:r>
              </m:e>
              <m:sup>
                <m:r>
                  <w:rPr>
                    <w:rFonts w:ascii="Cambria Math" w:hAnsi="Cambria Math"/>
                  </w:rPr>
                  <m:t>3</m:t>
                </m:r>
              </m:sup>
            </m:sSup>
          </m:e>
        </m:bar>
      </m:oMath>
      <w:r w:rsidRPr="00104DA5">
        <w:t>. GERD landed in the middle; Weibull, with its longer tail, gave the highest estimates.</w:t>
      </w:r>
    </w:p>
    <w:p w14:paraId="7044ED1B" w14:textId="77777777" w:rsidR="00104DA5" w:rsidRPr="00104DA5" w:rsidRDefault="00104DA5" w:rsidP="00104DA5">
      <w:pPr>
        <w:pStyle w:val="ListParagraph"/>
        <w:suppressAutoHyphens w:val="0"/>
        <w:spacing w:after="160" w:line="278" w:lineRule="auto"/>
      </w:pPr>
    </w:p>
    <w:tbl>
      <w:tblPr>
        <w:tblStyle w:val="TableGrid"/>
        <w:tblW w:w="8437" w:type="dxa"/>
        <w:jc w:val="center"/>
        <w:tblLook w:val="04A0" w:firstRow="1" w:lastRow="0" w:firstColumn="1" w:lastColumn="0" w:noHBand="0" w:noVBand="1"/>
      </w:tblPr>
      <w:tblGrid>
        <w:gridCol w:w="2702"/>
        <w:gridCol w:w="1739"/>
        <w:gridCol w:w="3996"/>
      </w:tblGrid>
      <w:tr w:rsidR="00A019AC" w:rsidRPr="00104DA5" w14:paraId="7997B61A" w14:textId="77777777" w:rsidTr="00A2575C">
        <w:trPr>
          <w:trHeight w:val="553"/>
          <w:jc w:val="center"/>
        </w:trPr>
        <w:tc>
          <w:tcPr>
            <w:tcW w:w="0" w:type="auto"/>
            <w:vAlign w:val="center"/>
          </w:tcPr>
          <w:p w14:paraId="1F492756" w14:textId="77777777" w:rsidR="00A019AC" w:rsidRPr="00104DA5" w:rsidRDefault="00A019AC" w:rsidP="00A2575C">
            <w:pPr>
              <w:spacing w:before="40" w:after="40" w:line="360" w:lineRule="auto"/>
              <w:ind w:left="218"/>
              <w:jc w:val="center"/>
              <w:rPr>
                <w:b/>
                <w:bCs/>
              </w:rPr>
            </w:pPr>
            <w:r w:rsidRPr="00104DA5">
              <w:rPr>
                <w:b/>
                <w:bCs/>
              </w:rPr>
              <w:t>Model</w:t>
            </w:r>
          </w:p>
        </w:tc>
        <w:tc>
          <w:tcPr>
            <w:tcW w:w="1739" w:type="dxa"/>
            <w:vAlign w:val="center"/>
          </w:tcPr>
          <w:p w14:paraId="5476DD4A" w14:textId="77777777" w:rsidR="00A019AC" w:rsidRPr="00104DA5" w:rsidRDefault="00A019AC" w:rsidP="00A2575C">
            <w:pPr>
              <w:spacing w:before="40" w:after="40" w:line="360" w:lineRule="auto"/>
              <w:jc w:val="center"/>
              <w:rPr>
                <w:b/>
                <w:bCs/>
              </w:rPr>
            </w:pPr>
            <w:r w:rsidRPr="00104DA5">
              <w:rPr>
                <w:b/>
                <w:bCs/>
              </w:rPr>
              <w:t xml:space="preserve">Mean </w:t>
            </w:r>
            <m:oMath>
              <m:sSup>
                <m:sSupPr>
                  <m:ctrlPr>
                    <w:rPr>
                      <w:rFonts w:ascii="Cambria Math" w:hAnsi="Cambria Math"/>
                      <w:i/>
                      <w:iCs/>
                    </w:rPr>
                  </m:ctrlPr>
                </m:sSupPr>
                <m:e>
                  <m:r>
                    <m:rPr>
                      <m:sty m:val="bi"/>
                    </m:rPr>
                    <w:rPr>
                      <w:rFonts w:ascii="Cambria Math" w:hAnsi="Cambria Math"/>
                    </w:rPr>
                    <m:t>v</m:t>
                  </m:r>
                  <m:ctrlPr>
                    <w:rPr>
                      <w:rFonts w:ascii="Cambria Math" w:hAnsi="Cambria Math"/>
                      <w:b/>
                      <w:i/>
                    </w:rPr>
                  </m:ctrlPr>
                </m:e>
                <m:sup>
                  <m:r>
                    <m:rPr>
                      <m:sty m:val="bi"/>
                    </m:rPr>
                    <w:rPr>
                      <w:rFonts w:ascii="Cambria Math" w:hAnsi="Cambria Math"/>
                    </w:rPr>
                    <m:t>3</m:t>
                  </m:r>
                </m:sup>
              </m:sSup>
            </m:oMath>
          </w:p>
        </w:tc>
        <w:tc>
          <w:tcPr>
            <w:tcW w:w="0" w:type="auto"/>
            <w:vAlign w:val="center"/>
          </w:tcPr>
          <w:p w14:paraId="6F1451EC" w14:textId="77777777" w:rsidR="00A019AC" w:rsidRPr="00104DA5" w:rsidRDefault="00A019AC" w:rsidP="00A2575C">
            <w:pPr>
              <w:spacing w:before="40" w:after="40" w:line="360" w:lineRule="auto"/>
              <w:jc w:val="center"/>
              <w:rPr>
                <w:b/>
                <w:bCs/>
              </w:rPr>
            </w:pPr>
            <w:r w:rsidRPr="00104DA5">
              <w:rPr>
                <w:b/>
                <w:bCs/>
              </w:rPr>
              <w:t>Estimated Power Output (W)</w:t>
            </w:r>
          </w:p>
        </w:tc>
      </w:tr>
      <w:tr w:rsidR="00A019AC" w:rsidRPr="00104DA5" w14:paraId="0CD06627" w14:textId="77777777" w:rsidTr="00A2575C">
        <w:trPr>
          <w:trHeight w:val="535"/>
          <w:jc w:val="center"/>
        </w:trPr>
        <w:tc>
          <w:tcPr>
            <w:tcW w:w="0" w:type="auto"/>
            <w:vAlign w:val="center"/>
          </w:tcPr>
          <w:p w14:paraId="4C320EE3" w14:textId="77777777" w:rsidR="00A019AC" w:rsidRPr="00104DA5" w:rsidRDefault="00A019AC" w:rsidP="00A2575C">
            <w:pPr>
              <w:spacing w:before="40" w:after="40" w:line="360" w:lineRule="auto"/>
              <w:ind w:left="218"/>
              <w:jc w:val="center"/>
            </w:pPr>
            <w:r w:rsidRPr="00104DA5">
              <w:t>GERD (Gaussian)</w:t>
            </w:r>
          </w:p>
        </w:tc>
        <w:tc>
          <w:tcPr>
            <w:tcW w:w="1739" w:type="dxa"/>
            <w:vAlign w:val="center"/>
          </w:tcPr>
          <w:p w14:paraId="3771F5A7" w14:textId="77777777" w:rsidR="00A019AC" w:rsidRPr="00104DA5" w:rsidRDefault="00A019AC" w:rsidP="00A2575C">
            <w:pPr>
              <w:spacing w:before="40" w:after="40" w:line="360" w:lineRule="auto"/>
              <w:jc w:val="center"/>
            </w:pPr>
            <w:r w:rsidRPr="00104DA5">
              <w:t>29.63</w:t>
            </w:r>
          </w:p>
        </w:tc>
        <w:tc>
          <w:tcPr>
            <w:tcW w:w="0" w:type="auto"/>
            <w:vAlign w:val="center"/>
          </w:tcPr>
          <w:p w14:paraId="29E9E3AE" w14:textId="77777777" w:rsidR="00A019AC" w:rsidRPr="00104DA5" w:rsidRDefault="00A019AC" w:rsidP="00A2575C">
            <w:pPr>
              <w:spacing w:before="40" w:after="40" w:line="360" w:lineRule="auto"/>
              <w:jc w:val="center"/>
            </w:pPr>
            <w:r w:rsidRPr="00104DA5">
              <w:t>726.03</w:t>
            </w:r>
          </w:p>
        </w:tc>
      </w:tr>
      <w:tr w:rsidR="00A019AC" w:rsidRPr="00104DA5" w14:paraId="686EC6A4" w14:textId="77777777" w:rsidTr="00A2575C">
        <w:trPr>
          <w:trHeight w:val="553"/>
          <w:jc w:val="center"/>
        </w:trPr>
        <w:tc>
          <w:tcPr>
            <w:tcW w:w="0" w:type="auto"/>
            <w:vAlign w:val="center"/>
          </w:tcPr>
          <w:p w14:paraId="31EB94C6" w14:textId="77777777" w:rsidR="00A019AC" w:rsidRPr="00104DA5" w:rsidRDefault="00A019AC" w:rsidP="00A2575C">
            <w:pPr>
              <w:spacing w:before="40" w:after="40" w:line="360" w:lineRule="auto"/>
              <w:ind w:left="218"/>
              <w:jc w:val="center"/>
            </w:pPr>
            <w:r w:rsidRPr="00104DA5">
              <w:t>Weibull</w:t>
            </w:r>
          </w:p>
        </w:tc>
        <w:tc>
          <w:tcPr>
            <w:tcW w:w="1739" w:type="dxa"/>
            <w:vAlign w:val="center"/>
          </w:tcPr>
          <w:p w14:paraId="35B74905" w14:textId="77777777" w:rsidR="00A019AC" w:rsidRPr="00104DA5" w:rsidRDefault="00A019AC" w:rsidP="00A2575C">
            <w:pPr>
              <w:spacing w:before="40" w:after="40" w:line="360" w:lineRule="auto"/>
              <w:jc w:val="center"/>
            </w:pPr>
            <w:r w:rsidRPr="00104DA5">
              <w:t>31.81</w:t>
            </w:r>
          </w:p>
        </w:tc>
        <w:tc>
          <w:tcPr>
            <w:tcW w:w="0" w:type="auto"/>
            <w:vAlign w:val="center"/>
          </w:tcPr>
          <w:p w14:paraId="53791D88" w14:textId="77777777" w:rsidR="00A019AC" w:rsidRPr="00104DA5" w:rsidRDefault="00A019AC" w:rsidP="00A2575C">
            <w:pPr>
              <w:spacing w:before="40" w:after="40" w:line="360" w:lineRule="auto"/>
              <w:jc w:val="center"/>
            </w:pPr>
            <w:r w:rsidRPr="00104DA5">
              <w:t>779.24</w:t>
            </w:r>
          </w:p>
        </w:tc>
      </w:tr>
      <w:tr w:rsidR="00A019AC" w:rsidRPr="00104DA5" w14:paraId="5735AACF" w14:textId="77777777" w:rsidTr="00A2575C">
        <w:trPr>
          <w:trHeight w:val="535"/>
          <w:jc w:val="center"/>
        </w:trPr>
        <w:tc>
          <w:tcPr>
            <w:tcW w:w="0" w:type="auto"/>
            <w:vAlign w:val="center"/>
          </w:tcPr>
          <w:p w14:paraId="7CC7726B" w14:textId="77777777" w:rsidR="00A019AC" w:rsidRPr="00104DA5" w:rsidRDefault="00A019AC" w:rsidP="00A2575C">
            <w:pPr>
              <w:spacing w:before="40" w:after="40" w:line="360" w:lineRule="auto"/>
              <w:ind w:left="218"/>
              <w:jc w:val="center"/>
            </w:pPr>
            <w:r w:rsidRPr="00104DA5">
              <w:t>Rayleigh</w:t>
            </w:r>
          </w:p>
        </w:tc>
        <w:tc>
          <w:tcPr>
            <w:tcW w:w="1739" w:type="dxa"/>
            <w:vAlign w:val="center"/>
          </w:tcPr>
          <w:p w14:paraId="0A7D61D8" w14:textId="77777777" w:rsidR="00A019AC" w:rsidRPr="00104DA5" w:rsidRDefault="00A019AC" w:rsidP="00A2575C">
            <w:pPr>
              <w:spacing w:before="40" w:after="40" w:line="360" w:lineRule="auto"/>
              <w:jc w:val="center"/>
            </w:pPr>
            <w:r w:rsidRPr="00104DA5">
              <w:t>24.53</w:t>
            </w:r>
          </w:p>
        </w:tc>
        <w:tc>
          <w:tcPr>
            <w:tcW w:w="0" w:type="auto"/>
            <w:vAlign w:val="center"/>
          </w:tcPr>
          <w:p w14:paraId="071F4F66" w14:textId="77777777" w:rsidR="00A019AC" w:rsidRPr="00104DA5" w:rsidRDefault="00A019AC" w:rsidP="00A2575C">
            <w:pPr>
              <w:spacing w:before="40" w:after="40" w:line="360" w:lineRule="auto"/>
              <w:jc w:val="center"/>
            </w:pPr>
            <w:r w:rsidRPr="00104DA5">
              <w:t>600.97</w:t>
            </w:r>
          </w:p>
        </w:tc>
      </w:tr>
    </w:tbl>
    <w:p w14:paraId="40E6AE3A" w14:textId="77777777" w:rsidR="00A2575C" w:rsidRPr="00A2575C" w:rsidRDefault="00A2575C" w:rsidP="00A2575C">
      <w:pPr>
        <w:suppressAutoHyphens w:val="0"/>
        <w:spacing w:after="160" w:line="278" w:lineRule="auto"/>
      </w:pPr>
    </w:p>
    <w:p w14:paraId="6CB6B78A" w14:textId="77777777" w:rsidR="00A019AC" w:rsidRDefault="00A019AC" w:rsidP="00A019AC">
      <w:pPr>
        <w:numPr>
          <w:ilvl w:val="0"/>
          <w:numId w:val="18"/>
        </w:numPr>
        <w:suppressAutoHyphens w:val="0"/>
        <w:spacing w:after="160" w:line="278" w:lineRule="auto"/>
      </w:pPr>
      <w:r w:rsidRPr="00104DA5">
        <w:rPr>
          <w:b/>
          <w:bCs/>
        </w:rPr>
        <w:t>Graph 3:</w:t>
      </w:r>
      <w:r w:rsidRPr="00104DA5">
        <w:t xml:space="preserve"> Visual comparison of estimated power output highlights Weibull’s energy-capturing advantage.</w:t>
      </w:r>
    </w:p>
    <w:p w14:paraId="38AC2C7C" w14:textId="77777777" w:rsidR="00A2575C" w:rsidRPr="00104DA5" w:rsidRDefault="00A2575C" w:rsidP="00A2575C">
      <w:pPr>
        <w:suppressAutoHyphens w:val="0"/>
        <w:spacing w:after="160" w:line="278" w:lineRule="auto"/>
        <w:ind w:left="720"/>
      </w:pPr>
    </w:p>
    <w:p w14:paraId="4033548F" w14:textId="77777777" w:rsidR="00A019AC" w:rsidRPr="00104DA5" w:rsidRDefault="00A019AC" w:rsidP="00A019AC">
      <w:pPr>
        <w:spacing w:before="100" w:beforeAutospacing="1" w:after="100" w:afterAutospacing="1" w:line="240" w:lineRule="auto"/>
        <w:jc w:val="center"/>
        <w:rPr>
          <w:rFonts w:eastAsia="Times New Roman"/>
          <w:color w:val="000000"/>
          <w:lang w:eastAsia="en-GB"/>
        </w:rPr>
      </w:pPr>
      <w:r w:rsidRPr="00104DA5">
        <w:rPr>
          <w:noProof/>
        </w:rPr>
        <w:lastRenderedPageBreak/>
        <w:drawing>
          <wp:inline distT="0" distB="0" distL="0" distR="0" wp14:anchorId="78EE66AA" wp14:editId="6CE57899">
            <wp:extent cx="4477615" cy="2686756"/>
            <wp:effectExtent l="0" t="0" r="0" b="0"/>
            <wp:docPr id="168136869" name="Picture 3" descr="A graph showing a number of power outp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6869" name="Picture 3" descr="A graph showing a number of power outpu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3052" cy="2702019"/>
                    </a:xfrm>
                    <a:prstGeom prst="rect">
                      <a:avLst/>
                    </a:prstGeom>
                  </pic:spPr>
                </pic:pic>
              </a:graphicData>
            </a:graphic>
          </wp:inline>
        </w:drawing>
      </w:r>
    </w:p>
    <w:p w14:paraId="0C3FBEAE" w14:textId="77777777" w:rsidR="00A2575C" w:rsidRPr="00A2575C" w:rsidRDefault="00A2575C" w:rsidP="00A019AC">
      <w:pPr>
        <w:ind w:left="720"/>
        <w:rPr>
          <w:sz w:val="10"/>
          <w:szCs w:val="4"/>
        </w:rPr>
      </w:pPr>
    </w:p>
    <w:p w14:paraId="0482CCB1" w14:textId="77777777" w:rsidR="00A019AC" w:rsidRPr="00104DA5" w:rsidRDefault="00A019AC" w:rsidP="00A019AC">
      <w:pPr>
        <w:ind w:left="720"/>
      </w:pPr>
      <w:r w:rsidRPr="00104DA5">
        <w:t>GERD checks out on the stats. When you care about energy, pick Weibull. Rayleigh is fine in clean cases, not in a complex urban field like Tokyo.</w:t>
      </w:r>
    </w:p>
    <w:p w14:paraId="28F34D9C" w14:textId="77777777" w:rsidR="00BF4C3C" w:rsidRPr="00104DA5" w:rsidRDefault="00BF4C3C">
      <w:pPr>
        <w:rPr>
          <w:i/>
          <w:szCs w:val="24"/>
        </w:rPr>
      </w:pPr>
    </w:p>
    <w:p w14:paraId="18F53310" w14:textId="77777777" w:rsidR="00BF4C3C" w:rsidRDefault="00A019AC">
      <w:pPr>
        <w:pStyle w:val="Heading1"/>
        <w:numPr>
          <w:ilvl w:val="0"/>
          <w:numId w:val="9"/>
        </w:numPr>
        <w:ind w:left="397" w:hanging="397"/>
      </w:pPr>
      <w:r w:rsidRPr="00104DA5">
        <w:t>Wind Power Output Estimation</w:t>
      </w:r>
    </w:p>
    <w:p w14:paraId="11B4BB0A" w14:textId="77777777" w:rsidR="00104DA5" w:rsidRPr="00104DA5" w:rsidRDefault="00104DA5" w:rsidP="00104DA5">
      <w:pPr>
        <w:pStyle w:val="BodyText"/>
        <w:rPr>
          <w:lang w:eastAsia="en-US"/>
        </w:rPr>
      </w:pPr>
    </w:p>
    <w:p w14:paraId="5D783A62" w14:textId="77777777" w:rsidR="00A019AC" w:rsidRPr="00104DA5" w:rsidRDefault="00A019AC" w:rsidP="00A019AC">
      <w:r w:rsidRPr="00104DA5">
        <w:t xml:space="preserve">Wind power grows like </w:t>
      </w:r>
      <m:oMath>
        <m:sSup>
          <m:sSupPr>
            <m:ctrlPr>
              <w:rPr>
                <w:rFonts w:ascii="Cambria Math" w:hAnsi="Cambria Math"/>
                <w:i/>
              </w:rPr>
            </m:ctrlPr>
          </m:sSupPr>
          <m:e>
            <m:r>
              <w:rPr>
                <w:rFonts w:ascii="Cambria Math" w:hAnsi="Cambria Math"/>
              </w:rPr>
              <m:t>ν</m:t>
            </m:r>
          </m:e>
          <m:sup>
            <m:r>
              <w:rPr>
                <w:rFonts w:ascii="Cambria Math" w:hAnsi="Cambria Math"/>
              </w:rPr>
              <m:t>3</m:t>
            </m:r>
          </m:sup>
        </m:sSup>
      </m:oMath>
      <w:r w:rsidRPr="00104DA5">
        <w:t>. That makes accurate wind modeling essential. Next, we map each simulated speed to power with the standard turbine equation.</w:t>
      </w:r>
    </w:p>
    <w:p w14:paraId="6864B3F1" w14:textId="77777777" w:rsidR="00A019AC" w:rsidRPr="00104DA5" w:rsidRDefault="00A019AC" w:rsidP="00A019AC">
      <w:r w:rsidRPr="00104DA5">
        <w:t>The authority accessible in wind is calculated utilising the well-known formula.</w:t>
      </w:r>
    </w:p>
    <w:p w14:paraId="7A58056E" w14:textId="77777777" w:rsidR="00104DA5" w:rsidRPr="00A2575C" w:rsidRDefault="00104DA5" w:rsidP="00A019AC">
      <w:pPr>
        <w:spacing w:before="240"/>
        <w:jc w:val="center"/>
        <w:rPr>
          <w:sz w:val="4"/>
          <w:szCs w:val="2"/>
        </w:rPr>
      </w:pPr>
    </w:p>
    <w:p w14:paraId="1DD547D9" w14:textId="77777777" w:rsidR="00A019AC" w:rsidRPr="00104DA5" w:rsidRDefault="00A019AC" w:rsidP="00A019AC">
      <w:pPr>
        <w:spacing w:before="240"/>
        <w:jc w:val="center"/>
      </w:pPr>
      <m:oMathPara>
        <m:oMath>
          <m:r>
            <w:rPr>
              <w:rFonts w:ascii="Cambria Math" w:hAnsi="Cambria Math"/>
            </w:rPr>
            <m:t>P=</m:t>
          </m:r>
          <m:f>
            <m:fPr>
              <m:ctrlPr>
                <w:rPr>
                  <w:rFonts w:ascii="Cambria Math" w:hAnsi="Cambria Math"/>
                  <w:i/>
                </w:rPr>
              </m:ctrlPr>
            </m:fPr>
            <m:num>
              <m:r>
                <w:rPr>
                  <w:rFonts w:ascii="Cambria Math" w:hAnsi="Cambria Math"/>
                </w:rPr>
                <m:t>1</m:t>
              </m:r>
              <m:ctrlPr>
                <w:rPr>
                  <w:rFonts w:ascii="Cambria Math" w:hAnsi="Cambria Math"/>
                </w:rPr>
              </m:ctrlPr>
            </m:num>
            <m:den>
              <m:r>
                <w:rPr>
                  <w:rFonts w:ascii="Cambria Math" w:hAnsi="Cambria Math"/>
                </w:rPr>
                <m:t>2</m:t>
              </m:r>
              <m:ctrlPr>
                <w:rPr>
                  <w:rFonts w:ascii="Cambria Math" w:hAnsi="Cambria Math"/>
                </w:rPr>
              </m:ctrlPr>
            </m:den>
          </m:f>
          <m:r>
            <w:rPr>
              <w:rFonts w:ascii="Cambria Math" w:hAnsi="Cambria Math"/>
            </w:rPr>
            <m:t>ρAη</m:t>
          </m:r>
          <m:bar>
            <m:barPr>
              <m:pos m:val="top"/>
              <m:ctrlPr>
                <w:rPr>
                  <w:rFonts w:ascii="Cambria Math" w:hAnsi="Cambria Math"/>
                </w:rPr>
              </m:ctrlPr>
            </m:barPr>
            <m:e>
              <m:sSup>
                <m:sSupPr>
                  <m:ctrlPr>
                    <w:rPr>
                      <w:rFonts w:ascii="Cambria Math" w:hAnsi="Cambria Math"/>
                    </w:rPr>
                  </m:ctrlPr>
                </m:sSupPr>
                <m:e>
                  <m:r>
                    <w:rPr>
                      <w:rFonts w:ascii="Cambria Math" w:hAnsi="Cambria Math"/>
                    </w:rPr>
                    <m:t>v</m:t>
                  </m:r>
                </m:e>
                <m:sup>
                  <m:r>
                    <w:rPr>
                      <w:rFonts w:ascii="Cambria Math" w:hAnsi="Cambria Math"/>
                    </w:rPr>
                    <m:t>3</m:t>
                  </m:r>
                </m:sup>
              </m:sSup>
            </m:e>
          </m:bar>
        </m:oMath>
      </m:oMathPara>
    </w:p>
    <w:p w14:paraId="1A31FF1D" w14:textId="77777777" w:rsidR="00104DA5" w:rsidRPr="00A2575C" w:rsidRDefault="00104DA5" w:rsidP="00A019AC">
      <w:pPr>
        <w:spacing w:before="240"/>
        <w:jc w:val="center"/>
        <w:rPr>
          <w:sz w:val="8"/>
          <w:szCs w:val="2"/>
        </w:rPr>
      </w:pPr>
    </w:p>
    <w:p w14:paraId="0B14C69E" w14:textId="77777777" w:rsidR="00A019AC" w:rsidRPr="00104DA5" w:rsidRDefault="00A019AC" w:rsidP="00A019AC">
      <w:r w:rsidRPr="00104DA5">
        <w:t>where:</w:t>
      </w:r>
    </w:p>
    <w:p w14:paraId="37144F06" w14:textId="77777777" w:rsidR="00A019AC" w:rsidRPr="00104DA5" w:rsidRDefault="00A019AC" w:rsidP="00A019AC">
      <w:pPr>
        <w:numPr>
          <w:ilvl w:val="0"/>
          <w:numId w:val="20"/>
        </w:numPr>
        <w:suppressAutoHyphens w:val="0"/>
        <w:spacing w:line="278" w:lineRule="auto"/>
      </w:pPr>
      <w:r w:rsidRPr="00104DA5">
        <w:t>P is the estimated power output (W),</w:t>
      </w:r>
    </w:p>
    <w:p w14:paraId="212878CA" w14:textId="77777777" w:rsidR="00A019AC" w:rsidRPr="00104DA5" w:rsidRDefault="00A019AC" w:rsidP="00A019AC">
      <w:pPr>
        <w:numPr>
          <w:ilvl w:val="0"/>
          <w:numId w:val="20"/>
        </w:numPr>
        <w:suppressAutoHyphens w:val="0"/>
        <w:spacing w:line="278" w:lineRule="auto"/>
      </w:pPr>
      <w:r w:rsidRPr="00104DA5">
        <w:t>ρ=1.225 kg/m</w:t>
      </w:r>
      <w:r w:rsidRPr="00104DA5">
        <w:rPr>
          <w:vertAlign w:val="superscript"/>
        </w:rPr>
        <w:t>3</w:t>
      </w:r>
      <w:r w:rsidRPr="00104DA5">
        <w:t xml:space="preserve"> is the air density at sea level,</w:t>
      </w:r>
    </w:p>
    <w:p w14:paraId="28AEAE88" w14:textId="77777777" w:rsidR="00A019AC" w:rsidRPr="00104DA5" w:rsidRDefault="00A019AC" w:rsidP="00A019AC">
      <w:pPr>
        <w:numPr>
          <w:ilvl w:val="0"/>
          <w:numId w:val="20"/>
        </w:numPr>
        <w:suppressAutoHyphens w:val="0"/>
        <w:spacing w:line="278" w:lineRule="auto"/>
      </w:pPr>
      <w:r w:rsidRPr="00104DA5">
        <w:t>A=100 m</w:t>
      </w:r>
      <w:r w:rsidRPr="00104DA5">
        <w:rPr>
          <w:vertAlign w:val="superscript"/>
        </w:rPr>
        <w:t>2</w:t>
      </w:r>
      <w:r w:rsidRPr="00104DA5">
        <w:t xml:space="preserve"> is the swept area of a medium-sized wind turbine rotor,</w:t>
      </w:r>
    </w:p>
    <w:p w14:paraId="506A6661" w14:textId="77777777" w:rsidR="00A019AC" w:rsidRPr="00104DA5" w:rsidRDefault="00A019AC" w:rsidP="00A019AC">
      <w:pPr>
        <w:numPr>
          <w:ilvl w:val="0"/>
          <w:numId w:val="20"/>
        </w:numPr>
        <w:suppressAutoHyphens w:val="0"/>
        <w:spacing w:line="278" w:lineRule="auto"/>
      </w:pPr>
      <w:r w:rsidRPr="00104DA5">
        <w:t>η=0.4 is the assumed efficiency factor (real-world turbines achieve 35–45%),</w:t>
      </w:r>
    </w:p>
    <w:p w14:paraId="1CE68250" w14:textId="77777777" w:rsidR="00A019AC" w:rsidRPr="00104DA5" w:rsidRDefault="00A019AC" w:rsidP="00A019AC">
      <w:pPr>
        <w:numPr>
          <w:ilvl w:val="0"/>
          <w:numId w:val="20"/>
        </w:numPr>
        <w:suppressAutoHyphens w:val="0"/>
        <w:spacing w:after="160" w:line="278" w:lineRule="auto"/>
      </w:pPr>
      <w:r w:rsidRPr="00104DA5">
        <w:rPr>
          <w:i/>
          <w:iCs/>
          <w:vertAlign w:val="superscript"/>
        </w:rPr>
        <w:t xml:space="preserve"> </w:t>
      </w:r>
      <m:oMath>
        <m:bar>
          <m:barPr>
            <m:pos m:val="top"/>
            <m:ctrlPr>
              <w:rPr>
                <w:rFonts w:ascii="Cambria Math" w:hAnsi="Cambria Math"/>
              </w:rPr>
            </m:ctrlPr>
          </m:barPr>
          <m:e>
            <m:sSup>
              <m:sSupPr>
                <m:ctrlPr>
                  <w:rPr>
                    <w:rFonts w:ascii="Cambria Math" w:hAnsi="Cambria Math"/>
                  </w:rPr>
                </m:ctrlPr>
              </m:sSupPr>
              <m:e>
                <m:r>
                  <w:rPr>
                    <w:rFonts w:ascii="Cambria Math" w:hAnsi="Cambria Math"/>
                  </w:rPr>
                  <m:t>v</m:t>
                </m:r>
              </m:e>
              <m:sup>
                <m:r>
                  <w:rPr>
                    <w:rFonts w:ascii="Cambria Math" w:hAnsi="Cambria Math"/>
                  </w:rPr>
                  <m:t>3</m:t>
                </m:r>
              </m:sup>
            </m:sSup>
          </m:e>
        </m:bar>
      </m:oMath>
      <w:r w:rsidRPr="00104DA5">
        <w:rPr>
          <w:i/>
        </w:rPr>
        <w:t xml:space="preserve"> </w:t>
      </w:r>
      <w:r w:rsidRPr="00104DA5">
        <w:t>is the mean cubed wind speed derived from simulation.</w:t>
      </w:r>
    </w:p>
    <w:p w14:paraId="52220031" w14:textId="77777777" w:rsidR="00104DA5" w:rsidRDefault="00104DA5" w:rsidP="00A019AC">
      <w:pPr>
        <w:rPr>
          <w:rFonts w:eastAsia="Times New Roman"/>
          <w:b/>
          <w:bCs/>
          <w:color w:val="000000"/>
          <w:lang w:eastAsia="en-GB"/>
        </w:rPr>
      </w:pPr>
    </w:p>
    <w:p w14:paraId="7D6E3C6D" w14:textId="77777777" w:rsidR="00A019AC" w:rsidRDefault="00A019AC" w:rsidP="00A019AC">
      <w:pPr>
        <w:rPr>
          <w:rFonts w:eastAsia="Times New Roman"/>
          <w:color w:val="000000"/>
          <w:lang w:eastAsia="en-GB"/>
        </w:rPr>
      </w:pPr>
      <w:r w:rsidRPr="00104DA5">
        <w:rPr>
          <w:rFonts w:eastAsia="Times New Roman"/>
          <w:b/>
          <w:bCs/>
          <w:color w:val="000000"/>
          <w:lang w:eastAsia="en-GB"/>
        </w:rPr>
        <w:t>Power estimates from models:</w:t>
      </w:r>
      <w:r w:rsidRPr="00104DA5">
        <w:rPr>
          <w:rFonts w:eastAsia="Times New Roman"/>
          <w:color w:val="000000"/>
          <w:lang w:eastAsia="en-GB"/>
        </w:rPr>
        <w:t xml:space="preserve"> For GERD, Weibull, and Rayleigh, we simulated 10,000 wind speeds, computed </w:t>
      </w:r>
      <m:oMath>
        <m:bar>
          <m:barPr>
            <m:pos m:val="top"/>
            <m:ctrlPr>
              <w:rPr>
                <w:rFonts w:ascii="Cambria Math" w:eastAsia="Times New Roman" w:hAnsi="Cambria Math"/>
                <w:color w:val="000000"/>
                <w:lang w:eastAsia="en-GB"/>
              </w:rPr>
            </m:ctrlPr>
          </m:barPr>
          <m:e>
            <m:sSup>
              <m:sSupPr>
                <m:ctrlPr>
                  <w:rPr>
                    <w:rFonts w:ascii="Cambria Math" w:eastAsia="Times New Roman" w:hAnsi="Cambria Math"/>
                    <w:i/>
                    <w:color w:val="000000"/>
                    <w:lang w:eastAsia="en-GB"/>
                  </w:rPr>
                </m:ctrlPr>
              </m:sSupPr>
              <m:e>
                <m:r>
                  <w:rPr>
                    <w:rFonts w:ascii="Cambria Math" w:eastAsia="Times New Roman" w:hAnsi="Cambria Math"/>
                    <w:color w:val="000000"/>
                    <w:lang w:eastAsia="en-GB"/>
                  </w:rPr>
                  <m:t>v</m:t>
                </m:r>
              </m:e>
              <m:sup>
                <m:r>
                  <w:rPr>
                    <w:rFonts w:ascii="Cambria Math" w:eastAsia="Times New Roman" w:hAnsi="Cambria Math"/>
                    <w:color w:val="000000"/>
                    <w:lang w:eastAsia="en-GB"/>
                  </w:rPr>
                  <m:t>3</m:t>
                </m:r>
              </m:sup>
            </m:sSup>
          </m:e>
        </m:bar>
      </m:oMath>
      <w:r w:rsidRPr="00104DA5">
        <w:rPr>
          <w:rFonts w:eastAsia="Times New Roman"/>
          <w:color w:val="000000"/>
          <w:lang w:eastAsia="en-GB"/>
        </w:rPr>
        <w:t>, and plugged that into the power equation.</w:t>
      </w:r>
    </w:p>
    <w:p w14:paraId="09111FA1" w14:textId="77777777" w:rsidR="00104DA5" w:rsidRPr="00104DA5" w:rsidRDefault="00104DA5" w:rsidP="00A019AC">
      <w:pPr>
        <w:rPr>
          <w:rFonts w:eastAsia="Times New Roman"/>
          <w:color w:val="000000"/>
          <w:lang w:eastAsia="en-GB"/>
        </w:rPr>
      </w:pPr>
    </w:p>
    <w:p w14:paraId="70F72AE4" w14:textId="77777777" w:rsidR="00A019AC" w:rsidRPr="00104DA5" w:rsidRDefault="00A019AC" w:rsidP="00A019AC">
      <w:pPr>
        <w:rPr>
          <w:rFonts w:eastAsia="Times New Roman"/>
          <w:color w:val="000000"/>
          <w:sz w:val="2"/>
          <w:szCs w:val="2"/>
          <w:lang w:eastAsia="en-GB"/>
        </w:rPr>
      </w:pPr>
    </w:p>
    <w:tbl>
      <w:tblPr>
        <w:tblStyle w:val="TableGrid"/>
        <w:tblW w:w="9262" w:type="dxa"/>
        <w:jc w:val="center"/>
        <w:tblLook w:val="04A0" w:firstRow="1" w:lastRow="0" w:firstColumn="1" w:lastColumn="0" w:noHBand="0" w:noVBand="1"/>
      </w:tblPr>
      <w:tblGrid>
        <w:gridCol w:w="2566"/>
        <w:gridCol w:w="3219"/>
        <w:gridCol w:w="3477"/>
      </w:tblGrid>
      <w:tr w:rsidR="00A019AC" w:rsidRPr="00104DA5" w14:paraId="29CB3781" w14:textId="77777777" w:rsidTr="00A2575C">
        <w:trPr>
          <w:trHeight w:val="583"/>
          <w:jc w:val="center"/>
        </w:trPr>
        <w:tc>
          <w:tcPr>
            <w:tcW w:w="2566" w:type="dxa"/>
            <w:vAlign w:val="center"/>
          </w:tcPr>
          <w:p w14:paraId="55357100" w14:textId="77777777" w:rsidR="00A019AC" w:rsidRPr="00104DA5" w:rsidRDefault="00A019AC" w:rsidP="00A2575C">
            <w:pPr>
              <w:ind w:left="220" w:firstLineChars="26" w:firstLine="63"/>
              <w:jc w:val="center"/>
              <w:rPr>
                <w:b/>
                <w:bCs/>
              </w:rPr>
            </w:pPr>
            <w:r w:rsidRPr="00104DA5">
              <w:rPr>
                <w:b/>
                <w:bCs/>
              </w:rPr>
              <w:t>Model</w:t>
            </w:r>
          </w:p>
        </w:tc>
        <w:tc>
          <w:tcPr>
            <w:tcW w:w="3219" w:type="dxa"/>
            <w:vAlign w:val="center"/>
          </w:tcPr>
          <w:p w14:paraId="7E3CF6B8" w14:textId="77777777" w:rsidR="00A019AC" w:rsidRPr="00104DA5" w:rsidRDefault="00A019AC" w:rsidP="00A2575C">
            <w:pPr>
              <w:jc w:val="center"/>
              <w:rPr>
                <w:b/>
                <w:bCs/>
              </w:rPr>
            </w:pPr>
            <w:r w:rsidRPr="00104DA5">
              <w:rPr>
                <w:b/>
                <w:bCs/>
              </w:rPr>
              <w:t xml:space="preserve">Mean </w:t>
            </w:r>
            <m:oMath>
              <m:sSup>
                <m:sSupPr>
                  <m:ctrlPr>
                    <w:rPr>
                      <w:rFonts w:ascii="Cambria Math" w:hAnsi="Cambria Math"/>
                      <w:i/>
                      <w:iCs/>
                    </w:rPr>
                  </m:ctrlPr>
                </m:sSupPr>
                <m:e>
                  <m:r>
                    <m:rPr>
                      <m:sty m:val="bi"/>
                    </m:rPr>
                    <w:rPr>
                      <w:rFonts w:ascii="Cambria Math" w:hAnsi="Cambria Math"/>
                    </w:rPr>
                    <m:t>v</m:t>
                  </m:r>
                  <m:ctrlPr>
                    <w:rPr>
                      <w:rFonts w:ascii="Cambria Math" w:hAnsi="Cambria Math"/>
                      <w:b/>
                      <w:i/>
                    </w:rPr>
                  </m:ctrlPr>
                </m:e>
                <m:sup>
                  <m:r>
                    <m:rPr>
                      <m:sty m:val="bi"/>
                    </m:rPr>
                    <w:rPr>
                      <w:rFonts w:ascii="Cambria Math" w:hAnsi="Cambria Math"/>
                    </w:rPr>
                    <m:t>3</m:t>
                  </m:r>
                </m:sup>
              </m:sSup>
            </m:oMath>
          </w:p>
        </w:tc>
        <w:tc>
          <w:tcPr>
            <w:tcW w:w="3477" w:type="dxa"/>
            <w:vAlign w:val="center"/>
          </w:tcPr>
          <w:p w14:paraId="03D1FC5D" w14:textId="77777777" w:rsidR="00A019AC" w:rsidRPr="00104DA5" w:rsidRDefault="00A019AC" w:rsidP="00A2575C">
            <w:pPr>
              <w:jc w:val="center"/>
              <w:rPr>
                <w:b/>
                <w:bCs/>
              </w:rPr>
            </w:pPr>
            <w:r w:rsidRPr="00104DA5">
              <w:rPr>
                <w:b/>
                <w:bCs/>
              </w:rPr>
              <w:t>Estimated Power Output (W)</w:t>
            </w:r>
          </w:p>
        </w:tc>
      </w:tr>
      <w:tr w:rsidR="00A019AC" w:rsidRPr="00104DA5" w14:paraId="2A3943DC" w14:textId="77777777" w:rsidTr="00A2575C">
        <w:trPr>
          <w:trHeight w:val="563"/>
          <w:jc w:val="center"/>
        </w:trPr>
        <w:tc>
          <w:tcPr>
            <w:tcW w:w="2566" w:type="dxa"/>
            <w:vAlign w:val="center"/>
          </w:tcPr>
          <w:p w14:paraId="741D20C8" w14:textId="77777777" w:rsidR="00A019AC" w:rsidRPr="00104DA5" w:rsidRDefault="00A019AC" w:rsidP="00A2575C">
            <w:pPr>
              <w:ind w:left="220" w:firstLineChars="26" w:firstLine="62"/>
              <w:jc w:val="center"/>
            </w:pPr>
            <w:r w:rsidRPr="00104DA5">
              <w:t>GERD (Gaussian)</w:t>
            </w:r>
          </w:p>
        </w:tc>
        <w:tc>
          <w:tcPr>
            <w:tcW w:w="3219" w:type="dxa"/>
            <w:vAlign w:val="center"/>
          </w:tcPr>
          <w:p w14:paraId="1C7F9F74" w14:textId="77777777" w:rsidR="00A019AC" w:rsidRPr="00104DA5" w:rsidRDefault="00A019AC" w:rsidP="00A2575C">
            <w:pPr>
              <w:jc w:val="center"/>
            </w:pPr>
            <w:r w:rsidRPr="00104DA5">
              <w:t>29.63</w:t>
            </w:r>
          </w:p>
        </w:tc>
        <w:tc>
          <w:tcPr>
            <w:tcW w:w="3477" w:type="dxa"/>
            <w:vAlign w:val="center"/>
          </w:tcPr>
          <w:p w14:paraId="6714F649" w14:textId="77777777" w:rsidR="00A019AC" w:rsidRPr="00104DA5" w:rsidRDefault="00A019AC" w:rsidP="00A2575C">
            <w:pPr>
              <w:jc w:val="center"/>
            </w:pPr>
            <w:r w:rsidRPr="00104DA5">
              <w:t>726.03</w:t>
            </w:r>
          </w:p>
        </w:tc>
      </w:tr>
      <w:tr w:rsidR="00A019AC" w:rsidRPr="00104DA5" w14:paraId="7250063A" w14:textId="77777777" w:rsidTr="00A2575C">
        <w:trPr>
          <w:trHeight w:val="583"/>
          <w:jc w:val="center"/>
        </w:trPr>
        <w:tc>
          <w:tcPr>
            <w:tcW w:w="2566" w:type="dxa"/>
            <w:vAlign w:val="center"/>
          </w:tcPr>
          <w:p w14:paraId="71ED13A1" w14:textId="77777777" w:rsidR="00A019AC" w:rsidRPr="00104DA5" w:rsidRDefault="00A019AC" w:rsidP="00A2575C">
            <w:pPr>
              <w:ind w:left="220" w:firstLineChars="26" w:firstLine="62"/>
              <w:jc w:val="center"/>
            </w:pPr>
            <w:r w:rsidRPr="00104DA5">
              <w:t>Weibull</w:t>
            </w:r>
          </w:p>
        </w:tc>
        <w:tc>
          <w:tcPr>
            <w:tcW w:w="3219" w:type="dxa"/>
            <w:vAlign w:val="center"/>
          </w:tcPr>
          <w:p w14:paraId="2F16F6FC" w14:textId="77777777" w:rsidR="00A019AC" w:rsidRPr="00104DA5" w:rsidRDefault="00A019AC" w:rsidP="00A2575C">
            <w:pPr>
              <w:jc w:val="center"/>
            </w:pPr>
            <w:r w:rsidRPr="00104DA5">
              <w:t>31.81</w:t>
            </w:r>
          </w:p>
        </w:tc>
        <w:tc>
          <w:tcPr>
            <w:tcW w:w="3477" w:type="dxa"/>
            <w:vAlign w:val="center"/>
          </w:tcPr>
          <w:p w14:paraId="1F0DDFD1" w14:textId="77777777" w:rsidR="00A019AC" w:rsidRPr="00104DA5" w:rsidRDefault="00A019AC" w:rsidP="00A2575C">
            <w:pPr>
              <w:jc w:val="center"/>
            </w:pPr>
            <w:r w:rsidRPr="00104DA5">
              <w:t>779.24</w:t>
            </w:r>
          </w:p>
        </w:tc>
      </w:tr>
      <w:tr w:rsidR="00A019AC" w:rsidRPr="00104DA5" w14:paraId="3D7AB6E8" w14:textId="77777777" w:rsidTr="00A2575C">
        <w:trPr>
          <w:trHeight w:val="563"/>
          <w:jc w:val="center"/>
        </w:trPr>
        <w:tc>
          <w:tcPr>
            <w:tcW w:w="2566" w:type="dxa"/>
            <w:vAlign w:val="center"/>
          </w:tcPr>
          <w:p w14:paraId="030BCCD8" w14:textId="77777777" w:rsidR="00A019AC" w:rsidRPr="00104DA5" w:rsidRDefault="00A019AC" w:rsidP="00A2575C">
            <w:pPr>
              <w:ind w:left="220" w:firstLineChars="26" w:firstLine="62"/>
              <w:jc w:val="center"/>
            </w:pPr>
            <w:r w:rsidRPr="00104DA5">
              <w:t>Rayleigh</w:t>
            </w:r>
          </w:p>
        </w:tc>
        <w:tc>
          <w:tcPr>
            <w:tcW w:w="3219" w:type="dxa"/>
            <w:vAlign w:val="center"/>
          </w:tcPr>
          <w:p w14:paraId="76BE31FD" w14:textId="77777777" w:rsidR="00A019AC" w:rsidRPr="00104DA5" w:rsidRDefault="00A019AC" w:rsidP="00A2575C">
            <w:pPr>
              <w:jc w:val="center"/>
            </w:pPr>
            <w:r w:rsidRPr="00104DA5">
              <w:t>24.53</w:t>
            </w:r>
          </w:p>
        </w:tc>
        <w:tc>
          <w:tcPr>
            <w:tcW w:w="3477" w:type="dxa"/>
            <w:vAlign w:val="center"/>
          </w:tcPr>
          <w:p w14:paraId="7990A79A" w14:textId="77777777" w:rsidR="00A019AC" w:rsidRPr="00104DA5" w:rsidRDefault="00A019AC" w:rsidP="00A2575C">
            <w:pPr>
              <w:jc w:val="center"/>
            </w:pPr>
            <w:r w:rsidRPr="00104DA5">
              <w:t>600.97</w:t>
            </w:r>
          </w:p>
        </w:tc>
      </w:tr>
    </w:tbl>
    <w:p w14:paraId="27C7B4C7" w14:textId="77777777" w:rsidR="00A2575C" w:rsidRDefault="00A2575C" w:rsidP="00A019AC">
      <w:pPr>
        <w:rPr>
          <w:b/>
          <w:bCs/>
        </w:rPr>
      </w:pPr>
    </w:p>
    <w:p w14:paraId="336F0F9C" w14:textId="77777777" w:rsidR="00104DA5" w:rsidRDefault="00A019AC" w:rsidP="00A019AC">
      <w:pPr>
        <w:rPr>
          <w:b/>
          <w:bCs/>
        </w:rPr>
      </w:pPr>
      <w:r w:rsidRPr="00104DA5">
        <w:rPr>
          <w:b/>
          <w:bCs/>
        </w:rPr>
        <w:lastRenderedPageBreak/>
        <w:t>Interpretation</w:t>
      </w:r>
    </w:p>
    <w:p w14:paraId="46B69AEE" w14:textId="77777777" w:rsidR="00A2575C" w:rsidRPr="00104DA5" w:rsidRDefault="00A2575C" w:rsidP="00A019AC">
      <w:pPr>
        <w:rPr>
          <w:b/>
          <w:bCs/>
        </w:rPr>
      </w:pPr>
    </w:p>
    <w:p w14:paraId="66626C55" w14:textId="77777777" w:rsidR="00A019AC" w:rsidRPr="00104DA5" w:rsidRDefault="00A019AC" w:rsidP="00A019AC">
      <w:pPr>
        <w:pStyle w:val="ListParagraph"/>
        <w:numPr>
          <w:ilvl w:val="0"/>
          <w:numId w:val="19"/>
        </w:numPr>
        <w:suppressAutoHyphens w:val="0"/>
        <w:spacing w:after="160" w:line="278" w:lineRule="auto"/>
      </w:pPr>
      <w:r w:rsidRPr="00104DA5">
        <w:rPr>
          <w:rStyle w:val="s1"/>
          <w:b/>
          <w:bCs/>
        </w:rPr>
        <w:t>Weibull:</w:t>
      </w:r>
      <w:r w:rsidRPr="00104DA5">
        <w:t xml:space="preserve"> Heavier right tail, so it predicts the highest mean power </w:t>
      </w:r>
      <m:oMath>
        <m:bar>
          <m:barPr>
            <m:pos m:val="top"/>
            <m:ctrlPr>
              <w:rPr>
                <w:rStyle w:val="s2"/>
                <w:rFonts w:ascii="Cambria Math" w:hAnsi="Cambria Math"/>
              </w:rPr>
            </m:ctrlPr>
          </m:barPr>
          <m:e>
            <m:sSup>
              <m:sSupPr>
                <m:ctrlPr>
                  <w:rPr>
                    <w:rStyle w:val="s2"/>
                    <w:rFonts w:ascii="Cambria Math" w:hAnsi="Cambria Math"/>
                    <w:i/>
                  </w:rPr>
                </m:ctrlPr>
              </m:sSupPr>
              <m:e>
                <m:r>
                  <w:rPr>
                    <w:rStyle w:val="s2"/>
                    <w:rFonts w:ascii="Cambria Math" w:hAnsi="Cambria Math"/>
                  </w:rPr>
                  <m:t>v</m:t>
                </m:r>
              </m:e>
              <m:sup>
                <m:r>
                  <w:rPr>
                    <w:rStyle w:val="s2"/>
                    <w:rFonts w:ascii="Cambria Math" w:hAnsi="Cambria Math"/>
                  </w:rPr>
                  <m:t>3</m:t>
                </m:r>
              </m:sup>
            </m:sSup>
          </m:e>
        </m:bar>
      </m:oMath>
      <w:r w:rsidRPr="00104DA5">
        <w:t>. Rare high-speed events lift the average.</w:t>
      </w:r>
    </w:p>
    <w:p w14:paraId="68E2EAD8" w14:textId="77777777" w:rsidR="00A019AC" w:rsidRPr="00104DA5" w:rsidRDefault="00A019AC" w:rsidP="00A019AC">
      <w:pPr>
        <w:pStyle w:val="ListParagraph"/>
        <w:numPr>
          <w:ilvl w:val="0"/>
          <w:numId w:val="19"/>
        </w:numPr>
        <w:suppressAutoHyphens w:val="0"/>
        <w:spacing w:after="160" w:line="278" w:lineRule="auto"/>
      </w:pPr>
      <w:r w:rsidRPr="00104DA5">
        <w:rPr>
          <w:rStyle w:val="s1"/>
          <w:b/>
          <w:bCs/>
        </w:rPr>
        <w:t>GERD:</w:t>
      </w:r>
      <w:r w:rsidRPr="00104DA5">
        <w:t xml:space="preserve"> Smooth and stable. Slightly lower power than Weibull, but it fits the middle of the distribution better, so routine forecasts are often more dependable.</w:t>
      </w:r>
    </w:p>
    <w:p w14:paraId="645844DF" w14:textId="77777777" w:rsidR="00A019AC" w:rsidRDefault="00A019AC" w:rsidP="00A019AC">
      <w:pPr>
        <w:pStyle w:val="ListParagraph"/>
        <w:numPr>
          <w:ilvl w:val="0"/>
          <w:numId w:val="19"/>
        </w:numPr>
        <w:suppressAutoHyphens w:val="0"/>
        <w:spacing w:after="160" w:line="278" w:lineRule="auto"/>
      </w:pPr>
      <w:r w:rsidRPr="00104DA5">
        <w:rPr>
          <w:rStyle w:val="s1"/>
          <w:b/>
          <w:bCs/>
        </w:rPr>
        <w:t>Rayleigh:</w:t>
      </w:r>
      <w:r w:rsidRPr="00104DA5">
        <w:t xml:space="preserve"> Simplest and thin-tailed. It underestimates power because it under-represents gusts and outliers.</w:t>
      </w:r>
    </w:p>
    <w:p w14:paraId="29570823" w14:textId="77777777" w:rsidR="00A2575C" w:rsidRPr="00104DA5" w:rsidRDefault="00A2575C" w:rsidP="00A2575C">
      <w:pPr>
        <w:pStyle w:val="ListParagraph"/>
        <w:suppressAutoHyphens w:val="0"/>
        <w:spacing w:after="160" w:line="278" w:lineRule="auto"/>
      </w:pPr>
    </w:p>
    <w:p w14:paraId="0ADFFA7D" w14:textId="77777777" w:rsidR="00A019AC" w:rsidRDefault="00A019AC" w:rsidP="00A019AC">
      <w:r w:rsidRPr="00104DA5">
        <w:t>As Graph 3 shows, Weibull offers the rosiest outlook for wind farms, and GERD provides a grounded middle ground.</w:t>
      </w:r>
    </w:p>
    <w:p w14:paraId="4D9943BC" w14:textId="77777777" w:rsidR="00104DA5" w:rsidRPr="00104DA5" w:rsidRDefault="00104DA5" w:rsidP="00A019AC"/>
    <w:p w14:paraId="0BC8513A" w14:textId="77777777" w:rsidR="00104DA5" w:rsidRPr="00104DA5" w:rsidRDefault="00A019AC" w:rsidP="00A019AC">
      <w:r w:rsidRPr="00104DA5">
        <w:t>In practice, these findings help policymakers and engineers choose the right model for resource assessment, turbine siting, and long-term planning. Bringing in hourly data and stronger hybrid models should sharpen the projections.</w:t>
      </w:r>
    </w:p>
    <w:p w14:paraId="1EE0CDF4" w14:textId="77777777" w:rsidR="00BF4C3C" w:rsidRPr="00104DA5" w:rsidRDefault="00BF4C3C">
      <w:pPr>
        <w:rPr>
          <w:i/>
          <w:szCs w:val="24"/>
        </w:rPr>
      </w:pPr>
    </w:p>
    <w:p w14:paraId="3149BFBD" w14:textId="77777777" w:rsidR="00BF4C3C" w:rsidRPr="00104DA5" w:rsidRDefault="00104DA5">
      <w:pPr>
        <w:pStyle w:val="Heading1"/>
        <w:numPr>
          <w:ilvl w:val="0"/>
          <w:numId w:val="9"/>
        </w:numPr>
        <w:ind w:left="397" w:hanging="397"/>
      </w:pPr>
      <w:r w:rsidRPr="00104DA5">
        <w:t>Discussion</w:t>
      </w:r>
    </w:p>
    <w:p w14:paraId="754D950A" w14:textId="77777777" w:rsidR="00104DA5" w:rsidRPr="00104DA5" w:rsidRDefault="00104DA5" w:rsidP="00104DA5">
      <w:pPr>
        <w:pStyle w:val="BodyText"/>
        <w:rPr>
          <w:lang w:eastAsia="en-US"/>
        </w:rPr>
      </w:pPr>
    </w:p>
    <w:p w14:paraId="3C5BA99A" w14:textId="77777777" w:rsidR="00104DA5" w:rsidRDefault="00104DA5" w:rsidP="00104DA5">
      <w:pPr>
        <w:pStyle w:val="Heading1"/>
        <w:ind w:left="0" w:firstLine="0"/>
        <w:rPr>
          <w:rFonts w:eastAsiaTheme="minorHAnsi"/>
          <w:b w:val="0"/>
          <w:sz w:val="24"/>
          <w:szCs w:val="24"/>
        </w:rPr>
      </w:pPr>
      <w:r w:rsidRPr="00104DA5">
        <w:rPr>
          <w:rFonts w:eastAsiaTheme="minorHAnsi"/>
          <w:b w:val="0"/>
          <w:sz w:val="24"/>
          <w:szCs w:val="24"/>
        </w:rPr>
        <w:t xml:space="preserve">Looking at Tokyo’s wind data, the three models tell different stories. Weibull, because of its flexible form and heavy right tail, is good at picking up the occasional strong wind events that push the mean of </w:t>
      </w:r>
      <m:oMath>
        <m:sSup>
          <m:sSupPr>
            <m:ctrlPr>
              <w:rPr>
                <w:rFonts w:ascii="Cambria Math" w:hAnsi="Cambria Math"/>
                <w:b w:val="0"/>
                <w:bCs/>
                <w:i/>
                <w:iCs/>
                <w:color w:val="000000" w:themeColor="text1"/>
                <w:sz w:val="24"/>
                <w:szCs w:val="32"/>
              </w:rPr>
            </m:ctrlPr>
          </m:sSupPr>
          <m:e>
            <m:r>
              <m:rPr>
                <m:sty m:val="bi"/>
              </m:rPr>
              <w:rPr>
                <w:rFonts w:ascii="Cambria Math" w:hAnsi="Cambria Math"/>
                <w:color w:val="000000" w:themeColor="text1"/>
                <w:sz w:val="24"/>
                <w:szCs w:val="32"/>
              </w:rPr>
              <m:t>v</m:t>
            </m:r>
            <m:ctrlPr>
              <w:rPr>
                <w:rFonts w:ascii="Cambria Math" w:hAnsi="Cambria Math"/>
                <w:b w:val="0"/>
                <w:bCs/>
                <w:i/>
                <w:color w:val="000000" w:themeColor="text1"/>
                <w:sz w:val="24"/>
                <w:szCs w:val="32"/>
              </w:rPr>
            </m:ctrlPr>
          </m:e>
          <m:sup>
            <m:r>
              <m:rPr>
                <m:sty m:val="bi"/>
              </m:rPr>
              <w:rPr>
                <w:rFonts w:ascii="Cambria Math" w:hAnsi="Cambria Math"/>
                <w:color w:val="000000" w:themeColor="text1"/>
                <w:sz w:val="24"/>
                <w:szCs w:val="32"/>
              </w:rPr>
              <m:t>3</m:t>
            </m:r>
          </m:sup>
        </m:sSup>
      </m:oMath>
      <w:r w:rsidRPr="00104DA5">
        <w:rPr>
          <w:rFonts w:eastAsiaTheme="minorHAnsi"/>
          <w:b w:val="0"/>
          <w:sz w:val="24"/>
          <w:szCs w:val="24"/>
        </w:rPr>
        <w:t>. That’s why it tends to predict the most power, and it explains why Weibull shows up so often in wind resource studies (Safari &amp; Gasore, 2010; Serban et al., 2020; Parajuli, 2016).</w:t>
      </w:r>
    </w:p>
    <w:p w14:paraId="23865449" w14:textId="77777777" w:rsidR="00104DA5" w:rsidRPr="00104DA5" w:rsidRDefault="00104DA5" w:rsidP="00104DA5">
      <w:pPr>
        <w:pStyle w:val="BodyText"/>
        <w:rPr>
          <w:lang w:eastAsia="en-US"/>
        </w:rPr>
      </w:pPr>
    </w:p>
    <w:p w14:paraId="735C381A" w14:textId="77777777" w:rsidR="00104DA5" w:rsidRDefault="00104DA5" w:rsidP="00104DA5">
      <w:pPr>
        <w:pStyle w:val="Heading1"/>
        <w:ind w:left="0" w:firstLine="0"/>
        <w:rPr>
          <w:rFonts w:eastAsiaTheme="minorHAnsi"/>
          <w:b w:val="0"/>
          <w:sz w:val="24"/>
          <w:szCs w:val="24"/>
        </w:rPr>
      </w:pPr>
      <w:r w:rsidRPr="00104DA5">
        <w:rPr>
          <w:rFonts w:eastAsiaTheme="minorHAnsi"/>
          <w:b w:val="0"/>
          <w:sz w:val="24"/>
          <w:szCs w:val="24"/>
        </w:rPr>
        <w:t>GERD works differently. It mixes a Rayleigh base with a Gaussian term, which lets it fit the middle and moderate tails of the distribution. That matters in a place like Tokyo where terrain and buildings disrupt wind flow (Kondo et al., 2008; Yamashita, 1990). GERD usually comes in below Weibull on power estimates, but the forecasts are steadier and often feel more realistic day to day.</w:t>
      </w:r>
    </w:p>
    <w:p w14:paraId="33E13781" w14:textId="77777777" w:rsidR="00104DA5" w:rsidRPr="00104DA5" w:rsidRDefault="00104DA5" w:rsidP="00104DA5">
      <w:pPr>
        <w:pStyle w:val="BodyText"/>
        <w:rPr>
          <w:lang w:eastAsia="en-US"/>
        </w:rPr>
      </w:pPr>
    </w:p>
    <w:p w14:paraId="621B25A8" w14:textId="77777777" w:rsidR="00104DA5" w:rsidRPr="00104DA5" w:rsidRDefault="00104DA5" w:rsidP="00104DA5">
      <w:pPr>
        <w:pStyle w:val="Heading1"/>
        <w:ind w:left="0" w:firstLine="0"/>
        <w:rPr>
          <w:rFonts w:eastAsiaTheme="minorHAnsi"/>
          <w:b w:val="0"/>
          <w:sz w:val="24"/>
          <w:szCs w:val="24"/>
        </w:rPr>
      </w:pPr>
      <w:r w:rsidRPr="00104DA5">
        <w:rPr>
          <w:rFonts w:eastAsiaTheme="minorHAnsi"/>
          <w:b w:val="0"/>
          <w:sz w:val="24"/>
          <w:szCs w:val="24"/>
        </w:rPr>
        <w:t xml:space="preserve">Rayleigh is the simplest. It runs fast but its thin tails mean it misses strong winds, so the power it predicts is low (Hennessey, 1978; Chattamvelli &amp; Shanmugam, 2021). Monte Carlo simulations make the differences clear by generating synthetic series and showing how  </w:t>
      </w:r>
      <m:oMath>
        <m:bar>
          <m:barPr>
            <m:pos m:val="top"/>
            <m:ctrlPr>
              <w:rPr>
                <w:rFonts w:ascii="Cambria Math" w:eastAsia="Times New Roman" w:hAnsi="Cambria Math"/>
                <w:color w:val="000000"/>
                <w:sz w:val="24"/>
                <w:szCs w:val="32"/>
                <w:lang w:eastAsia="en-GB"/>
              </w:rPr>
            </m:ctrlPr>
          </m:barPr>
          <m:e>
            <m:sSup>
              <m:sSupPr>
                <m:ctrlPr>
                  <w:rPr>
                    <w:rFonts w:ascii="Cambria Math" w:eastAsia="Times New Roman" w:hAnsi="Cambria Math"/>
                    <w:i/>
                    <w:color w:val="000000"/>
                    <w:sz w:val="24"/>
                    <w:szCs w:val="32"/>
                    <w:lang w:eastAsia="en-GB"/>
                  </w:rPr>
                </m:ctrlPr>
              </m:sSupPr>
              <m:e>
                <m:r>
                  <m:rPr>
                    <m:sty m:val="bi"/>
                  </m:rPr>
                  <w:rPr>
                    <w:rFonts w:ascii="Cambria Math" w:eastAsia="Times New Roman" w:hAnsi="Cambria Math"/>
                    <w:color w:val="000000"/>
                    <w:sz w:val="24"/>
                    <w:szCs w:val="32"/>
                    <w:lang w:eastAsia="en-GB"/>
                  </w:rPr>
                  <m:t>v</m:t>
                </m:r>
              </m:e>
              <m:sup>
                <m:r>
                  <m:rPr>
                    <m:sty m:val="bi"/>
                  </m:rPr>
                  <w:rPr>
                    <w:rFonts w:ascii="Cambria Math" w:eastAsia="Times New Roman" w:hAnsi="Cambria Math"/>
                    <w:color w:val="000000"/>
                    <w:sz w:val="24"/>
                    <w:szCs w:val="32"/>
                    <w:lang w:eastAsia="en-GB"/>
                  </w:rPr>
                  <m:t>3</m:t>
                </m:r>
              </m:sup>
            </m:sSup>
          </m:e>
        </m:bar>
      </m:oMath>
      <w:r w:rsidRPr="00104DA5">
        <w:rPr>
          <w:rFonts w:eastAsiaTheme="minorEastAsia"/>
          <w:b w:val="0"/>
          <w:sz w:val="24"/>
          <w:szCs w:val="24"/>
        </w:rPr>
        <w:t xml:space="preserve"> </w:t>
      </w:r>
      <w:r w:rsidRPr="00104DA5">
        <w:rPr>
          <w:rFonts w:eastAsiaTheme="minorHAnsi"/>
          <w:b w:val="0"/>
          <w:sz w:val="24"/>
          <w:szCs w:val="24"/>
        </w:rPr>
        <w:t xml:space="preserve"> behaves. Here we worked with 21 years of monthly averages, but moving to hourly or daily data and bringing in terrain, elevation, and building density would sharpen things further (Kubota et al., 2008). Bottom line: Weibull gives the high-energy case, GERD gives a balanced urban fit, and Rayleigh is fine for quick scoping when detail isn’t the goal.</w:t>
      </w:r>
    </w:p>
    <w:p w14:paraId="4680770C" w14:textId="77777777" w:rsidR="00BF4C3C" w:rsidRPr="00104DA5" w:rsidRDefault="00BF4C3C">
      <w:pPr>
        <w:rPr>
          <w:i/>
          <w:szCs w:val="24"/>
        </w:rPr>
      </w:pPr>
    </w:p>
    <w:p w14:paraId="4963D91B" w14:textId="77777777" w:rsidR="00BF4C3C" w:rsidRPr="00104DA5" w:rsidRDefault="00104DA5">
      <w:pPr>
        <w:pStyle w:val="Heading1"/>
        <w:numPr>
          <w:ilvl w:val="0"/>
          <w:numId w:val="9"/>
        </w:numPr>
        <w:ind w:left="397" w:hanging="397"/>
      </w:pPr>
      <w:r w:rsidRPr="00104DA5">
        <w:t>Applications</w:t>
      </w:r>
    </w:p>
    <w:p w14:paraId="168CC12B" w14:textId="77777777" w:rsidR="00104DA5" w:rsidRPr="00104DA5" w:rsidRDefault="00104DA5" w:rsidP="00104DA5">
      <w:pPr>
        <w:pStyle w:val="BodyText"/>
        <w:rPr>
          <w:lang w:eastAsia="en-US"/>
        </w:rPr>
      </w:pPr>
    </w:p>
    <w:p w14:paraId="30DB58BA" w14:textId="77777777" w:rsidR="00BF4C3C" w:rsidRPr="00104DA5" w:rsidRDefault="00104DA5">
      <w:pPr>
        <w:rPr>
          <w:szCs w:val="24"/>
        </w:rPr>
      </w:pPr>
      <w:r w:rsidRPr="00104DA5">
        <w:rPr>
          <w:szCs w:val="24"/>
        </w:rPr>
        <w:t xml:space="preserve">GERD handles the center of a distribution and the odd spikes at the same time. That’s why it works in real projects, not just on paper. In wind work it’s useful on hilly or built-up sites for quick site checks, turbine layout, and local energy profiles. For grid ops it turns into probability forecasts that steady supply, guide demand response, and cut imbalance risk. In cities it maps street- and building-scale flow so designers can improve ventilation, avoid wind trouble spots, and place green zones smartly. The same idea carries to climate risk, pollution plumes, aerosol days, temperature swings, and even wave heights. With live data GERD can update its own parameters, help plan storage and dispatch, and plug into IoT or SCADA control. It’s also a clear teaching example of a hybrid distribution, and it pairs well with LSTMs or </w:t>
      </w:r>
      <w:r w:rsidRPr="00104DA5">
        <w:rPr>
          <w:szCs w:val="24"/>
        </w:rPr>
        <w:lastRenderedPageBreak/>
        <w:t>transformers for time series. With GIS you can vary the parameters across space and build energy or risk maps for planning.</w:t>
      </w:r>
    </w:p>
    <w:p w14:paraId="69E7A3B2" w14:textId="77777777" w:rsidR="00104DA5" w:rsidRPr="00104DA5" w:rsidRDefault="00104DA5">
      <w:pPr>
        <w:rPr>
          <w:i/>
          <w:szCs w:val="24"/>
        </w:rPr>
      </w:pPr>
    </w:p>
    <w:p w14:paraId="767FD27B" w14:textId="77777777" w:rsidR="00104DA5" w:rsidRPr="00104DA5" w:rsidRDefault="00104DA5" w:rsidP="00104DA5">
      <w:pPr>
        <w:pStyle w:val="Heading1"/>
        <w:numPr>
          <w:ilvl w:val="0"/>
          <w:numId w:val="9"/>
        </w:numPr>
        <w:ind w:left="397" w:hanging="397"/>
      </w:pPr>
      <w:r w:rsidRPr="00104DA5">
        <w:t>Future Scope of GERD</w:t>
      </w:r>
    </w:p>
    <w:p w14:paraId="20BAAB53" w14:textId="77777777" w:rsidR="00104DA5" w:rsidRPr="00104DA5" w:rsidRDefault="00104DA5" w:rsidP="00104DA5">
      <w:pPr>
        <w:pStyle w:val="ListParagraph"/>
        <w:ind w:left="0"/>
      </w:pPr>
    </w:p>
    <w:p w14:paraId="344B658C" w14:textId="77777777" w:rsidR="00104DA5" w:rsidRPr="00104DA5" w:rsidRDefault="00104DA5" w:rsidP="00104DA5">
      <w:pPr>
        <w:pStyle w:val="ListParagraph"/>
        <w:ind w:left="0"/>
      </w:pPr>
      <w:r w:rsidRPr="00104DA5">
        <w:t>GERD can be extended in several ways. Turning the Gaussian part into a mixture lets the model handle multiple peaks, which is useful for sites with multimodal wind regimes. Embedding GERD into time-series tools like ARIMA, LSTMs, or transformers would make it work for real-time forecasting. Its scope isn’t limited to wind either it can describe rainfall intensity, temperature swings, solar irradiance, or even ocean wave heights, wherever you have a central pattern with occasional anomalies. Linking parameters with GIS data allows the model to adjust to local microclimates, while online learning keeps it current as new observations arrive, supporting smart-grid operations and adaptive wind-farm control. Coupling GERD with physical atmosphere models could create hybrid forecasts, and stress-testing it under climate-change scenarios would show whether it holds up for long-term planning.</w:t>
      </w:r>
    </w:p>
    <w:p w14:paraId="4B836FE5" w14:textId="77777777" w:rsidR="00BF4C3C" w:rsidRPr="00104DA5" w:rsidRDefault="00BF4C3C">
      <w:pPr>
        <w:rPr>
          <w:szCs w:val="24"/>
        </w:rPr>
      </w:pPr>
    </w:p>
    <w:p w14:paraId="0C687B56" w14:textId="77777777" w:rsidR="00BF4C3C" w:rsidRPr="00104DA5" w:rsidRDefault="00104DA5">
      <w:pPr>
        <w:pStyle w:val="Heading1"/>
        <w:numPr>
          <w:ilvl w:val="0"/>
          <w:numId w:val="9"/>
        </w:numPr>
        <w:ind w:left="397" w:hanging="397"/>
      </w:pPr>
      <w:r w:rsidRPr="00104DA5">
        <w:t>Conclusion</w:t>
      </w:r>
    </w:p>
    <w:p w14:paraId="1F504F3C" w14:textId="77777777" w:rsidR="00104DA5" w:rsidRPr="00104DA5" w:rsidRDefault="00104DA5" w:rsidP="00104DA5">
      <w:pPr>
        <w:pStyle w:val="BodyText"/>
        <w:rPr>
          <w:lang w:eastAsia="en-US"/>
        </w:rPr>
      </w:pPr>
    </w:p>
    <w:p w14:paraId="66FC8517" w14:textId="77777777" w:rsidR="00104DA5" w:rsidRDefault="00104DA5" w:rsidP="00104DA5">
      <w:pPr>
        <w:pStyle w:val="Heading1"/>
        <w:ind w:left="0" w:firstLine="0"/>
        <w:rPr>
          <w:rFonts w:eastAsiaTheme="minorHAnsi"/>
          <w:b w:val="0"/>
          <w:sz w:val="24"/>
          <w:szCs w:val="24"/>
        </w:rPr>
      </w:pPr>
      <w:r w:rsidRPr="00104DA5">
        <w:rPr>
          <w:rFonts w:eastAsiaTheme="minorHAnsi"/>
          <w:b w:val="0"/>
          <w:sz w:val="24"/>
          <w:szCs w:val="24"/>
        </w:rPr>
        <w:t>We tested Weibull, Rayleigh, and a new Gaussian-Enhanced Rayleigh (GERD) on two decades of Tokyo wind data. Each model points to a different picture of power. Weibull catches the rare, fast winds and pushes energy estimates up. GERD balances the middle and the tails, so its forecasts come out steadier and often more believable in a dense city. Rayleigh runs quickly but misses the extremes and tends to understate power.</w:t>
      </w:r>
    </w:p>
    <w:p w14:paraId="008AAA76" w14:textId="77777777" w:rsidR="00104DA5" w:rsidRPr="00104DA5" w:rsidRDefault="00104DA5" w:rsidP="00104DA5">
      <w:pPr>
        <w:pStyle w:val="BodyText"/>
        <w:rPr>
          <w:lang w:eastAsia="en-US"/>
        </w:rPr>
      </w:pPr>
    </w:p>
    <w:p w14:paraId="62BA21F2" w14:textId="77777777" w:rsidR="00104DA5" w:rsidRPr="00104DA5" w:rsidRDefault="00104DA5" w:rsidP="00104DA5">
      <w:pPr>
        <w:pStyle w:val="Heading1"/>
        <w:ind w:left="0" w:firstLine="0"/>
        <w:rPr>
          <w:rFonts w:eastAsiaTheme="minorHAnsi"/>
          <w:b w:val="0"/>
          <w:sz w:val="24"/>
          <w:szCs w:val="24"/>
        </w:rPr>
      </w:pPr>
      <w:r w:rsidRPr="00104DA5">
        <w:rPr>
          <w:rFonts w:eastAsiaTheme="minorHAnsi"/>
          <w:b w:val="0"/>
          <w:sz w:val="24"/>
          <w:szCs w:val="24"/>
        </w:rPr>
        <w:t>Monte Carlo runs showed how those statistical choices flow into engineering terms: the fit you pick changes the turbine output you expect. That makes the model choice practical, not just cosmetic. With hourly or daily data, and by building in seasonality and site details, forecasts can get sharper. There is also room for hybrids and adaptive tools ensembles, learning models, or online updating to track changing conditions.</w:t>
      </w:r>
    </w:p>
    <w:p w14:paraId="19B519C8" w14:textId="77777777" w:rsidR="00BF4C3C" w:rsidRPr="00104DA5" w:rsidRDefault="00BF4C3C">
      <w:pPr>
        <w:rPr>
          <w:rFonts w:eastAsia="Times New Roman"/>
          <w:szCs w:val="24"/>
        </w:rPr>
      </w:pPr>
    </w:p>
    <w:p w14:paraId="53AADCEE" w14:textId="77777777" w:rsidR="00BF4C3C" w:rsidRPr="00104DA5" w:rsidRDefault="00BF4C3C">
      <w:pPr>
        <w:rPr>
          <w:szCs w:val="24"/>
        </w:rPr>
      </w:pPr>
    </w:p>
    <w:p w14:paraId="5CEA770B" w14:textId="77777777" w:rsidR="00BF4C3C" w:rsidRPr="00104DA5" w:rsidRDefault="00000000">
      <w:pPr>
        <w:pStyle w:val="Heading2"/>
        <w:ind w:left="0" w:firstLine="0"/>
        <w:jc w:val="both"/>
        <w:rPr>
          <w:rFonts w:eastAsia="Times New Roman"/>
          <w:bCs/>
          <w:iCs w:val="0"/>
          <w:szCs w:val="28"/>
        </w:rPr>
      </w:pPr>
      <w:r w:rsidRPr="00104DA5">
        <w:rPr>
          <w:rFonts w:eastAsia="Times New Roman"/>
          <w:bCs/>
          <w:iCs w:val="0"/>
          <w:szCs w:val="28"/>
        </w:rPr>
        <w:t>References</w:t>
      </w:r>
    </w:p>
    <w:p w14:paraId="29E5C002" w14:textId="77777777" w:rsidR="00104DA5" w:rsidRPr="00104DA5" w:rsidRDefault="00104DA5" w:rsidP="00104DA5">
      <w:pPr>
        <w:pStyle w:val="BodyText"/>
        <w:rPr>
          <w:lang w:eastAsia="en-US"/>
        </w:rPr>
      </w:pPr>
    </w:p>
    <w:p w14:paraId="6E03CC7D" w14:textId="77777777" w:rsidR="00104DA5" w:rsidRPr="00104DA5" w:rsidRDefault="00104DA5" w:rsidP="00104DA5">
      <w:pPr>
        <w:pStyle w:val="ListParagraph"/>
        <w:numPr>
          <w:ilvl w:val="0"/>
          <w:numId w:val="22"/>
        </w:numPr>
        <w:suppressAutoHyphens w:val="0"/>
        <w:spacing w:after="160" w:line="278" w:lineRule="auto"/>
      </w:pPr>
      <w:r w:rsidRPr="00104DA5">
        <w:t xml:space="preserve">Alodat, M. T., &amp; Anagreh, Y. N. (2011). Durations distribution of Rayleigh process with application to wind turbines. </w:t>
      </w:r>
      <w:r w:rsidRPr="00104DA5">
        <w:rPr>
          <w:i/>
          <w:iCs/>
        </w:rPr>
        <w:t>Journal of Wind Engineering and Industrial Aerodynamics, 99</w:t>
      </w:r>
      <w:r w:rsidRPr="00104DA5">
        <w:t xml:space="preserve">(5), 651–657. </w:t>
      </w:r>
      <w:hyperlink r:id="rId11" w:history="1">
        <w:r w:rsidRPr="00104DA5">
          <w:rPr>
            <w:rStyle w:val="Hyperlink"/>
          </w:rPr>
          <w:t>https://doi.org/10.1016/j.jweia.2011.02.006</w:t>
        </w:r>
      </w:hyperlink>
    </w:p>
    <w:p w14:paraId="22C8C75B" w14:textId="77777777" w:rsidR="00104DA5" w:rsidRPr="00104DA5" w:rsidRDefault="00104DA5" w:rsidP="00104DA5">
      <w:pPr>
        <w:pStyle w:val="ListParagraph"/>
        <w:numPr>
          <w:ilvl w:val="0"/>
          <w:numId w:val="22"/>
        </w:numPr>
        <w:suppressAutoHyphens w:val="0"/>
        <w:spacing w:after="160" w:line="278" w:lineRule="auto"/>
      </w:pPr>
      <w:r w:rsidRPr="00104DA5">
        <w:rPr>
          <w:lang w:val="it-IT"/>
        </w:rPr>
        <w:t xml:space="preserve">Bidaoui, H., El Abbassi, I., El Bouardi, A., &amp; Darcherif, A. (2019). </w:t>
      </w:r>
      <w:r w:rsidRPr="00104DA5">
        <w:t xml:space="preserve">Wind speed data analysis using Weibull and Rayleigh distribution functions, case study: five cities northern Morocco. </w:t>
      </w:r>
      <w:r w:rsidRPr="00104DA5">
        <w:rPr>
          <w:i/>
          <w:iCs/>
        </w:rPr>
        <w:t>Procedia Manufacturing, 32</w:t>
      </w:r>
      <w:r w:rsidRPr="00104DA5">
        <w:t xml:space="preserve">, 786–793. </w:t>
      </w:r>
      <w:hyperlink r:id="rId12" w:history="1">
        <w:r w:rsidRPr="00104DA5">
          <w:rPr>
            <w:rStyle w:val="Hyperlink"/>
          </w:rPr>
          <w:t>https://doi.org/10.1016/j.promfg.2019.02.277</w:t>
        </w:r>
      </w:hyperlink>
    </w:p>
    <w:p w14:paraId="0B94AFC6" w14:textId="77777777" w:rsidR="00104DA5" w:rsidRPr="00104DA5" w:rsidRDefault="00104DA5" w:rsidP="00104DA5">
      <w:pPr>
        <w:pStyle w:val="ListParagraph"/>
        <w:numPr>
          <w:ilvl w:val="0"/>
          <w:numId w:val="22"/>
        </w:numPr>
        <w:suppressAutoHyphens w:val="0"/>
        <w:spacing w:after="160" w:line="278" w:lineRule="auto"/>
      </w:pPr>
      <w:r w:rsidRPr="00104DA5">
        <w:t xml:space="preserve">Chattamvelli, R., &amp; Shanmugam, R. (2021). Rayleigh distribution. In </w:t>
      </w:r>
      <w:r w:rsidRPr="00104DA5">
        <w:rPr>
          <w:i/>
          <w:iCs/>
        </w:rPr>
        <w:t>Continuous Distributions in Engineering and the Applied Sciences–Part II</w:t>
      </w:r>
      <w:r w:rsidRPr="00104DA5">
        <w:t xml:space="preserve"> (pp. 245–252). Springer. </w:t>
      </w:r>
      <w:hyperlink r:id="rId13" w:history="1">
        <w:r w:rsidRPr="00104DA5">
          <w:rPr>
            <w:rStyle w:val="Hyperlink"/>
          </w:rPr>
          <w:t>https://doi.org/10.1007/978-3-030-73589-0_9</w:t>
        </w:r>
      </w:hyperlink>
    </w:p>
    <w:p w14:paraId="6227FDDE" w14:textId="77777777" w:rsidR="00104DA5" w:rsidRPr="00104DA5" w:rsidRDefault="00104DA5" w:rsidP="00104DA5">
      <w:pPr>
        <w:pStyle w:val="ListParagraph"/>
        <w:numPr>
          <w:ilvl w:val="0"/>
          <w:numId w:val="22"/>
        </w:numPr>
        <w:suppressAutoHyphens w:val="0"/>
        <w:spacing w:after="160" w:line="278" w:lineRule="auto"/>
      </w:pPr>
      <w:r w:rsidRPr="00104DA5">
        <w:t xml:space="preserve">Dokur, E., Ceyhan, S., &amp; Kurban, M. (2022). Analysis of wind speed data using Finsler, Weibull, and Rayleigh distribution functions. </w:t>
      </w:r>
      <w:r w:rsidRPr="00104DA5">
        <w:rPr>
          <w:i/>
          <w:iCs/>
        </w:rPr>
        <w:t>Electrica, 22</w:t>
      </w:r>
      <w:r w:rsidRPr="00104DA5">
        <w:t xml:space="preserve">(1), 52–60. </w:t>
      </w:r>
      <w:hyperlink r:id="rId14" w:history="1">
        <w:r w:rsidRPr="00104DA5">
          <w:rPr>
            <w:rStyle w:val="Hyperlink"/>
          </w:rPr>
          <w:t>https://doi.org/10.5152/electrica.2022.21096</w:t>
        </w:r>
      </w:hyperlink>
    </w:p>
    <w:p w14:paraId="33431DAB" w14:textId="77777777" w:rsidR="00104DA5" w:rsidRPr="00104DA5" w:rsidRDefault="00104DA5" w:rsidP="00104DA5">
      <w:pPr>
        <w:pStyle w:val="ListParagraph"/>
        <w:numPr>
          <w:ilvl w:val="0"/>
          <w:numId w:val="22"/>
        </w:numPr>
        <w:suppressAutoHyphens w:val="0"/>
        <w:spacing w:after="160" w:line="278" w:lineRule="auto"/>
      </w:pPr>
      <w:r w:rsidRPr="00104DA5">
        <w:rPr>
          <w:lang w:val="it-IT"/>
        </w:rPr>
        <w:lastRenderedPageBreak/>
        <w:t xml:space="preserve">Gorla, R. S. R., Pallikonda, M. K., &amp; Walunj, G. (2020). </w:t>
      </w:r>
      <w:r w:rsidRPr="00104DA5">
        <w:t xml:space="preserve">Use of Rayleigh distribution method for assessment of wind energy output in Cleveland–Ohio. </w:t>
      </w:r>
      <w:r w:rsidRPr="00104DA5">
        <w:rPr>
          <w:i/>
          <w:iCs/>
        </w:rPr>
        <w:t>Renewable Energy Research and Applications, 1</w:t>
      </w:r>
      <w:r w:rsidRPr="00104DA5">
        <w:t>(1), 11–18.</w:t>
      </w:r>
    </w:p>
    <w:p w14:paraId="30D5F1CE" w14:textId="77777777" w:rsidR="00104DA5" w:rsidRPr="00104DA5" w:rsidRDefault="00104DA5" w:rsidP="00104DA5">
      <w:pPr>
        <w:pStyle w:val="ListParagraph"/>
        <w:numPr>
          <w:ilvl w:val="0"/>
          <w:numId w:val="22"/>
        </w:numPr>
        <w:suppressAutoHyphens w:val="0"/>
        <w:spacing w:after="160" w:line="278" w:lineRule="auto"/>
      </w:pPr>
      <w:r w:rsidRPr="00104DA5">
        <w:t xml:space="preserve">Hennessey, J. P., Jr. (1978). A comparison of the Weibull and Rayleigh distributions for estimating wind power potential. </w:t>
      </w:r>
      <w:r w:rsidRPr="00104DA5">
        <w:rPr>
          <w:i/>
          <w:iCs/>
        </w:rPr>
        <w:t>Wind Engineering</w:t>
      </w:r>
      <w:r w:rsidRPr="00104DA5">
        <w:t xml:space="preserve">, 2(3), 156–164. </w:t>
      </w:r>
      <w:hyperlink r:id="rId15" w:history="1">
        <w:r w:rsidRPr="00104DA5">
          <w:rPr>
            <w:rStyle w:val="Hyperlink"/>
          </w:rPr>
          <w:t>https://www.jstor.org/stable/43749453</w:t>
        </w:r>
      </w:hyperlink>
    </w:p>
    <w:p w14:paraId="1AAA26A8" w14:textId="77777777" w:rsidR="00104DA5" w:rsidRPr="00104DA5" w:rsidRDefault="00104DA5" w:rsidP="00104DA5">
      <w:pPr>
        <w:pStyle w:val="ListParagraph"/>
        <w:numPr>
          <w:ilvl w:val="0"/>
          <w:numId w:val="22"/>
        </w:numPr>
        <w:suppressAutoHyphens w:val="0"/>
        <w:spacing w:after="160" w:line="278" w:lineRule="auto"/>
      </w:pPr>
      <w:r w:rsidRPr="00104DA5">
        <w:t xml:space="preserve">Kondo, H., Tokairin, T., &amp; Kikegawa, Y. (2008). Calculation of wind in a Tokyo urban area with a mesoscale model including a multi-layer urban canopy model. </w:t>
      </w:r>
      <w:r w:rsidRPr="00104DA5">
        <w:rPr>
          <w:i/>
          <w:iCs/>
        </w:rPr>
        <w:t>Journal of Wind Engineering and Industrial Aerodynamics, 96</w:t>
      </w:r>
      <w:r w:rsidRPr="00104DA5">
        <w:t xml:space="preserve">(10–11), 1655–1666. </w:t>
      </w:r>
      <w:hyperlink r:id="rId16" w:history="1">
        <w:r w:rsidRPr="00104DA5">
          <w:rPr>
            <w:rStyle w:val="Hyperlink"/>
          </w:rPr>
          <w:t>https://doi.org/10.1016/j.jweia.2008.02.050</w:t>
        </w:r>
      </w:hyperlink>
    </w:p>
    <w:p w14:paraId="0C99C510" w14:textId="77777777" w:rsidR="00104DA5" w:rsidRPr="00104DA5" w:rsidRDefault="00104DA5" w:rsidP="00104DA5">
      <w:pPr>
        <w:pStyle w:val="ListParagraph"/>
        <w:numPr>
          <w:ilvl w:val="0"/>
          <w:numId w:val="22"/>
        </w:numPr>
        <w:suppressAutoHyphens w:val="0"/>
        <w:spacing w:after="160" w:line="278" w:lineRule="auto"/>
      </w:pPr>
      <w:r w:rsidRPr="00104DA5">
        <w:rPr>
          <w:lang w:val="it-IT"/>
        </w:rPr>
        <w:t xml:space="preserve">Kubota, T., Miura, M., Tominaga, Y., &amp; Mochida, A. (2008). </w:t>
      </w:r>
      <w:r w:rsidRPr="00104DA5">
        <w:t xml:space="preserve">Wind tunnel tests on the relationship between building density and pedestrian-level wind velocity: Development of guidelines for realizing acceptable wind environment in residential neighborhoods. </w:t>
      </w:r>
      <w:r w:rsidRPr="00104DA5">
        <w:rPr>
          <w:i/>
          <w:iCs/>
        </w:rPr>
        <w:t>Building and Environment, 43</w:t>
      </w:r>
      <w:r w:rsidRPr="00104DA5">
        <w:t xml:space="preserve">(10), 1699–1708. </w:t>
      </w:r>
      <w:hyperlink r:id="rId17" w:history="1">
        <w:r w:rsidRPr="00104DA5">
          <w:rPr>
            <w:rStyle w:val="Hyperlink"/>
          </w:rPr>
          <w:t>https://doi.org/10.1016/j.buildenv.2007.10.015</w:t>
        </w:r>
      </w:hyperlink>
    </w:p>
    <w:p w14:paraId="0229BBFA" w14:textId="77777777" w:rsidR="00104DA5" w:rsidRPr="00104DA5" w:rsidRDefault="00104DA5" w:rsidP="00104DA5">
      <w:pPr>
        <w:pStyle w:val="ListParagraph"/>
        <w:numPr>
          <w:ilvl w:val="0"/>
          <w:numId w:val="22"/>
        </w:numPr>
        <w:suppressAutoHyphens w:val="0"/>
        <w:spacing w:after="160" w:line="278" w:lineRule="auto"/>
      </w:pPr>
      <w:r w:rsidRPr="00104DA5">
        <w:t xml:space="preserve">Ouahabi, M. H., Benabdelouahab, F., &amp; Khamlichi, A. (2017). Analyzing wind speed data and wind power density of Tetouan city in Morocco by adjustment to Weibull and Rayleigh distribution functions. </w:t>
      </w:r>
      <w:r w:rsidRPr="00104DA5">
        <w:rPr>
          <w:i/>
          <w:iCs/>
        </w:rPr>
        <w:t>Wind Engineering, 41</w:t>
      </w:r>
      <w:r w:rsidRPr="00104DA5">
        <w:t xml:space="preserve">(3), 174–184. </w:t>
      </w:r>
      <w:hyperlink r:id="rId18" w:history="1">
        <w:r w:rsidRPr="00104DA5">
          <w:rPr>
            <w:rStyle w:val="Hyperlink"/>
          </w:rPr>
          <w:t>https://doi.org/10.1177/0309524X17707733</w:t>
        </w:r>
      </w:hyperlink>
    </w:p>
    <w:p w14:paraId="161D0C09" w14:textId="77777777" w:rsidR="00104DA5" w:rsidRPr="00104DA5" w:rsidRDefault="00104DA5" w:rsidP="00104DA5">
      <w:pPr>
        <w:pStyle w:val="ListParagraph"/>
        <w:numPr>
          <w:ilvl w:val="0"/>
          <w:numId w:val="22"/>
        </w:numPr>
        <w:tabs>
          <w:tab w:val="left" w:pos="851"/>
        </w:tabs>
        <w:suppressAutoHyphens w:val="0"/>
        <w:spacing w:after="160" w:line="278" w:lineRule="auto"/>
      </w:pPr>
      <w:r w:rsidRPr="00104DA5">
        <w:t xml:space="preserve">Parajuli, A. (2016). A statistical analysis of wind speed and power density based on Weibull and Rayleigh models of Jumla, Nepal. </w:t>
      </w:r>
      <w:r w:rsidRPr="00104DA5">
        <w:rPr>
          <w:i/>
          <w:iCs/>
        </w:rPr>
        <w:t>Energy and Power Engineering, 8</w:t>
      </w:r>
      <w:r w:rsidRPr="00104DA5">
        <w:t xml:space="preserve">(7), 271–282. </w:t>
      </w:r>
      <w:hyperlink r:id="rId19" w:history="1">
        <w:r w:rsidRPr="00104DA5">
          <w:rPr>
            <w:rStyle w:val="Hyperlink"/>
          </w:rPr>
          <w:t>https://doi.org/10.4236/epe.2016.87026</w:t>
        </w:r>
      </w:hyperlink>
    </w:p>
    <w:p w14:paraId="7363812C" w14:textId="77777777" w:rsidR="00104DA5" w:rsidRPr="00104DA5" w:rsidRDefault="00104DA5" w:rsidP="00104DA5">
      <w:pPr>
        <w:pStyle w:val="ListParagraph"/>
        <w:numPr>
          <w:ilvl w:val="0"/>
          <w:numId w:val="22"/>
        </w:numPr>
        <w:tabs>
          <w:tab w:val="left" w:pos="851"/>
        </w:tabs>
        <w:suppressAutoHyphens w:val="0"/>
        <w:spacing w:after="160" w:line="278" w:lineRule="auto"/>
      </w:pPr>
      <w:r w:rsidRPr="00104DA5">
        <w:t xml:space="preserve">Pishgar-Komleh, S. H., Keyhani, A., &amp; Sefeedpari, P. (2015). Wind speed and power density analysis based on Weibull and Rayleigh distributions (a case study: Firouzkooh county of Iran). </w:t>
      </w:r>
      <w:r w:rsidRPr="00104DA5">
        <w:rPr>
          <w:i/>
          <w:iCs/>
        </w:rPr>
        <w:t>Renewable and Sustainable Energy Reviews, 42</w:t>
      </w:r>
      <w:r w:rsidRPr="00104DA5">
        <w:t xml:space="preserve">, 313–322. </w:t>
      </w:r>
      <w:hyperlink r:id="rId20" w:history="1">
        <w:r w:rsidRPr="00104DA5">
          <w:rPr>
            <w:rStyle w:val="Hyperlink"/>
          </w:rPr>
          <w:t>https://doi.org/10.1016/j.rser.2014.10.015</w:t>
        </w:r>
      </w:hyperlink>
    </w:p>
    <w:p w14:paraId="4B5F65E7" w14:textId="77777777" w:rsidR="00104DA5" w:rsidRPr="00104DA5" w:rsidRDefault="00104DA5" w:rsidP="00104DA5">
      <w:pPr>
        <w:pStyle w:val="ListParagraph"/>
        <w:numPr>
          <w:ilvl w:val="0"/>
          <w:numId w:val="22"/>
        </w:numPr>
        <w:tabs>
          <w:tab w:val="left" w:pos="851"/>
        </w:tabs>
        <w:suppressAutoHyphens w:val="0"/>
        <w:spacing w:after="160" w:line="278" w:lineRule="auto"/>
        <w:rPr>
          <w:lang w:val="it-IT"/>
        </w:rPr>
      </w:pPr>
      <w:r w:rsidRPr="00104DA5">
        <w:t xml:space="preserve">Safari, B., &amp; Gasore, J. (2010). A statistical investigation of wind characteristics and wind energy potential based on the Weibull and Rayleigh models in Rwanda. </w:t>
      </w:r>
      <w:r w:rsidRPr="00104DA5">
        <w:rPr>
          <w:i/>
          <w:iCs/>
          <w:lang w:val="it-IT"/>
        </w:rPr>
        <w:t>Renewable Energy, 35</w:t>
      </w:r>
      <w:r w:rsidRPr="00104DA5">
        <w:rPr>
          <w:lang w:val="it-IT"/>
        </w:rPr>
        <w:t xml:space="preserve">(12), 2874–2880. </w:t>
      </w:r>
      <w:hyperlink r:id="rId21" w:history="1">
        <w:r w:rsidRPr="00104DA5">
          <w:rPr>
            <w:rStyle w:val="Hyperlink"/>
            <w:lang w:val="it-IT"/>
          </w:rPr>
          <w:t>https://doi.org/10.1016/j.renene.2010.04.017</w:t>
        </w:r>
      </w:hyperlink>
    </w:p>
    <w:p w14:paraId="25D51E92" w14:textId="77777777" w:rsidR="00104DA5" w:rsidRPr="00104DA5" w:rsidRDefault="00104DA5" w:rsidP="00104DA5">
      <w:pPr>
        <w:pStyle w:val="ListParagraph"/>
        <w:numPr>
          <w:ilvl w:val="0"/>
          <w:numId w:val="22"/>
        </w:numPr>
        <w:tabs>
          <w:tab w:val="left" w:pos="851"/>
        </w:tabs>
        <w:suppressAutoHyphens w:val="0"/>
        <w:spacing w:after="160" w:line="278" w:lineRule="auto"/>
      </w:pPr>
      <w:r w:rsidRPr="00104DA5">
        <w:rPr>
          <w:lang w:val="it-IT"/>
        </w:rPr>
        <w:t xml:space="preserve">Serban, A., Paraschiv, L. S., &amp; Paraschiv, S. (2020). </w:t>
      </w:r>
      <w:r w:rsidRPr="00104DA5">
        <w:t xml:space="preserve">Assessment of wind energy potential based on Weibull and Rayleigh distribution models. </w:t>
      </w:r>
      <w:r w:rsidRPr="00104DA5">
        <w:rPr>
          <w:i/>
          <w:iCs/>
        </w:rPr>
        <w:t>Energy Reports, 6</w:t>
      </w:r>
      <w:r w:rsidRPr="00104DA5">
        <w:t xml:space="preserve">, 250–267. </w:t>
      </w:r>
      <w:hyperlink r:id="rId22" w:history="1">
        <w:r w:rsidRPr="00104DA5">
          <w:rPr>
            <w:rStyle w:val="Hyperlink"/>
          </w:rPr>
          <w:t>https://doi.org/10.1016/j.egyr.2020.11.259</w:t>
        </w:r>
      </w:hyperlink>
    </w:p>
    <w:p w14:paraId="7C027DBC" w14:textId="77777777" w:rsidR="00104DA5" w:rsidRPr="00104DA5" w:rsidRDefault="00104DA5" w:rsidP="00104DA5">
      <w:pPr>
        <w:pStyle w:val="ListParagraph"/>
        <w:numPr>
          <w:ilvl w:val="0"/>
          <w:numId w:val="22"/>
        </w:numPr>
        <w:tabs>
          <w:tab w:val="left" w:pos="851"/>
        </w:tabs>
        <w:suppressAutoHyphens w:val="0"/>
        <w:spacing w:after="160" w:line="278" w:lineRule="auto"/>
      </w:pPr>
      <w:r w:rsidRPr="00104DA5">
        <w:t xml:space="preserve">Yamashita, S. (1990). The urban climate of Tokyo. </w:t>
      </w:r>
      <w:r w:rsidRPr="00104DA5">
        <w:rPr>
          <w:i/>
          <w:iCs/>
        </w:rPr>
        <w:t>Geographical Review of Japan, Series B, 63</w:t>
      </w:r>
      <w:r w:rsidRPr="00104DA5">
        <w:t xml:space="preserve">(1), 98–107. </w:t>
      </w:r>
      <w:hyperlink r:id="rId23" w:history="1">
        <w:r w:rsidRPr="00104DA5">
          <w:rPr>
            <w:rStyle w:val="Hyperlink"/>
          </w:rPr>
          <w:t>https://doi.org/10.4157/grj1984b.63.98</w:t>
        </w:r>
      </w:hyperlink>
    </w:p>
    <w:p w14:paraId="069E8611" w14:textId="77777777" w:rsidR="00104DA5" w:rsidRDefault="00104DA5" w:rsidP="00104DA5">
      <w:pPr>
        <w:pStyle w:val="ListParagraph"/>
        <w:numPr>
          <w:ilvl w:val="0"/>
          <w:numId w:val="22"/>
        </w:numPr>
        <w:tabs>
          <w:tab w:val="left" w:pos="851"/>
        </w:tabs>
        <w:suppressAutoHyphens w:val="0"/>
        <w:spacing w:after="160" w:line="278" w:lineRule="auto"/>
      </w:pPr>
      <w:r w:rsidRPr="00104DA5">
        <w:rPr>
          <w:lang w:val="it-IT"/>
        </w:rPr>
        <w:t xml:space="preserve">Zambak, M. F., Cahyadi, C. I., Helmi, J., Sofie, T. M., &amp; Suwarno, S. (2023). </w:t>
      </w:r>
      <w:r w:rsidRPr="00104DA5">
        <w:t xml:space="preserve">Evaluation and analysis of wind speed with the Weibull and Rayleigh distribution models for energy potential using three models. </w:t>
      </w:r>
      <w:r w:rsidRPr="00104DA5">
        <w:rPr>
          <w:i/>
          <w:iCs/>
        </w:rPr>
        <w:t>International Journal of Energy Economics and Policy, 13</w:t>
      </w:r>
      <w:r w:rsidRPr="00104DA5">
        <w:t xml:space="preserve">(2), 427–432. </w:t>
      </w:r>
      <w:hyperlink r:id="rId24" w:history="1">
        <w:r w:rsidRPr="00104DA5">
          <w:rPr>
            <w:rStyle w:val="Hyperlink"/>
          </w:rPr>
          <w:t>https://doi.org/10.32479/ijeep.13941</w:t>
        </w:r>
      </w:hyperlink>
    </w:p>
    <w:p w14:paraId="0A89FBE4" w14:textId="77777777" w:rsidR="00A2575C" w:rsidRPr="00104DA5" w:rsidRDefault="00A2575C" w:rsidP="00A2575C">
      <w:pPr>
        <w:pStyle w:val="ListParagraph"/>
        <w:tabs>
          <w:tab w:val="left" w:pos="851"/>
        </w:tabs>
        <w:suppressAutoHyphens w:val="0"/>
        <w:spacing w:after="160" w:line="278" w:lineRule="auto"/>
      </w:pPr>
    </w:p>
    <w:p w14:paraId="6A9118C4" w14:textId="77777777" w:rsidR="00BF4C3C" w:rsidRPr="00104DA5" w:rsidRDefault="00BF4C3C">
      <w:pPr>
        <w:rPr>
          <w:szCs w:val="24"/>
        </w:rPr>
      </w:pPr>
    </w:p>
    <w:p w14:paraId="5B700738" w14:textId="01783FA1" w:rsidR="00BF4C3C" w:rsidRPr="00104DA5" w:rsidRDefault="00BF4C3C">
      <w:pPr>
        <w:pStyle w:val="BodyText"/>
        <w:tabs>
          <w:tab w:val="right" w:pos="10092"/>
        </w:tabs>
        <w:jc w:val="left"/>
      </w:pPr>
    </w:p>
    <w:sectPr w:rsidR="00BF4C3C" w:rsidRPr="00104DA5">
      <w:headerReference w:type="even" r:id="rId25"/>
      <w:headerReference w:type="default" r:id="rId26"/>
      <w:footerReference w:type="even" r:id="rId27"/>
      <w:footerReference w:type="default" r:id="rId28"/>
      <w:headerReference w:type="first" r:id="rId29"/>
      <w:footerReference w:type="first" r:id="rId30"/>
      <w:pgSz w:w="11906" w:h="16838"/>
      <w:pgMar w:top="737" w:right="907" w:bottom="397" w:left="907" w:header="68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4E9E3" w14:textId="77777777" w:rsidR="008B2174" w:rsidRDefault="008B2174">
      <w:pPr>
        <w:spacing w:line="240" w:lineRule="auto"/>
      </w:pPr>
      <w:r>
        <w:separator/>
      </w:r>
    </w:p>
  </w:endnote>
  <w:endnote w:type="continuationSeparator" w:id="0">
    <w:p w14:paraId="09D6F1A4" w14:textId="77777777" w:rsidR="008B2174" w:rsidRDefault="008B2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w:panose1 w:val="020B0604020202020204"/>
    <w:charset w:val="80"/>
    <w:family w:val="auto"/>
    <w:pitch w:val="variable"/>
  </w:font>
  <w:font w:name="Lohit Hindi">
    <w:panose1 w:val="020B0604020202020204"/>
    <w:charset w:val="80"/>
    <w:family w:val="auto"/>
    <w:pitch w:val="variable"/>
  </w:font>
  <w:font w:name="Liberation Mono">
    <w:altName w:val="Courier New"/>
    <w:panose1 w:val="020B0604020202020204"/>
    <w:charset w:val="01"/>
    <w:family w:val="roman"/>
    <w:pitch w:val="default"/>
  </w:font>
  <w:font w:name="Lohit Marath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37FB" w14:textId="77777777" w:rsidR="00A019AC" w:rsidRDefault="00A01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1D9A" w14:textId="77777777" w:rsidR="00BF4C3C" w:rsidRDefault="00BF4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2DC8" w14:textId="77777777" w:rsidR="00A019AC" w:rsidRDefault="00A01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7591" w14:textId="77777777" w:rsidR="008B2174" w:rsidRDefault="008B2174">
      <w:pPr>
        <w:spacing w:line="240" w:lineRule="auto"/>
      </w:pPr>
      <w:r>
        <w:separator/>
      </w:r>
    </w:p>
  </w:footnote>
  <w:footnote w:type="continuationSeparator" w:id="0">
    <w:p w14:paraId="0A99E056" w14:textId="77777777" w:rsidR="008B2174" w:rsidRDefault="008B2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80D0" w14:textId="77777777" w:rsidR="00A019AC" w:rsidRDefault="00A01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A092" w14:textId="77777777" w:rsidR="00BF4C3C" w:rsidRDefault="00BF4C3C">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680B" w14:textId="77777777" w:rsidR="00A019AC" w:rsidRDefault="00A01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AA05A"/>
    <w:multiLevelType w:val="singleLevel"/>
    <w:tmpl w:val="B77EF18A"/>
    <w:lvl w:ilvl="0">
      <w:start w:val="1"/>
      <w:numFmt w:val="decimal"/>
      <w:suff w:val="space"/>
      <w:lvlText w:val="3.%1."/>
      <w:lvlJc w:val="left"/>
      <w:pPr>
        <w:ind w:left="0" w:firstLine="0"/>
      </w:pPr>
      <w:rPr>
        <w:rFonts w:hint="default"/>
        <w:b/>
        <w:bCs/>
      </w:rPr>
    </w:lvl>
  </w:abstractNum>
  <w:abstractNum w:abstractNumId="1" w15:restartNumberingAfterBreak="0">
    <w:nsid w:val="0B767025"/>
    <w:multiLevelType w:val="multilevel"/>
    <w:tmpl w:val="0B7670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6B0CCE"/>
    <w:multiLevelType w:val="multilevel"/>
    <w:tmpl w:val="0C6B0C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DB0407F"/>
    <w:multiLevelType w:val="hybridMultilevel"/>
    <w:tmpl w:val="1DB4D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C1C1E"/>
    <w:multiLevelType w:val="multilevel"/>
    <w:tmpl w:val="DED04CE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5" w15:restartNumberingAfterBreak="0">
    <w:nsid w:val="216305E3"/>
    <w:multiLevelType w:val="multilevel"/>
    <w:tmpl w:val="216305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83946A1"/>
    <w:multiLevelType w:val="multilevel"/>
    <w:tmpl w:val="B4A6E45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7" w15:restartNumberingAfterBreak="0">
    <w:nsid w:val="2C9C2071"/>
    <w:multiLevelType w:val="multilevel"/>
    <w:tmpl w:val="2C9C20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1053915"/>
    <w:multiLevelType w:val="multilevel"/>
    <w:tmpl w:val="1F348F9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9" w15:restartNumberingAfterBreak="0">
    <w:nsid w:val="3F945766"/>
    <w:multiLevelType w:val="multilevel"/>
    <w:tmpl w:val="26C6E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9E6461"/>
    <w:multiLevelType w:val="multilevel"/>
    <w:tmpl w:val="656A1F1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1" w15:restartNumberingAfterBreak="0">
    <w:nsid w:val="48762631"/>
    <w:multiLevelType w:val="multilevel"/>
    <w:tmpl w:val="C5D2C0B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2" w15:restartNumberingAfterBreak="0">
    <w:nsid w:val="630B6F1C"/>
    <w:multiLevelType w:val="multilevel"/>
    <w:tmpl w:val="A2948C84"/>
    <w:lvl w:ilvl="0">
      <w:start w:val="1"/>
      <w:numFmt w:val="decimal"/>
      <w:lvlText w:val="%1."/>
      <w:lvlJc w:val="left"/>
      <w:pPr>
        <w:tabs>
          <w:tab w:val="num" w:pos="397"/>
        </w:tabs>
        <w:ind w:left="397" w:hanging="360"/>
      </w:pPr>
      <w:rPr>
        <w:b w:val="0"/>
        <w:bCs w:val="0"/>
        <w:sz w:val="24"/>
        <w:szCs w:val="24"/>
      </w:rPr>
    </w:lvl>
    <w:lvl w:ilvl="1">
      <w:start w:val="1"/>
      <w:numFmt w:val="decimal"/>
      <w:lvlText w:val="%2."/>
      <w:lvlJc w:val="left"/>
      <w:pPr>
        <w:tabs>
          <w:tab w:val="num" w:pos="757"/>
        </w:tabs>
        <w:ind w:left="757" w:hanging="360"/>
      </w:pPr>
      <w:rPr>
        <w:b w:val="0"/>
        <w:bCs w:val="0"/>
        <w:i w:val="0"/>
        <w:iCs w:val="0"/>
        <w:sz w:val="24"/>
        <w:szCs w:val="24"/>
      </w:rPr>
    </w:lvl>
    <w:lvl w:ilvl="2">
      <w:start w:val="1"/>
      <w:numFmt w:val="decimal"/>
      <w:lvlText w:val="%3."/>
      <w:lvlJc w:val="left"/>
      <w:pPr>
        <w:tabs>
          <w:tab w:val="num" w:pos="1117"/>
        </w:tabs>
        <w:ind w:left="1117" w:hanging="360"/>
      </w:pPr>
      <w:rPr>
        <w:b w:val="0"/>
        <w:bCs w:val="0"/>
        <w:sz w:val="24"/>
        <w:szCs w:val="24"/>
      </w:rPr>
    </w:lvl>
    <w:lvl w:ilvl="3">
      <w:start w:val="1"/>
      <w:numFmt w:val="decimal"/>
      <w:lvlText w:val="%4."/>
      <w:lvlJc w:val="left"/>
      <w:pPr>
        <w:tabs>
          <w:tab w:val="num" w:pos="1477"/>
        </w:tabs>
        <w:ind w:left="1477" w:hanging="360"/>
      </w:pPr>
      <w:rPr>
        <w:b w:val="0"/>
        <w:bCs w:val="0"/>
        <w:sz w:val="24"/>
        <w:szCs w:val="24"/>
      </w:rPr>
    </w:lvl>
    <w:lvl w:ilvl="4">
      <w:start w:val="1"/>
      <w:numFmt w:val="decimal"/>
      <w:lvlText w:val="%5."/>
      <w:lvlJc w:val="left"/>
      <w:pPr>
        <w:tabs>
          <w:tab w:val="num" w:pos="1837"/>
        </w:tabs>
        <w:ind w:left="1837" w:hanging="360"/>
      </w:pPr>
      <w:rPr>
        <w:b w:val="0"/>
        <w:bCs w:val="0"/>
        <w:sz w:val="24"/>
        <w:szCs w:val="24"/>
      </w:rPr>
    </w:lvl>
    <w:lvl w:ilvl="5">
      <w:start w:val="1"/>
      <w:numFmt w:val="decimal"/>
      <w:lvlText w:val="%6."/>
      <w:lvlJc w:val="left"/>
      <w:pPr>
        <w:tabs>
          <w:tab w:val="num" w:pos="2197"/>
        </w:tabs>
        <w:ind w:left="2197" w:hanging="360"/>
      </w:pPr>
      <w:rPr>
        <w:b w:val="0"/>
        <w:bCs w:val="0"/>
        <w:sz w:val="24"/>
        <w:szCs w:val="24"/>
      </w:rPr>
    </w:lvl>
    <w:lvl w:ilvl="6">
      <w:start w:val="1"/>
      <w:numFmt w:val="decimal"/>
      <w:lvlText w:val="%7."/>
      <w:lvlJc w:val="left"/>
      <w:pPr>
        <w:tabs>
          <w:tab w:val="num" w:pos="2557"/>
        </w:tabs>
        <w:ind w:left="2557" w:hanging="360"/>
      </w:pPr>
      <w:rPr>
        <w:b w:val="0"/>
        <w:bCs w:val="0"/>
        <w:sz w:val="24"/>
        <w:szCs w:val="24"/>
      </w:rPr>
    </w:lvl>
    <w:lvl w:ilvl="7">
      <w:start w:val="1"/>
      <w:numFmt w:val="decimal"/>
      <w:lvlText w:val="%8."/>
      <w:lvlJc w:val="left"/>
      <w:pPr>
        <w:tabs>
          <w:tab w:val="num" w:pos="2917"/>
        </w:tabs>
        <w:ind w:left="2917" w:hanging="360"/>
      </w:pPr>
      <w:rPr>
        <w:b w:val="0"/>
        <w:bCs w:val="0"/>
        <w:sz w:val="24"/>
        <w:szCs w:val="24"/>
      </w:rPr>
    </w:lvl>
    <w:lvl w:ilvl="8">
      <w:start w:val="1"/>
      <w:numFmt w:val="decimal"/>
      <w:lvlText w:val="%9."/>
      <w:lvlJc w:val="left"/>
      <w:pPr>
        <w:tabs>
          <w:tab w:val="num" w:pos="3277"/>
        </w:tabs>
        <w:ind w:left="3277" w:hanging="360"/>
      </w:pPr>
      <w:rPr>
        <w:b w:val="0"/>
        <w:bCs w:val="0"/>
        <w:sz w:val="24"/>
        <w:szCs w:val="24"/>
      </w:rPr>
    </w:lvl>
  </w:abstractNum>
  <w:abstractNum w:abstractNumId="13" w15:restartNumberingAfterBreak="0">
    <w:nsid w:val="64DD37BF"/>
    <w:multiLevelType w:val="multilevel"/>
    <w:tmpl w:val="B14E9EA0"/>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4" w15:restartNumberingAfterBreak="0">
    <w:nsid w:val="6664477B"/>
    <w:multiLevelType w:val="multilevel"/>
    <w:tmpl w:val="F6581FB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5" w15:restartNumberingAfterBreak="0">
    <w:nsid w:val="699F4AC2"/>
    <w:multiLevelType w:val="multilevel"/>
    <w:tmpl w:val="05169B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6" w15:restartNumberingAfterBreak="0">
    <w:nsid w:val="6B3B0835"/>
    <w:multiLevelType w:val="multilevel"/>
    <w:tmpl w:val="24B6A6AC"/>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0"/>
        <w:bCs w:val="0"/>
        <w:sz w:val="24"/>
        <w:szCs w:val="24"/>
      </w:rPr>
    </w:lvl>
    <w:lvl w:ilvl="2">
      <w:start w:val="1"/>
      <w:numFmt w:val="bullet"/>
      <w:lvlText w:val="▪"/>
      <w:lvlJc w:val="left"/>
      <w:pPr>
        <w:tabs>
          <w:tab w:val="num" w:pos="1728"/>
        </w:tabs>
        <w:ind w:left="1728" w:hanging="360"/>
      </w:pPr>
      <w:rPr>
        <w:rFonts w:ascii="OpenSymbol" w:hAnsi="OpenSymbol" w:cs="OpenSymbol" w:hint="default"/>
        <w:b w:val="0"/>
        <w:bCs w:val="0"/>
        <w:sz w:val="24"/>
        <w:szCs w:val="24"/>
      </w:rPr>
    </w:lvl>
    <w:lvl w:ilvl="3">
      <w:start w:val="1"/>
      <w:numFmt w:val="bullet"/>
      <w:lvlText w:val=""/>
      <w:lvlJc w:val="left"/>
      <w:pPr>
        <w:tabs>
          <w:tab w:val="num" w:pos="2088"/>
        </w:tabs>
        <w:ind w:left="2088" w:hanging="360"/>
      </w:pPr>
      <w:rPr>
        <w:rFonts w:ascii="Symbol" w:hAnsi="Symbol" w:cs="Symbol" w:hint="default"/>
        <w:b w:val="0"/>
        <w:bCs w:val="0"/>
        <w:sz w:val="24"/>
        <w:szCs w:val="24"/>
      </w:rPr>
    </w:lvl>
    <w:lvl w:ilvl="4">
      <w:start w:val="1"/>
      <w:numFmt w:val="bullet"/>
      <w:lvlText w:val="◦"/>
      <w:lvlJc w:val="left"/>
      <w:pPr>
        <w:tabs>
          <w:tab w:val="num" w:pos="2448"/>
        </w:tabs>
        <w:ind w:left="2448" w:hanging="360"/>
      </w:pPr>
      <w:rPr>
        <w:rFonts w:ascii="OpenSymbol" w:hAnsi="OpenSymbol" w:cs="OpenSymbol" w:hint="default"/>
        <w:b w:val="0"/>
        <w:bCs w:val="0"/>
        <w:sz w:val="24"/>
        <w:szCs w:val="24"/>
      </w:rPr>
    </w:lvl>
    <w:lvl w:ilvl="5">
      <w:start w:val="1"/>
      <w:numFmt w:val="bullet"/>
      <w:lvlText w:val="▪"/>
      <w:lvlJc w:val="left"/>
      <w:pPr>
        <w:tabs>
          <w:tab w:val="num" w:pos="2808"/>
        </w:tabs>
        <w:ind w:left="2808" w:hanging="360"/>
      </w:pPr>
      <w:rPr>
        <w:rFonts w:ascii="OpenSymbol" w:hAnsi="OpenSymbol" w:cs="OpenSymbol" w:hint="default"/>
        <w:b w:val="0"/>
        <w:bCs w:val="0"/>
        <w:sz w:val="24"/>
        <w:szCs w:val="24"/>
      </w:rPr>
    </w:lvl>
    <w:lvl w:ilvl="6">
      <w:start w:val="1"/>
      <w:numFmt w:val="bullet"/>
      <w:lvlText w:val=""/>
      <w:lvlJc w:val="left"/>
      <w:pPr>
        <w:tabs>
          <w:tab w:val="num" w:pos="3168"/>
        </w:tabs>
        <w:ind w:left="3168" w:hanging="360"/>
      </w:pPr>
      <w:rPr>
        <w:rFonts w:ascii="Symbol" w:hAnsi="Symbol" w:cs="Symbol" w:hint="default"/>
        <w:b w:val="0"/>
        <w:bCs w:val="0"/>
        <w:sz w:val="24"/>
        <w:szCs w:val="24"/>
      </w:rPr>
    </w:lvl>
    <w:lvl w:ilvl="7">
      <w:start w:val="1"/>
      <w:numFmt w:val="bullet"/>
      <w:lvlText w:val="◦"/>
      <w:lvlJc w:val="left"/>
      <w:pPr>
        <w:tabs>
          <w:tab w:val="num" w:pos="3528"/>
        </w:tabs>
        <w:ind w:left="3528" w:hanging="360"/>
      </w:pPr>
      <w:rPr>
        <w:rFonts w:ascii="OpenSymbol" w:hAnsi="OpenSymbol" w:cs="OpenSymbol" w:hint="default"/>
        <w:b w:val="0"/>
        <w:bCs w:val="0"/>
        <w:sz w:val="24"/>
        <w:szCs w:val="24"/>
      </w:rPr>
    </w:lvl>
    <w:lvl w:ilvl="8">
      <w:start w:val="1"/>
      <w:numFmt w:val="bullet"/>
      <w:lvlText w:val="▪"/>
      <w:lvlJc w:val="left"/>
      <w:pPr>
        <w:tabs>
          <w:tab w:val="num" w:pos="3888"/>
        </w:tabs>
        <w:ind w:left="3888" w:hanging="360"/>
      </w:pPr>
      <w:rPr>
        <w:rFonts w:ascii="OpenSymbol" w:hAnsi="OpenSymbol" w:cs="OpenSymbol" w:hint="default"/>
        <w:b w:val="0"/>
        <w:bCs w:val="0"/>
        <w:sz w:val="24"/>
        <w:szCs w:val="24"/>
      </w:rPr>
    </w:lvl>
  </w:abstractNum>
  <w:abstractNum w:abstractNumId="17" w15:restartNumberingAfterBreak="0">
    <w:nsid w:val="6D2031B7"/>
    <w:multiLevelType w:val="multilevel"/>
    <w:tmpl w:val="6D2031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72E1770D"/>
    <w:multiLevelType w:val="multilevel"/>
    <w:tmpl w:val="F67ED58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9" w15:restartNumberingAfterBreak="0">
    <w:nsid w:val="76F27A20"/>
    <w:multiLevelType w:val="multilevel"/>
    <w:tmpl w:val="CCE0581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20" w15:restartNumberingAfterBreak="0">
    <w:nsid w:val="7F355921"/>
    <w:multiLevelType w:val="multilevel"/>
    <w:tmpl w:val="421C7DC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21" w15:restartNumberingAfterBreak="0">
    <w:nsid w:val="7FF52D1C"/>
    <w:multiLevelType w:val="multilevel"/>
    <w:tmpl w:val="2C9C20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806267101">
    <w:abstractNumId w:val="15"/>
  </w:num>
  <w:num w:numId="2" w16cid:durableId="439027920">
    <w:abstractNumId w:val="16"/>
  </w:num>
  <w:num w:numId="3" w16cid:durableId="1332098204">
    <w:abstractNumId w:val="18"/>
  </w:num>
  <w:num w:numId="4" w16cid:durableId="1590237149">
    <w:abstractNumId w:val="20"/>
  </w:num>
  <w:num w:numId="5" w16cid:durableId="351223214">
    <w:abstractNumId w:val="4"/>
  </w:num>
  <w:num w:numId="6" w16cid:durableId="230507848">
    <w:abstractNumId w:val="6"/>
  </w:num>
  <w:num w:numId="7" w16cid:durableId="260187650">
    <w:abstractNumId w:val="11"/>
  </w:num>
  <w:num w:numId="8" w16cid:durableId="1408765156">
    <w:abstractNumId w:val="10"/>
  </w:num>
  <w:num w:numId="9" w16cid:durableId="1006520165">
    <w:abstractNumId w:val="14"/>
  </w:num>
  <w:num w:numId="10" w16cid:durableId="2078818376">
    <w:abstractNumId w:val="19"/>
  </w:num>
  <w:num w:numId="11" w16cid:durableId="161774224">
    <w:abstractNumId w:val="8"/>
  </w:num>
  <w:num w:numId="12" w16cid:durableId="894004582">
    <w:abstractNumId w:val="12"/>
  </w:num>
  <w:num w:numId="13" w16cid:durableId="585958889">
    <w:abstractNumId w:val="13"/>
  </w:num>
  <w:num w:numId="14" w16cid:durableId="13306263">
    <w:abstractNumId w:val="3"/>
  </w:num>
  <w:num w:numId="15" w16cid:durableId="2022659673">
    <w:abstractNumId w:val="7"/>
  </w:num>
  <w:num w:numId="16" w16cid:durableId="519198821">
    <w:abstractNumId w:val="5"/>
  </w:num>
  <w:num w:numId="17" w16cid:durableId="1761947855">
    <w:abstractNumId w:val="0"/>
  </w:num>
  <w:num w:numId="18" w16cid:durableId="1381052189">
    <w:abstractNumId w:val="17"/>
  </w:num>
  <w:num w:numId="19" w16cid:durableId="1976790002">
    <w:abstractNumId w:val="21"/>
  </w:num>
  <w:num w:numId="20" w16cid:durableId="1973175086">
    <w:abstractNumId w:val="2"/>
  </w:num>
  <w:num w:numId="21" w16cid:durableId="1353650087">
    <w:abstractNumId w:val="1"/>
  </w:num>
  <w:num w:numId="22" w16cid:durableId="5516999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embedSystemFonts/>
  <w:defaultTabStop w:val="643"/>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3C"/>
    <w:rsid w:val="000C2660"/>
    <w:rsid w:val="00104DA5"/>
    <w:rsid w:val="002A4E30"/>
    <w:rsid w:val="007B64E4"/>
    <w:rsid w:val="008B2174"/>
    <w:rsid w:val="009B3C89"/>
    <w:rsid w:val="00A019AC"/>
    <w:rsid w:val="00A2575C"/>
    <w:rsid w:val="00BF4C3C"/>
    <w:rsid w:val="00F306C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779E"/>
  <w15:docId w15:val="{F919C9B9-EAD3-EC4E-83C2-0D226673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qFormat/>
    <w:rsid w:val="00692375"/>
    <w:pPr>
      <w:keepNext/>
      <w:keepLines/>
      <w:ind w:left="397" w:hanging="397"/>
      <w:outlineLvl w:val="0"/>
    </w:pPr>
    <w:rPr>
      <w:b/>
      <w:sz w:val="28"/>
      <w:lang w:eastAsia="en-US"/>
    </w:rPr>
  </w:style>
  <w:style w:type="paragraph" w:styleId="Heading2">
    <w:name w:val="heading 2"/>
    <w:basedOn w:val="Normal"/>
    <w:next w:val="BodyText"/>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70658048"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uiPriority w:val="99"/>
    <w:unhideWhenUsed/>
    <w:rsid w:val="003C5B4F"/>
    <w:pPr>
      <w:spacing w:line="240" w:lineRule="auto"/>
      <w:jc w:val="center"/>
    </w:pPr>
    <w:rPr>
      <w:rFonts w:ascii="Arial" w:hAnsi="Arial"/>
      <w:sz w:val="20"/>
    </w:rPr>
  </w:style>
  <w:style w:type="paragraph" w:styleId="Footer">
    <w:name w:val="footer"/>
    <w:basedOn w:val="Normal"/>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qFormat/>
    <w:pPr>
      <w:jc w:val="center"/>
    </w:pPr>
    <w:rPr>
      <w:bCs/>
      <w:sz w:val="48"/>
      <w:szCs w:val="56"/>
    </w:rPr>
  </w:style>
  <w:style w:type="paragraph" w:styleId="TableofFigures">
    <w:name w:val="table of figures"/>
    <w:basedOn w:val="Caption"/>
    <w:qFormat/>
  </w:style>
  <w:style w:type="paragraph" w:styleId="EndnoteText">
    <w:name w:val="endnote text"/>
    <w:basedOn w:val="Normal"/>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paragraph" w:customStyle="1" w:styleId="Affiliation">
    <w:name w:val="Affiliation"/>
    <w:rsid w:val="00A019AC"/>
    <w:pPr>
      <w:jc w:val="center"/>
    </w:pPr>
    <w:rPr>
      <w:rFonts w:eastAsia="SimSun"/>
      <w:lang w:eastAsia="zh-CN"/>
    </w:rPr>
  </w:style>
  <w:style w:type="paragraph" w:styleId="ListParagraph">
    <w:name w:val="List Paragraph"/>
    <w:basedOn w:val="Normal"/>
    <w:uiPriority w:val="34"/>
    <w:qFormat/>
    <w:rsid w:val="00A019AC"/>
    <w:pPr>
      <w:ind w:left="720"/>
      <w:contextualSpacing/>
    </w:pPr>
  </w:style>
  <w:style w:type="character" w:customStyle="1" w:styleId="apple-converted-space">
    <w:name w:val="apple-converted-space"/>
    <w:basedOn w:val="DefaultParagraphFont"/>
    <w:rsid w:val="00A019AC"/>
  </w:style>
  <w:style w:type="paragraph" w:customStyle="1" w:styleId="p1">
    <w:name w:val="p1"/>
    <w:basedOn w:val="Normal"/>
    <w:rsid w:val="00A019AC"/>
    <w:pPr>
      <w:suppressAutoHyphens w:val="0"/>
      <w:spacing w:before="100" w:beforeAutospacing="1" w:after="100" w:afterAutospacing="1" w:line="240" w:lineRule="auto"/>
      <w:jc w:val="left"/>
    </w:pPr>
    <w:rPr>
      <w:rFonts w:eastAsia="Times New Roman"/>
      <w:szCs w:val="24"/>
      <w:lang w:val="en-IN" w:eastAsia="en-GB"/>
    </w:rPr>
  </w:style>
  <w:style w:type="character" w:customStyle="1" w:styleId="s1">
    <w:name w:val="s1"/>
    <w:basedOn w:val="DefaultParagraphFont"/>
    <w:rsid w:val="00A019AC"/>
  </w:style>
  <w:style w:type="character" w:customStyle="1" w:styleId="s2">
    <w:name w:val="s2"/>
    <w:basedOn w:val="DefaultParagraphFont"/>
    <w:rsid w:val="00A019AC"/>
  </w:style>
  <w:style w:type="table" w:styleId="TableGridLight">
    <w:name w:val="Grid Table Light"/>
    <w:basedOn w:val="TableNormal"/>
    <w:uiPriority w:val="40"/>
    <w:rsid w:val="00104D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04D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104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3-030-73589-0_9" TargetMode="External"/><Relationship Id="rId18" Type="http://schemas.openxmlformats.org/officeDocument/2006/relationships/hyperlink" Target="https://doi.org/10.1177/0309524X1770773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j.renene.2010.04.017" TargetMode="External"/><Relationship Id="rId7" Type="http://schemas.openxmlformats.org/officeDocument/2006/relationships/hyperlink" Target="http://scipy.stats.rayleigh.fit/" TargetMode="External"/><Relationship Id="rId12" Type="http://schemas.openxmlformats.org/officeDocument/2006/relationships/hyperlink" Target="https://doi.org/10.1016/j.promfg.2019.02.277" TargetMode="External"/><Relationship Id="rId17" Type="http://schemas.openxmlformats.org/officeDocument/2006/relationships/hyperlink" Target="https://doi.org/10.1016/j.buildenv.2007.10.01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jweia.2008.02.050" TargetMode="External"/><Relationship Id="rId20" Type="http://schemas.openxmlformats.org/officeDocument/2006/relationships/hyperlink" Target="https://doi.org/10.1016/j.rser.2014.10.015"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weia.2011.02.006" TargetMode="External"/><Relationship Id="rId24" Type="http://schemas.openxmlformats.org/officeDocument/2006/relationships/hyperlink" Target="https://doi.org/10.32479/ijeep.1394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stor.org/stable/43749453" TargetMode="External"/><Relationship Id="rId23" Type="http://schemas.openxmlformats.org/officeDocument/2006/relationships/hyperlink" Target="https://doi.org/10.4157/grj1984b.63.98"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4236/epe.2016.8702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5152/electrica.2022.21096" TargetMode="External"/><Relationship Id="rId22" Type="http://schemas.openxmlformats.org/officeDocument/2006/relationships/hyperlink" Target="https://doi.org/10.1016/j.egyr.2020.11.259"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2875</Words>
  <Characters>16394</Characters>
  <Application>Microsoft Office Word</Application>
  <DocSecurity>0</DocSecurity>
  <Lines>136</Lines>
  <Paragraphs>38</Paragraphs>
  <ScaleCrop>false</ScaleCrop>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MEVIN M THOMAS</cp:lastModifiedBy>
  <cp:revision>3</cp:revision>
  <cp:lastPrinted>1900-12-31T18:29:50Z</cp:lastPrinted>
  <dcterms:created xsi:type="dcterms:W3CDTF">2026-03-30T11:37:00Z</dcterms:created>
  <dcterms:modified xsi:type="dcterms:W3CDTF">2026-05-05T13:06:00Z</dcterms:modified>
  <dc:language>en-US</dc:language>
</cp:coreProperties>
</file>