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line="276" w:lineRule="auto"/>
        <w:jc w:val="center"/>
      </w:pPr>
      <w:r>
        <w:rPr>
          <w:rFonts w:ascii="Times New Roman" w:cs="Times New Roman" w:eastAsia="Times New Roman" w:hAnsi="Times New Roman"/>
          <w:b w:val="false"/>
          <w:bCs w:val="false"/>
          <w:i w:val="false"/>
          <w:iCs w:val="false"/>
          <w:smallCaps w:val="false"/>
          <w:sz w:val="48"/>
          <w:szCs w:val="48"/>
        </w:rPr>
        <w:t xml:space="preserve">Smart Chatbots for Human Resources</w:t>
      </w:r>
    </w:p>
    <w:p>
      <w:pPr>
        <w:spacing w:before="0" w:after="120"/>
        <w:jc w:val="center"/>
      </w:pPr>
      <w:r>
        <w:rPr>
          <w:rFonts w:ascii="Times New Roman" w:cs="Times New Roman" w:eastAsia="Times New Roman" w:hAnsi="Times New Roman"/>
          <w:b w:val="false"/>
          <w:bCs w:val="false"/>
          <w:i/>
          <w:iCs/>
          <w:smallCaps w:val="false"/>
          <w:sz w:val="28"/>
          <w:szCs w:val="28"/>
        </w:rPr>
        <w:t xml:space="preserve">A Literature Review–Based Study</w:t>
      </w:r>
    </w:p>
    <w:tbl>
      <w:tblPr>
        <w:tblW w:type="dxa" w:w="10120"/>
        <w:tblBorders>
          <w:top w:val="none" w:color="FFFFFF" w:sz="0"/>
          <w:left w:val="none" w:color="FFFFFF" w:sz="0"/>
          <w:bottom w:val="none" w:color="FFFFFF" w:sz="0"/>
          <w:right w:val="none" w:color="FFFFFF" w:sz="0"/>
          <w:insideH w:val="single" w:color="auto" w:sz="4"/>
          <w:insideV w:val="single" w:color="auto" w:sz="4"/>
        </w:tblBorders>
      </w:tblPr>
      <w:tblGrid>
        <w:gridCol w:w="100"/>
        <w:gridCol w:w="100"/>
        <w:gridCol w:w="100"/>
      </w:tblGrid>
      <w:tr>
        <w:tc>
          <w:tcPr>
            <w:tcW w:type="dxa" w:w="3373"/>
            <w:tcBorders>
              <w:top w:val="none" w:color="FFFFFF" w:sz="0"/>
              <w:left w:val="none" w:color="FFFFFF" w:sz="0"/>
              <w:bottom w:val="none" w:color="FFFFFF" w:sz="0"/>
              <w:right w:val="none" w:color="FFFFFF" w:sz="0"/>
            </w:tcBorders>
          </w:tcPr>
          <w:p>
            <w:pPr>
              <w:spacing w:before="200" w:after="40"/>
              <w:jc w:val="center"/>
            </w:pPr>
            <w:r>
              <w:rPr>
                <w:rFonts w:ascii="Times New Roman" w:cs="Times New Roman" w:eastAsia="Times New Roman" w:hAnsi="Times New Roman"/>
                <w:b w:val="false"/>
                <w:bCs w:val="false"/>
                <w:i w:val="false"/>
                <w:iCs w:val="false"/>
                <w:smallCaps w:val="false"/>
                <w:sz w:val="22"/>
                <w:szCs w:val="22"/>
              </w:rPr>
              <w:t xml:space="preserve">Parth Mahendra Deorukhkar</w:t>
            </w:r>
          </w:p>
          <w:p>
            <w:pPr>
              <w:spacing w:before="0" w:after="0"/>
              <w:jc w:val="center"/>
            </w:pPr>
            <w:r>
              <w:rPr>
                <w:rFonts w:ascii="Times New Roman" w:cs="Times New Roman" w:eastAsia="Times New Roman" w:hAnsi="Times New Roman"/>
                <w:b w:val="false"/>
                <w:bCs w:val="false"/>
                <w:i/>
                <w:iCs/>
                <w:smallCaps w:val="false"/>
                <w:sz w:val="20"/>
                <w:szCs w:val="20"/>
              </w:rPr>
              <w:t xml:space="preserve">Dept. of Electronics and</w:t>
            </w:r>
          </w:p>
          <w:p>
            <w:pPr>
              <w:spacing w:before="0" w:after="0"/>
              <w:jc w:val="center"/>
            </w:pPr>
            <w:r>
              <w:rPr>
                <w:rFonts w:ascii="Times New Roman" w:cs="Times New Roman" w:eastAsia="Times New Roman" w:hAnsi="Times New Roman"/>
                <w:b w:val="false"/>
                <w:bCs w:val="false"/>
                <w:i/>
                <w:iCs/>
                <w:smallCaps w:val="false"/>
                <w:sz w:val="20"/>
                <w:szCs w:val="20"/>
              </w:rPr>
              <w:t xml:space="preserve">Telecommunications Engineering</w:t>
            </w:r>
          </w:p>
          <w:p>
            <w:pPr>
              <w:spacing w:before="0" w:after="0"/>
              <w:jc w:val="center"/>
            </w:pPr>
            <w:r>
              <w:rPr>
                <w:rFonts w:ascii="Times New Roman" w:cs="Times New Roman" w:eastAsia="Times New Roman" w:hAnsi="Times New Roman"/>
                <w:b w:val="false"/>
                <w:bCs w:val="false"/>
                <w:i/>
                <w:iCs/>
                <w:smallCaps w:val="false"/>
                <w:sz w:val="20"/>
                <w:szCs w:val="20"/>
              </w:rPr>
              <w:t xml:space="preserve">Thakur College of Engineering</w:t>
            </w:r>
          </w:p>
          <w:p>
            <w:pPr>
              <w:spacing w:before="0" w:after="0"/>
              <w:jc w:val="center"/>
            </w:pPr>
            <w:r>
              <w:rPr>
                <w:rFonts w:ascii="Times New Roman" w:cs="Times New Roman" w:eastAsia="Times New Roman" w:hAnsi="Times New Roman"/>
                <w:b w:val="false"/>
                <w:bCs w:val="false"/>
                <w:i/>
                <w:iCs/>
                <w:smallCaps w:val="false"/>
                <w:sz w:val="20"/>
                <w:szCs w:val="20"/>
              </w:rPr>
              <w:t xml:space="preserve">and Technology</w:t>
            </w:r>
          </w:p>
          <w:p>
            <w:pPr>
              <w:spacing w:before="0" w:after="0"/>
              <w:jc w:val="center"/>
            </w:pPr>
            <w:r>
              <w:rPr>
                <w:rFonts w:ascii="Times New Roman" w:cs="Times New Roman" w:eastAsia="Times New Roman" w:hAnsi="Times New Roman"/>
                <w:b w:val="false"/>
                <w:bCs w:val="false"/>
                <w:i w:val="false"/>
                <w:iCs w:val="false"/>
                <w:smallCaps w:val="false"/>
                <w:sz w:val="20"/>
                <w:szCs w:val="20"/>
              </w:rPr>
              <w:t xml:space="preserve">Mumbai, India</w:t>
            </w:r>
          </w:p>
          <w:p>
            <w:pPr>
              <w:spacing w:before="0" w:after="0"/>
              <w:jc w:val="center"/>
            </w:pPr>
            <w:r>
              <w:rPr>
                <w:rFonts w:ascii="Times New Roman" w:cs="Times New Roman" w:eastAsia="Times New Roman" w:hAnsi="Times New Roman"/>
                <w:b w:val="false"/>
                <w:bCs w:val="false"/>
                <w:i w:val="false"/>
                <w:iCs w:val="false"/>
                <w:smallCaps w:val="false"/>
                <w:sz w:val="20"/>
                <w:szCs w:val="20"/>
              </w:rPr>
              <w:t xml:space="preserve">1032221464@tcetmumbai.in</w:t>
            </w:r>
          </w:p>
        </w:tc>
        <w:tc>
          <w:tcPr>
            <w:tcW w:type="dxa" w:w="3373"/>
            <w:tcBorders>
              <w:top w:val="none" w:color="FFFFFF" w:sz="0"/>
              <w:left w:val="none" w:color="FFFFFF" w:sz="0"/>
              <w:bottom w:val="none" w:color="FFFFFF" w:sz="0"/>
              <w:right w:val="none" w:color="FFFFFF" w:sz="0"/>
            </w:tcBorders>
          </w:tcPr>
          <w:p>
            <w:pPr>
              <w:spacing w:before="200" w:after="40"/>
              <w:jc w:val="center"/>
            </w:pPr>
            <w:r>
              <w:rPr>
                <w:rFonts w:ascii="Times New Roman" w:cs="Times New Roman" w:eastAsia="Times New Roman" w:hAnsi="Times New Roman"/>
                <w:b w:val="false"/>
                <w:bCs w:val="false"/>
                <w:i w:val="false"/>
                <w:iCs w:val="false"/>
                <w:smallCaps w:val="false"/>
                <w:sz w:val="22"/>
                <w:szCs w:val="22"/>
              </w:rPr>
              <w:t xml:space="preserve">Gaurav Ajit Desai</w:t>
            </w:r>
          </w:p>
          <w:p>
            <w:pPr>
              <w:spacing w:before="0" w:after="0"/>
              <w:jc w:val="center"/>
            </w:pPr>
            <w:r>
              <w:rPr>
                <w:rFonts w:ascii="Times New Roman" w:cs="Times New Roman" w:eastAsia="Times New Roman" w:hAnsi="Times New Roman"/>
                <w:b w:val="false"/>
                <w:bCs w:val="false"/>
                <w:i/>
                <w:iCs/>
                <w:smallCaps w:val="false"/>
                <w:sz w:val="20"/>
                <w:szCs w:val="20"/>
              </w:rPr>
              <w:t xml:space="preserve">Dept. of Electronics and</w:t>
            </w:r>
          </w:p>
          <w:p>
            <w:pPr>
              <w:spacing w:before="0" w:after="0"/>
              <w:jc w:val="center"/>
            </w:pPr>
            <w:r>
              <w:rPr>
                <w:rFonts w:ascii="Times New Roman" w:cs="Times New Roman" w:eastAsia="Times New Roman" w:hAnsi="Times New Roman"/>
                <w:b w:val="false"/>
                <w:bCs w:val="false"/>
                <w:i/>
                <w:iCs/>
                <w:smallCaps w:val="false"/>
                <w:sz w:val="20"/>
                <w:szCs w:val="20"/>
              </w:rPr>
              <w:t xml:space="preserve">Telecommunications Engineering</w:t>
            </w:r>
          </w:p>
          <w:p>
            <w:pPr>
              <w:spacing w:before="0" w:after="0"/>
              <w:jc w:val="center"/>
            </w:pPr>
            <w:r>
              <w:rPr>
                <w:rFonts w:ascii="Times New Roman" w:cs="Times New Roman" w:eastAsia="Times New Roman" w:hAnsi="Times New Roman"/>
                <w:b w:val="false"/>
                <w:bCs w:val="false"/>
                <w:i/>
                <w:iCs/>
                <w:smallCaps w:val="false"/>
                <w:sz w:val="20"/>
                <w:szCs w:val="20"/>
              </w:rPr>
              <w:t xml:space="preserve">Thakur College of Engineering</w:t>
            </w:r>
          </w:p>
          <w:p>
            <w:pPr>
              <w:spacing w:before="0" w:after="0"/>
              <w:jc w:val="center"/>
            </w:pPr>
            <w:r>
              <w:rPr>
                <w:rFonts w:ascii="Times New Roman" w:cs="Times New Roman" w:eastAsia="Times New Roman" w:hAnsi="Times New Roman"/>
                <w:b w:val="false"/>
                <w:bCs w:val="false"/>
                <w:i/>
                <w:iCs/>
                <w:smallCaps w:val="false"/>
                <w:sz w:val="20"/>
                <w:szCs w:val="20"/>
              </w:rPr>
              <w:t xml:space="preserve">and Technology</w:t>
            </w:r>
          </w:p>
          <w:p>
            <w:pPr>
              <w:spacing w:before="0" w:after="0"/>
              <w:jc w:val="center"/>
            </w:pPr>
            <w:r>
              <w:rPr>
                <w:rFonts w:ascii="Times New Roman" w:cs="Times New Roman" w:eastAsia="Times New Roman" w:hAnsi="Times New Roman"/>
                <w:b w:val="false"/>
                <w:bCs w:val="false"/>
                <w:i w:val="false"/>
                <w:iCs w:val="false"/>
                <w:smallCaps w:val="false"/>
                <w:sz w:val="20"/>
                <w:szCs w:val="20"/>
              </w:rPr>
              <w:t xml:space="preserve">Mumbai, India</w:t>
            </w:r>
          </w:p>
          <w:p>
            <w:pPr>
              <w:spacing w:before="0" w:after="0"/>
              <w:jc w:val="center"/>
            </w:pPr>
            <w:r>
              <w:rPr>
                <w:rFonts w:ascii="Times New Roman" w:cs="Times New Roman" w:eastAsia="Times New Roman" w:hAnsi="Times New Roman"/>
                <w:b w:val="false"/>
                <w:bCs w:val="false"/>
                <w:i w:val="false"/>
                <w:iCs w:val="false"/>
                <w:smallCaps w:val="false"/>
                <w:sz w:val="20"/>
                <w:szCs w:val="20"/>
              </w:rPr>
              <w:t xml:space="preserve">1032221466@tcetmumbai.in</w:t>
            </w:r>
          </w:p>
        </w:tc>
        <w:tc>
          <w:tcPr>
            <w:tcW w:type="dxa" w:w="3374"/>
            <w:tcBorders>
              <w:top w:val="none" w:color="FFFFFF" w:sz="0"/>
              <w:left w:val="none" w:color="FFFFFF" w:sz="0"/>
              <w:bottom w:val="none" w:color="FFFFFF" w:sz="0"/>
              <w:right w:val="none" w:color="FFFFFF" w:sz="0"/>
            </w:tcBorders>
          </w:tcPr>
          <w:p>
            <w:pPr>
              <w:spacing w:before="200" w:after="40"/>
              <w:jc w:val="center"/>
            </w:pPr>
            <w:r>
              <w:rPr>
                <w:rFonts w:ascii="Times New Roman" w:cs="Times New Roman" w:eastAsia="Times New Roman" w:hAnsi="Times New Roman"/>
                <w:b w:val="false"/>
                <w:bCs w:val="false"/>
                <w:i w:val="false"/>
                <w:iCs w:val="false"/>
                <w:smallCaps w:val="false"/>
                <w:sz w:val="22"/>
                <w:szCs w:val="22"/>
              </w:rPr>
              <w:t xml:space="preserve">Soham Dhanaji Dhumal</w:t>
            </w:r>
          </w:p>
          <w:p>
            <w:pPr>
              <w:spacing w:before="0" w:after="0"/>
              <w:jc w:val="center"/>
            </w:pPr>
            <w:r>
              <w:rPr>
                <w:rFonts w:ascii="Times New Roman" w:cs="Times New Roman" w:eastAsia="Times New Roman" w:hAnsi="Times New Roman"/>
                <w:b w:val="false"/>
                <w:bCs w:val="false"/>
                <w:i/>
                <w:iCs/>
                <w:smallCaps w:val="false"/>
                <w:sz w:val="20"/>
                <w:szCs w:val="20"/>
              </w:rPr>
              <w:t xml:space="preserve">Dept. of Electronics and</w:t>
            </w:r>
          </w:p>
          <w:p>
            <w:pPr>
              <w:spacing w:before="0" w:after="0"/>
              <w:jc w:val="center"/>
            </w:pPr>
            <w:r>
              <w:rPr>
                <w:rFonts w:ascii="Times New Roman" w:cs="Times New Roman" w:eastAsia="Times New Roman" w:hAnsi="Times New Roman"/>
                <w:b w:val="false"/>
                <w:bCs w:val="false"/>
                <w:i/>
                <w:iCs/>
                <w:smallCaps w:val="false"/>
                <w:sz w:val="20"/>
                <w:szCs w:val="20"/>
              </w:rPr>
              <w:t xml:space="preserve">Telecommunications Engineering</w:t>
            </w:r>
          </w:p>
          <w:p>
            <w:pPr>
              <w:spacing w:before="0" w:after="0"/>
              <w:jc w:val="center"/>
            </w:pPr>
            <w:r>
              <w:rPr>
                <w:rFonts w:ascii="Times New Roman" w:cs="Times New Roman" w:eastAsia="Times New Roman" w:hAnsi="Times New Roman"/>
                <w:b w:val="false"/>
                <w:bCs w:val="false"/>
                <w:i/>
                <w:iCs/>
                <w:smallCaps w:val="false"/>
                <w:sz w:val="20"/>
                <w:szCs w:val="20"/>
              </w:rPr>
              <w:t xml:space="preserve">Thakur College of Engineering</w:t>
            </w:r>
          </w:p>
          <w:p>
            <w:pPr>
              <w:spacing w:before="0" w:after="0"/>
              <w:jc w:val="center"/>
            </w:pPr>
            <w:r>
              <w:rPr>
                <w:rFonts w:ascii="Times New Roman" w:cs="Times New Roman" w:eastAsia="Times New Roman" w:hAnsi="Times New Roman"/>
                <w:b w:val="false"/>
                <w:bCs w:val="false"/>
                <w:i/>
                <w:iCs/>
                <w:smallCaps w:val="false"/>
                <w:sz w:val="20"/>
                <w:szCs w:val="20"/>
              </w:rPr>
              <w:t xml:space="preserve">and Technology</w:t>
            </w:r>
          </w:p>
          <w:p>
            <w:pPr>
              <w:spacing w:before="0" w:after="0"/>
              <w:jc w:val="center"/>
            </w:pPr>
            <w:r>
              <w:rPr>
                <w:rFonts w:ascii="Times New Roman" w:cs="Times New Roman" w:eastAsia="Times New Roman" w:hAnsi="Times New Roman"/>
                <w:b w:val="false"/>
                <w:bCs w:val="false"/>
                <w:i w:val="false"/>
                <w:iCs w:val="false"/>
                <w:smallCaps w:val="false"/>
                <w:sz w:val="20"/>
                <w:szCs w:val="20"/>
              </w:rPr>
              <w:t xml:space="preserve">Mumbai, India</w:t>
            </w:r>
          </w:p>
          <w:p>
            <w:pPr>
              <w:spacing w:before="0" w:after="0"/>
              <w:jc w:val="center"/>
            </w:pPr>
            <w:r>
              <w:rPr>
                <w:rFonts w:ascii="Times New Roman" w:cs="Times New Roman" w:eastAsia="Times New Roman" w:hAnsi="Times New Roman"/>
                <w:b w:val="false"/>
                <w:bCs w:val="false"/>
                <w:i w:val="false"/>
                <w:iCs w:val="false"/>
                <w:smallCaps w:val="false"/>
                <w:sz w:val="20"/>
                <w:szCs w:val="20"/>
              </w:rPr>
              <w:t xml:space="preserve">1032221468@tcetmumbai.in</w:t>
            </w:r>
          </w:p>
        </w:tc>
      </w:tr>
    </w:tbl>
    <w:p>
      <w:pPr>
        <w:spacing w:after="160"/>
      </w:pPr>
      <w:r>
        <w:rPr>
          <w:rFonts w:ascii="Times New Roman" w:cs="Times New Roman" w:eastAsia="Times New Roman" w:hAnsi="Times New Roman"/>
          <w:b w:val="false"/>
          <w:bCs w:val="false"/>
          <w:i w:val="false"/>
          <w:iCs w:val="false"/>
          <w:smallCaps w:val="false"/>
          <w:sz w:val="20"/>
          <w:szCs w:val="20"/>
        </w:rPr>
        <w:t xml:space="preserve"/>
      </w:r>
    </w:p>
    <w:p>
      <w:pPr>
        <w:sectPr>
          <w:pgSz w:w="11906" w:h="16838" w:orient="portrait"/>
          <w:pgMar w:top="540" w:right="893" w:bottom="1440" w:left="893" w:header="0" w:footer="720" w:gutter="0"/>
          <w:pgNumType/>
          <w:docGrid w:linePitch="360"/>
        </w:sectPr>
      </w:pPr>
    </w:p>
    <w:p>
      <w:pPr>
        <w:spacing w:before="0" w:after="200" w:line="216" w:lineRule="auto"/>
        <w:ind w:firstLine="272"/>
        <w:jc w:val="both"/>
      </w:pPr>
      <w:r>
        <w:rPr>
          <w:rFonts w:ascii="Times New Roman" w:cs="Times New Roman" w:eastAsia="Times New Roman" w:hAnsi="Times New Roman"/>
          <w:b/>
          <w:bCs/>
          <w:i/>
          <w:iCs/>
          <w:smallCaps w:val="false"/>
          <w:sz w:val="18"/>
          <w:szCs w:val="18"/>
        </w:rPr>
        <w:t xml:space="preserve">Abstract—</w:t>
      </w:r>
      <w:r>
        <w:rPr>
          <w:rFonts w:ascii="Times New Roman" w:cs="Times New Roman" w:eastAsia="Times New Roman" w:hAnsi="Times New Roman"/>
          <w:b w:val="false"/>
          <w:bCs w:val="false"/>
          <w:i w:val="false"/>
          <w:iCs w:val="false"/>
          <w:smallCaps w:val="false"/>
          <w:sz w:val="18"/>
          <w:szCs w:val="18"/>
        </w:rPr>
        <w:t xml:space="preserve">The integration of Artificial Intelligence (AI)-powered chatbots into Human Resource Management (HRM) is progressively reshaping how organizations handle routine operations, candidate engagement, and staff support. Early HR chatbot systems were constrained to scripted responses for common policy inquiries, but the rapid advancement of Natural Language Processing (NLP) and Large Language Models (LLMs) has given rise to sophisticated conversational systems capable of dynamic interaction, tailored guidance, and seamless enterprise integration. While the advantages are substantial, deployment of HR chatbots also brings considerable challenges, including the potential for algorithmic bias, limited interpretability, data privacy vulnerabilities, and the risk of over-delegating sensitive personnel decisions to automated systems. Significantly, the EU AI Act classifies employment-related AI tools as high-risk applications, imposing strict compliance and oversight obligations.</w:t>
      </w:r>
    </w:p>
    <w:p>
      <w:pPr>
        <w:spacing w:before="0" w:after="120" w:line="216" w:lineRule="auto"/>
        <w:ind w:firstLine="274"/>
        <w:jc w:val="both"/>
      </w:pPr>
      <w:r>
        <w:rPr>
          <w:rFonts w:ascii="Times New Roman" w:cs="Times New Roman" w:eastAsia="Times New Roman" w:hAnsi="Times New Roman"/>
          <w:b w:val="false"/>
          <w:bCs w:val="false"/>
          <w:i/>
          <w:iCs/>
          <w:smallCaps w:val="false"/>
          <w:sz w:val="18"/>
          <w:szCs w:val="18"/>
        </w:rPr>
        <w:t xml:space="preserve">Keywords—</w:t>
      </w:r>
      <w:r>
        <w:rPr>
          <w:rFonts w:ascii="Times New Roman" w:cs="Times New Roman" w:eastAsia="Times New Roman" w:hAnsi="Times New Roman"/>
          <w:b w:val="false"/>
          <w:bCs w:val="false"/>
          <w:i/>
          <w:iCs/>
          <w:smallCaps w:val="false"/>
          <w:sz w:val="18"/>
          <w:szCs w:val="18"/>
        </w:rPr>
        <w:t xml:space="preserve">Human Resources, Chatbots, Generative AI, Recruitment, NLP, Large Language Models, Responsible AI.</w:t>
      </w:r>
    </w:p>
    <w:p>
      <w:pPr>
        <w:spacing w:before="160" w:after="80"/>
        <w:jc w:val="center"/>
      </w:pPr>
      <w:r>
        <w:rPr>
          <w:rFonts w:ascii="Times New Roman" w:cs="Times New Roman" w:eastAsia="Times New Roman" w:hAnsi="Times New Roman"/>
          <w:b/>
          <w:bCs/>
          <w:i w:val="false"/>
          <w:iCs w:val="false"/>
          <w:smallCaps/>
          <w:sz w:val="20"/>
          <w:szCs w:val="20"/>
        </w:rPr>
        <w:t xml:space="preserve">I. Introduction</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The accelerating digitalization of Human Resource Management (HRM) has been significantly shaped by the adoption of Artificial Intelligence (AI)-based tools. Among these, chatbots—software systems engineered to replicate human conversational behavior—have emerged as an increasingly influential instrument for both talent acquisition and employee support services. Modern HR chatbots are capable of screening applicants, organizing interview schedules, responding to policy-related questions, and guiding staff through onboarding activities. Unlike conventional HR web portals, these systems offer continuous availability, natural conversational interfaces, and a degree of personalization that measurably improves the experience of both candidates and employees [1], [3], [4].</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The global HR technology sector is forecasted to surpass USD 35 billion by 2030, with conversational AI identified as one of its principal growth drivers [1]. Enterprises of varying scale—from large multinationals to smaller firms—are deploying chatbots to manage high-volume interactions, such as processing thousands of job applications during active recruitment cycles or handling routine HR inquiries in geographically dispersed organizations [5].</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Empirical research has documented meaningful performance improvements, including shorter recruitment timelines, greater recruiter efficiency, and faster resolution of employee queries [3], [5], [6]. Nevertheless, enthusiasm for these technologies must be weighed against documented concerns, which include:</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Algorithmic discrimination, where evaluation outcomes may be skewed due to imbalanced training data or language and accent-related disparities [2], [14].</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Interpretability deficits, as many chatbot systems are unable to explain their reasoning, creating regulatory compliance difficulties [7].</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Data protection risks, given that HR systems store some of the most sensitive categories of personal information [11].</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Over-reliance on automation in high-stakes decisions such as promotions or disciplinary procedures, where contextual nuance is critical [15].</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Regulatory developments reflect these concerns. Under the EU AI Act (2024/2025), AI tools applied in employment and workforce management are formally categorized as high-risk, requiring comprehensive risk management, documentation, transparency, and human supervision [7], [8]. Complementary guidance is provided by the NIST AI Risk Management Framework [9], [10] and ISO/IEC 23894:2023 [11].</w:t>
      </w:r>
    </w:p>
    <w:p>
      <w:pPr>
        <w:spacing w:before="160" w:after="80"/>
        <w:jc w:val="center"/>
      </w:pPr>
      <w:r>
        <w:rPr>
          <w:rFonts w:ascii="Times New Roman" w:cs="Times New Roman" w:eastAsia="Times New Roman" w:hAnsi="Times New Roman"/>
          <w:b/>
          <w:bCs/>
          <w:i w:val="false"/>
          <w:iCs w:val="false"/>
          <w:smallCaps/>
          <w:sz w:val="20"/>
          <w:szCs w:val="20"/>
        </w:rPr>
        <w:t xml:space="preserve">II. Background &amp; Technical Foundations</w:t>
      </w:r>
    </w:p>
    <w:p>
      <w:pPr>
        <w:spacing w:before="120" w:after="60"/>
        <w:jc w:val="left"/>
      </w:pPr>
      <w:r>
        <w:rPr>
          <w:rFonts w:ascii="Times New Roman" w:cs="Times New Roman" w:eastAsia="Times New Roman" w:hAnsi="Times New Roman"/>
          <w:b/>
          <w:bCs/>
          <w:i/>
          <w:iCs/>
          <w:smallCaps w:val="false"/>
          <w:sz w:val="20"/>
          <w:szCs w:val="20"/>
        </w:rPr>
        <w:t xml:space="preserve">A. The Development of HR Chatbots Over Time</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HR chatbots have progressed through three distinct technological phases: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1) </w:t>
      </w:r>
      <w:r>
        <w:rPr>
          <w:rFonts w:ascii="Times New Roman" w:cs="Times New Roman" w:eastAsia="Times New Roman" w:hAnsi="Times New Roman"/>
          <w:b w:val="false"/>
          <w:bCs w:val="false"/>
          <w:i w:val="false"/>
          <w:iCs w:val="false"/>
          <w:smallCaps w:val="false"/>
          <w:sz w:val="20"/>
          <w:szCs w:val="20"/>
        </w:rPr>
        <w:t xml:space="preserve">Rule-Based Systems (pre-2015): The earliest HR chatbots functioned as structured FAQ systems, guiding users through fixed menus and keyword-matching rules. Their functionality depended on predefined decision trees rather than genuine linguistic understanding. Though limited in adaptability, these systems reliably served repetitive use cases such as answering questions about leave policies [4].</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2) </w:t>
      </w:r>
      <w:r>
        <w:rPr>
          <w:rFonts w:ascii="Times New Roman" w:cs="Times New Roman" w:eastAsia="Times New Roman" w:hAnsi="Times New Roman"/>
          <w:b w:val="false"/>
          <w:bCs w:val="false"/>
          <w:i w:val="false"/>
          <w:iCs w:val="false"/>
          <w:smallCaps w:val="false"/>
          <w:sz w:val="20"/>
          <w:szCs w:val="20"/>
        </w:rPr>
        <w:t xml:space="preserve">ML-Based NLP Systems (2015–2020): Advances in Natural Language Understanding (NLU) enabled classification of user intents and extraction of relevant parameters like dates or employee identifiers. Platforms including Dialogflow, Microsoft Bot Framework, and Rasa [18] enabled dynamic multi-turn dialogues and HRIS integration.</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3) </w:t>
      </w:r>
      <w:r>
        <w:rPr>
          <w:rFonts w:ascii="Times New Roman" w:cs="Times New Roman" w:eastAsia="Times New Roman" w:hAnsi="Times New Roman"/>
          <w:b w:val="false"/>
          <w:bCs w:val="false"/>
          <w:i w:val="false"/>
          <w:iCs w:val="false"/>
          <w:smallCaps w:val="false"/>
          <w:sz w:val="20"/>
          <w:szCs w:val="20"/>
        </w:rPr>
        <w:t xml:space="preserve">Transformer-Based and LLM-Powered Systems (2020–present): The introduction of transformer architectures [17] and models such as BERT and GPT has fundamentally transformed chatbot capabilities. Contemporary HR chatbots built on LLMs can handle previously unseen queries, produce contextually nuanced responses, and leverage retrieval-augmented generation (RAG) pipelines to anchor outputs in verified HR documentation [16].</w:t>
      </w:r>
    </w:p>
    <w:p>
      <w:pPr>
        <w:spacing w:before="120" w:after="60"/>
        <w:jc w:val="left"/>
      </w:pPr>
      <w:r>
        <w:rPr>
          <w:rFonts w:ascii="Times New Roman" w:cs="Times New Roman" w:eastAsia="Times New Roman" w:hAnsi="Times New Roman"/>
          <w:b/>
          <w:bCs/>
          <w:i/>
          <w:iCs/>
          <w:smallCaps w:val="false"/>
          <w:sz w:val="20"/>
          <w:szCs w:val="20"/>
        </w:rPr>
        <w:t xml:space="preserve">B. Natural Language Understanding (NLU) Pipeline</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A standard NLU pipeline for HR applications encompasses: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1) </w:t>
      </w:r>
      <w:r>
        <w:rPr>
          <w:rFonts w:ascii="Times New Roman" w:cs="Times New Roman" w:eastAsia="Times New Roman" w:hAnsi="Times New Roman"/>
          <w:b w:val="false"/>
          <w:bCs w:val="false"/>
          <w:i w:val="false"/>
          <w:iCs w:val="false"/>
          <w:smallCaps w:val="false"/>
          <w:sz w:val="20"/>
          <w:szCs w:val="20"/>
        </w:rPr>
        <w:t xml:space="preserve">Input Processing: Tokenization, stemming, and vector representation of HR queries.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2) </w:t>
      </w:r>
      <w:r>
        <w:rPr>
          <w:rFonts w:ascii="Times New Roman" w:cs="Times New Roman" w:eastAsia="Times New Roman" w:hAnsi="Times New Roman"/>
          <w:b w:val="false"/>
          <w:bCs w:val="false"/>
          <w:i w:val="false"/>
          <w:iCs w:val="false"/>
          <w:smallCaps w:val="false"/>
          <w:sz w:val="20"/>
          <w:szCs w:val="20"/>
        </w:rPr>
        <w:t xml:space="preserve">Intent Classification: Categorizing queries into domains such as leave, payroll, or benefits using fine-tuned classifiers achieving over 90% accuracy on enterprise HR datasets [17].</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3) </w:t>
      </w:r>
      <w:r>
        <w:rPr>
          <w:rFonts w:ascii="Times New Roman" w:cs="Times New Roman" w:eastAsia="Times New Roman" w:hAnsi="Times New Roman"/>
          <w:b w:val="false"/>
          <w:bCs w:val="false"/>
          <w:i w:val="false"/>
          <w:iCs w:val="false"/>
          <w:smallCaps w:val="false"/>
          <w:sz w:val="20"/>
          <w:szCs w:val="20"/>
        </w:rPr>
        <w:t xml:space="preserve">Entity Detection: Identifying specific parameters such as dates, employee IDs, or job titles using Named Entity Recognition (NER).</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4) </w:t>
      </w:r>
      <w:r>
        <w:rPr>
          <w:rFonts w:ascii="Times New Roman" w:cs="Times New Roman" w:eastAsia="Times New Roman" w:hAnsi="Times New Roman"/>
          <w:b w:val="false"/>
          <w:bCs w:val="false"/>
          <w:i w:val="false"/>
          <w:iCs w:val="false"/>
          <w:smallCaps w:val="false"/>
          <w:sz w:val="20"/>
          <w:szCs w:val="20"/>
        </w:rPr>
        <w:t xml:space="preserve">Dialogue Management: Maintaining conversational state to support multi-turn interactions, often using reinforcement learning-based dialogue managers [18].</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5) </w:t>
      </w:r>
      <w:r>
        <w:rPr>
          <w:rFonts w:ascii="Times New Roman" w:cs="Times New Roman" w:eastAsia="Times New Roman" w:hAnsi="Times New Roman"/>
          <w:b w:val="false"/>
          <w:bCs w:val="false"/>
          <w:i w:val="false"/>
          <w:iCs w:val="false"/>
          <w:smallCaps w:val="false"/>
          <w:sz w:val="20"/>
          <w:szCs w:val="20"/>
        </w:rPr>
        <w:t xml:space="preserve">Response Synthesis: Generating templated or dynamically composed responses, increasingly via RAG pipelines drawing on verified HR knowledge bases.</w:t>
      </w:r>
    </w:p>
    <w:p>
      <w:pPr>
        <w:spacing w:before="120" w:after="60"/>
        <w:jc w:val="left"/>
      </w:pPr>
      <w:r>
        <w:rPr>
          <w:rFonts w:ascii="Times New Roman" w:cs="Times New Roman" w:eastAsia="Times New Roman" w:hAnsi="Times New Roman"/>
          <w:b/>
          <w:bCs/>
          <w:i/>
          <w:iCs/>
          <w:smallCaps w:val="false"/>
          <w:sz w:val="20"/>
          <w:szCs w:val="20"/>
        </w:rPr>
        <w:t xml:space="preserve">C. Technical Architectures for HR Chatbots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1) </w:t>
      </w:r>
      <w:r>
        <w:rPr>
          <w:rFonts w:ascii="Times New Roman" w:cs="Times New Roman" w:eastAsia="Times New Roman" w:hAnsi="Times New Roman"/>
          <w:b w:val="false"/>
          <w:bCs w:val="false"/>
          <w:i w:val="false"/>
          <w:iCs w:val="false"/>
          <w:smallCaps w:val="false"/>
          <w:sz w:val="20"/>
          <w:szCs w:val="20"/>
        </w:rPr>
        <w:t xml:space="preserve">Rule-Based Dialogue Flow: Effective for structured workflows such as onboarding checklists, but inflexible.</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2) </w:t>
      </w:r>
      <w:r>
        <w:rPr>
          <w:rFonts w:ascii="Times New Roman" w:cs="Times New Roman" w:eastAsia="Times New Roman" w:hAnsi="Times New Roman"/>
          <w:b w:val="false"/>
          <w:bCs w:val="false"/>
          <w:i w:val="false"/>
          <w:iCs w:val="false"/>
          <w:smallCaps w:val="false"/>
          <w:sz w:val="20"/>
          <w:szCs w:val="20"/>
        </w:rPr>
        <w:t xml:space="preserve">NLU + Intent/Entity Model: Suited for HR helpdesks with predictable query categories; integrates with HRIS through APIs.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3) </w:t>
      </w:r>
      <w:r>
        <w:rPr>
          <w:rFonts w:ascii="Times New Roman" w:cs="Times New Roman" w:eastAsia="Times New Roman" w:hAnsi="Times New Roman"/>
          <w:b w:val="false"/>
          <w:bCs w:val="false"/>
          <w:i w:val="false"/>
          <w:iCs w:val="false"/>
          <w:smallCaps w:val="false"/>
          <w:sz w:val="20"/>
          <w:szCs w:val="20"/>
        </w:rPr>
        <w:t xml:space="preserve">LLM + RAG Hybrid (State of the Art): Balances generative fluency with factual grounding through retrieval from HR policy databases and compliance libraries.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4) </w:t>
      </w:r>
      <w:r>
        <w:rPr>
          <w:rFonts w:ascii="Times New Roman" w:cs="Times New Roman" w:eastAsia="Times New Roman" w:hAnsi="Times New Roman"/>
          <w:b w:val="false"/>
          <w:bCs w:val="false"/>
          <w:i w:val="false"/>
          <w:iCs w:val="false"/>
          <w:smallCaps w:val="false"/>
          <w:sz w:val="20"/>
          <w:szCs w:val="20"/>
        </w:rPr>
        <w:t xml:space="preserve">Multimodal Systems: Emerging platforms supporting voice and text input, incorporating automatic speech recognition (ASR) and sentiment detection [16].</w:t>
      </w:r>
    </w:p>
    <w:p>
      <w:pPr>
        <w:spacing w:before="120" w:after="60"/>
        <w:jc w:val="left"/>
      </w:pPr>
      <w:r>
        <w:rPr>
          <w:rFonts w:ascii="Times New Roman" w:cs="Times New Roman" w:eastAsia="Times New Roman" w:hAnsi="Times New Roman"/>
          <w:b/>
          <w:bCs/>
          <w:i/>
          <w:iCs/>
          <w:smallCaps w:val="false"/>
          <w:sz w:val="20"/>
          <w:szCs w:val="20"/>
        </w:rPr>
        <w:t xml:space="preserve">D. Integration with HR Systems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Modern HR chatbots operate in conjunction with a range of organizational platforms: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HRIS platforms for payroll, leave records, and employee data.</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Applicant Tracking Systems (ATS) for candidate pipelines and resume screening.</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Collaboration platforms such as Microsoft Teams or Slack for omnichannel support.</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Identity management systems using single sign-on (SSO) for secure data access.</w:t>
      </w:r>
    </w:p>
    <w:p>
      <w:pPr>
        <w:spacing w:before="120" w:after="60"/>
        <w:jc w:val="left"/>
      </w:pPr>
      <w:r>
        <w:rPr>
          <w:rFonts w:ascii="Times New Roman" w:cs="Times New Roman" w:eastAsia="Times New Roman" w:hAnsi="Times New Roman"/>
          <w:b/>
          <w:bCs/>
          <w:i/>
          <w:iCs/>
          <w:smallCaps w:val="false"/>
          <w:sz w:val="20"/>
          <w:szCs w:val="20"/>
        </w:rPr>
        <w:t xml:space="preserve">E. Security and Privacy Considerations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Because HR chatbots process highly sensitive personal data, security must be an integral design consideration:</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Data minimization: Restricting queries to only operationally necessary fields.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Encryption: TLS 1.3 for data in transit; AES-256 for stored data.</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Anonymization: Removing PII prior to using interaction logs for model training.</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Adversarial defense: Protecting against prompt injection, model inversion, and data poisoning.</w:t>
      </w:r>
    </w:p>
    <w:p>
      <w:pPr>
        <w:spacing w:before="120" w:after="60"/>
        <w:jc w:val="left"/>
      </w:pPr>
      <w:r>
        <w:rPr>
          <w:rFonts w:ascii="Times New Roman" w:cs="Times New Roman" w:eastAsia="Times New Roman" w:hAnsi="Times New Roman"/>
          <w:b/>
          <w:bCs/>
          <w:i/>
          <w:iCs/>
          <w:smallCaps w:val="false"/>
          <w:sz w:val="20"/>
          <w:szCs w:val="20"/>
        </w:rPr>
        <w:t xml:space="preserve">F. HR-Specific NLP Challenges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HR chatbots encounter unique linguistic and contextual challenges including:</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Industry-specific terminology such as provident fund contributions, gratuity, and leave travel allowances.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Multilingual requirements, particularly in India where queries may span English and regional languages.</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Accent variation in voice-enabled interview systems requiring fair processing of diverse speech patterns [14].</w:t>
      </w:r>
    </w:p>
    <w:p>
      <w:pPr>
        <w:spacing w:before="0" w:after="0" w:line="228" w:lineRule="auto"/>
        <w:ind w:left="576" w:hanging="288"/>
        <w:jc w:val="both"/>
      </w:pPr>
      <w:r>
        <w:rPr>
          <w:rFonts w:ascii="Times New Roman" w:cs="Times New Roman" w:eastAsia="Times New Roman" w:hAnsi="Times New Roman"/>
          <w:b w:val="false"/>
          <w:bCs w:val="false"/>
          <w:i w:val="false"/>
          <w:iCs w:val="false"/>
          <w:smallCaps w:val="false"/>
          <w:sz w:val="20"/>
          <w:szCs w:val="20"/>
        </w:rPr>
        <w:t xml:space="preserve">• </w:t>
      </w:r>
      <w:r>
        <w:rPr>
          <w:rFonts w:ascii="Times New Roman" w:cs="Times New Roman" w:eastAsia="Times New Roman" w:hAnsi="Times New Roman"/>
          <w:b w:val="false"/>
          <w:bCs w:val="false"/>
          <w:i w:val="false"/>
          <w:iCs w:val="false"/>
          <w:smallCaps w:val="false"/>
          <w:sz w:val="20"/>
          <w:szCs w:val="20"/>
        </w:rPr>
        <w:t xml:space="preserve">Legal precision in sensitive domains such as leave entitlements and grievance handling.</w:t>
      </w:r>
    </w:p>
    <w:p>
      <w:pPr>
        <w:spacing w:before="160" w:after="80"/>
        <w:jc w:val="center"/>
      </w:pPr>
      <w:r>
        <w:rPr>
          <w:rFonts w:ascii="Times New Roman" w:cs="Times New Roman" w:eastAsia="Times New Roman" w:hAnsi="Times New Roman"/>
          <w:b/>
          <w:bCs/>
          <w:i w:val="false"/>
          <w:iCs w:val="false"/>
          <w:smallCaps/>
          <w:sz w:val="20"/>
          <w:szCs w:val="20"/>
        </w:rPr>
        <w:t xml:space="preserve">III. Literature Review (2019–2025)</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Scholarly work on HR chatbots has grown substantially in recent years, encompassing adoption behavior, performance outcomes, user perception, and ethical and compliance risks. The following subsections synthesize key findings from global and context-specific research.</w:t>
      </w:r>
    </w:p>
    <w:p>
      <w:pPr>
        <w:spacing w:before="120" w:after="60"/>
        <w:jc w:val="left"/>
      </w:pPr>
      <w:r>
        <w:rPr>
          <w:rFonts w:ascii="Times New Roman" w:cs="Times New Roman" w:eastAsia="Times New Roman" w:hAnsi="Times New Roman"/>
          <w:b/>
          <w:bCs/>
          <w:i/>
          <w:iCs/>
          <w:smallCaps w:val="false"/>
          <w:sz w:val="20"/>
          <w:szCs w:val="20"/>
        </w:rPr>
        <w:t xml:space="preserve">A. Patterns of Global Adoption</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The deployment of AI chatbots in HR reflects broader enterprise digitalization strategies. Research by Nawaz et al. [1] indicates that organizations are increasingly deploying conversational agents to manage high-volume, repetitive HR functions including candidate outreach, scheduling, and routine employee inquiries. In North American and European contexts, large organizations treat chatbots as essential infrastructure for managing distributed teams [4]. In emerging economies such as India, adoption is driven by the need to handle exceptionally high applicant volumes during mass hiring campaigns [6].</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Small and mid-sized enterprises (SMEs) have historically approached chatbot adoption more cautiously, primarily due to concerns about deployment costs and system integration complexity [3]. However, cloud-hosted chatbot-as-a-service solutions have substantially lowered these barriers, enabling SMEs to implement pre-configured systems through platforms such as Microsoft Teams and Slack [18].</w:t>
      </w:r>
    </w:p>
    <w:p>
      <w:pPr>
        <w:spacing w:before="120" w:after="60"/>
        <w:jc w:val="left"/>
      </w:pPr>
      <w:r>
        <w:rPr>
          <w:rFonts w:ascii="Times New Roman" w:cs="Times New Roman" w:eastAsia="Times New Roman" w:hAnsi="Times New Roman"/>
          <w:b/>
          <w:bCs/>
          <w:i/>
          <w:iCs/>
          <w:smallCaps w:val="false"/>
          <w:sz w:val="20"/>
          <w:szCs w:val="20"/>
        </w:rPr>
        <w:t xml:space="preserve">B. Chatbots in Recruitment Processes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Recruitment automation represents one of the most extensively studied HR chatbot applications. Nahid et al. [5] report that chatbots measurably reduce recruitment timelines by automating resume screening, candidate FAQ responses, and interview coordination. Candidate satisfaction is generally higher when chatbots provide real-time responses compared to asynchronous email-based communications.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Bittner et al. [2] document algorithm aversion—a tendency among candidates and recruiters to distrust chatbot recommendations in screening contexts. This reluctance decreases when systems are transparent about limitations and human oversight is retained. A qualitative study from India [6] found that while recruiters acknowledge efficiency benefits, chatbots are perceived as inadequate for senior or specialized roles demanding nuanced, relationship-oriented engagement.</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Bias in recruitment chatbots has received significant scholarly attention. Reports indicate that AI-driven interview tools may unfairly disadvantage candidates with non-native accents or atypical speech patterns [14]. The research consensus is that fairness depends on training data representativeness and the capacity to audit model behavior [2], [13].</w:t>
      </w:r>
    </w:p>
    <w:p>
      <w:pPr>
        <w:spacing w:before="80" w:after="40"/>
        <w:jc w:val="center"/>
      </w:pPr>
      <w:r>
        <w:drawing>
          <wp:inline distT="0" distB="0" distL="0" distR="0">
            <wp:extent cx="2095500" cy="1114425"/>
            <wp:effectExtent t="0" r="0" b="0" l="0"/>
            <wp:docPr id="1" name="fig1" descr="HR Automation System – AI-powered Shortlisting Management interface." title="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0" cy="1114425"/>
                    </a:xfrm>
                    <a:prstGeom prst="rect">
                      <a:avLst/>
                    </a:prstGeom>
                  </pic:spPr>
                </pic:pic>
              </a:graphicData>
            </a:graphic>
          </wp:inline>
        </w:drawing>
      </w:r>
    </w:p>
    <w:p>
      <w:pPr>
        <w:spacing w:before="80" w:after="200"/>
        <w:jc w:val="both"/>
      </w:pPr>
      <w:r>
        <w:rPr>
          <w:rFonts w:ascii="Times New Roman" w:cs="Times New Roman" w:eastAsia="Times New Roman" w:hAnsi="Times New Roman"/>
          <w:b w:val="false"/>
          <w:bCs w:val="false"/>
          <w:i w:val="false"/>
          <w:iCs w:val="false"/>
          <w:smallCaps w:val="false"/>
          <w:sz w:val="16"/>
          <w:szCs w:val="16"/>
        </w:rPr>
        <w:t xml:space="preserve">Fig. 1.  HR Automation System – AI-powered Shortlisting Management interface.</w:t>
      </w:r>
    </w:p>
    <w:p>
      <w:pPr>
        <w:spacing w:before="80" w:after="40"/>
        <w:jc w:val="center"/>
      </w:pPr>
      <w:r>
        <w:drawing>
          <wp:inline distT="0" distB="0" distL="0" distR="0">
            <wp:extent cx="2095500" cy="1114425"/>
            <wp:effectExtent t="0" r="0" b="0" l="0"/>
            <wp:docPr id="1" name="fig2" descr="HR Automation System – Interview Scheduling module." title="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0" cy="1114425"/>
                    </a:xfrm>
                    <a:prstGeom prst="rect">
                      <a:avLst/>
                    </a:prstGeom>
                  </pic:spPr>
                </pic:pic>
              </a:graphicData>
            </a:graphic>
          </wp:inline>
        </w:drawing>
      </w:r>
    </w:p>
    <w:p>
      <w:pPr>
        <w:spacing w:before="80" w:after="200"/>
        <w:jc w:val="both"/>
      </w:pPr>
      <w:r>
        <w:rPr>
          <w:rFonts w:ascii="Times New Roman" w:cs="Times New Roman" w:eastAsia="Times New Roman" w:hAnsi="Times New Roman"/>
          <w:b w:val="false"/>
          <w:bCs w:val="false"/>
          <w:i w:val="false"/>
          <w:iCs w:val="false"/>
          <w:smallCaps w:val="false"/>
          <w:sz w:val="16"/>
          <w:szCs w:val="16"/>
        </w:rPr>
        <w:t xml:space="preserve">Fig. 2.  HR Automation System – Interview Scheduling module.</w:t>
      </w:r>
    </w:p>
    <w:p>
      <w:pPr>
        <w:spacing w:before="120" w:after="60"/>
        <w:jc w:val="left"/>
      </w:pPr>
      <w:r>
        <w:rPr>
          <w:rFonts w:ascii="Times New Roman" w:cs="Times New Roman" w:eastAsia="Times New Roman" w:hAnsi="Times New Roman"/>
          <w:b/>
          <w:bCs/>
          <w:i/>
          <w:iCs/>
          <w:smallCaps w:val="false"/>
          <w:sz w:val="20"/>
          <w:szCs w:val="20"/>
        </w:rPr>
        <w:t xml:space="preserve">C. Candidate Experiences and Perceptions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Candidates generally perceive chatbots favorably for handling routine inquiries such as checking application status or eligibility criteria [5]. Among digitally native applicants, interacting with chatbots is considered natural, and many prefer the speed of chatbot responses over waiting for recruiter availability [3].</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Perceptions shift negatively when candidates learn that chatbots are involved in evaluative decisions such as resume ranking or shortlisting. Bittner et al. [2] report that candidates frequently express frustration with opacity—the inability to understand why a decision was made or to request a review. Cultural context also plays a role: in collectivist societies, candidates may prefer human interaction as a signal of organizational commitment [6].</w:t>
      </w:r>
    </w:p>
    <w:p>
      <w:pPr>
        <w:spacing w:before="120" w:after="60"/>
        <w:jc w:val="left"/>
      </w:pPr>
      <w:r>
        <w:rPr>
          <w:rFonts w:ascii="Times New Roman" w:cs="Times New Roman" w:eastAsia="Times New Roman" w:hAnsi="Times New Roman"/>
          <w:b/>
          <w:bCs/>
          <w:i/>
          <w:iCs/>
          <w:smallCaps w:val="false"/>
          <w:sz w:val="20"/>
          <w:szCs w:val="20"/>
        </w:rPr>
        <w:t xml:space="preserve">D. Employee Self-Service and Internal Support</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Beyond recruitment, chatbots have shown utility in internal HR functions. Septiani et al. [4] report that chatbot deployment reduces HR helpdesk workloads by resolving repetitive queries related to leave management, benefits, and policy clarification. Employees in large organizations value round-the-clock access, especially across different time zones.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A recurring concern is employee frustration when chatbots fail to escalate complex or emotionally sensitive queries to human representatives. This supports the conclusion that optimal HR chatbot deployment involves a hybrid service model, where automated systems manage routine tasks while human agents remain available for nuanced situations [11].</w:t>
      </w:r>
    </w:p>
    <w:p>
      <w:pPr>
        <w:spacing w:before="120" w:after="60"/>
        <w:jc w:val="left"/>
      </w:pPr>
      <w:r>
        <w:rPr>
          <w:rFonts w:ascii="Times New Roman" w:cs="Times New Roman" w:eastAsia="Times New Roman" w:hAnsi="Times New Roman"/>
          <w:b/>
          <w:bCs/>
          <w:i/>
          <w:iCs/>
          <w:smallCaps w:val="false"/>
          <w:sz w:val="20"/>
          <w:szCs w:val="20"/>
        </w:rPr>
        <w:t xml:space="preserve">E. Organizational Outcomes and ROI</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Sharma et al. [3] identify measurable reductions in recruitment cycle times and onboarding duration, with certain case studies reporting time-to-hire reductions of up to 30%. HR teams are additionally able to redirect capacity from administrative work toward strategic workforce planning.</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However, return on investment is not guaranteed. Septiani et al. [4] caution that chatbot effectiveness is heavily dependent on content quality, HRIS integration depth, and commitment to ongoing maintenance. Outdated knowledge bases erode employee trust and drive reversion to traditional HR channels. The computational costs of maintaining LLM-powered systems can also offset efficiency gains in the absence of sufficient scale.</w:t>
      </w:r>
    </w:p>
    <w:p>
      <w:pPr>
        <w:spacing w:before="120" w:after="60"/>
        <w:jc w:val="left"/>
      </w:pPr>
      <w:r>
        <w:rPr>
          <w:rFonts w:ascii="Times New Roman" w:cs="Times New Roman" w:eastAsia="Times New Roman" w:hAnsi="Times New Roman"/>
          <w:b/>
          <w:bCs/>
          <w:i/>
          <w:iCs/>
          <w:smallCaps w:val="false"/>
          <w:sz w:val="20"/>
          <w:szCs w:val="20"/>
        </w:rPr>
        <w:t xml:space="preserve">F. Risks Highlighted in Literature</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Three categories of risk receive consistent emphasis across the literature: algorithmic bias [2], [14], limited explainability [8], and data security vulnerabilities [11]. HR chatbots, by virtue of accessing employee and candidate records, become targets for cyberattacks and adversarial inputs. Qualitative research additionally highlights the risk of employee alienation when sensitive HR interactions—such as performance reviews or grievance processes—are managed exclusively by automated systems [15].</w:t>
      </w:r>
    </w:p>
    <w:p>
      <w:pPr>
        <w:spacing w:before="120" w:after="60"/>
        <w:jc w:val="left"/>
      </w:pPr>
      <w:r>
        <w:rPr>
          <w:rFonts w:ascii="Times New Roman" w:cs="Times New Roman" w:eastAsia="Times New Roman" w:hAnsi="Times New Roman"/>
          <w:b/>
          <w:bCs/>
          <w:i/>
          <w:iCs/>
          <w:smallCaps w:val="false"/>
          <w:sz w:val="20"/>
          <w:szCs w:val="20"/>
        </w:rPr>
        <w:t xml:space="preserve">G. Regional Perspectives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In the United States and Europe, chatbot deployment is shaped by regulatory compliance, particularly GDPR alignment [8]. In Asia-Pacific markets, adoption is driven by the need to manage large applicant volumes efficiently [6]. In Australia, public discourse has been marked by concerns about discriminatory outcomes and regulatory gaps [14]. This diversity underscores that HR chatbot strategies must be tailored to regional environments, cultural norms, and labor market conditions.</w:t>
      </w:r>
    </w:p>
    <w:p>
      <w:pPr>
        <w:spacing w:before="120" w:after="60"/>
        <w:jc w:val="left"/>
      </w:pPr>
      <w:r>
        <w:rPr>
          <w:rFonts w:ascii="Times New Roman" w:cs="Times New Roman" w:eastAsia="Times New Roman" w:hAnsi="Times New Roman"/>
          <w:b/>
          <w:bCs/>
          <w:i/>
          <w:iCs/>
          <w:smallCaps w:val="false"/>
          <w:sz w:val="20"/>
          <w:szCs w:val="20"/>
        </w:rPr>
        <w:t xml:space="preserve">H. Cross-Sector Comparisons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Insights from healthcare [9], [13] and education [17] offer valuable comparative learnings for HR chatbot research. In both sectors, conversational agents prove most effective when narrowly scoped, regularly updated, and rigorously evaluated for usability. These parallels support the conclusion that domain-specific model fine-tuning and content governance are universal prerequisites for effective deployment.</w:t>
      </w:r>
    </w:p>
    <w:p>
      <w:pPr>
        <w:spacing w:before="160" w:after="80"/>
        <w:jc w:val="center"/>
      </w:pPr>
      <w:r>
        <w:rPr>
          <w:rFonts w:ascii="Times New Roman" w:cs="Times New Roman" w:eastAsia="Times New Roman" w:hAnsi="Times New Roman"/>
          <w:b/>
          <w:bCs/>
          <w:i w:val="false"/>
          <w:iCs w:val="false"/>
          <w:smallCaps/>
          <w:sz w:val="20"/>
          <w:szCs w:val="20"/>
        </w:rPr>
        <w:t xml:space="preserve">IV. Result Discussion and Analysis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The findings synthesized from the literature collectively affirm the transformative potential of AI-powered HR chatbots across recruitment, onboarding, employee self-service, and performance management. Studies consistently document improvements in operational efficiency, cost reduction, and user satisfaction [6], [9], [11]. Recruitment-focused research demonstrates marked reductions in time-to-hire, while onboarding studies report better knowledge retention among newly hired staff [10], [13]. A unifying theme is that automation of routine HR tasks frees professionals to concentrate on higher-order responsibilities—consistent with the broader trajectory of digital HRM transformation [2].</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Comparative analysis across use cases reveals persistent constraints. While employee self-service chatbots resolve approximately 70% of incoming queries [7], they consistently struggle with context-sensitive or emotionally complex requests, leading to user frustration [5]. Performance management chatbots, while effective at increasing feedback interaction frequency [14], are limited in processing qualitative data—a shortcoming attributable to current constraints in natural language understanding. This suggests chatbot value is most pronounced in transactional HR domains, while strategic and relational HR functions continue to require significant human involvement [4].</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Trust and data privacy constitute another critical dimension. Research consistently indicates that employees are reluctant to share sensitive matters—such as personal grievances or health-related leave—through chatbot interfaces [15]. This caution stems from insufficient transparency regarding how interaction data is stored, processed, and potentially used in performance evaluations. While technical advances such as RAG pipelines [16] and multilingual embeddings [18] have improved response accuracy, they do not inherently address the psychological and ethical dimensions of user trust.</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From a technical standpoint, transformer-based NLP architectures—particularly BERT and GPT variants—have materially advanced intent classification and contextual understanding [17]. However, the substantial data requirements of these models introduce cost and bias risks, particularly when training datasets are unrepresentative of the intended user population [12]. Despite growing interest in bias mitigation techniques and explainable AI (XAI), their practical integration into deployed HR chatbot systems remains nascent [12], [17].</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Regional patterns further illustrate the importance of context-sensitive design. Organizations in North America and Europe prioritize candidate experience and workforce engagement [2], whereas multilingual functionality is the primary concern in Asia-Pacific deployments [18]. Middle Eastern and Latin American organizations tend to adopt chatbots primarily for cost reduction in HR service operations [19], [20].</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A significant gap in the literature concerns longitudinal outcomes. The overwhelming majority of existing studies focus on short-term performance metrics without examining sustained organizational impact. It remains unclear whether chatbot-facilitated onboarding translates into lasting employee engagement or whether recruitment chatbots improve long-term workforce quality. Addressing this gap will require multi-year case studies and integration of chatbot performance into broader HR analytics frameworks [14], [16].</w:t>
      </w:r>
    </w:p>
    <w:p>
      <w:pPr>
        <w:spacing w:before="80" w:after="40"/>
        <w:jc w:val="center"/>
      </w:pPr>
      <w:r>
        <w:drawing>
          <wp:inline distT="0" distB="0" distL="0" distR="0">
            <wp:extent cx="2095500" cy="1114425"/>
            <wp:effectExtent t="0" r="0" b="0" l="0"/>
            <wp:docPr id="1" name="fig3" descr="HR Automation System – Resume Upload and candidate registration interface." title="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0" cy="1114425"/>
                    </a:xfrm>
                    <a:prstGeom prst="rect">
                      <a:avLst/>
                    </a:prstGeom>
                  </pic:spPr>
                </pic:pic>
              </a:graphicData>
            </a:graphic>
          </wp:inline>
        </w:drawing>
      </w:r>
    </w:p>
    <w:p>
      <w:pPr>
        <w:spacing w:before="80" w:after="200"/>
        <w:jc w:val="both"/>
      </w:pPr>
      <w:r>
        <w:rPr>
          <w:rFonts w:ascii="Times New Roman" w:cs="Times New Roman" w:eastAsia="Times New Roman" w:hAnsi="Times New Roman"/>
          <w:b w:val="false"/>
          <w:bCs w:val="false"/>
          <w:i w:val="false"/>
          <w:iCs w:val="false"/>
          <w:smallCaps w:val="false"/>
          <w:sz w:val="16"/>
          <w:szCs w:val="16"/>
        </w:rPr>
        <w:t xml:space="preserve">Fig. 3.  HR Automation System – Resume Upload and candidate registration interface.</w:t>
      </w:r>
    </w:p>
    <w:p>
      <w:pPr>
        <w:spacing w:before="80" w:after="40"/>
        <w:jc w:val="center"/>
      </w:pPr>
      <w:r>
        <w:drawing>
          <wp:inline distT="0" distB="0" distL="0" distR="0">
            <wp:extent cx="2095500" cy="1114425"/>
            <wp:effectExtent t="0" r="0" b="0" l="0"/>
            <wp:docPr id="1" name="fig4" descr="HR Automation System – AI-driven candidate evaluation and scoring interface." title="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095500" cy="1114425"/>
                    </a:xfrm>
                    <a:prstGeom prst="rect">
                      <a:avLst/>
                    </a:prstGeom>
                  </pic:spPr>
                </pic:pic>
              </a:graphicData>
            </a:graphic>
          </wp:inline>
        </w:drawing>
      </w:r>
    </w:p>
    <w:p>
      <w:pPr>
        <w:spacing w:before="80" w:after="200"/>
        <w:jc w:val="both"/>
      </w:pPr>
      <w:r>
        <w:rPr>
          <w:rFonts w:ascii="Times New Roman" w:cs="Times New Roman" w:eastAsia="Times New Roman" w:hAnsi="Times New Roman"/>
          <w:b w:val="false"/>
          <w:bCs w:val="false"/>
          <w:i w:val="false"/>
          <w:iCs w:val="false"/>
          <w:smallCaps w:val="false"/>
          <w:sz w:val="16"/>
          <w:szCs w:val="16"/>
        </w:rPr>
        <w:t xml:space="preserve">Fig. 4.  HR Automation System – AI-driven candidate evaluation and scoring interface.</w:t>
      </w:r>
    </w:p>
    <w:p>
      <w:pPr>
        <w:spacing w:before="160" w:after="80"/>
        <w:jc w:val="center"/>
      </w:pPr>
      <w:r>
        <w:rPr>
          <w:rFonts w:ascii="Times New Roman" w:cs="Times New Roman" w:eastAsia="Times New Roman" w:hAnsi="Times New Roman"/>
          <w:b/>
          <w:bCs/>
          <w:i w:val="false"/>
          <w:iCs w:val="false"/>
          <w:smallCaps/>
          <w:sz w:val="20"/>
          <w:szCs w:val="20"/>
        </w:rPr>
        <w:t xml:space="preserve">V. Future Research Directions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The existing body of research on HR chatbots reflects meaningful progress in task automation and service delivery, but numerous substantive questions warrant further investigation. Future inquiry must address both the technical advancement of AI systems and the organizational and ethical conditions necessary for responsible HR chatbot deployment.</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On the technical side, there is a pressing need for domain-adapted NLP models specifically trained on anonymized HR datasets. Although transformer architectures such as BERT, RoBERTa, and GPT have significantly advanced intent recognition and contextual comprehension [16], [17], they continue to struggle with specialized HR vocabulary and nuanced employee queries. The development of HR-specific language models, combined with RAG and knowledge graph-based reasoning [16], could produce systems that offer both conversational fluency and grounded factual accuracy.</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Addressing algorithmic bias and improving fairness in recruitment and performance evaluation systems also represent urgent research priorities. Studies demonstrate that biased training data can systematically disadvantage certain demographic groups [12], creating both legal risk and ethical harm. Future research should advance bias detection algorithms, auditing methodologies, and practical application of explainable AI (XAI) in HR contexts [17]. The application of federated learning techniques offers a promising avenue for training more representative models without compromising employee data privacy [18].</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Scalability and multilingual adaptability also require further attention. Studies of deployment patterns across Asia-Pacific, the Middle East, and Latin America [18], [19] indicate that organizations in these regions require chatbot interfaces capable of functioning effectively across multiple languages and cultural contexts. Research into cross-lingual embeddings and low-resource NLP methods could substantially expand the accessibility and reliability of HR chatbots in diverse global settings.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From an organizational and behavioral perspective, longitudinal research is needed to understand how employee trust evolves through sustained chatbot interactions [15]. Designing hybrid HR service models—where chatbots handle initial contact and escalate complex matters to human staff—may represent the most viable approach for balancing automation with empathetic service [6], [14].</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Future work should also examine the integration of HR chatbots into broader workforce analytics ecosystems. Systems capable of aggregating interaction data across the employee lifecycle could support predictive insights for strategic decisions such as workforce planning, retention, and diversity initiatives [20]. Finally, cross-industry, multi-year studies are essential for evaluating the sustained impact of chatbot adoption across diverse sectors [14], [19].</w:t>
      </w:r>
    </w:p>
    <w:p>
      <w:pPr>
        <w:spacing w:before="160" w:after="80"/>
        <w:jc w:val="center"/>
      </w:pPr>
      <w:r>
        <w:rPr>
          <w:rFonts w:ascii="Times New Roman" w:cs="Times New Roman" w:eastAsia="Times New Roman" w:hAnsi="Times New Roman"/>
          <w:b/>
          <w:bCs/>
          <w:i w:val="false"/>
          <w:iCs w:val="false"/>
          <w:smallCaps/>
          <w:sz w:val="20"/>
          <w:szCs w:val="20"/>
        </w:rPr>
        <w:t xml:space="preserve">VI. Conclusion</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The growing integration of AI-powered conversational agents into organizational HR functions marks a meaningful inflection point in the digital transformation of people management. This literature review has demonstrated that HR chatbots have progressed well beyond their origins as basic FAQ tools, evolving into multifunctional platforms capable of supporting recruitment, onboarding, training coordination, and performance facilitation [4], [6]. These systems provide organizations with a scalable mechanism to reduce administrative burden, enhance stakeholder experience, and realize operational efficiencies.</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The synthesis of current literature reveals that one of the most significant contributions of HR chatbots lies in their capacity to strengthen employee engagement and organizational responsiveness. Systems that offer continuous availability and immediate response times reduce employee frustration and signal organizational investment in service quality [5], [7]. Recruitment-oriented chatbots have shown measurable promise in streamlining application workflows, improving candidate experience, and reducing cognitive demands on HR professionals [9].</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At the same time, this review has consistently surfaced limitations and risks that cannot be minimized. Concerns around bias, fairness, and transparency appear repeatedly across the literature [12], [17]. The dependence of chatbot systems on historical training data creates tangible risks of entrenching systemic inequities, particularly in recruitment and promotion contexts. Issues of trust, data privacy, and cultural responsiveness remain significant barriers to broader adoption [14], [15], [18].</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Technologically, the integration of advanced NLP architectures, explainable AI, and federated learning presents clear opportunities for enhancement [16], [17]. On the organizational side, hybrid HR service models—where automation and human judgment operate in complementarity rather than competition—are likely to represent the most productive deployment paradigm [6], [14].</w:t>
      </w:r>
    </w:p>
    <w:p>
      <w:pPr>
        <w:spacing w:before="0" w:after="0" w:line="228" w:lineRule="auto"/>
        <w:ind w:firstLine="288"/>
        <w:jc w:val="both"/>
      </w:pPr>
      <w:r>
        <w:rPr>
          <w:rFonts w:ascii="Times New Roman" w:cs="Times New Roman" w:eastAsia="Times New Roman" w:hAnsi="Times New Roman"/>
          <w:b w:val="false"/>
          <w:bCs w:val="false"/>
          <w:i w:val="false"/>
          <w:iCs w:val="false"/>
          <w:smallCaps w:val="false"/>
          <w:sz w:val="20"/>
          <w:szCs w:val="20"/>
        </w:rPr>
        <w:t xml:space="preserve">In conclusion, HR chatbots represent a transformative yet transitional technology. They currently perform effectively as operational assistants capable of automating routine HR functions and improving user experiences. Their future trajectory may extend significantly further—toward shaping organizational strategy and culture. Achieving that vision will require coordinated contributions from technologists, HR practitioners, behavioral scientists, and policymakers. HR chatbots therefore embody both the promise and the complexity of AI-driven transformation—offering organizations an unprecedented opportunity to reimagine human resource management for the age of artificial intelligence [6], [14], [16], [20].</w:t>
      </w:r>
    </w:p>
    <w:p>
      <w:pPr>
        <w:spacing w:before="160" w:after="80"/>
        <w:jc w:val="center"/>
      </w:pPr>
      <w:r>
        <w:rPr>
          <w:rFonts w:ascii="Times New Roman" w:cs="Times New Roman" w:eastAsia="Times New Roman" w:hAnsi="Times New Roman"/>
          <w:b/>
          <w:bCs/>
          <w:i w:val="false"/>
          <w:iCs w:val="false"/>
          <w:smallCaps/>
          <w:sz w:val="20"/>
          <w:szCs w:val="20"/>
        </w:rPr>
        <w:t xml:space="preserve">References</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[1] S. Koivunen et al., "The march of Chatbots into recruitment: recruiters’ experiences, expectations, and design opportunities," Computer Supported Cooperative Work (CSCW), 2022.</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[2] J. Devlin et al., "BERT: Pre-training of Deep Bidirectional Transformers for Language Understanding," arXiv, 2018.</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[3] M. Honnibal et al., "spaCy: Industrial-strength Natural Language Processing in Python," 2020.</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[4] W. X. Zhao et al., "A survey of large language models," arXiv, 2023.</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[5] Q. Chen, Z. Zhu, and W. Wang, "BERT for joint intent classification and slot filling," arXiv, 2019.</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[6] H. Shelar et al., "Named entity recognition approaches and their comparison for custom NER model," Science &amp; Technology Libraries, 2020.</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[7] I. Paparrizos, B. B. Cambazoglu, and A. Gionis, "Machine learned job recommendation," Proc. 5th ACM Conf. Recommender Systems, 2011.</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[8] L. Zhou, J. Gao, D. Li, and H. Y. Shum, "The design and implementation of XiaoIce, an empathetic social chatbot," Computational Linguistics, 2020.</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[9] S. A. Sheikh, V. Tiwari, and S. Singhal, "Generative model chatbot for Human Resource using Deep Learning," Proc. ICDSE, 2019.</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[10] T. Taule, A. Følstad, and K. I. Fostervold, "How can a chatbot support human resource management? Exploring the operational interplay," Chatbot Research and Design Workshop, 2021/2022.</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[11] K. Venusamy, N. K. Rajagopal, and M. Yousoof, "A study of human resources development through chatbots using artificial intelligence," Proc. ICISS, 2020.</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[12] B. Shneiderman, "The dangers of faulty, biased, or malicious algorithms requires independent oversight," Proc. National Academy of Sciences, 2016.</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[13] F. D. Davis, "Perceived usefulness, perceived ease of use, and user acceptance of information technology," MIS Quarterly, 1989.</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[14] J. Whittlestone, R. Nyrup, A. Alexandrova, and S. Cave, "The role and limits of principles in AI ethics: Towards a focus on tensions," AAAI/ACM Conf. AI, Ethics, and Society, 2019.</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[15] W. Rodgers et al., "An artificial intelligence algorithmic approach to ethical decision-making in human resource management processes," Human Resource Management Review, 2023.</w:t>
      </w:r>
    </w:p>
    <w:p>
      <w:pPr>
        <w:spacing w:before="0" w:after="50" w:line="180" w:lineRule="exact"/>
        <w:ind w:left="288" w:hanging="288"/>
        <w:jc w:val="both"/>
      </w:pPr>
      <w:r>
        <w:rPr>
          <w:rFonts w:ascii="Times New Roman" w:cs="Times New Roman" w:eastAsia="Times New Roman" w:hAnsi="Times New Roman"/>
          <w:b w:val="false"/>
          <w:bCs w:val="false"/>
          <w:i w:val="false"/>
          <w:iCs w:val="false"/>
          <w:smallCaps w:val="false"/>
          <w:sz w:val="16"/>
          <w:szCs w:val="16"/>
        </w:rPr>
        <w:t xml:space="preserve">[16] S. Strohmeier and F. Piazza, "Artificial intelligence techniques in human resource management—a conceptual exploration," Intelligent Techniques in Engineering Management, 2015.</w:t>
      </w:r>
    </w:p>
    <w:sectPr>
      <w:type w:val="continuous"/>
      <w:pgSz w:w="11906" w:h="16838" w:orient="portrait"/>
      <w:pgMar w:top="540" w:right="893" w:bottom="1440" w:left="893" w:header="0" w:footer="720" w:gutter="0"/>
      <w:pgNumType/>
      <w:cols w:space="720" w:num="2" w:equalWidth="tru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575594272bdd17ac2b31fa76ed1d8b600b2eed09.jpg"/><Relationship Id="rId7" Type="http://schemas.openxmlformats.org/officeDocument/2006/relationships/image" Target="media/6dc8569eea4f73282146e7f3249df88d6e6de270.jpg"/><Relationship Id="rId8" Type="http://schemas.openxmlformats.org/officeDocument/2006/relationships/image" Target="media/e97f4ca1bd8179cceb73346a763b19ddcf7d3579.jpg"/><Relationship Id="rId9" Type="http://schemas.openxmlformats.org/officeDocument/2006/relationships/image" Target="media/3767fbb81015eece313003a9da336b576591f6e1.jp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2026-03-23T19:00:24.187Z</dcterms:created>
  <dcterms:modified xsi:type="dcterms:W3CDTF">2026-03-23T19:00:24.188Z</dcterms:modified>
</cp:coreProperties>
</file>

<file path=docProps/custom.xml><?xml version="1.0" encoding="utf-8"?>
<Properties xmlns="http://schemas.openxmlformats.org/officeDocument/2006/custom-properties" xmlns:vt="http://schemas.openxmlformats.org/officeDocument/2006/docPropsVTypes"/>
</file>