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797C" w14:textId="77777777" w:rsidR="00562D67" w:rsidRPr="004F4741" w:rsidRDefault="00562D67" w:rsidP="00562D67">
      <w:pPr>
        <w:jc w:val="center"/>
        <w:rPr>
          <w:rFonts w:ascii="Arial" w:hAnsi="Arial" w:cs="Arial"/>
          <w:b/>
          <w:bCs/>
          <w:sz w:val="36"/>
          <w:szCs w:val="36"/>
        </w:rPr>
      </w:pPr>
      <w:r w:rsidRPr="004F4741">
        <w:rPr>
          <w:rFonts w:ascii="Arial" w:hAnsi="Arial" w:cs="Arial"/>
          <w:b/>
          <w:bCs/>
          <w:sz w:val="36"/>
          <w:szCs w:val="36"/>
        </w:rPr>
        <w:t>Charting the Landscape of Biological Asset Accounting Research: A Bibliometric Analysis</w:t>
      </w:r>
    </w:p>
    <w:p w14:paraId="0AEE89BA" w14:textId="77777777" w:rsidR="00562D67" w:rsidRPr="008C581F" w:rsidRDefault="00562D67" w:rsidP="00562D67">
      <w:pPr>
        <w:jc w:val="center"/>
        <w:rPr>
          <w:b/>
          <w:color w:val="000000"/>
          <w:lang w:val="en-CA" w:eastAsia="en-MY"/>
        </w:rPr>
      </w:pPr>
    </w:p>
    <w:p w14:paraId="7C266BD3" w14:textId="77777777" w:rsidR="00562D67" w:rsidRPr="004F4741" w:rsidRDefault="00562D67" w:rsidP="00562D67">
      <w:pPr>
        <w:jc w:val="center"/>
        <w:rPr>
          <w:b/>
          <w:bCs/>
          <w:sz w:val="24"/>
          <w:szCs w:val="24"/>
        </w:rPr>
      </w:pPr>
      <w:r w:rsidRPr="004F4741">
        <w:rPr>
          <w:b/>
          <w:bCs/>
          <w:sz w:val="24"/>
          <w:szCs w:val="24"/>
        </w:rPr>
        <w:t/>
      </w:r>
      <w:r w:rsidRPr="004F4741">
        <w:rPr>
          <w:sz w:val="24"/>
          <w:szCs w:val="24"/>
          <w:vertAlign w:val="superscript"/>
        </w:rPr>
        <w:t/>
      </w:r>
      <w:r w:rsidRPr="004F4741">
        <w:rPr>
          <w:b/>
          <w:bCs/>
          <w:sz w:val="24"/>
          <w:szCs w:val="24"/>
        </w:rPr>
        <w:t xml:space="preserve"/>
      </w:r>
      <w:proofErr w:type="spellStart"/>
      <w:r w:rsidRPr="004F4741">
        <w:rPr>
          <w:b/>
          <w:bCs/>
          <w:sz w:val="24"/>
          <w:szCs w:val="24"/>
        </w:rPr>
        <w:t/>
      </w:r>
      <w:proofErr w:type="spellEnd"/>
      <w:r w:rsidRPr="004F4741">
        <w:rPr>
          <w:b/>
          <w:bCs/>
          <w:sz w:val="24"/>
          <w:szCs w:val="24"/>
          <w:vertAlign w:val="superscript"/>
        </w:rPr>
        <w:t xml:space="preserve"/>
      </w:r>
      <w:r w:rsidRPr="004F4741">
        <w:rPr>
          <w:b/>
          <w:bCs/>
          <w:sz w:val="24"/>
          <w:szCs w:val="24"/>
        </w:rPr>
        <w:t/>
      </w:r>
      <w:r w:rsidRPr="004F4741">
        <w:rPr>
          <w:b/>
          <w:bCs/>
          <w:sz w:val="24"/>
          <w:szCs w:val="24"/>
          <w:vertAlign w:val="superscript"/>
        </w:rPr>
        <w:t/>
      </w:r>
      <w:r w:rsidRPr="004F4741">
        <w:rPr>
          <w:b/>
          <w:bCs/>
          <w:sz w:val="24"/>
          <w:szCs w:val="24"/>
        </w:rPr>
        <w:t/>
      </w:r>
      <w:r w:rsidRPr="004F4741">
        <w:rPr>
          <w:b/>
          <w:bCs/>
          <w:sz w:val="24"/>
          <w:szCs w:val="24"/>
          <w:vertAlign w:val="superscript"/>
        </w:rPr>
        <w:t xml:space="preserve"/>
      </w:r>
      <w:r w:rsidRPr="004F4741">
        <w:rPr>
          <w:b/>
          <w:bCs/>
          <w:sz w:val="24"/>
          <w:szCs w:val="24"/>
        </w:rPr>
        <w:t xml:space="preserve"/>
      </w:r>
    </w:p>
    <w:p w14:paraId="690373E3" w14:textId="77777777" w:rsidR="00562D67" w:rsidRPr="004F4741" w:rsidRDefault="00562D67" w:rsidP="00562D67">
      <w:pPr>
        <w:pStyle w:val="AuthorName"/>
        <w:rPr>
          <w:sz w:val="24"/>
          <w:szCs w:val="24"/>
        </w:rPr>
      </w:pPr>
    </w:p>
    <w:p w14:paraId="4481BD95" w14:textId="77777777" w:rsidR="00562D67" w:rsidRPr="004F4741" w:rsidRDefault="00562D67" w:rsidP="00562D67">
      <w:pPr>
        <w:pStyle w:val="Adress"/>
        <w:rPr>
          <w:sz w:val="24"/>
          <w:szCs w:val="24"/>
        </w:rPr>
      </w:pPr>
      <w:r w:rsidRPr="004F4741">
        <w:rPr>
          <w:sz w:val="24"/>
          <w:szCs w:val="24"/>
          <w:vertAlign w:val="superscript"/>
        </w:rPr>
        <w:t/>
      </w:r>
      <w:r w:rsidRPr="004F4741">
        <w:rPr>
          <w:sz w:val="24"/>
          <w:szCs w:val="24"/>
        </w:rPr>
        <w:t xml:space="preserve"/>
      </w:r>
      <w:proofErr w:type="spellStart"/>
      <w:r w:rsidRPr="004F4741">
        <w:rPr>
          <w:sz w:val="24"/>
          <w:szCs w:val="24"/>
        </w:rPr>
        <w:t/>
      </w:r>
      <w:proofErr w:type="spellEnd"/>
      <w:r w:rsidRPr="004F4741">
        <w:rPr>
          <w:sz w:val="24"/>
          <w:szCs w:val="24"/>
        </w:rPr>
        <w:t xml:space="preserve"/>
      </w:r>
      <w:r w:rsidRPr="004F4741">
        <w:rPr>
          <w:sz w:val="24"/>
          <w:szCs w:val="24"/>
          <w:vertAlign w:val="superscript"/>
        </w:rPr>
        <w:t/>
      </w:r>
      <w:r w:rsidRPr="004F4741">
        <w:rPr>
          <w:sz w:val="24"/>
          <w:szCs w:val="24"/>
        </w:rPr>
        <w:t xml:space="preserve"/>
      </w:r>
      <w:proofErr w:type="spellStart"/>
      <w:r w:rsidRPr="004F4741">
        <w:rPr>
          <w:sz w:val="24"/>
          <w:szCs w:val="24"/>
        </w:rPr>
        <w:t/>
      </w:r>
      <w:proofErr w:type="spellEnd"/>
      <w:r w:rsidRPr="004F4741">
        <w:rPr>
          <w:sz w:val="24"/>
          <w:szCs w:val="24"/>
        </w:rPr>
        <w:t xml:space="preserve"/>
      </w:r>
      <w:proofErr w:type="spellStart"/>
      <w:r w:rsidRPr="004F4741">
        <w:rPr>
          <w:sz w:val="24"/>
          <w:szCs w:val="24"/>
        </w:rPr>
        <w:t/>
      </w:r>
      <w:proofErr w:type="spellEnd"/>
      <w:r w:rsidRPr="004F4741">
        <w:rPr>
          <w:sz w:val="24"/>
          <w:szCs w:val="24"/>
        </w:rPr>
        <w:t xml:space="preserve"/>
      </w:r>
      <w:proofErr w:type="spellStart"/>
      <w:r w:rsidRPr="004F4741">
        <w:rPr>
          <w:sz w:val="24"/>
          <w:szCs w:val="24"/>
        </w:rPr>
        <w:t/>
      </w:r>
      <w:proofErr w:type="spellEnd"/>
    </w:p>
    <w:p w14:paraId="4052C91B" w14:textId="77777777" w:rsidR="00562D67" w:rsidRPr="004F4741" w:rsidRDefault="00562D67" w:rsidP="00562D67">
      <w:pPr>
        <w:pStyle w:val="Adress"/>
        <w:rPr>
          <w:sz w:val="24"/>
          <w:szCs w:val="24"/>
        </w:rPr>
      </w:pPr>
    </w:p>
    <w:p w14:paraId="42F9F1B1" w14:textId="77777777" w:rsidR="00562D67" w:rsidRPr="004F4741" w:rsidRDefault="00562D67" w:rsidP="00562D67">
      <w:pPr>
        <w:pStyle w:val="Email"/>
        <w:rPr>
          <w:b/>
          <w:sz w:val="24"/>
          <w:szCs w:val="24"/>
        </w:rPr>
      </w:pPr>
      <w:r w:rsidRPr="004F4741">
        <w:rPr>
          <w:sz w:val="24"/>
          <w:szCs w:val="24"/>
        </w:rPr>
        <w:t xml:space="preserve"/>
      </w:r>
      <w:r w:rsidRPr="00915721">
        <w:rPr>
          <w:b/>
          <w:bCs/>
          <w:color w:val="0E2841" w:themeColor="text2"/>
          <w:sz w:val="24"/>
          <w:szCs w:val="24"/>
          <w:vertAlign w:val="superscript"/>
        </w:rPr>
        <w:t/>
      </w:r>
      <w:r w:rsidRPr="00915721">
        <w:rPr>
          <w:color w:val="0E2841" w:themeColor="text2"/>
          <w:sz w:val="24"/>
          <w:szCs w:val="24"/>
          <w:vertAlign w:val="superscript"/>
        </w:rPr>
        <w:t/>
      </w:r>
      <w:hyperlink r:id="rId4" w:history="1">
        <w:r w:rsidRPr="004F4741">
          <w:rPr>
            <w:rStyle w:val="Hyperlink"/>
            <w:sz w:val="24"/>
            <w:szCs w:val="24"/>
          </w:rPr>
          <w:t/>
        </w:r>
      </w:hyperlink>
      <w:r w:rsidRPr="004F4741">
        <w:rPr>
          <w:rStyle w:val="Hyperlink"/>
          <w:sz w:val="24"/>
          <w:szCs w:val="24"/>
        </w:rPr>
        <w:t xml:space="preserve"/>
      </w:r>
      <w:r w:rsidRPr="004F4741">
        <w:rPr>
          <w:color w:val="0070C0"/>
          <w:sz w:val="24"/>
          <w:szCs w:val="24"/>
        </w:rPr>
        <w:t xml:space="preserve"/>
      </w:r>
      <w:r w:rsidRPr="006D542C">
        <w:rPr>
          <w:color w:val="0070C0"/>
          <w:position w:val="8"/>
          <w:sz w:val="24"/>
          <w:szCs w:val="24"/>
          <w:vertAlign w:val="superscript"/>
        </w:rPr>
        <w:t/>
      </w:r>
      <w:hyperlink r:id="rId5" w:history="1">
        <w:r w:rsidRPr="004F4741">
          <w:rPr>
            <w:rStyle w:val="Hyperlink"/>
            <w:sz w:val="24"/>
            <w:szCs w:val="24"/>
          </w:rPr>
          <w:t/>
        </w:r>
      </w:hyperlink>
      <w:r w:rsidRPr="004F4741">
        <w:rPr>
          <w:sz w:val="24"/>
          <w:szCs w:val="24"/>
        </w:rPr>
        <w:t xml:space="preserve"/>
      </w:r>
      <w:hyperlink r:id="rId6" w:history="1">
        <w:r w:rsidRPr="004F4741">
          <w:rPr>
            <w:rStyle w:val="Hyperlink"/>
            <w:sz w:val="24"/>
            <w:szCs w:val="24"/>
            <w:vertAlign w:val="superscript"/>
          </w:rPr>
          <w:t/>
        </w:r>
        <w:r w:rsidRPr="004F4741">
          <w:rPr>
            <w:rStyle w:val="Hyperlink"/>
            <w:sz w:val="24"/>
            <w:szCs w:val="24"/>
          </w:rPr>
          <w:t/>
        </w:r>
      </w:hyperlink>
      <w:r w:rsidRPr="004F4741">
        <w:rPr>
          <w:sz w:val="24"/>
          <w:szCs w:val="24"/>
        </w:rPr>
        <w:t xml:space="preserve"/>
      </w:r>
      <w:hyperlink r:id="rId7" w:history="1">
        <w:r w:rsidRPr="004F4741">
          <w:rPr>
            <w:rStyle w:val="Hyperlink"/>
            <w:sz w:val="24"/>
            <w:szCs w:val="24"/>
            <w:vertAlign w:val="superscript"/>
          </w:rPr>
          <w:t/>
        </w:r>
        <w:r w:rsidRPr="004F4741">
          <w:rPr>
            <w:rStyle w:val="Hyperlink"/>
            <w:sz w:val="24"/>
            <w:szCs w:val="24"/>
          </w:rPr>
          <w:t/>
        </w:r>
      </w:hyperlink>
    </w:p>
    <w:p w14:paraId="09B9E7D3" w14:textId="77777777" w:rsidR="00562D67" w:rsidRDefault="00562D67" w:rsidP="00562D67"/>
    <w:p w14:paraId="709B3CCC" w14:textId="77777777" w:rsidR="00562D67" w:rsidRDefault="00562D67" w:rsidP="00562D67">
      <w:pPr>
        <w:pStyle w:val="BodyText"/>
        <w:spacing w:before="1"/>
        <w:ind w:left="234" w:right="245"/>
        <w:jc w:val="center"/>
      </w:pPr>
      <w:r>
        <w:t/>
      </w:r>
      <w:r w:rsidRPr="004F4741">
        <w:rPr>
          <w:sz w:val="24"/>
          <w:szCs w:val="24"/>
        </w:rPr>
        <w:t xml:space="preserve"/>
      </w:r>
      <w:hyperlink r:id="rId8" w:history="1">
        <w:r w:rsidRPr="004F4741">
          <w:rPr>
            <w:rStyle w:val="Hyperlink"/>
            <w:sz w:val="24"/>
            <w:szCs w:val="24"/>
          </w:rPr>
          <w:t/>
        </w:r>
      </w:hyperlink>
      <w:r>
        <w:t xml:space="preserve"/>
      </w:r>
    </w:p>
    <w:p w14:paraId="0E78401E" w14:textId="77777777" w:rsidR="00562D67" w:rsidRDefault="00562D67" w:rsidP="00562D67">
      <w:pPr>
        <w:jc w:val="center"/>
        <w:rPr>
          <w:b/>
          <w:bCs/>
          <w:color w:val="000000" w:themeColor="text1"/>
        </w:rPr>
      </w:pPr>
    </w:p>
    <w:p w14:paraId="364088DB" w14:textId="77777777" w:rsidR="00562D67" w:rsidRPr="00A74929" w:rsidRDefault="00562D67" w:rsidP="00562D67">
      <w:pPr>
        <w:jc w:val="center"/>
        <w:rPr>
          <w:b/>
          <w:bCs/>
          <w:color w:val="000000" w:themeColor="text1"/>
          <w:sz w:val="28"/>
          <w:szCs w:val="28"/>
        </w:rPr>
      </w:pPr>
      <w:r w:rsidRPr="00A74929">
        <w:rPr>
          <w:b/>
          <w:bCs/>
          <w:color w:val="000000" w:themeColor="text1"/>
          <w:sz w:val="28"/>
          <w:szCs w:val="28"/>
        </w:rPr>
        <w:t>ABSTRACT</w:t>
      </w:r>
    </w:p>
    <w:p w14:paraId="64CEF7BF" w14:textId="77777777" w:rsidR="00562D67" w:rsidRDefault="00562D67" w:rsidP="00562D67">
      <w:pPr>
        <w:jc w:val="center"/>
        <w:rPr>
          <w:b/>
          <w:bCs/>
          <w:color w:val="EE0000"/>
        </w:rPr>
      </w:pPr>
    </w:p>
    <w:p w14:paraId="73035172" w14:textId="77777777" w:rsidR="00562D67" w:rsidRPr="004F4741" w:rsidRDefault="00562D67" w:rsidP="00FC19C9">
      <w:pPr>
        <w:ind w:left="227" w:right="227"/>
        <w:jc w:val="both"/>
        <w:rPr>
          <w:i/>
          <w:iCs/>
          <w:color w:val="000000" w:themeColor="text1"/>
          <w:sz w:val="24"/>
          <w:szCs w:val="24"/>
        </w:rPr>
      </w:pPr>
      <w:r w:rsidRPr="004F4741">
        <w:rPr>
          <w:i/>
          <w:iCs/>
          <w:color w:val="000000" w:themeColor="text1"/>
          <w:sz w:val="24"/>
          <w:szCs w:val="24"/>
        </w:rPr>
        <w:t>The accounting treatment of biological assets has gained increasing attention following the introduction of fair value measurement requirements under the International Accounting Standard 41 (IAS 41).  This study aims to explore the evolution and intellectual structure of research related to biological assets through a bibliometric analysis approach.  Using the Scopus database, publications from 2007 to 2026 were collected and refined to obtain 112 relevant studies associated with accounting standards, agricultural accounting and agricultural production.  The analysis evaluates publication trends, leading authors, influential journals, institutional affiliations, contributing countries and document types.  The results show a steady growth in research output over time, with notable concentration in specific regions, particularly Brazil and within specialized academic journal.  Journal articles represent the dominant form of dissemination, indicating strong emphasis on empirical analytical research.  The finding highlights the expanding relevance of biological assets reporting and reveals research gaps that encourages further international and interdisciplinary studies addressing valuation, disclosure, and reporting challenges under IAS 41.</w:t>
      </w:r>
    </w:p>
    <w:p w14:paraId="6158744E" w14:textId="77777777" w:rsidR="00562D67" w:rsidRDefault="00562D67" w:rsidP="00562D67">
      <w:pPr>
        <w:jc w:val="both"/>
        <w:rPr>
          <w:i/>
          <w:iCs/>
          <w:color w:val="000000" w:themeColor="text1"/>
        </w:rPr>
      </w:pPr>
    </w:p>
    <w:p w14:paraId="1972B1C6" w14:textId="77777777" w:rsidR="00562D67" w:rsidRPr="004F4741" w:rsidRDefault="00562D67" w:rsidP="00FC19C9">
      <w:pPr>
        <w:ind w:left="284"/>
        <w:jc w:val="both"/>
        <w:rPr>
          <w:i/>
          <w:iCs/>
          <w:color w:val="000000" w:themeColor="text1"/>
          <w:sz w:val="24"/>
          <w:szCs w:val="24"/>
        </w:rPr>
      </w:pPr>
      <w:r w:rsidRPr="00FC19C9">
        <w:rPr>
          <w:b/>
          <w:bCs/>
          <w:color w:val="000000" w:themeColor="text1"/>
          <w:sz w:val="24"/>
          <w:szCs w:val="24"/>
        </w:rPr>
        <w:t>Keywords:</w:t>
      </w:r>
      <w:r w:rsidRPr="004F4741">
        <w:rPr>
          <w:i/>
          <w:iCs/>
          <w:color w:val="000000" w:themeColor="text1"/>
          <w:sz w:val="24"/>
          <w:szCs w:val="24"/>
        </w:rPr>
        <w:t xml:space="preserve"> Biological assets; IAS 41; Accounting standards; Agricultural accounting; Agricultural production.</w:t>
      </w:r>
    </w:p>
    <w:p w14:paraId="601ABFCF" w14:textId="77777777" w:rsidR="00562D67" w:rsidRDefault="00562D67" w:rsidP="00562D67">
      <w:pPr>
        <w:jc w:val="both"/>
        <w:rPr>
          <w:i/>
          <w:iCs/>
          <w:color w:val="000000" w:themeColor="text1"/>
        </w:rPr>
      </w:pPr>
    </w:p>
    <w:p w14:paraId="7D3D61F4" w14:textId="77777777" w:rsidR="00562D67" w:rsidRDefault="00562D67" w:rsidP="00562D67">
      <w:pPr>
        <w:rPr>
          <w:rFonts w:ascii="Arial" w:hAnsi="Arial" w:cs="Arial"/>
          <w:b/>
          <w:bCs/>
          <w:sz w:val="24"/>
          <w:szCs w:val="24"/>
        </w:rPr>
      </w:pPr>
    </w:p>
    <w:p w14:paraId="36E3D436" w14:textId="77777777" w:rsidR="00562D67" w:rsidRPr="00B32BF9" w:rsidRDefault="00562D67" w:rsidP="00562D67">
      <w:pPr>
        <w:rPr>
          <w:rFonts w:ascii="Arial" w:hAnsi="Arial" w:cs="Arial"/>
          <w:b/>
          <w:bCs/>
          <w:sz w:val="28"/>
          <w:szCs w:val="28"/>
        </w:rPr>
      </w:pPr>
      <w:r w:rsidRPr="00B32BF9">
        <w:rPr>
          <w:rFonts w:ascii="Arial" w:hAnsi="Arial" w:cs="Arial"/>
          <w:b/>
          <w:bCs/>
          <w:sz w:val="28"/>
          <w:szCs w:val="28"/>
        </w:rPr>
        <w:t>INTRODUCTION</w:t>
      </w:r>
    </w:p>
    <w:p w14:paraId="5D50FE25" w14:textId="77777777" w:rsidR="00562D67" w:rsidRDefault="00562D67" w:rsidP="00562D67">
      <w:pPr>
        <w:rPr>
          <w:rFonts w:ascii="Arial" w:hAnsi="Arial" w:cs="Arial"/>
          <w:b/>
          <w:bCs/>
          <w:sz w:val="24"/>
          <w:szCs w:val="24"/>
        </w:rPr>
      </w:pPr>
    </w:p>
    <w:p w14:paraId="0732CC2E" w14:textId="77777777" w:rsidR="00562D67" w:rsidRPr="00034088" w:rsidRDefault="00562D67" w:rsidP="00562D67">
      <w:pPr>
        <w:jc w:val="both"/>
        <w:rPr>
          <w:sz w:val="24"/>
          <w:szCs w:val="24"/>
        </w:rPr>
      </w:pPr>
      <w:r w:rsidRPr="00034088">
        <w:rPr>
          <w:sz w:val="24"/>
          <w:szCs w:val="24"/>
        </w:rPr>
        <w:t xml:space="preserve">Biological assets constitute a unique category in accounting due to their living nature and continuous biological transformation, which separates them from conventional tangible and intangible assets.  International Accounting Standard 41 (IAS 41) defines biological assets and requires them to be measured at fair value less costs to sell, reflecting changes arising from growth, degeneration, or reproduction. This requirement distinguishes biological assets from most other non-financial assets and introduces unique measurement challenges.  As discussed by Campos-Llerena et al. (2024), biological assets such as crops, livestock, and forest resources are continuously transformed through biological processes, creating significant challenges for their measurement and presentation in financial reporting. </w:t>
      </w:r>
    </w:p>
    <w:p w14:paraId="42CFA20E" w14:textId="77777777" w:rsidR="00562D67" w:rsidRPr="00034088" w:rsidRDefault="00562D67" w:rsidP="00562D67">
      <w:pPr>
        <w:jc w:val="both"/>
        <w:rPr>
          <w:sz w:val="24"/>
          <w:szCs w:val="24"/>
        </w:rPr>
      </w:pPr>
    </w:p>
    <w:p w14:paraId="3288C668" w14:textId="77777777" w:rsidR="00562D67" w:rsidRPr="00034088" w:rsidRDefault="00562D67" w:rsidP="00562D67">
      <w:pPr>
        <w:jc w:val="both"/>
        <w:rPr>
          <w:sz w:val="24"/>
          <w:szCs w:val="24"/>
        </w:rPr>
      </w:pPr>
      <w:r w:rsidRPr="00034088">
        <w:rPr>
          <w:sz w:val="24"/>
          <w:szCs w:val="24"/>
        </w:rPr>
        <w:t>Expanding on the definition and measurement challenges of biological assets, Kadri et al. (2023) note that the adoption of MFRS 141 (the Malaysian equivalent of IAS 41) made fair value less costs to sell measurement “a mandatory requirement, despite the difficulties that were presented,” underscoring both the regulatory intent and practical difficulties of implementing fair value measurement in agriculture reporting. This dynamic characteristic has led to increasing scholarly attention, particularly in relation to the relevance, reliability, and comparability of fair value measurements across diverse agricultural settings and market environments.</w:t>
      </w:r>
    </w:p>
    <w:p w14:paraId="44305D05" w14:textId="77777777" w:rsidR="00562D67" w:rsidRPr="00034088" w:rsidRDefault="00562D67" w:rsidP="00562D67">
      <w:pPr>
        <w:jc w:val="both"/>
        <w:rPr>
          <w:sz w:val="24"/>
          <w:szCs w:val="24"/>
        </w:rPr>
      </w:pPr>
    </w:p>
    <w:p w14:paraId="0E6D6F79" w14:textId="77777777" w:rsidR="00562D67" w:rsidRPr="00034088" w:rsidRDefault="00562D67" w:rsidP="00562D67">
      <w:pPr>
        <w:jc w:val="both"/>
        <w:rPr>
          <w:sz w:val="24"/>
          <w:szCs w:val="24"/>
        </w:rPr>
      </w:pPr>
      <w:r w:rsidRPr="00034088">
        <w:rPr>
          <w:sz w:val="24"/>
          <w:szCs w:val="24"/>
        </w:rPr>
        <w:t xml:space="preserve">In addition to definitional and regulatory discussions, empirical research has increasingly examined the implications of fair value measurement for the quality and usefulness of financial reporting.  </w:t>
      </w:r>
      <w:proofErr w:type="spellStart"/>
      <w:r w:rsidRPr="00034088">
        <w:rPr>
          <w:sz w:val="24"/>
          <w:szCs w:val="24"/>
        </w:rPr>
        <w:t>Alfarisyi</w:t>
      </w:r>
      <w:proofErr w:type="spellEnd"/>
      <w:r w:rsidRPr="00034088">
        <w:rPr>
          <w:sz w:val="24"/>
          <w:szCs w:val="24"/>
        </w:rPr>
        <w:t xml:space="preserve"> et al. (2022) provide practical evidence from Indonesian agricultural firms demonstrating that the fair value measurement of biological assets, together with related disclosure practices, has a statistically significant positive effect on firm value.  Their findings suggest that fair value information conveys relevant economic signals to investors regarding expected future benefits.  This supports </w:t>
      </w:r>
      <w:r w:rsidRPr="00034088">
        <w:rPr>
          <w:sz w:val="24"/>
          <w:szCs w:val="24"/>
        </w:rPr>
        <w:lastRenderedPageBreak/>
        <w:t>the argument that measuring biological assets at fair value not only reflects their constant biological transformation but also improves the decision- usefulness of financial statements.</w:t>
      </w:r>
    </w:p>
    <w:p w14:paraId="175A2297" w14:textId="77777777" w:rsidR="00562D67" w:rsidRPr="00034088" w:rsidRDefault="00562D67" w:rsidP="00562D67">
      <w:pPr>
        <w:jc w:val="both"/>
        <w:rPr>
          <w:sz w:val="24"/>
          <w:szCs w:val="24"/>
        </w:rPr>
      </w:pPr>
    </w:p>
    <w:p w14:paraId="77EDC615" w14:textId="77777777" w:rsidR="00562D67" w:rsidRPr="00034088" w:rsidRDefault="00562D67" w:rsidP="00562D67">
      <w:pPr>
        <w:jc w:val="both"/>
        <w:rPr>
          <w:sz w:val="24"/>
          <w:szCs w:val="24"/>
        </w:rPr>
      </w:pPr>
      <w:r w:rsidRPr="00034088">
        <w:rPr>
          <w:sz w:val="24"/>
          <w:szCs w:val="24"/>
        </w:rPr>
        <w:t xml:space="preserve">Consistent with this perspective, IAS 41 (IFRS Foundation, 2023) emphasizes that biological assets must be measured at fair </w:t>
      </w:r>
      <w:proofErr w:type="gramStart"/>
      <w:r w:rsidRPr="00034088">
        <w:rPr>
          <w:sz w:val="24"/>
          <w:szCs w:val="24"/>
        </w:rPr>
        <w:t>value</w:t>
      </w:r>
      <w:proofErr w:type="gramEnd"/>
      <w:r w:rsidRPr="00034088">
        <w:rPr>
          <w:sz w:val="24"/>
          <w:szCs w:val="24"/>
        </w:rPr>
        <w:t xml:space="preserve"> less costs to sell because such measurement reflects changes resulting from biological transformation.  Nevertheless, the effectiveness of fair value reporting may depend on the level of disclosure transparency and the availability of reliable market data, thereby sustaining the broader debate concerning the trade-off between relevance and reliability in biological asset accounting.</w:t>
      </w:r>
    </w:p>
    <w:p w14:paraId="77D4FB8D" w14:textId="77777777" w:rsidR="00562D67" w:rsidRPr="00034088" w:rsidRDefault="00562D67" w:rsidP="00562D67">
      <w:pPr>
        <w:jc w:val="both"/>
        <w:rPr>
          <w:sz w:val="24"/>
          <w:szCs w:val="24"/>
        </w:rPr>
      </w:pPr>
    </w:p>
    <w:p w14:paraId="40C34E07" w14:textId="77777777" w:rsidR="00562D67" w:rsidRPr="00034088" w:rsidRDefault="00562D67" w:rsidP="00562D67">
      <w:pPr>
        <w:jc w:val="both"/>
        <w:rPr>
          <w:sz w:val="24"/>
          <w:szCs w:val="24"/>
        </w:rPr>
      </w:pPr>
      <w:r w:rsidRPr="00034088">
        <w:rPr>
          <w:sz w:val="24"/>
          <w:szCs w:val="24"/>
        </w:rPr>
        <w:t xml:space="preserve">Beyond their regulatory definition, biological assets are conceptually distinct because the value is driven by biological transformation rather than solely by exchange transactions.  Scholarly literature emphasizes that the application of fair value to biological assets significantly affects financial reporting outcomes.  Kadri et al. (2023) demonstrate that biological assets measured at fair value and the changes in fair value over time have significant value relevant for investors.  Similarly, </w:t>
      </w:r>
      <w:proofErr w:type="spellStart"/>
      <w:r w:rsidRPr="00034088">
        <w:rPr>
          <w:sz w:val="24"/>
          <w:szCs w:val="24"/>
        </w:rPr>
        <w:t>Herbohn</w:t>
      </w:r>
      <w:proofErr w:type="spellEnd"/>
      <w:r w:rsidRPr="00034088">
        <w:rPr>
          <w:sz w:val="24"/>
          <w:szCs w:val="24"/>
        </w:rPr>
        <w:t xml:space="preserve"> and </w:t>
      </w:r>
      <w:proofErr w:type="spellStart"/>
      <w:r w:rsidRPr="00034088">
        <w:rPr>
          <w:sz w:val="24"/>
          <w:szCs w:val="24"/>
        </w:rPr>
        <w:t>Herbohn</w:t>
      </w:r>
      <w:proofErr w:type="spellEnd"/>
      <w:r w:rsidRPr="00034088">
        <w:rPr>
          <w:sz w:val="24"/>
          <w:szCs w:val="24"/>
        </w:rPr>
        <w:t xml:space="preserve"> (2006) find that the recognition of unrealized gains and losses arising from biological transformation can significantly influence reported profit figures, highlighting how both fair value measurement and biological changes directly affect financial performance.</w:t>
      </w:r>
    </w:p>
    <w:p w14:paraId="1F953B7C" w14:textId="77777777" w:rsidR="00562D67" w:rsidRPr="00034088" w:rsidRDefault="00562D67" w:rsidP="00562D67">
      <w:pPr>
        <w:jc w:val="both"/>
        <w:rPr>
          <w:sz w:val="24"/>
          <w:szCs w:val="24"/>
        </w:rPr>
      </w:pPr>
    </w:p>
    <w:p w14:paraId="3B17CED3" w14:textId="77777777" w:rsidR="00562D67" w:rsidRPr="00034088" w:rsidRDefault="00562D67" w:rsidP="00562D67">
      <w:pPr>
        <w:jc w:val="both"/>
        <w:rPr>
          <w:sz w:val="24"/>
          <w:szCs w:val="24"/>
        </w:rPr>
      </w:pPr>
      <w:r w:rsidRPr="00034088">
        <w:rPr>
          <w:sz w:val="24"/>
          <w:szCs w:val="24"/>
        </w:rPr>
        <w:t>Despite this conceptual and empirical support, the practical application of fair value accounting for biological assets under IAS 41 remains challenging.  Practitioners highlight that the lack of active markets for many agricultural and forestry products forces reliance on subjective estimates and discounted cash flows, introducing instability and uncertainty in reported earnings.  Frequent recognition of unrealized gains and losses can also create opportunities for earnings management, reducing stakeholders’ confidence.  Small-scale and emerging-market entities face additional constraints in valuation expertise and disclosure, compounding reliability and comparability issues.  Thus, while fair value enhances transparency and relevance, in practice it often compromises the credibility, consistency and comparability of financial reporting for biological assets, presenting a determined challenge for both preparers and users in the agriculture and forestry sectors</w:t>
      </w:r>
    </w:p>
    <w:p w14:paraId="1B665922" w14:textId="77777777" w:rsidR="00562D67" w:rsidRPr="00034088" w:rsidRDefault="00562D67" w:rsidP="00562D67">
      <w:pPr>
        <w:jc w:val="both"/>
        <w:rPr>
          <w:sz w:val="24"/>
          <w:szCs w:val="24"/>
        </w:rPr>
      </w:pPr>
    </w:p>
    <w:p w14:paraId="40763715" w14:textId="77777777" w:rsidR="00562D67" w:rsidRPr="00034088" w:rsidRDefault="00562D67" w:rsidP="00562D67">
      <w:pPr>
        <w:jc w:val="both"/>
        <w:rPr>
          <w:sz w:val="24"/>
          <w:szCs w:val="24"/>
        </w:rPr>
      </w:pPr>
      <w:r w:rsidRPr="00034088">
        <w:rPr>
          <w:sz w:val="24"/>
          <w:szCs w:val="24"/>
        </w:rPr>
        <w:t xml:space="preserve">In practice, the application of fair value under IAS 41 continues to pose significant challenges for the reliability and comparability of financial reporting for biological assets.  According to Campos-Llerena et al. (2024), although fair value measurement enhances transparency by reflecting real economic changes, its application is constrained by volatility, subjective estimation, and limited availability of reliable market data, particularly in the absence of active markets.  Consistent with this view, </w:t>
      </w:r>
      <w:proofErr w:type="spellStart"/>
      <w:r w:rsidRPr="00034088">
        <w:rPr>
          <w:sz w:val="24"/>
          <w:szCs w:val="24"/>
        </w:rPr>
        <w:t>Argiles</w:t>
      </w:r>
      <w:proofErr w:type="spellEnd"/>
      <w:r w:rsidRPr="00034088">
        <w:rPr>
          <w:sz w:val="24"/>
          <w:szCs w:val="24"/>
        </w:rPr>
        <w:t xml:space="preserve"> et al. (2012) observe that while fair value accounting may improve relevance, it can also introduce earnings volatility and measurement complexity, raising concerns about accounting quality.  Consequently, reported financial performance may fluctuate considerably across firms, reducing comparability and potentially undermining users’ confidence in reported figures.  These persistent practical concerns reinforce the ongoing debate regarding the appropriate balance between relevance and reliability in biological asset accounting.</w:t>
      </w:r>
    </w:p>
    <w:p w14:paraId="122BF048" w14:textId="77777777" w:rsidR="00562D67" w:rsidRPr="00034088" w:rsidRDefault="00562D67" w:rsidP="00562D67">
      <w:pPr>
        <w:jc w:val="both"/>
        <w:rPr>
          <w:sz w:val="24"/>
          <w:szCs w:val="24"/>
        </w:rPr>
      </w:pPr>
    </w:p>
    <w:p w14:paraId="3AADB0DB" w14:textId="77777777" w:rsidR="00562D67" w:rsidRPr="00034088" w:rsidRDefault="00562D67" w:rsidP="00562D67">
      <w:pPr>
        <w:jc w:val="both"/>
        <w:rPr>
          <w:sz w:val="24"/>
          <w:szCs w:val="24"/>
        </w:rPr>
      </w:pPr>
      <w:r w:rsidRPr="00034088">
        <w:rPr>
          <w:sz w:val="24"/>
          <w:szCs w:val="24"/>
        </w:rPr>
        <w:t>Considering this expanding body of literature and continuing argument, this study presents a bibliometric analysis of research on biological asset accounting under IAS 41.  It systematically examines publication trends, influential authors, leading journals, countries and thematic developments in the literature on fair value measurement of biological assets.  By mapping the intellectual structure and research evolution in this field, the study identifies dominant themes, research gaps and emerging directions, thereby providing a comprehensive overview of scholarly contributions and future research opportunities.</w:t>
      </w:r>
    </w:p>
    <w:p w14:paraId="34668BF7" w14:textId="77777777" w:rsidR="00562D67" w:rsidRDefault="00562D67" w:rsidP="00562D67">
      <w:pPr>
        <w:jc w:val="both"/>
      </w:pPr>
    </w:p>
    <w:p w14:paraId="5D14445E" w14:textId="77777777" w:rsidR="00562D67" w:rsidRDefault="00562D67" w:rsidP="00562D67">
      <w:pPr>
        <w:rPr>
          <w:rFonts w:ascii="Arial" w:hAnsi="Arial" w:cs="Arial"/>
          <w:b/>
          <w:bCs/>
          <w:sz w:val="24"/>
          <w:szCs w:val="24"/>
        </w:rPr>
      </w:pPr>
    </w:p>
    <w:p w14:paraId="6D8FA87B" w14:textId="77777777" w:rsidR="00562D67" w:rsidRPr="00B32BF9" w:rsidRDefault="00562D67" w:rsidP="00562D67">
      <w:pPr>
        <w:rPr>
          <w:rFonts w:ascii="Arial" w:hAnsi="Arial" w:cs="Arial"/>
          <w:b/>
          <w:bCs/>
          <w:sz w:val="28"/>
          <w:szCs w:val="28"/>
        </w:rPr>
      </w:pPr>
      <w:r w:rsidRPr="00B32BF9">
        <w:rPr>
          <w:rFonts w:ascii="Arial" w:hAnsi="Arial" w:cs="Arial"/>
          <w:b/>
          <w:bCs/>
          <w:sz w:val="28"/>
          <w:szCs w:val="28"/>
        </w:rPr>
        <w:t>METHODOLOGY</w:t>
      </w:r>
    </w:p>
    <w:p w14:paraId="3B3F6AD3" w14:textId="77777777" w:rsidR="00562D67" w:rsidRDefault="00562D67" w:rsidP="00562D67">
      <w:pPr>
        <w:rPr>
          <w:rFonts w:ascii="Arial" w:hAnsi="Arial" w:cs="Arial"/>
          <w:b/>
          <w:bCs/>
          <w:color w:val="EE0000"/>
        </w:rPr>
      </w:pPr>
    </w:p>
    <w:p w14:paraId="0AF1E91D" w14:textId="77777777" w:rsidR="00562D67" w:rsidRPr="00034088" w:rsidRDefault="00562D67" w:rsidP="00562D67">
      <w:pPr>
        <w:jc w:val="both"/>
        <w:rPr>
          <w:sz w:val="24"/>
          <w:szCs w:val="24"/>
        </w:rPr>
      </w:pPr>
      <w:r w:rsidRPr="00034088">
        <w:rPr>
          <w:sz w:val="24"/>
          <w:szCs w:val="24"/>
        </w:rPr>
        <w:t xml:space="preserve">This study employed a bibliometric approach to examine research trends and publication patterns related to biological assets. Data was retrieved from the Scopus database, which is widely recognized as a reliable and high-quality source of peer-reviewed academic literature. The data collection process was designed to capture scholarly outputs on biological asset accounting over the period of twenty years (2007 to 2026), allowing for a comprehensive assessment of the development and evolution of this research area.  The search process commenced with the use of the primary keyword </w:t>
      </w:r>
      <w:r w:rsidRPr="00034088">
        <w:rPr>
          <w:b/>
          <w:bCs/>
          <w:sz w:val="24"/>
          <w:szCs w:val="24"/>
        </w:rPr>
        <w:t>“</w:t>
      </w:r>
      <w:r w:rsidRPr="00034088">
        <w:rPr>
          <w:sz w:val="24"/>
          <w:szCs w:val="24"/>
        </w:rPr>
        <w:t>biological assets</w:t>
      </w:r>
      <w:r w:rsidRPr="00034088">
        <w:rPr>
          <w:b/>
          <w:bCs/>
          <w:sz w:val="24"/>
          <w:szCs w:val="24"/>
        </w:rPr>
        <w:t>”</w:t>
      </w:r>
      <w:r w:rsidRPr="00034088">
        <w:rPr>
          <w:sz w:val="24"/>
          <w:szCs w:val="24"/>
        </w:rPr>
        <w:t xml:space="preserve">, which was applied across the title, abstract, and keyword fields within the Scopus core collection. This initial search yielded a total of 269 publications. As not all retrieved documents were directly relevant to the accounting and reporting aspects of biological assets, a refinement stage was conducted to enhance the accuracy of the </w:t>
      </w:r>
      <w:r w:rsidRPr="00034088">
        <w:rPr>
          <w:sz w:val="24"/>
          <w:szCs w:val="24"/>
        </w:rPr>
        <w:lastRenderedPageBreak/>
        <w:t>dataset. Additional keywords, including “biological assets,” “IAS 41,” “accounting standards,” “agricultural accounting,” and “agricultural production,” were incorporated into the search strategy. This refinement reduced the dataset to 112 publications that were closely aligned with the objectives of the study.  The final set of publications was analyzed using key bibliometric indicators, such as publication year, document type, authorship patterns, source titles, institutional affiliations, and countries of origin. The data were systematically organized and summarized using Microsoft Word tables, with publication counts manually compiled for each variable. This descriptive bibliometric method provides a structured overview of research productivity, topical focus, and geographical distribution in biological asset research.</w:t>
      </w:r>
    </w:p>
    <w:p w14:paraId="7D88A372" w14:textId="77777777" w:rsidR="00562D67" w:rsidRDefault="00562D67" w:rsidP="00562D67">
      <w:pPr>
        <w:rPr>
          <w:rFonts w:ascii="Arial" w:hAnsi="Arial" w:cs="Arial"/>
          <w:b/>
          <w:bCs/>
          <w:color w:val="EE0000"/>
        </w:rPr>
      </w:pPr>
    </w:p>
    <w:p w14:paraId="7DF3492B" w14:textId="77777777" w:rsidR="00562D67" w:rsidRDefault="00562D67" w:rsidP="00562D67">
      <w:pPr>
        <w:rPr>
          <w:rFonts w:ascii="Arial" w:hAnsi="Arial" w:cs="Arial"/>
          <w:b/>
          <w:bCs/>
          <w:sz w:val="24"/>
          <w:szCs w:val="24"/>
        </w:rPr>
      </w:pPr>
    </w:p>
    <w:p w14:paraId="794AE117" w14:textId="77777777" w:rsidR="00562D67" w:rsidRPr="00B32BF9" w:rsidRDefault="00562D67" w:rsidP="00562D67">
      <w:pPr>
        <w:rPr>
          <w:rFonts w:ascii="Arial" w:hAnsi="Arial" w:cs="Arial"/>
          <w:b/>
          <w:bCs/>
          <w:sz w:val="28"/>
          <w:szCs w:val="28"/>
        </w:rPr>
      </w:pPr>
      <w:r w:rsidRPr="00B32BF9">
        <w:rPr>
          <w:rFonts w:ascii="Arial" w:hAnsi="Arial" w:cs="Arial"/>
          <w:b/>
          <w:bCs/>
          <w:sz w:val="28"/>
          <w:szCs w:val="28"/>
        </w:rPr>
        <w:t>FINDINGS AND DISCUSSION</w:t>
      </w:r>
    </w:p>
    <w:p w14:paraId="48AA33E7" w14:textId="77777777" w:rsidR="00562D67" w:rsidRPr="00DD2E41" w:rsidRDefault="00562D67" w:rsidP="00562D67">
      <w:pPr>
        <w:rPr>
          <w:rFonts w:ascii="Arial" w:hAnsi="Arial" w:cs="Arial"/>
          <w:b/>
          <w:bCs/>
          <w:color w:val="EE0000"/>
        </w:rPr>
      </w:pPr>
    </w:p>
    <w:p w14:paraId="44960B32" w14:textId="77777777" w:rsidR="00562D67" w:rsidRPr="00B32BF9" w:rsidRDefault="00562D67" w:rsidP="00562D67">
      <w:pPr>
        <w:rPr>
          <w:rFonts w:ascii="Arial" w:hAnsi="Arial" w:cs="Arial"/>
          <w:b/>
          <w:bCs/>
          <w:sz w:val="24"/>
          <w:szCs w:val="24"/>
        </w:rPr>
      </w:pPr>
      <w:r w:rsidRPr="00B32BF9">
        <w:rPr>
          <w:rFonts w:ascii="Arial" w:hAnsi="Arial" w:cs="Arial"/>
          <w:b/>
          <w:bCs/>
          <w:sz w:val="24"/>
          <w:szCs w:val="24"/>
        </w:rPr>
        <w:t>Document by year</w:t>
      </w:r>
    </w:p>
    <w:p w14:paraId="4B3854AE" w14:textId="77777777" w:rsidR="00562D67" w:rsidRPr="00034088" w:rsidRDefault="00562D67" w:rsidP="00562D67">
      <w:pPr>
        <w:rPr>
          <w:rFonts w:ascii="Arial" w:hAnsi="Arial" w:cs="Arial"/>
          <w:b/>
          <w:bCs/>
          <w:color w:val="EE0000"/>
          <w:sz w:val="24"/>
          <w:szCs w:val="24"/>
        </w:rPr>
      </w:pPr>
    </w:p>
    <w:p w14:paraId="4B15770B" w14:textId="77777777" w:rsidR="00562D67" w:rsidRPr="00034088" w:rsidRDefault="00562D67" w:rsidP="00562D67">
      <w:pPr>
        <w:jc w:val="both"/>
        <w:rPr>
          <w:sz w:val="24"/>
          <w:szCs w:val="24"/>
        </w:rPr>
      </w:pPr>
      <w:r w:rsidRPr="00034088">
        <w:rPr>
          <w:sz w:val="24"/>
          <w:szCs w:val="24"/>
        </w:rPr>
        <w:t>Table 1 shows a clear upward trend in publications on biological assets over time. The highest number of publications occurred between 2020 and 2022, peaking at 10 publications annually. This wave may be attributed to increased global attention on agricultural sustainability, fair value measurement under IAS 41, and the growing relevance of biological assets in financial reporting during periods of economic and environmental uncertainty.</w:t>
      </w:r>
    </w:p>
    <w:p w14:paraId="1184C70D" w14:textId="77777777" w:rsidR="00562D67" w:rsidRPr="00034088" w:rsidRDefault="00562D67" w:rsidP="00562D67">
      <w:pPr>
        <w:jc w:val="both"/>
        <w:rPr>
          <w:sz w:val="24"/>
          <w:szCs w:val="24"/>
        </w:rPr>
      </w:pPr>
    </w:p>
    <w:p w14:paraId="2DD50056" w14:textId="77777777" w:rsidR="00562D67" w:rsidRPr="00034088" w:rsidRDefault="00562D67" w:rsidP="00562D67">
      <w:pPr>
        <w:jc w:val="both"/>
        <w:rPr>
          <w:sz w:val="24"/>
          <w:szCs w:val="24"/>
        </w:rPr>
      </w:pPr>
      <w:r w:rsidRPr="00034088">
        <w:rPr>
          <w:sz w:val="24"/>
          <w:szCs w:val="24"/>
        </w:rPr>
        <w:t>In contrast, the lowest publication output was recorded in 2008, with no publications, followed by very low numbers between 2007 and 2010. This limited output may reflect lower academic interest, fewer regulatory developments, and limited realistic data availability during the early adoption stages of biological asset accounting standards.  After 2013, publication numbers gradually increased, indicating growing academic and practical interest in the topic.</w:t>
      </w:r>
    </w:p>
    <w:p w14:paraId="5F7AA913" w14:textId="77777777" w:rsidR="00562D67" w:rsidRPr="00034088" w:rsidRDefault="00562D67" w:rsidP="00562D67">
      <w:pPr>
        <w:jc w:val="both"/>
        <w:rPr>
          <w:b/>
          <w:bCs/>
          <w:color w:val="EE0000"/>
          <w:sz w:val="24"/>
          <w:szCs w:val="24"/>
        </w:rPr>
      </w:pPr>
    </w:p>
    <w:p w14:paraId="6306128E" w14:textId="77777777" w:rsidR="00562D67" w:rsidRPr="003E47FD" w:rsidRDefault="00562D67" w:rsidP="00562D67">
      <w:pPr>
        <w:jc w:val="both"/>
        <w:rPr>
          <w:b/>
          <w:bCs/>
          <w:color w:val="EE0000"/>
        </w:rPr>
      </w:pPr>
    </w:p>
    <w:p w14:paraId="7B02AF05" w14:textId="77777777" w:rsidR="00562D67" w:rsidRPr="004F04BA" w:rsidRDefault="00562D67" w:rsidP="00562D67">
      <w:pPr>
        <w:rPr>
          <w:rFonts w:ascii="Arial" w:hAnsi="Arial" w:cs="Arial"/>
          <w:sz w:val="24"/>
          <w:szCs w:val="24"/>
        </w:rPr>
      </w:pPr>
      <w:r w:rsidRPr="004F04BA">
        <w:rPr>
          <w:rFonts w:ascii="Arial" w:hAnsi="Arial" w:cs="Arial"/>
          <w:b/>
          <w:bCs/>
          <w:sz w:val="24"/>
          <w:szCs w:val="24"/>
        </w:rPr>
        <w:t>Table 1</w:t>
      </w:r>
      <w:r w:rsidRPr="004F04BA">
        <w:rPr>
          <w:rFonts w:ascii="Arial" w:hAnsi="Arial" w:cs="Arial"/>
          <w:sz w:val="24"/>
          <w:szCs w:val="24"/>
        </w:rPr>
        <w:t>: List of publications on biological assets by years</w:t>
      </w:r>
    </w:p>
    <w:p w14:paraId="31014010" w14:textId="77777777" w:rsidR="00562D67" w:rsidRPr="00DD2E41" w:rsidRDefault="00562D67" w:rsidP="00562D67">
      <w:pPr>
        <w:rPr>
          <w:rFonts w:ascii="Arial" w:hAnsi="Arial" w:cs="Arial"/>
          <w:color w:val="EE0000"/>
        </w:rPr>
      </w:pPr>
    </w:p>
    <w:tbl>
      <w:tblPr>
        <w:tblStyle w:val="GridTable4-Accent4"/>
        <w:tblW w:w="6064" w:type="dxa"/>
        <w:tblLook w:val="04A0" w:firstRow="1" w:lastRow="0" w:firstColumn="1" w:lastColumn="0" w:noHBand="0" w:noVBand="1"/>
      </w:tblPr>
      <w:tblGrid>
        <w:gridCol w:w="1134"/>
        <w:gridCol w:w="1701"/>
        <w:gridCol w:w="394"/>
        <w:gridCol w:w="1134"/>
        <w:gridCol w:w="1701"/>
      </w:tblGrid>
      <w:tr w:rsidR="00562D67" w:rsidRPr="00DD2E41" w14:paraId="134BD28C" w14:textId="77777777" w:rsidTr="0035772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803795C" w14:textId="77777777" w:rsidR="00562D67" w:rsidRPr="00757DD5" w:rsidRDefault="00562D67" w:rsidP="00C315C7">
            <w:pPr>
              <w:jc w:val="center"/>
              <w:rPr>
                <w:rFonts w:ascii="Arial" w:hAnsi="Arial" w:cs="Arial"/>
                <w:color w:val="auto"/>
              </w:rPr>
            </w:pPr>
            <w:r w:rsidRPr="00757DD5">
              <w:rPr>
                <w:rFonts w:ascii="Arial" w:hAnsi="Arial" w:cs="Arial"/>
                <w:color w:val="auto"/>
              </w:rPr>
              <w:t>Year</w:t>
            </w:r>
          </w:p>
        </w:tc>
        <w:tc>
          <w:tcPr>
            <w:tcW w:w="1701" w:type="dxa"/>
            <w:noWrap/>
            <w:hideMark/>
          </w:tcPr>
          <w:p w14:paraId="58538634" w14:textId="77777777" w:rsidR="00562D67" w:rsidRPr="00757DD5" w:rsidRDefault="00562D67" w:rsidP="00C315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57DD5">
              <w:rPr>
                <w:rFonts w:ascii="Arial" w:hAnsi="Arial" w:cs="Arial"/>
                <w:color w:val="auto"/>
              </w:rPr>
              <w:t>Number of Publications</w:t>
            </w:r>
          </w:p>
        </w:tc>
        <w:tc>
          <w:tcPr>
            <w:tcW w:w="394" w:type="dxa"/>
            <w:vMerge w:val="restart"/>
          </w:tcPr>
          <w:p w14:paraId="1750532F" w14:textId="77777777" w:rsidR="00562D67" w:rsidRPr="00757DD5" w:rsidRDefault="00562D67" w:rsidP="00C315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1134" w:type="dxa"/>
          </w:tcPr>
          <w:p w14:paraId="7F93E0D3" w14:textId="77777777" w:rsidR="00562D67" w:rsidRPr="00757DD5" w:rsidRDefault="00562D67" w:rsidP="00C315C7">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57DD5">
              <w:rPr>
                <w:rFonts w:ascii="Arial" w:hAnsi="Arial" w:cs="Arial"/>
                <w:color w:val="auto"/>
              </w:rPr>
              <w:t>Year</w:t>
            </w:r>
          </w:p>
        </w:tc>
        <w:tc>
          <w:tcPr>
            <w:tcW w:w="1701" w:type="dxa"/>
          </w:tcPr>
          <w:p w14:paraId="67250C0A" w14:textId="77777777" w:rsidR="00562D67" w:rsidRPr="00757DD5" w:rsidRDefault="00562D67" w:rsidP="00C315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57DD5">
              <w:rPr>
                <w:rFonts w:ascii="Arial" w:hAnsi="Arial" w:cs="Arial"/>
                <w:color w:val="auto"/>
              </w:rPr>
              <w:t>Number of Publications</w:t>
            </w:r>
          </w:p>
        </w:tc>
      </w:tr>
      <w:tr w:rsidR="00562D67" w:rsidRPr="00DD2E41" w14:paraId="50FA4CFE"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5ED90273" w14:textId="77777777" w:rsidR="00562D67" w:rsidRPr="00757DD5" w:rsidRDefault="00562D67" w:rsidP="00C315C7">
            <w:pPr>
              <w:jc w:val="right"/>
              <w:rPr>
                <w:rFonts w:ascii="Arial" w:hAnsi="Arial" w:cs="Arial"/>
                <w:b w:val="0"/>
                <w:bCs w:val="0"/>
              </w:rPr>
            </w:pPr>
            <w:r>
              <w:rPr>
                <w:rFonts w:ascii="Arial" w:hAnsi="Arial" w:cs="Arial"/>
                <w:b w:val="0"/>
                <w:bCs w:val="0"/>
              </w:rPr>
              <w:t>2025</w:t>
            </w:r>
          </w:p>
        </w:tc>
        <w:tc>
          <w:tcPr>
            <w:tcW w:w="1701" w:type="dxa"/>
            <w:noWrap/>
          </w:tcPr>
          <w:p w14:paraId="463FDB74"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c>
          <w:tcPr>
            <w:tcW w:w="394" w:type="dxa"/>
            <w:vMerge/>
          </w:tcPr>
          <w:p w14:paraId="1AD2DDA4"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268D90A8" w14:textId="77777777" w:rsidR="00562D67" w:rsidRPr="00757DD5" w:rsidRDefault="00562D67" w:rsidP="00C315C7">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2015</w:t>
            </w:r>
          </w:p>
        </w:tc>
        <w:tc>
          <w:tcPr>
            <w:tcW w:w="1701" w:type="dxa"/>
          </w:tcPr>
          <w:p w14:paraId="1FF339BA"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tc>
      </w:tr>
      <w:tr w:rsidR="00562D67" w:rsidRPr="00DD2E41" w14:paraId="28635B9D"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2D687D7F" w14:textId="77777777" w:rsidR="00562D67" w:rsidRPr="00757DD5" w:rsidRDefault="00562D67" w:rsidP="00C315C7">
            <w:pPr>
              <w:jc w:val="right"/>
              <w:rPr>
                <w:rFonts w:ascii="Arial" w:hAnsi="Arial" w:cs="Arial"/>
                <w:b w:val="0"/>
                <w:bCs w:val="0"/>
              </w:rPr>
            </w:pPr>
            <w:r w:rsidRPr="00757DD5">
              <w:rPr>
                <w:rFonts w:ascii="Arial" w:hAnsi="Arial" w:cs="Arial"/>
                <w:b w:val="0"/>
                <w:bCs w:val="0"/>
              </w:rPr>
              <w:t>2024</w:t>
            </w:r>
          </w:p>
        </w:tc>
        <w:tc>
          <w:tcPr>
            <w:tcW w:w="1701" w:type="dxa"/>
            <w:noWrap/>
          </w:tcPr>
          <w:p w14:paraId="1CA34715"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394" w:type="dxa"/>
            <w:vMerge/>
          </w:tcPr>
          <w:p w14:paraId="3EEAB138"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4C9D7AD9" w14:textId="77777777" w:rsidR="00562D67" w:rsidRPr="00757DD5" w:rsidRDefault="00562D67" w:rsidP="00C315C7">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2014</w:t>
            </w:r>
          </w:p>
        </w:tc>
        <w:tc>
          <w:tcPr>
            <w:tcW w:w="1701" w:type="dxa"/>
          </w:tcPr>
          <w:p w14:paraId="507EB7F0"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562D67" w:rsidRPr="00DD2E41" w14:paraId="5FCA450E"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06BE5F52" w14:textId="77777777" w:rsidR="00562D67" w:rsidRPr="00757DD5" w:rsidRDefault="00562D67" w:rsidP="00C315C7">
            <w:pPr>
              <w:jc w:val="right"/>
              <w:rPr>
                <w:rFonts w:ascii="Arial" w:hAnsi="Arial" w:cs="Arial"/>
                <w:b w:val="0"/>
                <w:bCs w:val="0"/>
              </w:rPr>
            </w:pPr>
            <w:r w:rsidRPr="00757DD5">
              <w:rPr>
                <w:rFonts w:ascii="Arial" w:hAnsi="Arial" w:cs="Arial"/>
                <w:b w:val="0"/>
                <w:bCs w:val="0"/>
              </w:rPr>
              <w:t>2023</w:t>
            </w:r>
          </w:p>
        </w:tc>
        <w:tc>
          <w:tcPr>
            <w:tcW w:w="1701" w:type="dxa"/>
            <w:noWrap/>
          </w:tcPr>
          <w:p w14:paraId="505B72A1"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w:t>
            </w:r>
          </w:p>
        </w:tc>
        <w:tc>
          <w:tcPr>
            <w:tcW w:w="394" w:type="dxa"/>
            <w:vMerge/>
          </w:tcPr>
          <w:p w14:paraId="5F4959E9"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1C0B2E2B" w14:textId="77777777" w:rsidR="00562D67" w:rsidRPr="00757DD5" w:rsidRDefault="00562D67" w:rsidP="00C315C7">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2013</w:t>
            </w:r>
          </w:p>
        </w:tc>
        <w:tc>
          <w:tcPr>
            <w:tcW w:w="1701" w:type="dxa"/>
          </w:tcPr>
          <w:p w14:paraId="73F6D806"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w:t>
            </w:r>
          </w:p>
        </w:tc>
      </w:tr>
      <w:tr w:rsidR="00562D67" w:rsidRPr="00DD2E41" w14:paraId="5B306E84"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6DC8130F" w14:textId="77777777" w:rsidR="00562D67" w:rsidRPr="00757DD5" w:rsidRDefault="00562D67" w:rsidP="00C315C7">
            <w:pPr>
              <w:jc w:val="right"/>
              <w:rPr>
                <w:rFonts w:ascii="Arial" w:hAnsi="Arial" w:cs="Arial"/>
                <w:b w:val="0"/>
                <w:bCs w:val="0"/>
              </w:rPr>
            </w:pPr>
            <w:r w:rsidRPr="00757DD5">
              <w:rPr>
                <w:rFonts w:ascii="Arial" w:hAnsi="Arial" w:cs="Arial"/>
                <w:b w:val="0"/>
                <w:bCs w:val="0"/>
              </w:rPr>
              <w:t>2022</w:t>
            </w:r>
          </w:p>
        </w:tc>
        <w:tc>
          <w:tcPr>
            <w:tcW w:w="1701" w:type="dxa"/>
            <w:noWrap/>
          </w:tcPr>
          <w:p w14:paraId="2F9012A6"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c>
          <w:tcPr>
            <w:tcW w:w="394" w:type="dxa"/>
            <w:vMerge/>
          </w:tcPr>
          <w:p w14:paraId="452828DF"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30B4C030" w14:textId="77777777" w:rsidR="00562D67" w:rsidRPr="00757DD5" w:rsidRDefault="00562D67" w:rsidP="00C315C7">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2012</w:t>
            </w:r>
          </w:p>
        </w:tc>
        <w:tc>
          <w:tcPr>
            <w:tcW w:w="1701" w:type="dxa"/>
          </w:tcPr>
          <w:p w14:paraId="213DCEBA"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r>
      <w:tr w:rsidR="00562D67" w:rsidRPr="00DD2E41" w14:paraId="2BA6761A"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6C0C9997" w14:textId="77777777" w:rsidR="00562D67" w:rsidRPr="00757DD5" w:rsidRDefault="00562D67" w:rsidP="00C315C7">
            <w:pPr>
              <w:jc w:val="right"/>
              <w:rPr>
                <w:rFonts w:ascii="Arial" w:hAnsi="Arial" w:cs="Arial"/>
                <w:b w:val="0"/>
                <w:bCs w:val="0"/>
              </w:rPr>
            </w:pPr>
            <w:r w:rsidRPr="00757DD5">
              <w:rPr>
                <w:rFonts w:ascii="Arial" w:hAnsi="Arial" w:cs="Arial"/>
                <w:b w:val="0"/>
                <w:bCs w:val="0"/>
              </w:rPr>
              <w:t>2021</w:t>
            </w:r>
          </w:p>
        </w:tc>
        <w:tc>
          <w:tcPr>
            <w:tcW w:w="1701" w:type="dxa"/>
            <w:noWrap/>
          </w:tcPr>
          <w:p w14:paraId="3A6D1551"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p>
        </w:tc>
        <w:tc>
          <w:tcPr>
            <w:tcW w:w="394" w:type="dxa"/>
            <w:vMerge/>
          </w:tcPr>
          <w:p w14:paraId="05D787CA"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38810F2C" w14:textId="77777777" w:rsidR="00562D67" w:rsidRPr="00757DD5" w:rsidRDefault="00562D67" w:rsidP="00C315C7">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2011</w:t>
            </w:r>
          </w:p>
        </w:tc>
        <w:tc>
          <w:tcPr>
            <w:tcW w:w="1701" w:type="dxa"/>
          </w:tcPr>
          <w:p w14:paraId="4A2FED11"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r>
      <w:tr w:rsidR="00562D67" w:rsidRPr="00DD2E41" w14:paraId="2CB75D55"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2C0D7D84" w14:textId="77777777" w:rsidR="00562D67" w:rsidRPr="00757DD5" w:rsidRDefault="00562D67" w:rsidP="00C315C7">
            <w:pPr>
              <w:jc w:val="right"/>
              <w:rPr>
                <w:rFonts w:ascii="Arial" w:hAnsi="Arial" w:cs="Arial"/>
                <w:b w:val="0"/>
                <w:bCs w:val="0"/>
              </w:rPr>
            </w:pPr>
            <w:r w:rsidRPr="00757DD5">
              <w:rPr>
                <w:rFonts w:ascii="Arial" w:hAnsi="Arial" w:cs="Arial"/>
                <w:b w:val="0"/>
                <w:bCs w:val="0"/>
              </w:rPr>
              <w:t>2020</w:t>
            </w:r>
          </w:p>
        </w:tc>
        <w:tc>
          <w:tcPr>
            <w:tcW w:w="1701" w:type="dxa"/>
            <w:noWrap/>
          </w:tcPr>
          <w:p w14:paraId="1C950207"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c>
          <w:tcPr>
            <w:tcW w:w="394" w:type="dxa"/>
            <w:vMerge/>
          </w:tcPr>
          <w:p w14:paraId="1B7B8E8D"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6E18800D" w14:textId="77777777" w:rsidR="00562D67" w:rsidRPr="00757DD5" w:rsidRDefault="00562D67" w:rsidP="00C315C7">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2010</w:t>
            </w:r>
          </w:p>
        </w:tc>
        <w:tc>
          <w:tcPr>
            <w:tcW w:w="1701" w:type="dxa"/>
          </w:tcPr>
          <w:p w14:paraId="3CF561D8"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r>
      <w:tr w:rsidR="00562D67" w:rsidRPr="00DD2E41" w14:paraId="25287B89"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118452C2" w14:textId="77777777" w:rsidR="00562D67" w:rsidRPr="00757DD5" w:rsidRDefault="00562D67" w:rsidP="00C315C7">
            <w:pPr>
              <w:jc w:val="right"/>
              <w:rPr>
                <w:rFonts w:ascii="Arial" w:hAnsi="Arial" w:cs="Arial"/>
                <w:b w:val="0"/>
                <w:bCs w:val="0"/>
              </w:rPr>
            </w:pPr>
            <w:r w:rsidRPr="00757DD5">
              <w:rPr>
                <w:rFonts w:ascii="Arial" w:hAnsi="Arial" w:cs="Arial"/>
                <w:b w:val="0"/>
                <w:bCs w:val="0"/>
              </w:rPr>
              <w:t>2019</w:t>
            </w:r>
          </w:p>
        </w:tc>
        <w:tc>
          <w:tcPr>
            <w:tcW w:w="1701" w:type="dxa"/>
            <w:noWrap/>
          </w:tcPr>
          <w:p w14:paraId="1C679DE4"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c>
          <w:tcPr>
            <w:tcW w:w="394" w:type="dxa"/>
            <w:vMerge/>
          </w:tcPr>
          <w:p w14:paraId="4E20FD42"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62A0A71D" w14:textId="77777777" w:rsidR="00562D67" w:rsidRPr="00757DD5" w:rsidRDefault="00562D67" w:rsidP="00C315C7">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2009</w:t>
            </w:r>
          </w:p>
        </w:tc>
        <w:tc>
          <w:tcPr>
            <w:tcW w:w="1701" w:type="dxa"/>
          </w:tcPr>
          <w:p w14:paraId="4837F115"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30F09D0F"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1D18067F" w14:textId="77777777" w:rsidR="00562D67" w:rsidRPr="00757DD5" w:rsidRDefault="00562D67" w:rsidP="00C315C7">
            <w:pPr>
              <w:jc w:val="right"/>
              <w:rPr>
                <w:rFonts w:ascii="Arial" w:hAnsi="Arial" w:cs="Arial"/>
                <w:b w:val="0"/>
                <w:bCs w:val="0"/>
              </w:rPr>
            </w:pPr>
            <w:r w:rsidRPr="00757DD5">
              <w:rPr>
                <w:rFonts w:ascii="Arial" w:hAnsi="Arial" w:cs="Arial"/>
                <w:b w:val="0"/>
                <w:bCs w:val="0"/>
              </w:rPr>
              <w:t>2018</w:t>
            </w:r>
          </w:p>
        </w:tc>
        <w:tc>
          <w:tcPr>
            <w:tcW w:w="1701" w:type="dxa"/>
            <w:noWrap/>
          </w:tcPr>
          <w:p w14:paraId="3DBDF3CE"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394" w:type="dxa"/>
            <w:vMerge/>
          </w:tcPr>
          <w:p w14:paraId="3B3EEC1F"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7F52345" w14:textId="77777777" w:rsidR="00562D67" w:rsidRPr="00757DD5" w:rsidRDefault="00562D67" w:rsidP="00C315C7">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2008</w:t>
            </w:r>
          </w:p>
        </w:tc>
        <w:tc>
          <w:tcPr>
            <w:tcW w:w="1701" w:type="dxa"/>
          </w:tcPr>
          <w:p w14:paraId="12570F3F"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r w:rsidR="00562D67" w:rsidRPr="00DD2E41" w14:paraId="37C76C11"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tcPr>
          <w:p w14:paraId="19C612A2" w14:textId="77777777" w:rsidR="00562D67" w:rsidRPr="00757DD5" w:rsidRDefault="00562D67" w:rsidP="00C315C7">
            <w:pPr>
              <w:jc w:val="right"/>
              <w:rPr>
                <w:rFonts w:ascii="Arial" w:hAnsi="Arial" w:cs="Arial"/>
                <w:b w:val="0"/>
                <w:bCs w:val="0"/>
              </w:rPr>
            </w:pPr>
            <w:r w:rsidRPr="00757DD5">
              <w:rPr>
                <w:rFonts w:ascii="Arial" w:hAnsi="Arial" w:cs="Arial"/>
                <w:b w:val="0"/>
                <w:bCs w:val="0"/>
              </w:rPr>
              <w:t>2017</w:t>
            </w:r>
          </w:p>
        </w:tc>
        <w:tc>
          <w:tcPr>
            <w:tcW w:w="1701" w:type="dxa"/>
            <w:noWrap/>
          </w:tcPr>
          <w:p w14:paraId="5EC57D95"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c>
          <w:tcPr>
            <w:tcW w:w="394" w:type="dxa"/>
            <w:vMerge/>
          </w:tcPr>
          <w:p w14:paraId="596FA7D3"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Pr>
          <w:p w14:paraId="2B863CAB" w14:textId="77777777" w:rsidR="00562D67" w:rsidRPr="00757DD5" w:rsidRDefault="00562D67" w:rsidP="00C315C7">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2007</w:t>
            </w:r>
          </w:p>
        </w:tc>
        <w:tc>
          <w:tcPr>
            <w:tcW w:w="1701" w:type="dxa"/>
          </w:tcPr>
          <w:p w14:paraId="57D23EFE" w14:textId="77777777" w:rsidR="00562D67" w:rsidRPr="00757DD5"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57DD5">
              <w:rPr>
                <w:rFonts w:ascii="Arial" w:hAnsi="Arial" w:cs="Arial"/>
              </w:rPr>
              <w:t>1</w:t>
            </w:r>
          </w:p>
        </w:tc>
      </w:tr>
      <w:tr w:rsidR="00562D67" w:rsidRPr="00DD2E41" w14:paraId="116152F1"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889A130" w14:textId="77777777" w:rsidR="00562D67" w:rsidRPr="00757DD5" w:rsidRDefault="00562D67" w:rsidP="00C315C7">
            <w:pPr>
              <w:jc w:val="right"/>
              <w:rPr>
                <w:rFonts w:ascii="Arial" w:hAnsi="Arial" w:cs="Arial"/>
                <w:b w:val="0"/>
                <w:bCs w:val="0"/>
              </w:rPr>
            </w:pPr>
            <w:r w:rsidRPr="00757DD5">
              <w:rPr>
                <w:rFonts w:ascii="Arial" w:hAnsi="Arial" w:cs="Arial"/>
                <w:b w:val="0"/>
                <w:bCs w:val="0"/>
              </w:rPr>
              <w:t>2016</w:t>
            </w:r>
          </w:p>
        </w:tc>
        <w:tc>
          <w:tcPr>
            <w:tcW w:w="1701" w:type="dxa"/>
            <w:noWrap/>
          </w:tcPr>
          <w:p w14:paraId="52F9A68C"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394" w:type="dxa"/>
            <w:vMerge/>
          </w:tcPr>
          <w:p w14:paraId="4E77294B"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4C77F351" w14:textId="77777777" w:rsidR="00562D67" w:rsidRPr="00757DD5" w:rsidRDefault="00562D67" w:rsidP="00C315C7">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tcPr>
          <w:p w14:paraId="30BE58CC" w14:textId="77777777" w:rsidR="00562D67" w:rsidRPr="00757DD5"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DB7B04E" w14:textId="77777777" w:rsidR="00562D67" w:rsidRDefault="00562D67" w:rsidP="00562D67">
      <w:pPr>
        <w:rPr>
          <w:rFonts w:ascii="Arial" w:hAnsi="Arial" w:cs="Arial"/>
          <w:b/>
          <w:bCs/>
          <w:color w:val="EE0000"/>
        </w:rPr>
      </w:pPr>
    </w:p>
    <w:p w14:paraId="6AF3887C" w14:textId="77777777" w:rsidR="00562D67" w:rsidRPr="00442997" w:rsidRDefault="00562D67" w:rsidP="00562D67">
      <w:pPr>
        <w:rPr>
          <w:rFonts w:ascii="Arial" w:hAnsi="Arial" w:cs="Arial"/>
          <w:b/>
          <w:bCs/>
          <w:sz w:val="24"/>
          <w:szCs w:val="24"/>
        </w:rPr>
      </w:pPr>
      <w:r w:rsidRPr="00442997">
        <w:rPr>
          <w:rFonts w:ascii="Arial" w:hAnsi="Arial" w:cs="Arial"/>
          <w:b/>
          <w:bCs/>
          <w:sz w:val="24"/>
          <w:szCs w:val="24"/>
        </w:rPr>
        <w:t>Document by author</w:t>
      </w:r>
    </w:p>
    <w:p w14:paraId="1BC7E952" w14:textId="77777777" w:rsidR="00562D67" w:rsidRPr="00442997" w:rsidRDefault="00562D67" w:rsidP="00562D67">
      <w:pPr>
        <w:rPr>
          <w:rFonts w:ascii="Arial" w:hAnsi="Arial" w:cs="Arial"/>
          <w:b/>
          <w:bCs/>
          <w:color w:val="EE0000"/>
          <w:sz w:val="24"/>
          <w:szCs w:val="24"/>
        </w:rPr>
      </w:pPr>
    </w:p>
    <w:p w14:paraId="5F4EB465" w14:textId="77777777" w:rsidR="00562D67" w:rsidRPr="00034088" w:rsidRDefault="00562D67" w:rsidP="00562D67">
      <w:pPr>
        <w:jc w:val="both"/>
        <w:rPr>
          <w:sz w:val="24"/>
          <w:szCs w:val="24"/>
        </w:rPr>
      </w:pPr>
      <w:r w:rsidRPr="00034088">
        <w:rPr>
          <w:sz w:val="24"/>
          <w:szCs w:val="24"/>
        </w:rPr>
        <w:t xml:space="preserve">Table 2 presents the top 50 authors who have contributed to publications on biological assets, highlighting patterns of research productivity within this niche field. Svoboda, P emerges as the most productive author with five publications, followed by Bohusova, H and Oliveira, </w:t>
      </w:r>
      <w:proofErr w:type="spellStart"/>
      <w:r w:rsidRPr="00034088">
        <w:rPr>
          <w:sz w:val="24"/>
          <w:szCs w:val="24"/>
        </w:rPr>
        <w:t>D.d.L</w:t>
      </w:r>
      <w:proofErr w:type="spellEnd"/>
      <w:r w:rsidRPr="00034088">
        <w:rPr>
          <w:sz w:val="24"/>
          <w:szCs w:val="24"/>
        </w:rPr>
        <w:t xml:space="preserve"> with four publications each. Several authors, including Munis, R.A., Rech, I.J., Ribeiro, A.M., and Simoes, D, have produced three papers, indicating a small core group of researchers who consistently engage with biological asset–related topics. This concentration suggests that the field is driven by a limited number of specialists with sustained research interest.</w:t>
      </w:r>
    </w:p>
    <w:p w14:paraId="696B7D13" w14:textId="77777777" w:rsidR="00562D67" w:rsidRPr="00034088" w:rsidRDefault="00562D67" w:rsidP="00562D67">
      <w:pPr>
        <w:jc w:val="both"/>
        <w:rPr>
          <w:sz w:val="24"/>
          <w:szCs w:val="24"/>
        </w:rPr>
      </w:pPr>
    </w:p>
    <w:p w14:paraId="5BAA41CE" w14:textId="77777777" w:rsidR="00562D67" w:rsidRPr="00034088" w:rsidRDefault="00562D67" w:rsidP="00562D67">
      <w:pPr>
        <w:jc w:val="both"/>
        <w:rPr>
          <w:sz w:val="24"/>
          <w:szCs w:val="24"/>
        </w:rPr>
      </w:pPr>
      <w:r w:rsidRPr="00034088">
        <w:rPr>
          <w:sz w:val="24"/>
          <w:szCs w:val="24"/>
        </w:rPr>
        <w:t>Beyond the leading contributors, most authors listed in the table have produced two or one publication. Authors ranked from 8 to 31 mainly contributed two papers, while those ranked from 32 to 50 have only one publication each. This distribution reflects a long-tail authorship pattern, where many researchers contribute occasionally rather than continuously. Such a pattern may indicate that biological asset research is often addressed as part of broader accounting, agricultural, or sustainability studies, rather than as a primary research focus for most authors.</w:t>
      </w:r>
    </w:p>
    <w:p w14:paraId="2DAB5800" w14:textId="77777777" w:rsidR="00562D67" w:rsidRDefault="00562D67" w:rsidP="00562D67">
      <w:pPr>
        <w:rPr>
          <w:rFonts w:ascii="Arial" w:hAnsi="Arial" w:cs="Arial"/>
          <w:b/>
          <w:bCs/>
          <w:color w:val="EE0000"/>
        </w:rPr>
      </w:pPr>
    </w:p>
    <w:p w14:paraId="31396333" w14:textId="77777777" w:rsidR="00442997" w:rsidRPr="00DD2E41" w:rsidRDefault="00442997" w:rsidP="00562D67">
      <w:pPr>
        <w:rPr>
          <w:rFonts w:ascii="Arial" w:hAnsi="Arial" w:cs="Arial"/>
          <w:b/>
          <w:bCs/>
          <w:color w:val="EE0000"/>
        </w:rPr>
      </w:pPr>
    </w:p>
    <w:p w14:paraId="215BBB83" w14:textId="77777777" w:rsidR="00562D67" w:rsidRPr="004F04BA" w:rsidRDefault="00562D67" w:rsidP="00562D67">
      <w:pPr>
        <w:rPr>
          <w:rFonts w:ascii="Arial" w:hAnsi="Arial" w:cs="Arial"/>
          <w:sz w:val="24"/>
          <w:szCs w:val="24"/>
        </w:rPr>
      </w:pPr>
      <w:r w:rsidRPr="004F04BA">
        <w:rPr>
          <w:rFonts w:ascii="Arial" w:hAnsi="Arial" w:cs="Arial"/>
          <w:b/>
          <w:bCs/>
          <w:sz w:val="24"/>
          <w:szCs w:val="24"/>
        </w:rPr>
        <w:t xml:space="preserve">Table </w:t>
      </w:r>
      <w:proofErr w:type="gramStart"/>
      <w:r w:rsidRPr="004F04BA">
        <w:rPr>
          <w:rFonts w:ascii="Arial" w:hAnsi="Arial" w:cs="Arial"/>
          <w:b/>
          <w:bCs/>
          <w:sz w:val="24"/>
          <w:szCs w:val="24"/>
        </w:rPr>
        <w:t>2</w:t>
      </w:r>
      <w:r w:rsidRPr="004F04BA">
        <w:rPr>
          <w:rFonts w:ascii="Arial" w:hAnsi="Arial" w:cs="Arial"/>
          <w:sz w:val="24"/>
          <w:szCs w:val="24"/>
        </w:rPr>
        <w:t xml:space="preserve"> :</w:t>
      </w:r>
      <w:proofErr w:type="gramEnd"/>
      <w:r w:rsidRPr="004F04BA">
        <w:rPr>
          <w:rFonts w:ascii="Arial" w:hAnsi="Arial" w:cs="Arial"/>
          <w:sz w:val="24"/>
          <w:szCs w:val="24"/>
        </w:rPr>
        <w:t xml:space="preserve">  Top 50 authors that published papers related to biological assets</w:t>
      </w:r>
    </w:p>
    <w:p w14:paraId="57355D51" w14:textId="77777777" w:rsidR="00562D67" w:rsidRPr="00DD2E41" w:rsidRDefault="00562D67" w:rsidP="00562D67">
      <w:pPr>
        <w:rPr>
          <w:rFonts w:ascii="Arial" w:hAnsi="Arial" w:cs="Arial"/>
          <w:color w:val="EE0000"/>
        </w:rPr>
      </w:pPr>
    </w:p>
    <w:tbl>
      <w:tblPr>
        <w:tblStyle w:val="GridTable4-Accent4"/>
        <w:tblW w:w="9218" w:type="dxa"/>
        <w:tblLook w:val="04A0" w:firstRow="1" w:lastRow="0" w:firstColumn="1" w:lastColumn="0" w:noHBand="0" w:noVBand="1"/>
      </w:tblPr>
      <w:tblGrid>
        <w:gridCol w:w="571"/>
        <w:gridCol w:w="2268"/>
        <w:gridCol w:w="1531"/>
        <w:gridCol w:w="478"/>
        <w:gridCol w:w="571"/>
        <w:gridCol w:w="2268"/>
        <w:gridCol w:w="1531"/>
      </w:tblGrid>
      <w:tr w:rsidR="00562D67" w:rsidRPr="00DD2E41" w14:paraId="5A5DD531" w14:textId="77777777" w:rsidTr="0035772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71" w:type="dxa"/>
            <w:noWrap/>
            <w:hideMark/>
          </w:tcPr>
          <w:p w14:paraId="3549C644" w14:textId="77777777" w:rsidR="00562D67" w:rsidRPr="0009469C" w:rsidRDefault="00562D67" w:rsidP="00C315C7">
            <w:pPr>
              <w:jc w:val="center"/>
              <w:rPr>
                <w:rFonts w:ascii="Arial" w:hAnsi="Arial" w:cs="Arial"/>
                <w:color w:val="auto"/>
              </w:rPr>
            </w:pPr>
            <w:r w:rsidRPr="0009469C">
              <w:rPr>
                <w:rFonts w:ascii="Arial" w:hAnsi="Arial" w:cs="Arial"/>
                <w:color w:val="auto"/>
              </w:rPr>
              <w:t>No.</w:t>
            </w:r>
          </w:p>
        </w:tc>
        <w:tc>
          <w:tcPr>
            <w:tcW w:w="2268" w:type="dxa"/>
            <w:noWrap/>
            <w:hideMark/>
          </w:tcPr>
          <w:p w14:paraId="6A47F05F" w14:textId="77777777" w:rsidR="00562D67" w:rsidRPr="0009469C"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9469C">
              <w:rPr>
                <w:rFonts w:ascii="Arial" w:hAnsi="Arial" w:cs="Arial"/>
                <w:color w:val="auto"/>
              </w:rPr>
              <w:t>Author Name</w:t>
            </w:r>
          </w:p>
        </w:tc>
        <w:tc>
          <w:tcPr>
            <w:tcW w:w="1531" w:type="dxa"/>
            <w:noWrap/>
            <w:hideMark/>
          </w:tcPr>
          <w:p w14:paraId="64DD6C43" w14:textId="77777777" w:rsidR="00562D67" w:rsidRPr="0009469C"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9469C">
              <w:rPr>
                <w:rFonts w:ascii="Arial" w:hAnsi="Arial" w:cs="Arial"/>
                <w:color w:val="auto"/>
              </w:rPr>
              <w:t>Number of Publications</w:t>
            </w:r>
          </w:p>
        </w:tc>
        <w:tc>
          <w:tcPr>
            <w:tcW w:w="478" w:type="dxa"/>
            <w:vMerge w:val="restart"/>
          </w:tcPr>
          <w:p w14:paraId="1D8F3AEE" w14:textId="77777777" w:rsidR="00562D67" w:rsidRPr="0009469C"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571" w:type="dxa"/>
          </w:tcPr>
          <w:p w14:paraId="1AD48837" w14:textId="77777777" w:rsidR="00562D67" w:rsidRPr="0009469C"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p w14:paraId="667A71F5" w14:textId="77777777" w:rsidR="00562D67" w:rsidRPr="0009469C"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9469C">
              <w:rPr>
                <w:rFonts w:ascii="Arial" w:hAnsi="Arial" w:cs="Arial"/>
                <w:color w:val="auto"/>
              </w:rPr>
              <w:t>No.</w:t>
            </w:r>
          </w:p>
        </w:tc>
        <w:tc>
          <w:tcPr>
            <w:tcW w:w="2268" w:type="dxa"/>
          </w:tcPr>
          <w:p w14:paraId="0272A4E4" w14:textId="77777777" w:rsidR="00562D67" w:rsidRPr="0009469C"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9469C">
              <w:rPr>
                <w:rFonts w:ascii="Arial" w:hAnsi="Arial" w:cs="Arial"/>
                <w:color w:val="auto"/>
              </w:rPr>
              <w:t>Author Name</w:t>
            </w:r>
          </w:p>
        </w:tc>
        <w:tc>
          <w:tcPr>
            <w:tcW w:w="1531" w:type="dxa"/>
          </w:tcPr>
          <w:p w14:paraId="032C6CFD" w14:textId="77777777" w:rsidR="00562D67" w:rsidRPr="0009469C"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9469C">
              <w:rPr>
                <w:rFonts w:ascii="Arial" w:hAnsi="Arial" w:cs="Arial"/>
                <w:color w:val="auto"/>
              </w:rPr>
              <w:t>Number of Publications</w:t>
            </w:r>
          </w:p>
        </w:tc>
      </w:tr>
      <w:tr w:rsidR="00562D67" w:rsidRPr="00DD2E41" w14:paraId="7E9C3F8F"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5CC89AE0" w14:textId="77777777" w:rsidR="00562D67" w:rsidRPr="0009469C" w:rsidRDefault="00562D67" w:rsidP="00C315C7">
            <w:pPr>
              <w:jc w:val="center"/>
              <w:rPr>
                <w:rFonts w:ascii="Arial" w:hAnsi="Arial" w:cs="Arial"/>
                <w:b w:val="0"/>
                <w:bCs w:val="0"/>
              </w:rPr>
            </w:pPr>
            <w:r w:rsidRPr="0009469C">
              <w:rPr>
                <w:rFonts w:ascii="Arial" w:hAnsi="Arial" w:cs="Arial"/>
                <w:b w:val="0"/>
                <w:bCs w:val="0"/>
              </w:rPr>
              <w:t>1</w:t>
            </w:r>
          </w:p>
        </w:tc>
        <w:tc>
          <w:tcPr>
            <w:tcW w:w="2268" w:type="dxa"/>
            <w:noWrap/>
            <w:hideMark/>
          </w:tcPr>
          <w:p w14:paraId="16EA7305"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Svoboda, P</w:t>
            </w:r>
          </w:p>
        </w:tc>
        <w:tc>
          <w:tcPr>
            <w:tcW w:w="1531" w:type="dxa"/>
            <w:noWrap/>
            <w:hideMark/>
          </w:tcPr>
          <w:p w14:paraId="3B4B5305"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w:t>
            </w:r>
          </w:p>
        </w:tc>
        <w:tc>
          <w:tcPr>
            <w:tcW w:w="478" w:type="dxa"/>
            <w:vMerge/>
          </w:tcPr>
          <w:p w14:paraId="53BCB63D"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09A830AF"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26</w:t>
            </w:r>
          </w:p>
        </w:tc>
        <w:tc>
          <w:tcPr>
            <w:tcW w:w="2268" w:type="dxa"/>
          </w:tcPr>
          <w:p w14:paraId="146059FB"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Silva, C.A.T.</w:t>
            </w:r>
          </w:p>
        </w:tc>
        <w:tc>
          <w:tcPr>
            <w:tcW w:w="1531" w:type="dxa"/>
          </w:tcPr>
          <w:p w14:paraId="4F68B2B2"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r>
      <w:tr w:rsidR="00562D67" w:rsidRPr="00DD2E41" w14:paraId="725C9B45"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4B3F5C8A" w14:textId="77777777" w:rsidR="00562D67" w:rsidRPr="0009469C" w:rsidRDefault="00562D67" w:rsidP="00C315C7">
            <w:pPr>
              <w:jc w:val="center"/>
              <w:rPr>
                <w:rFonts w:ascii="Arial" w:hAnsi="Arial" w:cs="Arial"/>
                <w:b w:val="0"/>
                <w:bCs w:val="0"/>
              </w:rPr>
            </w:pPr>
            <w:r w:rsidRPr="0009469C">
              <w:rPr>
                <w:rFonts w:ascii="Arial" w:hAnsi="Arial" w:cs="Arial"/>
                <w:b w:val="0"/>
                <w:bCs w:val="0"/>
              </w:rPr>
              <w:t>2</w:t>
            </w:r>
          </w:p>
        </w:tc>
        <w:tc>
          <w:tcPr>
            <w:tcW w:w="2268" w:type="dxa"/>
            <w:noWrap/>
          </w:tcPr>
          <w:p w14:paraId="58CE0342"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Bohusova, H</w:t>
            </w:r>
          </w:p>
        </w:tc>
        <w:tc>
          <w:tcPr>
            <w:tcW w:w="1531" w:type="dxa"/>
            <w:noWrap/>
          </w:tcPr>
          <w:p w14:paraId="725FCEBE"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478" w:type="dxa"/>
            <w:vMerge/>
          </w:tcPr>
          <w:p w14:paraId="608B5212"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5BD870E7"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27</w:t>
            </w:r>
          </w:p>
        </w:tc>
        <w:tc>
          <w:tcPr>
            <w:tcW w:w="2268" w:type="dxa"/>
          </w:tcPr>
          <w:p w14:paraId="19702B22"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Xie, B.</w:t>
            </w:r>
          </w:p>
        </w:tc>
        <w:tc>
          <w:tcPr>
            <w:tcW w:w="1531" w:type="dxa"/>
          </w:tcPr>
          <w:p w14:paraId="7F336953"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r>
      <w:tr w:rsidR="00562D67" w:rsidRPr="00DD2E41" w14:paraId="7FCB7EAE"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65BDABA9" w14:textId="77777777" w:rsidR="00562D67" w:rsidRPr="0009469C" w:rsidRDefault="00562D67" w:rsidP="00C315C7">
            <w:pPr>
              <w:jc w:val="center"/>
              <w:rPr>
                <w:rFonts w:ascii="Arial" w:hAnsi="Arial" w:cs="Arial"/>
                <w:b w:val="0"/>
                <w:bCs w:val="0"/>
              </w:rPr>
            </w:pPr>
            <w:r w:rsidRPr="0009469C">
              <w:rPr>
                <w:rFonts w:ascii="Arial" w:hAnsi="Arial" w:cs="Arial"/>
                <w:b w:val="0"/>
                <w:bCs w:val="0"/>
              </w:rPr>
              <w:t>3</w:t>
            </w:r>
          </w:p>
        </w:tc>
        <w:tc>
          <w:tcPr>
            <w:tcW w:w="2268" w:type="dxa"/>
            <w:noWrap/>
          </w:tcPr>
          <w:p w14:paraId="386F6D81"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Oliveira, </w:t>
            </w:r>
            <w:proofErr w:type="spellStart"/>
            <w:r>
              <w:rPr>
                <w:rFonts w:ascii="Arial" w:hAnsi="Arial" w:cs="Arial"/>
              </w:rPr>
              <w:t>D.</w:t>
            </w:r>
            <w:proofErr w:type="gramStart"/>
            <w:r>
              <w:rPr>
                <w:rFonts w:ascii="Arial" w:hAnsi="Arial" w:cs="Arial"/>
              </w:rPr>
              <w:t>d.L</w:t>
            </w:r>
            <w:proofErr w:type="spellEnd"/>
            <w:proofErr w:type="gramEnd"/>
          </w:p>
        </w:tc>
        <w:tc>
          <w:tcPr>
            <w:tcW w:w="1531" w:type="dxa"/>
            <w:noWrap/>
          </w:tcPr>
          <w:p w14:paraId="25C8B20D"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tc>
        <w:tc>
          <w:tcPr>
            <w:tcW w:w="478" w:type="dxa"/>
            <w:vMerge/>
          </w:tcPr>
          <w:p w14:paraId="1F635B71"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41B7B2CD"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28</w:t>
            </w:r>
          </w:p>
        </w:tc>
        <w:tc>
          <w:tcPr>
            <w:tcW w:w="2268" w:type="dxa"/>
          </w:tcPr>
          <w:p w14:paraId="3F533784"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 Silva, R.</w:t>
            </w:r>
            <w:proofErr w:type="gramStart"/>
            <w:r>
              <w:rPr>
                <w:rFonts w:ascii="Arial" w:hAnsi="Arial" w:cs="Arial"/>
              </w:rPr>
              <w:t>B.G</w:t>
            </w:r>
            <w:proofErr w:type="gramEnd"/>
          </w:p>
        </w:tc>
        <w:tc>
          <w:tcPr>
            <w:tcW w:w="1531" w:type="dxa"/>
          </w:tcPr>
          <w:p w14:paraId="7685A302"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r>
      <w:tr w:rsidR="00562D67" w:rsidRPr="00DD2E41" w14:paraId="50D80434"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3CC7DC43" w14:textId="77777777" w:rsidR="00562D67" w:rsidRPr="0009469C" w:rsidRDefault="00562D67" w:rsidP="00C315C7">
            <w:pPr>
              <w:jc w:val="center"/>
              <w:rPr>
                <w:rFonts w:ascii="Arial" w:hAnsi="Arial" w:cs="Arial"/>
                <w:b w:val="0"/>
                <w:bCs w:val="0"/>
              </w:rPr>
            </w:pPr>
            <w:r w:rsidRPr="0009469C">
              <w:rPr>
                <w:rFonts w:ascii="Arial" w:hAnsi="Arial" w:cs="Arial"/>
                <w:b w:val="0"/>
                <w:bCs w:val="0"/>
              </w:rPr>
              <w:t>4</w:t>
            </w:r>
          </w:p>
        </w:tc>
        <w:tc>
          <w:tcPr>
            <w:tcW w:w="2268" w:type="dxa"/>
            <w:noWrap/>
          </w:tcPr>
          <w:p w14:paraId="5A59C457"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Munis, R.A.</w:t>
            </w:r>
          </w:p>
        </w:tc>
        <w:tc>
          <w:tcPr>
            <w:tcW w:w="1531" w:type="dxa"/>
            <w:noWrap/>
          </w:tcPr>
          <w:p w14:paraId="40CE1AD1"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478" w:type="dxa"/>
            <w:vMerge/>
          </w:tcPr>
          <w:p w14:paraId="3DE79C44"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7962BC75"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29</w:t>
            </w:r>
          </w:p>
        </w:tc>
        <w:tc>
          <w:tcPr>
            <w:tcW w:w="2268" w:type="dxa"/>
          </w:tcPr>
          <w:p w14:paraId="5BE4D9F3"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 Silva, R.L.M.</w:t>
            </w:r>
          </w:p>
        </w:tc>
        <w:tc>
          <w:tcPr>
            <w:tcW w:w="1531" w:type="dxa"/>
          </w:tcPr>
          <w:p w14:paraId="758A2C72"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r>
      <w:tr w:rsidR="00562D67" w:rsidRPr="00DD2E41" w14:paraId="54655259"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0A262339" w14:textId="77777777" w:rsidR="00562D67" w:rsidRPr="0009469C" w:rsidRDefault="00562D67" w:rsidP="00C315C7">
            <w:pPr>
              <w:jc w:val="center"/>
              <w:rPr>
                <w:rFonts w:ascii="Arial" w:hAnsi="Arial" w:cs="Arial"/>
                <w:b w:val="0"/>
                <w:bCs w:val="0"/>
              </w:rPr>
            </w:pPr>
            <w:r w:rsidRPr="0009469C">
              <w:rPr>
                <w:rFonts w:ascii="Arial" w:hAnsi="Arial" w:cs="Arial"/>
                <w:b w:val="0"/>
                <w:bCs w:val="0"/>
              </w:rPr>
              <w:t>5</w:t>
            </w:r>
          </w:p>
        </w:tc>
        <w:tc>
          <w:tcPr>
            <w:tcW w:w="2268" w:type="dxa"/>
            <w:noWrap/>
          </w:tcPr>
          <w:p w14:paraId="7421FD7F"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Rech, I.J.</w:t>
            </w:r>
          </w:p>
        </w:tc>
        <w:tc>
          <w:tcPr>
            <w:tcW w:w="1531" w:type="dxa"/>
            <w:noWrap/>
          </w:tcPr>
          <w:p w14:paraId="5706EF64"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c>
          <w:tcPr>
            <w:tcW w:w="478" w:type="dxa"/>
            <w:vMerge/>
          </w:tcPr>
          <w:p w14:paraId="401AABB7"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5A3A63E5"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30</w:t>
            </w:r>
          </w:p>
        </w:tc>
        <w:tc>
          <w:tcPr>
            <w:tcW w:w="2268" w:type="dxa"/>
          </w:tcPr>
          <w:p w14:paraId="0D172EEC"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 Oliveira, L.P.</w:t>
            </w:r>
          </w:p>
        </w:tc>
        <w:tc>
          <w:tcPr>
            <w:tcW w:w="1531" w:type="dxa"/>
          </w:tcPr>
          <w:p w14:paraId="4D6FC855"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r>
      <w:tr w:rsidR="00562D67" w:rsidRPr="00DD2E41" w14:paraId="73ADA52C"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4E1508A2" w14:textId="77777777" w:rsidR="00562D67" w:rsidRPr="0009469C" w:rsidRDefault="00562D67" w:rsidP="00C315C7">
            <w:pPr>
              <w:jc w:val="center"/>
              <w:rPr>
                <w:rFonts w:ascii="Arial" w:hAnsi="Arial" w:cs="Arial"/>
                <w:b w:val="0"/>
                <w:bCs w:val="0"/>
              </w:rPr>
            </w:pPr>
            <w:r w:rsidRPr="0009469C">
              <w:rPr>
                <w:rFonts w:ascii="Arial" w:hAnsi="Arial" w:cs="Arial"/>
                <w:b w:val="0"/>
                <w:bCs w:val="0"/>
              </w:rPr>
              <w:t>6</w:t>
            </w:r>
          </w:p>
        </w:tc>
        <w:tc>
          <w:tcPr>
            <w:tcW w:w="2268" w:type="dxa"/>
            <w:noWrap/>
          </w:tcPr>
          <w:p w14:paraId="17F902B3"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Ribeiro, A.M.</w:t>
            </w:r>
          </w:p>
        </w:tc>
        <w:tc>
          <w:tcPr>
            <w:tcW w:w="1531" w:type="dxa"/>
            <w:noWrap/>
          </w:tcPr>
          <w:p w14:paraId="46E94A52"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478" w:type="dxa"/>
            <w:vMerge/>
          </w:tcPr>
          <w:p w14:paraId="7ED4F597"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4ADE9ED6"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31</w:t>
            </w:r>
          </w:p>
        </w:tc>
        <w:tc>
          <w:tcPr>
            <w:tcW w:w="2268" w:type="dxa"/>
          </w:tcPr>
          <w:p w14:paraId="598050AE"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Sulek, R.</w:t>
            </w:r>
          </w:p>
        </w:tc>
        <w:tc>
          <w:tcPr>
            <w:tcW w:w="1531" w:type="dxa"/>
          </w:tcPr>
          <w:p w14:paraId="2AA4145B"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r>
      <w:tr w:rsidR="00562D67" w:rsidRPr="00DD2E41" w14:paraId="0A09927D"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67A67913" w14:textId="77777777" w:rsidR="00562D67" w:rsidRPr="0009469C" w:rsidRDefault="00562D67" w:rsidP="00C315C7">
            <w:pPr>
              <w:jc w:val="center"/>
              <w:rPr>
                <w:rFonts w:ascii="Arial" w:hAnsi="Arial" w:cs="Arial"/>
                <w:b w:val="0"/>
                <w:bCs w:val="0"/>
              </w:rPr>
            </w:pPr>
            <w:r w:rsidRPr="0009469C">
              <w:rPr>
                <w:rFonts w:ascii="Arial" w:hAnsi="Arial" w:cs="Arial"/>
                <w:b w:val="0"/>
                <w:bCs w:val="0"/>
              </w:rPr>
              <w:t>7</w:t>
            </w:r>
          </w:p>
        </w:tc>
        <w:tc>
          <w:tcPr>
            <w:tcW w:w="2268" w:type="dxa"/>
            <w:noWrap/>
          </w:tcPr>
          <w:p w14:paraId="787FC3E9"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Simoes, D</w:t>
            </w:r>
          </w:p>
        </w:tc>
        <w:tc>
          <w:tcPr>
            <w:tcW w:w="1531" w:type="dxa"/>
            <w:noWrap/>
          </w:tcPr>
          <w:p w14:paraId="588BC511"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c>
          <w:tcPr>
            <w:tcW w:w="478" w:type="dxa"/>
            <w:vMerge/>
          </w:tcPr>
          <w:p w14:paraId="05140E19"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6D6D7E4A"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32</w:t>
            </w:r>
          </w:p>
        </w:tc>
        <w:tc>
          <w:tcPr>
            <w:tcW w:w="2268" w:type="dxa"/>
          </w:tcPr>
          <w:p w14:paraId="1C92D957"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Abdul Latif, R.</w:t>
            </w:r>
          </w:p>
        </w:tc>
        <w:tc>
          <w:tcPr>
            <w:tcW w:w="1531" w:type="dxa"/>
          </w:tcPr>
          <w:p w14:paraId="48A8AD34"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703C340D"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2C457CC9" w14:textId="77777777" w:rsidR="00562D67" w:rsidRPr="0009469C" w:rsidRDefault="00562D67" w:rsidP="00C315C7">
            <w:pPr>
              <w:jc w:val="center"/>
              <w:rPr>
                <w:rFonts w:ascii="Arial" w:hAnsi="Arial" w:cs="Arial"/>
                <w:b w:val="0"/>
                <w:bCs w:val="0"/>
              </w:rPr>
            </w:pPr>
            <w:r w:rsidRPr="0009469C">
              <w:rPr>
                <w:rFonts w:ascii="Arial" w:hAnsi="Arial" w:cs="Arial"/>
                <w:b w:val="0"/>
                <w:bCs w:val="0"/>
              </w:rPr>
              <w:t>8</w:t>
            </w:r>
          </w:p>
        </w:tc>
        <w:tc>
          <w:tcPr>
            <w:tcW w:w="2268" w:type="dxa"/>
            <w:noWrap/>
          </w:tcPr>
          <w:p w14:paraId="00D0E76A"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Abdullah, Z.</w:t>
            </w:r>
          </w:p>
        </w:tc>
        <w:tc>
          <w:tcPr>
            <w:tcW w:w="1531" w:type="dxa"/>
            <w:noWrap/>
          </w:tcPr>
          <w:p w14:paraId="694A906B"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6C933A94"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673B1FAC"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33</w:t>
            </w:r>
          </w:p>
        </w:tc>
        <w:tc>
          <w:tcPr>
            <w:tcW w:w="2268" w:type="dxa"/>
          </w:tcPr>
          <w:p w14:paraId="623AF681"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Ableeva</w:t>
            </w:r>
            <w:proofErr w:type="spellEnd"/>
            <w:r>
              <w:rPr>
                <w:rFonts w:ascii="Arial" w:hAnsi="Arial" w:cs="Arial"/>
              </w:rPr>
              <w:t>, A.M.</w:t>
            </w:r>
          </w:p>
        </w:tc>
        <w:tc>
          <w:tcPr>
            <w:tcW w:w="1531" w:type="dxa"/>
          </w:tcPr>
          <w:p w14:paraId="0B0F97B8"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7F989E85"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50A5B821" w14:textId="77777777" w:rsidR="00562D67" w:rsidRPr="0009469C" w:rsidRDefault="00562D67" w:rsidP="00C315C7">
            <w:pPr>
              <w:jc w:val="center"/>
              <w:rPr>
                <w:rFonts w:ascii="Arial" w:hAnsi="Arial" w:cs="Arial"/>
                <w:b w:val="0"/>
                <w:bCs w:val="0"/>
              </w:rPr>
            </w:pPr>
            <w:r w:rsidRPr="0009469C">
              <w:rPr>
                <w:rFonts w:ascii="Arial" w:hAnsi="Arial" w:cs="Arial"/>
                <w:b w:val="0"/>
                <w:bCs w:val="0"/>
              </w:rPr>
              <w:t>9</w:t>
            </w:r>
          </w:p>
        </w:tc>
        <w:tc>
          <w:tcPr>
            <w:tcW w:w="2268" w:type="dxa"/>
            <w:noWrap/>
          </w:tcPr>
          <w:p w14:paraId="0095A8ED"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Binotto, E.</w:t>
            </w:r>
          </w:p>
        </w:tc>
        <w:tc>
          <w:tcPr>
            <w:tcW w:w="1531" w:type="dxa"/>
            <w:noWrap/>
          </w:tcPr>
          <w:p w14:paraId="087E44E6"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6F25D2E4"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19186808"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34</w:t>
            </w:r>
          </w:p>
        </w:tc>
        <w:tc>
          <w:tcPr>
            <w:tcW w:w="2268" w:type="dxa"/>
          </w:tcPr>
          <w:p w14:paraId="585BCC0D"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Acuna, E.</w:t>
            </w:r>
          </w:p>
        </w:tc>
        <w:tc>
          <w:tcPr>
            <w:tcW w:w="1531" w:type="dxa"/>
          </w:tcPr>
          <w:p w14:paraId="54B0040F"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5C628576"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1D0643D0" w14:textId="77777777" w:rsidR="00562D67" w:rsidRPr="0009469C" w:rsidRDefault="00562D67" w:rsidP="00C315C7">
            <w:pPr>
              <w:jc w:val="center"/>
              <w:rPr>
                <w:rFonts w:ascii="Arial" w:hAnsi="Arial" w:cs="Arial"/>
                <w:b w:val="0"/>
                <w:bCs w:val="0"/>
              </w:rPr>
            </w:pPr>
            <w:r w:rsidRPr="0009469C">
              <w:rPr>
                <w:rFonts w:ascii="Arial" w:hAnsi="Arial" w:cs="Arial"/>
                <w:b w:val="0"/>
                <w:bCs w:val="0"/>
              </w:rPr>
              <w:t>10</w:t>
            </w:r>
          </w:p>
        </w:tc>
        <w:tc>
          <w:tcPr>
            <w:tcW w:w="2268" w:type="dxa"/>
            <w:noWrap/>
          </w:tcPr>
          <w:p w14:paraId="146440D5"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Camargo, D.A.</w:t>
            </w:r>
          </w:p>
        </w:tc>
        <w:tc>
          <w:tcPr>
            <w:tcW w:w="1531" w:type="dxa"/>
            <w:noWrap/>
          </w:tcPr>
          <w:p w14:paraId="6517DCAE"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5F79ECFB"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638536FE"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35</w:t>
            </w:r>
          </w:p>
        </w:tc>
        <w:tc>
          <w:tcPr>
            <w:tcW w:w="2268" w:type="dxa"/>
          </w:tcPr>
          <w:p w14:paraId="089B9800"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Aimagambetova</w:t>
            </w:r>
            <w:proofErr w:type="spellEnd"/>
            <w:r>
              <w:rPr>
                <w:rFonts w:ascii="Arial" w:hAnsi="Arial" w:cs="Arial"/>
              </w:rPr>
              <w:t>, A.</w:t>
            </w:r>
          </w:p>
        </w:tc>
        <w:tc>
          <w:tcPr>
            <w:tcW w:w="1531" w:type="dxa"/>
          </w:tcPr>
          <w:p w14:paraId="5422F6CA"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7DE38947"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4AA6F727" w14:textId="77777777" w:rsidR="00562D67" w:rsidRPr="0009469C" w:rsidRDefault="00562D67" w:rsidP="00C315C7">
            <w:pPr>
              <w:jc w:val="center"/>
              <w:rPr>
                <w:rFonts w:ascii="Arial" w:hAnsi="Arial" w:cs="Arial"/>
                <w:b w:val="0"/>
                <w:bCs w:val="0"/>
              </w:rPr>
            </w:pPr>
            <w:r w:rsidRPr="0009469C">
              <w:rPr>
                <w:rFonts w:ascii="Arial" w:hAnsi="Arial" w:cs="Arial"/>
                <w:b w:val="0"/>
                <w:bCs w:val="0"/>
              </w:rPr>
              <w:t>11</w:t>
            </w:r>
          </w:p>
        </w:tc>
        <w:tc>
          <w:tcPr>
            <w:tcW w:w="2268" w:type="dxa"/>
            <w:noWrap/>
          </w:tcPr>
          <w:p w14:paraId="0264739B"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Campos-Llerena, P.</w:t>
            </w:r>
          </w:p>
        </w:tc>
        <w:tc>
          <w:tcPr>
            <w:tcW w:w="1531" w:type="dxa"/>
            <w:noWrap/>
          </w:tcPr>
          <w:p w14:paraId="62B3AC04"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21DB03D4"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6A2E957C"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36</w:t>
            </w:r>
          </w:p>
        </w:tc>
        <w:tc>
          <w:tcPr>
            <w:tcW w:w="2268" w:type="dxa"/>
          </w:tcPr>
          <w:p w14:paraId="18299C1A"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Aldea, D.</w:t>
            </w:r>
          </w:p>
        </w:tc>
        <w:tc>
          <w:tcPr>
            <w:tcW w:w="1531" w:type="dxa"/>
          </w:tcPr>
          <w:p w14:paraId="0F56540F"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566E231F"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1D167416" w14:textId="77777777" w:rsidR="00562D67" w:rsidRPr="0009469C" w:rsidRDefault="00562D67" w:rsidP="00C315C7">
            <w:pPr>
              <w:jc w:val="center"/>
              <w:rPr>
                <w:rFonts w:ascii="Arial" w:hAnsi="Arial" w:cs="Arial"/>
                <w:b w:val="0"/>
                <w:bCs w:val="0"/>
              </w:rPr>
            </w:pPr>
            <w:r w:rsidRPr="0009469C">
              <w:rPr>
                <w:rFonts w:ascii="Arial" w:hAnsi="Arial" w:cs="Arial"/>
                <w:b w:val="0"/>
                <w:bCs w:val="0"/>
              </w:rPr>
              <w:t>12</w:t>
            </w:r>
          </w:p>
        </w:tc>
        <w:tc>
          <w:tcPr>
            <w:tcW w:w="2268" w:type="dxa"/>
            <w:noWrap/>
          </w:tcPr>
          <w:p w14:paraId="01703D3F"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Cavalheiro, R.T.</w:t>
            </w:r>
          </w:p>
        </w:tc>
        <w:tc>
          <w:tcPr>
            <w:tcW w:w="1531" w:type="dxa"/>
            <w:noWrap/>
          </w:tcPr>
          <w:p w14:paraId="49EA57C7"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3E36487B"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43877E29"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37</w:t>
            </w:r>
          </w:p>
        </w:tc>
        <w:tc>
          <w:tcPr>
            <w:tcW w:w="2268" w:type="dxa"/>
          </w:tcPr>
          <w:p w14:paraId="3FFFBED1"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Altarawneh</w:t>
            </w:r>
            <w:proofErr w:type="spellEnd"/>
            <w:r>
              <w:rPr>
                <w:rFonts w:ascii="Arial" w:hAnsi="Arial" w:cs="Arial"/>
              </w:rPr>
              <w:t>, M.S.</w:t>
            </w:r>
          </w:p>
        </w:tc>
        <w:tc>
          <w:tcPr>
            <w:tcW w:w="1531" w:type="dxa"/>
          </w:tcPr>
          <w:p w14:paraId="51481C2F"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7F10F875"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5A463341" w14:textId="77777777" w:rsidR="00562D67" w:rsidRPr="0009469C" w:rsidRDefault="00562D67" w:rsidP="00C315C7">
            <w:pPr>
              <w:jc w:val="center"/>
              <w:rPr>
                <w:rFonts w:ascii="Arial" w:hAnsi="Arial" w:cs="Arial"/>
                <w:b w:val="0"/>
                <w:bCs w:val="0"/>
              </w:rPr>
            </w:pPr>
            <w:r w:rsidRPr="0009469C">
              <w:rPr>
                <w:rFonts w:ascii="Arial" w:hAnsi="Arial" w:cs="Arial"/>
                <w:b w:val="0"/>
                <w:bCs w:val="0"/>
              </w:rPr>
              <w:t>13</w:t>
            </w:r>
          </w:p>
        </w:tc>
        <w:tc>
          <w:tcPr>
            <w:tcW w:w="2268" w:type="dxa"/>
            <w:noWrap/>
          </w:tcPr>
          <w:p w14:paraId="52291A08"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Chandren</w:t>
            </w:r>
            <w:proofErr w:type="spellEnd"/>
            <w:r>
              <w:rPr>
                <w:rFonts w:ascii="Arial" w:hAnsi="Arial" w:cs="Arial"/>
              </w:rPr>
              <w:t>, S.</w:t>
            </w:r>
          </w:p>
        </w:tc>
        <w:tc>
          <w:tcPr>
            <w:tcW w:w="1531" w:type="dxa"/>
            <w:noWrap/>
          </w:tcPr>
          <w:p w14:paraId="0DD88172"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45EAB267"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57CAF7E7"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38</w:t>
            </w:r>
          </w:p>
        </w:tc>
        <w:tc>
          <w:tcPr>
            <w:tcW w:w="2268" w:type="dxa"/>
          </w:tcPr>
          <w:p w14:paraId="209534A2"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Ambrozini</w:t>
            </w:r>
            <w:proofErr w:type="spellEnd"/>
            <w:r>
              <w:rPr>
                <w:rFonts w:ascii="Arial" w:hAnsi="Arial" w:cs="Arial"/>
              </w:rPr>
              <w:t>, M.A.</w:t>
            </w:r>
          </w:p>
        </w:tc>
        <w:tc>
          <w:tcPr>
            <w:tcW w:w="1531" w:type="dxa"/>
          </w:tcPr>
          <w:p w14:paraId="1710EAEB"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6ADE6DCE"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49189E75" w14:textId="77777777" w:rsidR="00562D67" w:rsidRPr="0009469C" w:rsidRDefault="00562D67" w:rsidP="00C315C7">
            <w:pPr>
              <w:jc w:val="center"/>
              <w:rPr>
                <w:rFonts w:ascii="Arial" w:hAnsi="Arial" w:cs="Arial"/>
                <w:b w:val="0"/>
                <w:bCs w:val="0"/>
              </w:rPr>
            </w:pPr>
            <w:r w:rsidRPr="0009469C">
              <w:rPr>
                <w:rFonts w:ascii="Arial" w:hAnsi="Arial" w:cs="Arial"/>
                <w:b w:val="0"/>
                <w:bCs w:val="0"/>
              </w:rPr>
              <w:t>14</w:t>
            </w:r>
          </w:p>
        </w:tc>
        <w:tc>
          <w:tcPr>
            <w:tcW w:w="2268" w:type="dxa"/>
            <w:noWrap/>
          </w:tcPr>
          <w:p w14:paraId="5083D561"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Carmo, C.H.S.</w:t>
            </w:r>
          </w:p>
        </w:tc>
        <w:tc>
          <w:tcPr>
            <w:tcW w:w="1531" w:type="dxa"/>
            <w:noWrap/>
          </w:tcPr>
          <w:p w14:paraId="6C9DD323"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7DB9CAF1"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5BAB68AC"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39</w:t>
            </w:r>
          </w:p>
        </w:tc>
        <w:tc>
          <w:tcPr>
            <w:tcW w:w="2268" w:type="dxa"/>
          </w:tcPr>
          <w:p w14:paraId="59DB88B1"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Andrasic</w:t>
            </w:r>
            <w:proofErr w:type="spellEnd"/>
            <w:r>
              <w:rPr>
                <w:rFonts w:ascii="Arial" w:hAnsi="Arial" w:cs="Arial"/>
              </w:rPr>
              <w:t>, J.</w:t>
            </w:r>
          </w:p>
        </w:tc>
        <w:tc>
          <w:tcPr>
            <w:tcW w:w="1531" w:type="dxa"/>
          </w:tcPr>
          <w:p w14:paraId="5617D1F4"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37A00AC1"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722774D0" w14:textId="77777777" w:rsidR="00562D67" w:rsidRPr="0009469C" w:rsidRDefault="00562D67" w:rsidP="00C315C7">
            <w:pPr>
              <w:jc w:val="center"/>
              <w:rPr>
                <w:rFonts w:ascii="Arial" w:hAnsi="Arial" w:cs="Arial"/>
                <w:b w:val="0"/>
                <w:bCs w:val="0"/>
              </w:rPr>
            </w:pPr>
            <w:r w:rsidRPr="0009469C">
              <w:rPr>
                <w:rFonts w:ascii="Arial" w:hAnsi="Arial" w:cs="Arial"/>
                <w:b w:val="0"/>
                <w:bCs w:val="0"/>
              </w:rPr>
              <w:t>15</w:t>
            </w:r>
          </w:p>
        </w:tc>
        <w:tc>
          <w:tcPr>
            <w:tcW w:w="2268" w:type="dxa"/>
            <w:noWrap/>
          </w:tcPr>
          <w:p w14:paraId="6EB94EDD"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Dobsinska</w:t>
            </w:r>
            <w:proofErr w:type="spellEnd"/>
            <w:r>
              <w:rPr>
                <w:rFonts w:ascii="Arial" w:hAnsi="Arial" w:cs="Arial"/>
              </w:rPr>
              <w:t>, Z.</w:t>
            </w:r>
          </w:p>
        </w:tc>
        <w:tc>
          <w:tcPr>
            <w:tcW w:w="1531" w:type="dxa"/>
            <w:noWrap/>
          </w:tcPr>
          <w:p w14:paraId="56136580"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4129CB06"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7B5E71C1"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40</w:t>
            </w:r>
          </w:p>
        </w:tc>
        <w:tc>
          <w:tcPr>
            <w:tcW w:w="2268" w:type="dxa"/>
          </w:tcPr>
          <w:p w14:paraId="713EEB60"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Andybayeva, G.</w:t>
            </w:r>
          </w:p>
        </w:tc>
        <w:tc>
          <w:tcPr>
            <w:tcW w:w="1531" w:type="dxa"/>
          </w:tcPr>
          <w:p w14:paraId="15D8C23B"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536605CC"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11C9663B" w14:textId="77777777" w:rsidR="00562D67" w:rsidRPr="0009469C" w:rsidRDefault="00562D67" w:rsidP="00C315C7">
            <w:pPr>
              <w:jc w:val="center"/>
              <w:rPr>
                <w:rFonts w:ascii="Arial" w:hAnsi="Arial" w:cs="Arial"/>
                <w:b w:val="0"/>
                <w:bCs w:val="0"/>
              </w:rPr>
            </w:pPr>
            <w:r w:rsidRPr="0009469C">
              <w:rPr>
                <w:rFonts w:ascii="Arial" w:hAnsi="Arial" w:cs="Arial"/>
                <w:b w:val="0"/>
                <w:bCs w:val="0"/>
              </w:rPr>
              <w:t>16</w:t>
            </w:r>
          </w:p>
        </w:tc>
        <w:tc>
          <w:tcPr>
            <w:tcW w:w="2268" w:type="dxa"/>
            <w:noWrap/>
          </w:tcPr>
          <w:p w14:paraId="7663B049"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Flach, L.</w:t>
            </w:r>
          </w:p>
        </w:tc>
        <w:tc>
          <w:tcPr>
            <w:tcW w:w="1531" w:type="dxa"/>
            <w:noWrap/>
          </w:tcPr>
          <w:p w14:paraId="696ECBF7"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5A93AEDA"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6EA7BF27"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41</w:t>
            </w:r>
          </w:p>
        </w:tc>
        <w:tc>
          <w:tcPr>
            <w:tcW w:w="2268" w:type="dxa"/>
          </w:tcPr>
          <w:p w14:paraId="345D32D4"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Araujo, A.O.</w:t>
            </w:r>
          </w:p>
        </w:tc>
        <w:tc>
          <w:tcPr>
            <w:tcW w:w="1531" w:type="dxa"/>
          </w:tcPr>
          <w:p w14:paraId="7673CC00"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3542D2F2"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0BF94F3C" w14:textId="77777777" w:rsidR="00562D67" w:rsidRPr="0009469C" w:rsidRDefault="00562D67" w:rsidP="00C315C7">
            <w:pPr>
              <w:jc w:val="center"/>
              <w:rPr>
                <w:rFonts w:ascii="Arial" w:hAnsi="Arial" w:cs="Arial"/>
                <w:b w:val="0"/>
                <w:bCs w:val="0"/>
              </w:rPr>
            </w:pPr>
            <w:r w:rsidRPr="0009469C">
              <w:rPr>
                <w:rFonts w:ascii="Arial" w:hAnsi="Arial" w:cs="Arial"/>
                <w:b w:val="0"/>
                <w:bCs w:val="0"/>
              </w:rPr>
              <w:t>17</w:t>
            </w:r>
          </w:p>
        </w:tc>
        <w:tc>
          <w:tcPr>
            <w:tcW w:w="2268" w:type="dxa"/>
            <w:noWrap/>
          </w:tcPr>
          <w:p w14:paraId="76616864"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Gracia-Blandon, J.</w:t>
            </w:r>
          </w:p>
        </w:tc>
        <w:tc>
          <w:tcPr>
            <w:tcW w:w="1531" w:type="dxa"/>
            <w:noWrap/>
          </w:tcPr>
          <w:p w14:paraId="11EEBBFE"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0EAEB5E6"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5F84FBFD"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42</w:t>
            </w:r>
          </w:p>
        </w:tc>
        <w:tc>
          <w:tcPr>
            <w:tcW w:w="2268" w:type="dxa"/>
          </w:tcPr>
          <w:p w14:paraId="0BC40509"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Arbidane</w:t>
            </w:r>
            <w:proofErr w:type="spellEnd"/>
            <w:r>
              <w:rPr>
                <w:rFonts w:ascii="Arial" w:hAnsi="Arial" w:cs="Arial"/>
              </w:rPr>
              <w:t>, I.</w:t>
            </w:r>
          </w:p>
        </w:tc>
        <w:tc>
          <w:tcPr>
            <w:tcW w:w="1531" w:type="dxa"/>
          </w:tcPr>
          <w:p w14:paraId="7A01E1DD"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27B7E7C5"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5FA36AE6" w14:textId="77777777" w:rsidR="00562D67" w:rsidRPr="0009469C" w:rsidRDefault="00562D67" w:rsidP="00C315C7">
            <w:pPr>
              <w:jc w:val="center"/>
              <w:rPr>
                <w:rFonts w:ascii="Arial" w:hAnsi="Arial" w:cs="Arial"/>
                <w:b w:val="0"/>
                <w:bCs w:val="0"/>
              </w:rPr>
            </w:pPr>
            <w:r w:rsidRPr="0009469C">
              <w:rPr>
                <w:rFonts w:ascii="Arial" w:hAnsi="Arial" w:cs="Arial"/>
                <w:b w:val="0"/>
                <w:bCs w:val="0"/>
              </w:rPr>
              <w:t>18</w:t>
            </w:r>
          </w:p>
        </w:tc>
        <w:tc>
          <w:tcPr>
            <w:tcW w:w="2268" w:type="dxa"/>
            <w:noWrap/>
          </w:tcPr>
          <w:p w14:paraId="1B48E35B"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Giertliova</w:t>
            </w:r>
            <w:proofErr w:type="spellEnd"/>
            <w:r>
              <w:rPr>
                <w:rFonts w:ascii="Arial" w:hAnsi="Arial" w:cs="Arial"/>
              </w:rPr>
              <w:t>, B.</w:t>
            </w:r>
          </w:p>
        </w:tc>
        <w:tc>
          <w:tcPr>
            <w:tcW w:w="1531" w:type="dxa"/>
            <w:noWrap/>
          </w:tcPr>
          <w:p w14:paraId="5646DFD1"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780532E2"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7A7DFFC2"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43</w:t>
            </w:r>
          </w:p>
        </w:tc>
        <w:tc>
          <w:tcPr>
            <w:tcW w:w="2268" w:type="dxa"/>
          </w:tcPr>
          <w:p w14:paraId="4EC9B8D3"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Argiles</w:t>
            </w:r>
            <w:proofErr w:type="spellEnd"/>
            <w:r>
              <w:rPr>
                <w:rFonts w:ascii="Arial" w:hAnsi="Arial" w:cs="Arial"/>
              </w:rPr>
              <w:t xml:space="preserve"> Bosch, J.M.</w:t>
            </w:r>
          </w:p>
        </w:tc>
        <w:tc>
          <w:tcPr>
            <w:tcW w:w="1531" w:type="dxa"/>
          </w:tcPr>
          <w:p w14:paraId="2BC46087"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6080A935"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55434A68" w14:textId="77777777" w:rsidR="00562D67" w:rsidRPr="0009469C" w:rsidRDefault="00562D67" w:rsidP="00C315C7">
            <w:pPr>
              <w:jc w:val="center"/>
              <w:rPr>
                <w:rFonts w:ascii="Arial" w:hAnsi="Arial" w:cs="Arial"/>
                <w:b w:val="0"/>
                <w:bCs w:val="0"/>
              </w:rPr>
            </w:pPr>
            <w:r w:rsidRPr="0009469C">
              <w:rPr>
                <w:rFonts w:ascii="Arial" w:hAnsi="Arial" w:cs="Arial"/>
                <w:b w:val="0"/>
                <w:bCs w:val="0"/>
              </w:rPr>
              <w:t>19</w:t>
            </w:r>
          </w:p>
        </w:tc>
        <w:tc>
          <w:tcPr>
            <w:tcW w:w="2268" w:type="dxa"/>
            <w:noWrap/>
          </w:tcPr>
          <w:p w14:paraId="118A4975"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Gimenes, R.M.T.</w:t>
            </w:r>
          </w:p>
        </w:tc>
        <w:tc>
          <w:tcPr>
            <w:tcW w:w="1531" w:type="dxa"/>
            <w:noWrap/>
          </w:tcPr>
          <w:p w14:paraId="0130C089"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4656EFA2"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1033E59C"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44</w:t>
            </w:r>
          </w:p>
        </w:tc>
        <w:tc>
          <w:tcPr>
            <w:tcW w:w="2268" w:type="dxa"/>
          </w:tcPr>
          <w:p w14:paraId="31FC42C0"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Argiles</w:t>
            </w:r>
            <w:proofErr w:type="spellEnd"/>
            <w:r>
              <w:rPr>
                <w:rFonts w:ascii="Arial" w:hAnsi="Arial" w:cs="Arial"/>
              </w:rPr>
              <w:t>, J.M.</w:t>
            </w:r>
          </w:p>
        </w:tc>
        <w:tc>
          <w:tcPr>
            <w:tcW w:w="1531" w:type="dxa"/>
          </w:tcPr>
          <w:p w14:paraId="3599989E"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282FE96E"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42E83EDB" w14:textId="77777777" w:rsidR="00562D67" w:rsidRPr="0009469C" w:rsidRDefault="00562D67" w:rsidP="00C315C7">
            <w:pPr>
              <w:jc w:val="center"/>
              <w:rPr>
                <w:rFonts w:ascii="Arial" w:hAnsi="Arial" w:cs="Arial"/>
                <w:b w:val="0"/>
                <w:bCs w:val="0"/>
              </w:rPr>
            </w:pPr>
            <w:r w:rsidRPr="0009469C">
              <w:rPr>
                <w:rFonts w:ascii="Arial" w:hAnsi="Arial" w:cs="Arial"/>
                <w:b w:val="0"/>
                <w:bCs w:val="0"/>
              </w:rPr>
              <w:t>20</w:t>
            </w:r>
          </w:p>
        </w:tc>
        <w:tc>
          <w:tcPr>
            <w:tcW w:w="2268" w:type="dxa"/>
            <w:noWrap/>
          </w:tcPr>
          <w:p w14:paraId="62C020E9"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Jaksic, D.</w:t>
            </w:r>
          </w:p>
        </w:tc>
        <w:tc>
          <w:tcPr>
            <w:tcW w:w="1531" w:type="dxa"/>
            <w:noWrap/>
          </w:tcPr>
          <w:p w14:paraId="7FBB842D"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57CAA403"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1402F610"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45</w:t>
            </w:r>
          </w:p>
        </w:tc>
        <w:tc>
          <w:tcPr>
            <w:tcW w:w="2268" w:type="dxa"/>
          </w:tcPr>
          <w:p w14:paraId="50A677AA"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Arias-Perez, J. S.</w:t>
            </w:r>
          </w:p>
        </w:tc>
        <w:tc>
          <w:tcPr>
            <w:tcW w:w="1531" w:type="dxa"/>
          </w:tcPr>
          <w:p w14:paraId="1D4982E9"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72163337"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511AF10F" w14:textId="77777777" w:rsidR="00562D67" w:rsidRPr="0009469C" w:rsidRDefault="00562D67" w:rsidP="00C315C7">
            <w:pPr>
              <w:jc w:val="center"/>
              <w:rPr>
                <w:rFonts w:ascii="Arial" w:hAnsi="Arial" w:cs="Arial"/>
                <w:b w:val="0"/>
                <w:bCs w:val="0"/>
              </w:rPr>
            </w:pPr>
            <w:r w:rsidRPr="0009469C">
              <w:rPr>
                <w:rFonts w:ascii="Arial" w:hAnsi="Arial" w:cs="Arial"/>
                <w:b w:val="0"/>
                <w:bCs w:val="0"/>
              </w:rPr>
              <w:t>21</w:t>
            </w:r>
          </w:p>
        </w:tc>
        <w:tc>
          <w:tcPr>
            <w:tcW w:w="2268" w:type="dxa"/>
            <w:noWrap/>
          </w:tcPr>
          <w:p w14:paraId="119EACF6"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Nogueira, D.R.</w:t>
            </w:r>
          </w:p>
        </w:tc>
        <w:tc>
          <w:tcPr>
            <w:tcW w:w="1531" w:type="dxa"/>
            <w:noWrap/>
          </w:tcPr>
          <w:p w14:paraId="0F5E0B0C"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25DA8F3F"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4CB62D17"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46</w:t>
            </w:r>
          </w:p>
        </w:tc>
        <w:tc>
          <w:tcPr>
            <w:tcW w:w="2268" w:type="dxa"/>
          </w:tcPr>
          <w:p w14:paraId="03ECB6F5"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Arimany, N.</w:t>
            </w:r>
          </w:p>
        </w:tc>
        <w:tc>
          <w:tcPr>
            <w:tcW w:w="1531" w:type="dxa"/>
          </w:tcPr>
          <w:p w14:paraId="2B338230"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32CFA8F5"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58B7C5A2" w14:textId="77777777" w:rsidR="00562D67" w:rsidRPr="0009469C" w:rsidRDefault="00562D67" w:rsidP="00C315C7">
            <w:pPr>
              <w:jc w:val="center"/>
              <w:rPr>
                <w:rFonts w:ascii="Arial" w:hAnsi="Arial" w:cs="Arial"/>
                <w:b w:val="0"/>
                <w:bCs w:val="0"/>
              </w:rPr>
            </w:pPr>
            <w:r w:rsidRPr="0009469C">
              <w:rPr>
                <w:rFonts w:ascii="Arial" w:hAnsi="Arial" w:cs="Arial"/>
                <w:b w:val="0"/>
                <w:bCs w:val="0"/>
              </w:rPr>
              <w:t>22</w:t>
            </w:r>
          </w:p>
        </w:tc>
        <w:tc>
          <w:tcPr>
            <w:tcW w:w="2268" w:type="dxa"/>
            <w:noWrap/>
          </w:tcPr>
          <w:p w14:paraId="1D25AD0C"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Paulo, E.</w:t>
            </w:r>
          </w:p>
        </w:tc>
        <w:tc>
          <w:tcPr>
            <w:tcW w:w="1531" w:type="dxa"/>
            <w:noWrap/>
          </w:tcPr>
          <w:p w14:paraId="496C6CFE"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5F9E18A0"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4F238F7C"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47</w:t>
            </w:r>
          </w:p>
        </w:tc>
        <w:tc>
          <w:tcPr>
            <w:tcW w:w="2268" w:type="dxa"/>
          </w:tcPr>
          <w:p w14:paraId="22446E53"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Artene</w:t>
            </w:r>
            <w:proofErr w:type="spellEnd"/>
            <w:r>
              <w:rPr>
                <w:rFonts w:ascii="Arial" w:hAnsi="Arial" w:cs="Arial"/>
              </w:rPr>
              <w:t>, A.</w:t>
            </w:r>
          </w:p>
        </w:tc>
        <w:tc>
          <w:tcPr>
            <w:tcW w:w="1531" w:type="dxa"/>
          </w:tcPr>
          <w:p w14:paraId="36493DAB"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25F9F13E"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63917EB1" w14:textId="77777777" w:rsidR="00562D67" w:rsidRPr="0009469C" w:rsidRDefault="00562D67" w:rsidP="00C315C7">
            <w:pPr>
              <w:jc w:val="center"/>
              <w:rPr>
                <w:rFonts w:ascii="Arial" w:hAnsi="Arial" w:cs="Arial"/>
                <w:b w:val="0"/>
                <w:bCs w:val="0"/>
              </w:rPr>
            </w:pPr>
            <w:r w:rsidRPr="0009469C">
              <w:rPr>
                <w:rFonts w:ascii="Arial" w:hAnsi="Arial" w:cs="Arial"/>
                <w:b w:val="0"/>
                <w:bCs w:val="0"/>
              </w:rPr>
              <w:t>23</w:t>
            </w:r>
          </w:p>
        </w:tc>
        <w:tc>
          <w:tcPr>
            <w:tcW w:w="2268" w:type="dxa"/>
            <w:noWrap/>
          </w:tcPr>
          <w:p w14:paraId="5FB63546"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Prata, B.C.</w:t>
            </w:r>
          </w:p>
        </w:tc>
        <w:tc>
          <w:tcPr>
            <w:tcW w:w="1531" w:type="dxa"/>
            <w:noWrap/>
          </w:tcPr>
          <w:p w14:paraId="6C26AAA0"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226CA10E"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3C6B6356"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48</w:t>
            </w:r>
          </w:p>
        </w:tc>
        <w:tc>
          <w:tcPr>
            <w:tcW w:w="2268" w:type="dxa"/>
          </w:tcPr>
          <w:p w14:paraId="7ECEBE7E"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Azevedo, </w:t>
            </w:r>
            <w:proofErr w:type="spellStart"/>
            <w:r>
              <w:rPr>
                <w:rFonts w:ascii="Arial" w:hAnsi="Arial" w:cs="Arial"/>
              </w:rPr>
              <w:t>G.M.d.C</w:t>
            </w:r>
            <w:proofErr w:type="spellEnd"/>
            <w:r>
              <w:rPr>
                <w:rFonts w:ascii="Arial" w:hAnsi="Arial" w:cs="Arial"/>
              </w:rPr>
              <w:t>.</w:t>
            </w:r>
          </w:p>
        </w:tc>
        <w:tc>
          <w:tcPr>
            <w:tcW w:w="1531" w:type="dxa"/>
          </w:tcPr>
          <w:p w14:paraId="5C6EE953"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562D67" w:rsidRPr="00DD2E41" w14:paraId="5B32078E"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00A89412" w14:textId="77777777" w:rsidR="00562D67" w:rsidRPr="0009469C" w:rsidRDefault="00562D67" w:rsidP="00C315C7">
            <w:pPr>
              <w:jc w:val="center"/>
              <w:rPr>
                <w:rFonts w:ascii="Arial" w:hAnsi="Arial" w:cs="Arial"/>
                <w:b w:val="0"/>
                <w:bCs w:val="0"/>
              </w:rPr>
            </w:pPr>
            <w:r w:rsidRPr="0009469C">
              <w:rPr>
                <w:rFonts w:ascii="Arial" w:hAnsi="Arial" w:cs="Arial"/>
                <w:b w:val="0"/>
                <w:bCs w:val="0"/>
              </w:rPr>
              <w:t>24</w:t>
            </w:r>
          </w:p>
        </w:tc>
        <w:tc>
          <w:tcPr>
            <w:tcW w:w="2268" w:type="dxa"/>
            <w:noWrap/>
          </w:tcPr>
          <w:p w14:paraId="5E452106"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Rover, S.</w:t>
            </w:r>
          </w:p>
        </w:tc>
        <w:tc>
          <w:tcPr>
            <w:tcW w:w="1531" w:type="dxa"/>
            <w:noWrap/>
          </w:tcPr>
          <w:p w14:paraId="1D10BCA6"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478" w:type="dxa"/>
            <w:vMerge/>
          </w:tcPr>
          <w:p w14:paraId="2621E69A"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1" w:type="dxa"/>
          </w:tcPr>
          <w:p w14:paraId="7D98618E"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9469C">
              <w:rPr>
                <w:rFonts w:ascii="Arial" w:hAnsi="Arial" w:cs="Arial"/>
              </w:rPr>
              <w:t>49</w:t>
            </w:r>
          </w:p>
        </w:tc>
        <w:tc>
          <w:tcPr>
            <w:tcW w:w="2268" w:type="dxa"/>
          </w:tcPr>
          <w:p w14:paraId="59E38CF4" w14:textId="77777777" w:rsidR="00562D67" w:rsidRPr="0009469C"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Barreno-Cordova, C.</w:t>
            </w:r>
          </w:p>
        </w:tc>
        <w:tc>
          <w:tcPr>
            <w:tcW w:w="1531" w:type="dxa"/>
          </w:tcPr>
          <w:p w14:paraId="09A35CF6" w14:textId="77777777" w:rsidR="00562D67" w:rsidRPr="0009469C"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r>
      <w:tr w:rsidR="00562D67" w:rsidRPr="00DD2E41" w14:paraId="20CD656F"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1" w:type="dxa"/>
            <w:noWrap/>
            <w:hideMark/>
          </w:tcPr>
          <w:p w14:paraId="2958C9A6" w14:textId="77777777" w:rsidR="00562D67" w:rsidRPr="0009469C" w:rsidRDefault="00562D67" w:rsidP="00C315C7">
            <w:pPr>
              <w:jc w:val="center"/>
              <w:rPr>
                <w:rFonts w:ascii="Arial" w:hAnsi="Arial" w:cs="Arial"/>
                <w:b w:val="0"/>
                <w:bCs w:val="0"/>
              </w:rPr>
            </w:pPr>
            <w:r w:rsidRPr="0009469C">
              <w:rPr>
                <w:rFonts w:ascii="Arial" w:hAnsi="Arial" w:cs="Arial"/>
                <w:b w:val="0"/>
                <w:bCs w:val="0"/>
              </w:rPr>
              <w:t>25</w:t>
            </w:r>
          </w:p>
        </w:tc>
        <w:tc>
          <w:tcPr>
            <w:tcW w:w="2268" w:type="dxa"/>
            <w:noWrap/>
          </w:tcPr>
          <w:p w14:paraId="4E3CB0D5"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Sedlacek, J.</w:t>
            </w:r>
          </w:p>
        </w:tc>
        <w:tc>
          <w:tcPr>
            <w:tcW w:w="1531" w:type="dxa"/>
            <w:noWrap/>
          </w:tcPr>
          <w:p w14:paraId="0958B8D1"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478" w:type="dxa"/>
            <w:vMerge/>
          </w:tcPr>
          <w:p w14:paraId="2BB6F0CF"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1" w:type="dxa"/>
          </w:tcPr>
          <w:p w14:paraId="24410899"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9469C">
              <w:rPr>
                <w:rFonts w:ascii="Arial" w:hAnsi="Arial" w:cs="Arial"/>
              </w:rPr>
              <w:t>50</w:t>
            </w:r>
          </w:p>
        </w:tc>
        <w:tc>
          <w:tcPr>
            <w:tcW w:w="2268" w:type="dxa"/>
          </w:tcPr>
          <w:p w14:paraId="6DF38F6D" w14:textId="77777777" w:rsidR="00562D67" w:rsidRPr="0009469C"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Barroso, E.D.S.S.</w:t>
            </w:r>
          </w:p>
        </w:tc>
        <w:tc>
          <w:tcPr>
            <w:tcW w:w="1531" w:type="dxa"/>
          </w:tcPr>
          <w:p w14:paraId="33D22B21" w14:textId="77777777" w:rsidR="00562D67" w:rsidRPr="0009469C"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bl>
    <w:p w14:paraId="02B92201" w14:textId="77777777" w:rsidR="00562D67" w:rsidRPr="00DD2E41" w:rsidRDefault="00562D67" w:rsidP="00562D67">
      <w:pPr>
        <w:jc w:val="both"/>
        <w:rPr>
          <w:color w:val="EE0000"/>
        </w:rPr>
      </w:pPr>
    </w:p>
    <w:p w14:paraId="21C0C6AD" w14:textId="77777777" w:rsidR="00442997" w:rsidRDefault="00442997" w:rsidP="00562D67">
      <w:pPr>
        <w:rPr>
          <w:rFonts w:ascii="Arial" w:hAnsi="Arial" w:cs="Arial"/>
          <w:b/>
          <w:bCs/>
          <w:sz w:val="24"/>
          <w:szCs w:val="24"/>
        </w:rPr>
      </w:pPr>
    </w:p>
    <w:p w14:paraId="135A2934" w14:textId="534F3C15" w:rsidR="00562D67" w:rsidRPr="00B32BF9" w:rsidRDefault="00562D67" w:rsidP="00562D67">
      <w:pPr>
        <w:rPr>
          <w:rFonts w:ascii="Arial" w:hAnsi="Arial" w:cs="Arial"/>
          <w:b/>
          <w:bCs/>
          <w:sz w:val="24"/>
          <w:szCs w:val="24"/>
        </w:rPr>
      </w:pPr>
      <w:r w:rsidRPr="00B32BF9">
        <w:rPr>
          <w:rFonts w:ascii="Arial" w:hAnsi="Arial" w:cs="Arial"/>
          <w:b/>
          <w:bCs/>
          <w:sz w:val="24"/>
          <w:szCs w:val="24"/>
        </w:rPr>
        <w:t>Document per year by source</w:t>
      </w:r>
    </w:p>
    <w:p w14:paraId="04EB6326" w14:textId="77777777" w:rsidR="00562D67" w:rsidRDefault="00562D67" w:rsidP="00562D67">
      <w:pPr>
        <w:rPr>
          <w:rFonts w:ascii="Arial" w:hAnsi="Arial" w:cs="Arial"/>
          <w:b/>
          <w:bCs/>
          <w:color w:val="EE0000"/>
        </w:rPr>
      </w:pPr>
    </w:p>
    <w:p w14:paraId="55475636" w14:textId="77777777" w:rsidR="00562D67" w:rsidRPr="00034088" w:rsidRDefault="00562D67" w:rsidP="00562D67">
      <w:pPr>
        <w:jc w:val="both"/>
        <w:rPr>
          <w:sz w:val="24"/>
          <w:szCs w:val="24"/>
        </w:rPr>
      </w:pPr>
      <w:r w:rsidRPr="00034088">
        <w:rPr>
          <w:sz w:val="24"/>
          <w:szCs w:val="24"/>
        </w:rPr>
        <w:t xml:space="preserve">Table 3 summarizes the top 15 sources of documents based on the number of articles published on biological assets, revealing a highly uneven distribution across journals. </w:t>
      </w:r>
      <w:r w:rsidRPr="00034088">
        <w:rPr>
          <w:i/>
          <w:iCs/>
          <w:sz w:val="24"/>
          <w:szCs w:val="24"/>
        </w:rPr>
        <w:t xml:space="preserve">Custos e </w:t>
      </w:r>
      <w:proofErr w:type="spellStart"/>
      <w:r w:rsidRPr="00034088">
        <w:rPr>
          <w:i/>
          <w:iCs/>
          <w:sz w:val="24"/>
          <w:szCs w:val="24"/>
        </w:rPr>
        <w:t>Agronegócio</w:t>
      </w:r>
      <w:proofErr w:type="spellEnd"/>
      <w:r w:rsidRPr="00034088">
        <w:rPr>
          <w:sz w:val="24"/>
          <w:szCs w:val="24"/>
        </w:rPr>
        <w:t xml:space="preserve"> clearly dominates as the leading source, with 44 publications, far exceeding all other outlets. This strong concentration suggests that the journal plays a central role in publishing research related to biological assets, particularly within the context of agribusiness and agricultural accounting. Its prominence may be attributed to its specialized scope, regional relevance, and strong alignment with biological asset valuation, disclosure, and management issues.</w:t>
      </w:r>
    </w:p>
    <w:p w14:paraId="2CC3324E" w14:textId="77777777" w:rsidR="00562D67" w:rsidRPr="00034088" w:rsidRDefault="00562D67" w:rsidP="00562D67">
      <w:pPr>
        <w:jc w:val="both"/>
        <w:rPr>
          <w:sz w:val="24"/>
          <w:szCs w:val="24"/>
        </w:rPr>
      </w:pPr>
    </w:p>
    <w:p w14:paraId="576DA843" w14:textId="77777777" w:rsidR="00562D67" w:rsidRPr="00034088" w:rsidRDefault="00562D67" w:rsidP="00562D67">
      <w:pPr>
        <w:jc w:val="both"/>
        <w:rPr>
          <w:sz w:val="24"/>
          <w:szCs w:val="24"/>
        </w:rPr>
      </w:pPr>
      <w:r w:rsidRPr="00034088">
        <w:rPr>
          <w:sz w:val="24"/>
          <w:szCs w:val="24"/>
        </w:rPr>
        <w:t xml:space="preserve">On the other hand, the remaining sources show relatively low and closely clustered publication counts. Several journals, including </w:t>
      </w:r>
      <w:r w:rsidRPr="00034088">
        <w:rPr>
          <w:i/>
          <w:iCs/>
          <w:sz w:val="24"/>
          <w:szCs w:val="24"/>
        </w:rPr>
        <w:t xml:space="preserve">Acta Universitatis </w:t>
      </w:r>
      <w:proofErr w:type="spellStart"/>
      <w:r w:rsidRPr="00034088">
        <w:rPr>
          <w:i/>
          <w:iCs/>
          <w:sz w:val="24"/>
          <w:szCs w:val="24"/>
        </w:rPr>
        <w:t>Agriculturae</w:t>
      </w:r>
      <w:proofErr w:type="spellEnd"/>
      <w:r w:rsidRPr="00034088">
        <w:rPr>
          <w:i/>
          <w:iCs/>
          <w:sz w:val="24"/>
          <w:szCs w:val="24"/>
        </w:rPr>
        <w:t xml:space="preserve"> et </w:t>
      </w:r>
      <w:proofErr w:type="spellStart"/>
      <w:r w:rsidRPr="00034088">
        <w:rPr>
          <w:i/>
          <w:iCs/>
          <w:sz w:val="24"/>
          <w:szCs w:val="24"/>
        </w:rPr>
        <w:t>Silviculturae</w:t>
      </w:r>
      <w:proofErr w:type="spellEnd"/>
      <w:r w:rsidRPr="00034088">
        <w:rPr>
          <w:i/>
          <w:iCs/>
          <w:sz w:val="24"/>
          <w:szCs w:val="24"/>
        </w:rPr>
        <w:t xml:space="preserve"> </w:t>
      </w:r>
      <w:proofErr w:type="spellStart"/>
      <w:r w:rsidRPr="00034088">
        <w:rPr>
          <w:i/>
          <w:iCs/>
          <w:sz w:val="24"/>
          <w:szCs w:val="24"/>
        </w:rPr>
        <w:t>Mendelianae</w:t>
      </w:r>
      <w:proofErr w:type="spellEnd"/>
      <w:r w:rsidRPr="00034088">
        <w:rPr>
          <w:i/>
          <w:iCs/>
          <w:sz w:val="24"/>
          <w:szCs w:val="24"/>
        </w:rPr>
        <w:t xml:space="preserve"> </w:t>
      </w:r>
      <w:proofErr w:type="spellStart"/>
      <w:r w:rsidRPr="00034088">
        <w:rPr>
          <w:i/>
          <w:iCs/>
          <w:sz w:val="24"/>
          <w:szCs w:val="24"/>
        </w:rPr>
        <w:t>Brunensis</w:t>
      </w:r>
      <w:proofErr w:type="spellEnd"/>
      <w:r w:rsidRPr="00034088">
        <w:rPr>
          <w:i/>
          <w:iCs/>
          <w:sz w:val="24"/>
          <w:szCs w:val="24"/>
        </w:rPr>
        <w:t>, Agricultural Economics</w:t>
      </w:r>
      <w:r w:rsidRPr="00034088">
        <w:rPr>
          <w:sz w:val="24"/>
          <w:szCs w:val="24"/>
        </w:rPr>
        <w:t xml:space="preserve"> (Czech Republic), and the </w:t>
      </w:r>
      <w:r w:rsidRPr="00034088">
        <w:rPr>
          <w:i/>
          <w:iCs/>
          <w:sz w:val="24"/>
          <w:szCs w:val="24"/>
        </w:rPr>
        <w:t>Journal of Risk and Financial Management</w:t>
      </w:r>
      <w:r w:rsidRPr="00034088">
        <w:rPr>
          <w:sz w:val="24"/>
          <w:szCs w:val="24"/>
        </w:rPr>
        <w:t>, each contributed three articles, indicating moderate but consistent interest in the topic. Other journals published only one or two articles, reflecting a more isolated research landscape. This pattern suggests that while biological asset research attracts attention from diverse disciplines such as accounting, finance, forestry, and agricultural economics, most journals address the topic occasionally rather than as a core focus area.</w:t>
      </w:r>
    </w:p>
    <w:p w14:paraId="4734E558" w14:textId="77777777" w:rsidR="00442997" w:rsidRDefault="00442997" w:rsidP="00562D67">
      <w:pPr>
        <w:rPr>
          <w:rFonts w:ascii="Arial" w:hAnsi="Arial" w:cs="Arial"/>
          <w:b/>
          <w:bCs/>
          <w:color w:val="EE0000"/>
        </w:rPr>
      </w:pPr>
    </w:p>
    <w:p w14:paraId="41596D17" w14:textId="77777777" w:rsidR="00442997" w:rsidRDefault="00442997" w:rsidP="00562D67">
      <w:pPr>
        <w:rPr>
          <w:rFonts w:ascii="Arial" w:hAnsi="Arial" w:cs="Arial"/>
          <w:b/>
          <w:bCs/>
          <w:sz w:val="24"/>
          <w:szCs w:val="24"/>
        </w:rPr>
      </w:pPr>
    </w:p>
    <w:p w14:paraId="0364BBED" w14:textId="77777777" w:rsidR="00442997" w:rsidRDefault="00442997" w:rsidP="00562D67">
      <w:pPr>
        <w:rPr>
          <w:rFonts w:ascii="Arial" w:hAnsi="Arial" w:cs="Arial"/>
          <w:b/>
          <w:bCs/>
          <w:sz w:val="24"/>
          <w:szCs w:val="24"/>
        </w:rPr>
      </w:pPr>
    </w:p>
    <w:p w14:paraId="49D37897" w14:textId="1EBAE80B" w:rsidR="00562D67" w:rsidRPr="004F04BA" w:rsidRDefault="00562D67" w:rsidP="00562D67">
      <w:pPr>
        <w:rPr>
          <w:rFonts w:ascii="Arial" w:hAnsi="Arial" w:cs="Arial"/>
          <w:color w:val="EE0000"/>
          <w:sz w:val="24"/>
          <w:szCs w:val="24"/>
        </w:rPr>
      </w:pPr>
      <w:r w:rsidRPr="004F04BA">
        <w:rPr>
          <w:rFonts w:ascii="Arial" w:hAnsi="Arial" w:cs="Arial"/>
          <w:b/>
          <w:bCs/>
          <w:sz w:val="24"/>
          <w:szCs w:val="24"/>
        </w:rPr>
        <w:t>Table 3:</w:t>
      </w:r>
      <w:r w:rsidRPr="004F04BA">
        <w:rPr>
          <w:rFonts w:ascii="Arial" w:hAnsi="Arial" w:cs="Arial"/>
          <w:sz w:val="24"/>
          <w:szCs w:val="24"/>
        </w:rPr>
        <w:t xml:space="preserve"> Top 15 sources of documents based on number of article </w:t>
      </w:r>
      <w:proofErr w:type="gramStart"/>
      <w:r w:rsidRPr="004F04BA">
        <w:rPr>
          <w:rFonts w:ascii="Arial" w:hAnsi="Arial" w:cs="Arial"/>
          <w:sz w:val="24"/>
          <w:szCs w:val="24"/>
        </w:rPr>
        <w:t>publication</w:t>
      </w:r>
      <w:proofErr w:type="gramEnd"/>
      <w:r w:rsidRPr="004F04BA">
        <w:rPr>
          <w:rFonts w:ascii="Arial" w:hAnsi="Arial" w:cs="Arial"/>
          <w:sz w:val="24"/>
          <w:szCs w:val="24"/>
        </w:rPr>
        <w:t xml:space="preserve"> </w:t>
      </w:r>
    </w:p>
    <w:p w14:paraId="50C6183D" w14:textId="77777777" w:rsidR="00562D67" w:rsidRPr="00DD2E41" w:rsidRDefault="00562D67" w:rsidP="00562D67">
      <w:pPr>
        <w:rPr>
          <w:rFonts w:ascii="Arial" w:hAnsi="Arial" w:cs="Arial"/>
          <w:color w:val="EE0000"/>
        </w:rPr>
      </w:pPr>
    </w:p>
    <w:tbl>
      <w:tblPr>
        <w:tblStyle w:val="GridTable4-Accent4"/>
        <w:tblW w:w="9663" w:type="dxa"/>
        <w:tblLook w:val="04A0" w:firstRow="1" w:lastRow="0" w:firstColumn="1" w:lastColumn="0" w:noHBand="0" w:noVBand="1"/>
      </w:tblPr>
      <w:tblGrid>
        <w:gridCol w:w="704"/>
        <w:gridCol w:w="7088"/>
        <w:gridCol w:w="1871"/>
      </w:tblGrid>
      <w:tr w:rsidR="00562D67" w:rsidRPr="00DD2E41" w14:paraId="0D4D7154" w14:textId="77777777" w:rsidTr="0035772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5A9CBEC4" w14:textId="77777777" w:rsidR="00562D67" w:rsidRPr="00AA0273" w:rsidRDefault="00562D67" w:rsidP="00C315C7">
            <w:pPr>
              <w:jc w:val="center"/>
              <w:rPr>
                <w:rFonts w:ascii="Arial" w:hAnsi="Arial" w:cs="Arial"/>
                <w:color w:val="000000" w:themeColor="text1"/>
              </w:rPr>
            </w:pPr>
            <w:r w:rsidRPr="00AA0273">
              <w:rPr>
                <w:rFonts w:ascii="Arial" w:hAnsi="Arial" w:cs="Arial"/>
                <w:color w:val="000000" w:themeColor="text1"/>
              </w:rPr>
              <w:lastRenderedPageBreak/>
              <w:t>No.</w:t>
            </w:r>
          </w:p>
        </w:tc>
        <w:tc>
          <w:tcPr>
            <w:tcW w:w="7088" w:type="dxa"/>
            <w:noWrap/>
            <w:hideMark/>
          </w:tcPr>
          <w:p w14:paraId="4A4F408A" w14:textId="77777777" w:rsidR="00562D67" w:rsidRPr="00AA0273"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AA0273">
              <w:rPr>
                <w:rFonts w:ascii="Arial" w:hAnsi="Arial" w:cs="Arial"/>
                <w:color w:val="000000" w:themeColor="text1"/>
              </w:rPr>
              <w:t>Source Title</w:t>
            </w:r>
          </w:p>
        </w:tc>
        <w:tc>
          <w:tcPr>
            <w:tcW w:w="1871" w:type="dxa"/>
            <w:noWrap/>
            <w:hideMark/>
          </w:tcPr>
          <w:p w14:paraId="5D6BD814" w14:textId="77777777" w:rsidR="00562D67" w:rsidRPr="00AA0273" w:rsidRDefault="00562D67" w:rsidP="00C315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AA0273">
              <w:rPr>
                <w:rFonts w:ascii="Arial" w:hAnsi="Arial" w:cs="Arial"/>
                <w:color w:val="000000" w:themeColor="text1"/>
              </w:rPr>
              <w:t>Number of Publications</w:t>
            </w:r>
          </w:p>
        </w:tc>
      </w:tr>
      <w:tr w:rsidR="00562D67" w:rsidRPr="00DD2E41" w14:paraId="73220347"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6F0152DE"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1</w:t>
            </w:r>
          </w:p>
        </w:tc>
        <w:tc>
          <w:tcPr>
            <w:tcW w:w="7088" w:type="dxa"/>
            <w:noWrap/>
          </w:tcPr>
          <w:p w14:paraId="20D5070F" w14:textId="77777777" w:rsidR="00562D67" w:rsidRPr="00AA0273"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A0273">
              <w:rPr>
                <w:rFonts w:ascii="Arial" w:hAnsi="Arial" w:cs="Arial"/>
                <w:color w:val="000000"/>
              </w:rPr>
              <w:t xml:space="preserve">Custos E </w:t>
            </w:r>
            <w:proofErr w:type="spellStart"/>
            <w:r w:rsidRPr="00AA0273">
              <w:rPr>
                <w:rFonts w:ascii="Arial" w:hAnsi="Arial" w:cs="Arial"/>
                <w:color w:val="000000"/>
              </w:rPr>
              <w:t>Agronegocio</w:t>
            </w:r>
            <w:proofErr w:type="spellEnd"/>
          </w:p>
        </w:tc>
        <w:tc>
          <w:tcPr>
            <w:tcW w:w="1871" w:type="dxa"/>
            <w:noWrap/>
          </w:tcPr>
          <w:p w14:paraId="277CA065" w14:textId="77777777" w:rsidR="00562D67" w:rsidRPr="00AA0273"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A0273">
              <w:rPr>
                <w:rFonts w:ascii="Arial" w:hAnsi="Arial" w:cs="Arial"/>
                <w:color w:val="000000"/>
              </w:rPr>
              <w:t>44</w:t>
            </w:r>
          </w:p>
        </w:tc>
      </w:tr>
      <w:tr w:rsidR="00562D67" w:rsidRPr="00DD2E41" w14:paraId="22361824"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7AE4AAA8"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2</w:t>
            </w:r>
          </w:p>
        </w:tc>
        <w:tc>
          <w:tcPr>
            <w:tcW w:w="7088" w:type="dxa"/>
            <w:noWrap/>
          </w:tcPr>
          <w:p w14:paraId="3173F694" w14:textId="77777777" w:rsidR="00562D67" w:rsidRPr="00AA0273"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A0273">
              <w:rPr>
                <w:rFonts w:ascii="Arial" w:hAnsi="Arial" w:cs="Arial"/>
                <w:color w:val="000000"/>
              </w:rPr>
              <w:t xml:space="preserve">Acta Universitatis </w:t>
            </w:r>
            <w:proofErr w:type="spellStart"/>
            <w:r w:rsidRPr="00AA0273">
              <w:rPr>
                <w:rFonts w:ascii="Arial" w:hAnsi="Arial" w:cs="Arial"/>
                <w:color w:val="000000"/>
              </w:rPr>
              <w:t>Agriculturae</w:t>
            </w:r>
            <w:proofErr w:type="spellEnd"/>
            <w:r w:rsidRPr="00AA0273">
              <w:rPr>
                <w:rFonts w:ascii="Arial" w:hAnsi="Arial" w:cs="Arial"/>
                <w:color w:val="000000"/>
              </w:rPr>
              <w:t xml:space="preserve"> Et </w:t>
            </w:r>
            <w:proofErr w:type="spellStart"/>
            <w:r w:rsidRPr="00AA0273">
              <w:rPr>
                <w:rFonts w:ascii="Arial" w:hAnsi="Arial" w:cs="Arial"/>
                <w:color w:val="000000"/>
              </w:rPr>
              <w:t>Silviculturae</w:t>
            </w:r>
            <w:proofErr w:type="spellEnd"/>
            <w:r w:rsidRPr="00AA0273">
              <w:rPr>
                <w:rFonts w:ascii="Arial" w:hAnsi="Arial" w:cs="Arial"/>
                <w:color w:val="000000"/>
              </w:rPr>
              <w:t xml:space="preserve"> </w:t>
            </w:r>
            <w:proofErr w:type="spellStart"/>
            <w:r w:rsidRPr="00AA0273">
              <w:rPr>
                <w:rFonts w:ascii="Arial" w:hAnsi="Arial" w:cs="Arial"/>
                <w:color w:val="000000"/>
              </w:rPr>
              <w:t>Mendelianae</w:t>
            </w:r>
            <w:proofErr w:type="spellEnd"/>
            <w:r w:rsidRPr="00AA0273">
              <w:rPr>
                <w:rFonts w:ascii="Arial" w:hAnsi="Arial" w:cs="Arial"/>
                <w:color w:val="000000"/>
              </w:rPr>
              <w:t xml:space="preserve"> </w:t>
            </w:r>
            <w:proofErr w:type="spellStart"/>
            <w:r w:rsidRPr="00AA0273">
              <w:rPr>
                <w:rFonts w:ascii="Arial" w:hAnsi="Arial" w:cs="Arial"/>
                <w:color w:val="000000"/>
              </w:rPr>
              <w:t>Brunensis</w:t>
            </w:r>
            <w:proofErr w:type="spellEnd"/>
          </w:p>
        </w:tc>
        <w:tc>
          <w:tcPr>
            <w:tcW w:w="1871" w:type="dxa"/>
            <w:noWrap/>
          </w:tcPr>
          <w:p w14:paraId="48C755DF" w14:textId="77777777" w:rsidR="00562D67" w:rsidRPr="00AA0273"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A0273">
              <w:rPr>
                <w:rFonts w:ascii="Arial" w:hAnsi="Arial" w:cs="Arial"/>
                <w:color w:val="000000"/>
              </w:rPr>
              <w:t>3</w:t>
            </w:r>
          </w:p>
        </w:tc>
      </w:tr>
      <w:tr w:rsidR="00562D67" w:rsidRPr="00DD2E41" w14:paraId="3309F726"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1048E589"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3</w:t>
            </w:r>
          </w:p>
        </w:tc>
        <w:tc>
          <w:tcPr>
            <w:tcW w:w="7088" w:type="dxa"/>
            <w:noWrap/>
          </w:tcPr>
          <w:p w14:paraId="579A850C" w14:textId="77777777" w:rsidR="00562D67" w:rsidRPr="00AA0273"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A0273">
              <w:rPr>
                <w:rFonts w:ascii="Arial" w:hAnsi="Arial" w:cs="Arial"/>
                <w:color w:val="000000"/>
              </w:rPr>
              <w:t>Agricultural Economics Czech Republic</w:t>
            </w:r>
          </w:p>
        </w:tc>
        <w:tc>
          <w:tcPr>
            <w:tcW w:w="1871" w:type="dxa"/>
            <w:noWrap/>
          </w:tcPr>
          <w:p w14:paraId="5DEEF3C0" w14:textId="77777777" w:rsidR="00562D67" w:rsidRPr="00AA0273"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A0273">
              <w:rPr>
                <w:rFonts w:ascii="Arial" w:hAnsi="Arial" w:cs="Arial"/>
                <w:color w:val="000000"/>
              </w:rPr>
              <w:t>3</w:t>
            </w:r>
          </w:p>
        </w:tc>
      </w:tr>
      <w:tr w:rsidR="00562D67" w:rsidRPr="00DD2E41" w14:paraId="466A3D86"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205B43F3"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4</w:t>
            </w:r>
          </w:p>
        </w:tc>
        <w:tc>
          <w:tcPr>
            <w:tcW w:w="7088" w:type="dxa"/>
            <w:noWrap/>
          </w:tcPr>
          <w:p w14:paraId="684A7E44" w14:textId="77777777" w:rsidR="00562D67" w:rsidRPr="00AA0273"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A0273">
              <w:rPr>
                <w:rFonts w:ascii="Arial" w:hAnsi="Arial" w:cs="Arial"/>
                <w:color w:val="000000"/>
              </w:rPr>
              <w:t>Journal of Risk and Financial Management</w:t>
            </w:r>
          </w:p>
        </w:tc>
        <w:tc>
          <w:tcPr>
            <w:tcW w:w="1871" w:type="dxa"/>
            <w:noWrap/>
          </w:tcPr>
          <w:p w14:paraId="0CDAF15D" w14:textId="77777777" w:rsidR="00562D67" w:rsidRPr="00AA0273"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A0273">
              <w:rPr>
                <w:rFonts w:ascii="Arial" w:hAnsi="Arial" w:cs="Arial"/>
                <w:color w:val="000000"/>
              </w:rPr>
              <w:t>3</w:t>
            </w:r>
          </w:p>
        </w:tc>
      </w:tr>
      <w:tr w:rsidR="00562D67" w:rsidRPr="00DD2E41" w14:paraId="5D8B5273"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74C7151E"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5</w:t>
            </w:r>
          </w:p>
        </w:tc>
        <w:tc>
          <w:tcPr>
            <w:tcW w:w="7088" w:type="dxa"/>
            <w:noWrap/>
          </w:tcPr>
          <w:p w14:paraId="14821F21" w14:textId="77777777" w:rsidR="00562D67" w:rsidRPr="00AA0273"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A0273">
              <w:rPr>
                <w:rFonts w:ascii="Arial" w:hAnsi="Arial" w:cs="Arial"/>
                <w:color w:val="000000"/>
              </w:rPr>
              <w:t>Austrian Journal of Forest Science</w:t>
            </w:r>
          </w:p>
        </w:tc>
        <w:tc>
          <w:tcPr>
            <w:tcW w:w="1871" w:type="dxa"/>
            <w:noWrap/>
          </w:tcPr>
          <w:p w14:paraId="5EF0F8F2" w14:textId="77777777" w:rsidR="00562D67" w:rsidRPr="00AA0273"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A0273">
              <w:rPr>
                <w:rFonts w:ascii="Arial" w:hAnsi="Arial" w:cs="Arial"/>
                <w:color w:val="000000"/>
              </w:rPr>
              <w:t>2</w:t>
            </w:r>
          </w:p>
        </w:tc>
      </w:tr>
      <w:tr w:rsidR="00562D67" w:rsidRPr="00DD2E41" w14:paraId="1CDE0E98"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44E6ED41"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6</w:t>
            </w:r>
          </w:p>
        </w:tc>
        <w:tc>
          <w:tcPr>
            <w:tcW w:w="7088" w:type="dxa"/>
            <w:noWrap/>
          </w:tcPr>
          <w:p w14:paraId="6A28AA88" w14:textId="77777777" w:rsidR="00562D67" w:rsidRPr="00AA0273"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A0273">
              <w:rPr>
                <w:rFonts w:ascii="Arial" w:hAnsi="Arial" w:cs="Arial"/>
                <w:color w:val="000000"/>
              </w:rPr>
              <w:t>Forests</w:t>
            </w:r>
          </w:p>
        </w:tc>
        <w:tc>
          <w:tcPr>
            <w:tcW w:w="1871" w:type="dxa"/>
            <w:noWrap/>
          </w:tcPr>
          <w:p w14:paraId="35230E08" w14:textId="77777777" w:rsidR="00562D67" w:rsidRPr="00AA0273"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A0273">
              <w:rPr>
                <w:rFonts w:ascii="Arial" w:hAnsi="Arial" w:cs="Arial"/>
                <w:color w:val="000000"/>
              </w:rPr>
              <w:t>2</w:t>
            </w:r>
          </w:p>
        </w:tc>
      </w:tr>
      <w:tr w:rsidR="00562D67" w:rsidRPr="00DD2E41" w14:paraId="3A07375F"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0DE28DDA"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7</w:t>
            </w:r>
          </w:p>
        </w:tc>
        <w:tc>
          <w:tcPr>
            <w:tcW w:w="7088" w:type="dxa"/>
            <w:noWrap/>
          </w:tcPr>
          <w:p w14:paraId="47689340" w14:textId="77777777" w:rsidR="00562D67" w:rsidRPr="00AA0273"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A0273">
              <w:rPr>
                <w:rFonts w:ascii="Arial" w:hAnsi="Arial" w:cs="Arial"/>
                <w:color w:val="000000"/>
              </w:rPr>
              <w:t xml:space="preserve">Revista De </w:t>
            </w:r>
            <w:proofErr w:type="spellStart"/>
            <w:r w:rsidRPr="00AA0273">
              <w:rPr>
                <w:rFonts w:ascii="Arial" w:hAnsi="Arial" w:cs="Arial"/>
                <w:color w:val="000000"/>
              </w:rPr>
              <w:t>Contabilidad</w:t>
            </w:r>
            <w:proofErr w:type="spellEnd"/>
            <w:r w:rsidRPr="00AA0273">
              <w:rPr>
                <w:rFonts w:ascii="Arial" w:hAnsi="Arial" w:cs="Arial"/>
                <w:color w:val="000000"/>
              </w:rPr>
              <w:t xml:space="preserve"> Spanish Accounting Review</w:t>
            </w:r>
          </w:p>
        </w:tc>
        <w:tc>
          <w:tcPr>
            <w:tcW w:w="1871" w:type="dxa"/>
            <w:noWrap/>
          </w:tcPr>
          <w:p w14:paraId="11E5DACA" w14:textId="77777777" w:rsidR="00562D67" w:rsidRPr="00AA0273"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A0273">
              <w:rPr>
                <w:rFonts w:ascii="Arial" w:hAnsi="Arial" w:cs="Arial"/>
                <w:color w:val="000000"/>
              </w:rPr>
              <w:t>2</w:t>
            </w:r>
          </w:p>
        </w:tc>
      </w:tr>
      <w:tr w:rsidR="00562D67" w:rsidRPr="00DD2E41" w14:paraId="1ED94EEF"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41E415FF"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8</w:t>
            </w:r>
          </w:p>
        </w:tc>
        <w:tc>
          <w:tcPr>
            <w:tcW w:w="7088" w:type="dxa"/>
            <w:noWrap/>
          </w:tcPr>
          <w:p w14:paraId="662CB359" w14:textId="77777777" w:rsidR="00562D67" w:rsidRPr="00AA0273"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Accounting and Finance</w:t>
            </w:r>
          </w:p>
        </w:tc>
        <w:tc>
          <w:tcPr>
            <w:tcW w:w="1871" w:type="dxa"/>
            <w:noWrap/>
          </w:tcPr>
          <w:p w14:paraId="5BE943C2" w14:textId="77777777" w:rsidR="00562D67" w:rsidRPr="00AA0273"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67CC4105"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11B5D80E" w14:textId="77777777" w:rsidR="00562D67" w:rsidRPr="00AA0273" w:rsidRDefault="00562D67" w:rsidP="00C315C7">
            <w:pPr>
              <w:jc w:val="center"/>
              <w:rPr>
                <w:rFonts w:ascii="Arial" w:hAnsi="Arial" w:cs="Arial"/>
                <w:b w:val="0"/>
                <w:bCs w:val="0"/>
                <w:color w:val="000000" w:themeColor="text1"/>
              </w:rPr>
            </w:pPr>
            <w:r w:rsidRPr="00AA0273">
              <w:rPr>
                <w:rFonts w:ascii="Arial" w:hAnsi="Arial" w:cs="Arial"/>
                <w:b w:val="0"/>
                <w:bCs w:val="0"/>
                <w:color w:val="000000" w:themeColor="text1"/>
              </w:rPr>
              <w:t>9</w:t>
            </w:r>
          </w:p>
        </w:tc>
        <w:tc>
          <w:tcPr>
            <w:tcW w:w="7088" w:type="dxa"/>
            <w:noWrap/>
          </w:tcPr>
          <w:p w14:paraId="082E5187" w14:textId="77777777" w:rsidR="00562D67" w:rsidRPr="00AA0273"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Advance Series and Management</w:t>
            </w:r>
          </w:p>
        </w:tc>
        <w:tc>
          <w:tcPr>
            <w:tcW w:w="1871" w:type="dxa"/>
            <w:noWrap/>
          </w:tcPr>
          <w:p w14:paraId="73FA639C" w14:textId="77777777" w:rsidR="00562D67" w:rsidRPr="00AA0273"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227B3570"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21E745A5" w14:textId="77777777" w:rsidR="00562D67" w:rsidRPr="0075167A" w:rsidRDefault="00562D67" w:rsidP="00C315C7">
            <w:pPr>
              <w:jc w:val="center"/>
              <w:rPr>
                <w:rFonts w:ascii="Arial" w:hAnsi="Arial" w:cs="Arial"/>
                <w:b w:val="0"/>
                <w:bCs w:val="0"/>
                <w:color w:val="000000" w:themeColor="text1"/>
              </w:rPr>
            </w:pPr>
            <w:r w:rsidRPr="0075167A">
              <w:rPr>
                <w:rFonts w:ascii="Arial" w:hAnsi="Arial" w:cs="Arial"/>
                <w:b w:val="0"/>
                <w:bCs w:val="0"/>
                <w:color w:val="000000" w:themeColor="text1"/>
              </w:rPr>
              <w:t>10</w:t>
            </w:r>
          </w:p>
        </w:tc>
        <w:tc>
          <w:tcPr>
            <w:tcW w:w="7088" w:type="dxa"/>
            <w:noWrap/>
          </w:tcPr>
          <w:p w14:paraId="406782D7" w14:textId="77777777" w:rsidR="00562D67" w:rsidRPr="00AA0273"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Agricultural Economics</w:t>
            </w:r>
          </w:p>
        </w:tc>
        <w:tc>
          <w:tcPr>
            <w:tcW w:w="1871" w:type="dxa"/>
            <w:noWrap/>
          </w:tcPr>
          <w:p w14:paraId="5E1338E9" w14:textId="77777777" w:rsidR="00562D67" w:rsidRPr="00AA0273"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5C0A598C"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6BBDC7A7" w14:textId="77777777" w:rsidR="00562D67" w:rsidRPr="0075167A" w:rsidRDefault="00562D67" w:rsidP="00C315C7">
            <w:pPr>
              <w:jc w:val="center"/>
              <w:rPr>
                <w:rFonts w:ascii="Arial" w:hAnsi="Arial" w:cs="Arial"/>
                <w:b w:val="0"/>
                <w:bCs w:val="0"/>
                <w:color w:val="000000" w:themeColor="text1"/>
              </w:rPr>
            </w:pPr>
            <w:r w:rsidRPr="0075167A">
              <w:rPr>
                <w:rFonts w:ascii="Arial" w:hAnsi="Arial" w:cs="Arial"/>
                <w:b w:val="0"/>
                <w:bCs w:val="0"/>
                <w:color w:val="000000" w:themeColor="text1"/>
              </w:rPr>
              <w:t>11</w:t>
            </w:r>
          </w:p>
        </w:tc>
        <w:tc>
          <w:tcPr>
            <w:tcW w:w="7088" w:type="dxa"/>
            <w:noWrap/>
          </w:tcPr>
          <w:p w14:paraId="6AA133D2" w14:textId="77777777" w:rsidR="00562D67" w:rsidRPr="00AA0273"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Agricultural Finance Review</w:t>
            </w:r>
          </w:p>
        </w:tc>
        <w:tc>
          <w:tcPr>
            <w:tcW w:w="1871" w:type="dxa"/>
            <w:noWrap/>
          </w:tcPr>
          <w:p w14:paraId="454DFDB1" w14:textId="77777777" w:rsidR="00562D67" w:rsidRPr="00AA0273"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2A3FBEE6"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141A3F6E" w14:textId="77777777" w:rsidR="00562D67" w:rsidRPr="0075167A" w:rsidRDefault="00562D67" w:rsidP="00C315C7">
            <w:pPr>
              <w:jc w:val="center"/>
              <w:rPr>
                <w:rFonts w:ascii="Arial" w:hAnsi="Arial" w:cs="Arial"/>
                <w:b w:val="0"/>
                <w:bCs w:val="0"/>
                <w:color w:val="000000" w:themeColor="text1"/>
              </w:rPr>
            </w:pPr>
            <w:r w:rsidRPr="0075167A">
              <w:rPr>
                <w:rFonts w:ascii="Arial" w:hAnsi="Arial" w:cs="Arial"/>
                <w:b w:val="0"/>
                <w:bCs w:val="0"/>
                <w:color w:val="000000" w:themeColor="text1"/>
              </w:rPr>
              <w:t>12</w:t>
            </w:r>
          </w:p>
        </w:tc>
        <w:tc>
          <w:tcPr>
            <w:tcW w:w="7088" w:type="dxa"/>
            <w:noWrap/>
          </w:tcPr>
          <w:p w14:paraId="4E002432" w14:textId="77777777" w:rsidR="00562D67" w:rsidRPr="00AA0273"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Annals of Forest Research</w:t>
            </w:r>
          </w:p>
        </w:tc>
        <w:tc>
          <w:tcPr>
            <w:tcW w:w="1871" w:type="dxa"/>
            <w:noWrap/>
          </w:tcPr>
          <w:p w14:paraId="767965B5" w14:textId="77777777" w:rsidR="00562D67" w:rsidRPr="00AA0273"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25CE5A46"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hideMark/>
          </w:tcPr>
          <w:p w14:paraId="6A8B57FE" w14:textId="77777777" w:rsidR="00562D67" w:rsidRPr="0075167A" w:rsidRDefault="00562D67" w:rsidP="00C315C7">
            <w:pPr>
              <w:jc w:val="center"/>
              <w:rPr>
                <w:rFonts w:ascii="Arial" w:hAnsi="Arial" w:cs="Arial"/>
                <w:b w:val="0"/>
                <w:bCs w:val="0"/>
                <w:color w:val="000000" w:themeColor="text1"/>
              </w:rPr>
            </w:pPr>
            <w:r w:rsidRPr="0075167A">
              <w:rPr>
                <w:rFonts w:ascii="Arial" w:hAnsi="Arial" w:cs="Arial"/>
                <w:b w:val="0"/>
                <w:bCs w:val="0"/>
                <w:color w:val="000000" w:themeColor="text1"/>
              </w:rPr>
              <w:t>13</w:t>
            </w:r>
          </w:p>
        </w:tc>
        <w:tc>
          <w:tcPr>
            <w:tcW w:w="7088" w:type="dxa"/>
            <w:noWrap/>
          </w:tcPr>
          <w:p w14:paraId="7EBB8E53" w14:textId="77777777" w:rsidR="00562D67" w:rsidRPr="00AA0273"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Archives of Biological Sciences</w:t>
            </w:r>
          </w:p>
        </w:tc>
        <w:tc>
          <w:tcPr>
            <w:tcW w:w="1871" w:type="dxa"/>
            <w:noWrap/>
          </w:tcPr>
          <w:p w14:paraId="7C500B4C" w14:textId="77777777" w:rsidR="00562D67" w:rsidRPr="00AA0273"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594112A5"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704" w:type="dxa"/>
            <w:noWrap/>
          </w:tcPr>
          <w:p w14:paraId="7869E60D" w14:textId="77777777" w:rsidR="00562D67" w:rsidRPr="0075167A" w:rsidRDefault="00562D67" w:rsidP="00C315C7">
            <w:pPr>
              <w:jc w:val="center"/>
              <w:rPr>
                <w:rFonts w:ascii="Arial" w:hAnsi="Arial" w:cs="Arial"/>
                <w:b w:val="0"/>
                <w:bCs w:val="0"/>
                <w:color w:val="000000" w:themeColor="text1"/>
              </w:rPr>
            </w:pPr>
            <w:r w:rsidRPr="0075167A">
              <w:rPr>
                <w:rFonts w:ascii="Arial" w:hAnsi="Arial" w:cs="Arial"/>
                <w:b w:val="0"/>
                <w:bCs w:val="0"/>
                <w:color w:val="000000" w:themeColor="text1"/>
              </w:rPr>
              <w:t>14</w:t>
            </w:r>
          </w:p>
        </w:tc>
        <w:tc>
          <w:tcPr>
            <w:tcW w:w="7088" w:type="dxa"/>
            <w:noWrap/>
          </w:tcPr>
          <w:p w14:paraId="11AB6A86" w14:textId="77777777" w:rsidR="00562D67"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Asia Pacific Journal of Accounting and Economics</w:t>
            </w:r>
          </w:p>
        </w:tc>
        <w:tc>
          <w:tcPr>
            <w:tcW w:w="1871" w:type="dxa"/>
            <w:noWrap/>
          </w:tcPr>
          <w:p w14:paraId="78225C6F" w14:textId="77777777" w:rsidR="00562D67"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5AD0619D"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noWrap/>
          </w:tcPr>
          <w:p w14:paraId="30753BC1" w14:textId="77777777" w:rsidR="00562D67" w:rsidRPr="0075167A" w:rsidRDefault="00562D67" w:rsidP="00C315C7">
            <w:pPr>
              <w:jc w:val="center"/>
              <w:rPr>
                <w:rFonts w:ascii="Arial" w:hAnsi="Arial" w:cs="Arial"/>
                <w:b w:val="0"/>
                <w:bCs w:val="0"/>
                <w:color w:val="000000" w:themeColor="text1"/>
              </w:rPr>
            </w:pPr>
            <w:r w:rsidRPr="0075167A">
              <w:rPr>
                <w:rFonts w:ascii="Arial" w:hAnsi="Arial" w:cs="Arial"/>
                <w:b w:val="0"/>
                <w:bCs w:val="0"/>
                <w:color w:val="000000" w:themeColor="text1"/>
              </w:rPr>
              <w:t>15</w:t>
            </w:r>
          </w:p>
        </w:tc>
        <w:tc>
          <w:tcPr>
            <w:tcW w:w="7088" w:type="dxa"/>
            <w:noWrap/>
          </w:tcPr>
          <w:p w14:paraId="1C821F9A" w14:textId="77777777" w:rsidR="00562D67"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Bois Et </w:t>
            </w:r>
            <w:proofErr w:type="spellStart"/>
            <w:r>
              <w:rPr>
                <w:rFonts w:ascii="Arial" w:hAnsi="Arial" w:cs="Arial"/>
                <w:color w:val="000000" w:themeColor="text1"/>
              </w:rPr>
              <w:t>Forets</w:t>
            </w:r>
            <w:proofErr w:type="spellEnd"/>
            <w:r>
              <w:rPr>
                <w:rFonts w:ascii="Arial" w:hAnsi="Arial" w:cs="Arial"/>
                <w:color w:val="000000" w:themeColor="text1"/>
              </w:rPr>
              <w:t xml:space="preserve"> Des </w:t>
            </w:r>
            <w:proofErr w:type="spellStart"/>
            <w:r>
              <w:rPr>
                <w:rFonts w:ascii="Arial" w:hAnsi="Arial" w:cs="Arial"/>
                <w:color w:val="000000" w:themeColor="text1"/>
              </w:rPr>
              <w:t>Tropiques</w:t>
            </w:r>
            <w:proofErr w:type="spellEnd"/>
          </w:p>
        </w:tc>
        <w:tc>
          <w:tcPr>
            <w:tcW w:w="1871" w:type="dxa"/>
            <w:noWrap/>
          </w:tcPr>
          <w:p w14:paraId="47030B2C" w14:textId="77777777" w:rsidR="00562D67"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bl>
    <w:p w14:paraId="073D9A95" w14:textId="77777777" w:rsidR="00562D67" w:rsidRPr="00DD2E41" w:rsidRDefault="00562D67" w:rsidP="00562D67">
      <w:pPr>
        <w:rPr>
          <w:color w:val="EE0000"/>
        </w:rPr>
      </w:pPr>
    </w:p>
    <w:p w14:paraId="306CAD48" w14:textId="77777777" w:rsidR="00442997" w:rsidRDefault="00442997" w:rsidP="00562D67">
      <w:pPr>
        <w:rPr>
          <w:rFonts w:ascii="Arial" w:hAnsi="Arial" w:cs="Arial"/>
          <w:b/>
          <w:bCs/>
          <w:sz w:val="24"/>
          <w:szCs w:val="24"/>
        </w:rPr>
      </w:pPr>
    </w:p>
    <w:p w14:paraId="615FF1BC" w14:textId="4A8A22FA" w:rsidR="00562D67" w:rsidRPr="00B32BF9" w:rsidRDefault="00562D67" w:rsidP="00562D67">
      <w:pPr>
        <w:rPr>
          <w:rFonts w:ascii="Arial" w:hAnsi="Arial" w:cs="Arial"/>
          <w:b/>
          <w:bCs/>
          <w:sz w:val="24"/>
          <w:szCs w:val="24"/>
        </w:rPr>
      </w:pPr>
      <w:r w:rsidRPr="00B32BF9">
        <w:rPr>
          <w:rFonts w:ascii="Arial" w:hAnsi="Arial" w:cs="Arial"/>
          <w:b/>
          <w:bCs/>
          <w:sz w:val="24"/>
          <w:szCs w:val="24"/>
        </w:rPr>
        <w:t>Document by Affiliation</w:t>
      </w:r>
    </w:p>
    <w:p w14:paraId="38C9AE8F" w14:textId="77777777" w:rsidR="00562D67" w:rsidRDefault="00562D67" w:rsidP="00562D67">
      <w:pPr>
        <w:rPr>
          <w:rFonts w:ascii="Arial" w:hAnsi="Arial" w:cs="Arial"/>
          <w:b/>
          <w:bCs/>
          <w:color w:val="EE0000"/>
        </w:rPr>
      </w:pPr>
    </w:p>
    <w:p w14:paraId="2C3A880E" w14:textId="77777777" w:rsidR="00562D67" w:rsidRPr="00034088" w:rsidRDefault="00562D67" w:rsidP="00562D67">
      <w:pPr>
        <w:jc w:val="both"/>
        <w:rPr>
          <w:sz w:val="24"/>
          <w:szCs w:val="24"/>
        </w:rPr>
      </w:pPr>
      <w:r w:rsidRPr="00034088">
        <w:rPr>
          <w:sz w:val="24"/>
          <w:szCs w:val="24"/>
        </w:rPr>
        <w:t xml:space="preserve">Table 4 presents the top 15 institutional affiliations contributing to publications on biological assets, highlighting a strong geographical concentration of research output. Brazilian universities clearly dominate the list, with the </w:t>
      </w:r>
      <w:proofErr w:type="spellStart"/>
      <w:r w:rsidRPr="00034088">
        <w:rPr>
          <w:i/>
          <w:iCs/>
          <w:sz w:val="24"/>
          <w:szCs w:val="24"/>
        </w:rPr>
        <w:t>Universidade</w:t>
      </w:r>
      <w:proofErr w:type="spellEnd"/>
      <w:r w:rsidRPr="00034088">
        <w:rPr>
          <w:i/>
          <w:iCs/>
          <w:sz w:val="24"/>
          <w:szCs w:val="24"/>
        </w:rPr>
        <w:t xml:space="preserve"> de São Paulo</w:t>
      </w:r>
      <w:r w:rsidRPr="00034088">
        <w:rPr>
          <w:sz w:val="24"/>
          <w:szCs w:val="24"/>
        </w:rPr>
        <w:t xml:space="preserve"> leading at 13 publications, followed by </w:t>
      </w:r>
      <w:proofErr w:type="spellStart"/>
      <w:r w:rsidRPr="00034088">
        <w:rPr>
          <w:i/>
          <w:iCs/>
          <w:sz w:val="24"/>
          <w:szCs w:val="24"/>
        </w:rPr>
        <w:t>Universidade</w:t>
      </w:r>
      <w:proofErr w:type="spellEnd"/>
      <w:r w:rsidRPr="00034088">
        <w:rPr>
          <w:i/>
          <w:iCs/>
          <w:sz w:val="24"/>
          <w:szCs w:val="24"/>
        </w:rPr>
        <w:t xml:space="preserve"> Federal de Santa Catarina</w:t>
      </w:r>
      <w:r w:rsidRPr="00034088">
        <w:rPr>
          <w:sz w:val="24"/>
          <w:szCs w:val="24"/>
        </w:rPr>
        <w:t xml:space="preserve"> with eight publications. Several other Brazilian institutions, including </w:t>
      </w:r>
      <w:proofErr w:type="spellStart"/>
      <w:r w:rsidRPr="00034088">
        <w:rPr>
          <w:i/>
          <w:iCs/>
          <w:sz w:val="24"/>
          <w:szCs w:val="24"/>
        </w:rPr>
        <w:t>Universidade</w:t>
      </w:r>
      <w:proofErr w:type="spellEnd"/>
      <w:r w:rsidRPr="00034088">
        <w:rPr>
          <w:i/>
          <w:iCs/>
          <w:sz w:val="24"/>
          <w:szCs w:val="24"/>
        </w:rPr>
        <w:t xml:space="preserve"> de Brasília and </w:t>
      </w:r>
      <w:proofErr w:type="spellStart"/>
      <w:r w:rsidRPr="00034088">
        <w:rPr>
          <w:i/>
          <w:iCs/>
          <w:sz w:val="24"/>
          <w:szCs w:val="24"/>
        </w:rPr>
        <w:t>Mendelova</w:t>
      </w:r>
      <w:proofErr w:type="spellEnd"/>
      <w:r w:rsidRPr="00034088">
        <w:rPr>
          <w:i/>
          <w:iCs/>
          <w:sz w:val="24"/>
          <w:szCs w:val="24"/>
        </w:rPr>
        <w:t xml:space="preserve"> </w:t>
      </w:r>
      <w:proofErr w:type="spellStart"/>
      <w:r w:rsidRPr="00034088">
        <w:rPr>
          <w:i/>
          <w:iCs/>
          <w:sz w:val="24"/>
          <w:szCs w:val="24"/>
        </w:rPr>
        <w:t>Univerzita</w:t>
      </w:r>
      <w:proofErr w:type="spellEnd"/>
      <w:r w:rsidRPr="00034088">
        <w:rPr>
          <w:i/>
          <w:iCs/>
          <w:sz w:val="24"/>
          <w:szCs w:val="24"/>
        </w:rPr>
        <w:t xml:space="preserve"> v </w:t>
      </w:r>
      <w:proofErr w:type="spellStart"/>
      <w:r w:rsidRPr="00034088">
        <w:rPr>
          <w:i/>
          <w:iCs/>
          <w:sz w:val="24"/>
          <w:szCs w:val="24"/>
        </w:rPr>
        <w:t>Brně</w:t>
      </w:r>
      <w:proofErr w:type="spellEnd"/>
      <w:r w:rsidRPr="00034088">
        <w:rPr>
          <w:sz w:val="24"/>
          <w:szCs w:val="24"/>
        </w:rPr>
        <w:t xml:space="preserve"> from the Czech Republic, each contributed six publications, indicating that while Brazil is the primary contributor, selected European institutions also play a notable role. The strong presence of Brazilian universities reflects the country’s significant agricultural sector and the relevance of biological assets within its economic and accounting research agenda.</w:t>
      </w:r>
    </w:p>
    <w:p w14:paraId="5C824E56" w14:textId="77777777" w:rsidR="00562D67" w:rsidRPr="00034088" w:rsidRDefault="00562D67" w:rsidP="00562D67">
      <w:pPr>
        <w:rPr>
          <w:rFonts w:ascii="Arial" w:hAnsi="Arial" w:cs="Arial"/>
          <w:b/>
          <w:bCs/>
          <w:color w:val="EE0000"/>
          <w:sz w:val="24"/>
          <w:szCs w:val="24"/>
        </w:rPr>
      </w:pPr>
    </w:p>
    <w:p w14:paraId="0E041D80" w14:textId="77777777" w:rsidR="00562D67" w:rsidRPr="00034088" w:rsidRDefault="00562D67" w:rsidP="00562D67">
      <w:pPr>
        <w:jc w:val="both"/>
        <w:rPr>
          <w:sz w:val="24"/>
          <w:szCs w:val="24"/>
        </w:rPr>
      </w:pPr>
      <w:r w:rsidRPr="00034088">
        <w:rPr>
          <w:sz w:val="24"/>
          <w:szCs w:val="24"/>
        </w:rPr>
        <w:t>From a country perspective, Brazil accounts for most affiliations, with eleven out of the fifteen institutions listed, demonstrating its central position in biological asset research. This dominance may be attributed to Brazil’s extensive agribusiness activities, forestry resources, and early engagement with accounting standards related to biological assets. Other contributing countries include the Czech Republic, Spain, Malaysia, and China, each represented by one institution with lower publication counts. Although their contributions are smaller, these institutions indicate growing international interest and a gradual diversification of research efforts beyond Latin America, particularly in Europe and Asia.</w:t>
      </w:r>
    </w:p>
    <w:p w14:paraId="4EEC6C53" w14:textId="77777777" w:rsidR="00562D67" w:rsidRPr="00DD2E41" w:rsidRDefault="00562D67" w:rsidP="00562D67">
      <w:pPr>
        <w:rPr>
          <w:rFonts w:ascii="Arial" w:hAnsi="Arial" w:cs="Arial"/>
          <w:b/>
          <w:bCs/>
          <w:color w:val="EE0000"/>
        </w:rPr>
      </w:pPr>
    </w:p>
    <w:p w14:paraId="49DCCABD" w14:textId="77777777" w:rsidR="00442997" w:rsidRDefault="00442997" w:rsidP="00562D67">
      <w:pPr>
        <w:rPr>
          <w:rFonts w:ascii="Arial" w:hAnsi="Arial" w:cs="Arial"/>
          <w:b/>
          <w:bCs/>
          <w:sz w:val="24"/>
          <w:szCs w:val="24"/>
        </w:rPr>
      </w:pPr>
    </w:p>
    <w:p w14:paraId="5F04882A" w14:textId="5440828A" w:rsidR="00562D67" w:rsidRPr="004F04BA" w:rsidRDefault="00562D67" w:rsidP="00562D67">
      <w:pPr>
        <w:rPr>
          <w:rFonts w:ascii="Arial" w:hAnsi="Arial" w:cs="Arial"/>
          <w:sz w:val="24"/>
          <w:szCs w:val="24"/>
        </w:rPr>
      </w:pPr>
      <w:r w:rsidRPr="004F04BA">
        <w:rPr>
          <w:rFonts w:ascii="Arial" w:hAnsi="Arial" w:cs="Arial"/>
          <w:b/>
          <w:bCs/>
          <w:sz w:val="24"/>
          <w:szCs w:val="24"/>
        </w:rPr>
        <w:t>Table 4</w:t>
      </w:r>
      <w:proofErr w:type="gramStart"/>
      <w:r w:rsidRPr="004F04BA">
        <w:rPr>
          <w:rFonts w:ascii="Arial" w:hAnsi="Arial" w:cs="Arial"/>
          <w:b/>
          <w:bCs/>
          <w:sz w:val="24"/>
          <w:szCs w:val="24"/>
        </w:rPr>
        <w:t>:</w:t>
      </w:r>
      <w:r w:rsidRPr="004F04BA">
        <w:rPr>
          <w:rFonts w:ascii="Arial" w:hAnsi="Arial" w:cs="Arial"/>
          <w:sz w:val="24"/>
          <w:szCs w:val="24"/>
        </w:rPr>
        <w:t xml:space="preserve">  Tops</w:t>
      </w:r>
      <w:proofErr w:type="gramEnd"/>
      <w:r w:rsidRPr="004F04BA">
        <w:rPr>
          <w:rFonts w:ascii="Arial" w:hAnsi="Arial" w:cs="Arial"/>
          <w:sz w:val="24"/>
          <w:szCs w:val="24"/>
        </w:rPr>
        <w:t xml:space="preserve"> 15 institutions that contribute publications related to biological assets</w:t>
      </w:r>
    </w:p>
    <w:p w14:paraId="4BE88F32" w14:textId="77777777" w:rsidR="00562D67" w:rsidRPr="00DD2E41" w:rsidRDefault="00562D67" w:rsidP="00562D67">
      <w:pPr>
        <w:rPr>
          <w:rFonts w:ascii="Arial" w:hAnsi="Arial" w:cs="Arial"/>
          <w:color w:val="EE0000"/>
        </w:rPr>
      </w:pPr>
    </w:p>
    <w:tbl>
      <w:tblPr>
        <w:tblStyle w:val="GridTable4-Accent4"/>
        <w:tblW w:w="9249" w:type="dxa"/>
        <w:tblLook w:val="04A0" w:firstRow="1" w:lastRow="0" w:firstColumn="1" w:lastColumn="0" w:noHBand="0" w:noVBand="1"/>
      </w:tblPr>
      <w:tblGrid>
        <w:gridCol w:w="632"/>
        <w:gridCol w:w="5669"/>
        <w:gridCol w:w="1247"/>
        <w:gridCol w:w="1701"/>
      </w:tblGrid>
      <w:tr w:rsidR="00562D67" w:rsidRPr="00DD2E41" w14:paraId="16724288" w14:textId="77777777" w:rsidTr="0035772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33CA4622" w14:textId="77777777" w:rsidR="00562D67" w:rsidRPr="00CF6681" w:rsidRDefault="00562D67" w:rsidP="00C315C7">
            <w:pPr>
              <w:jc w:val="center"/>
              <w:rPr>
                <w:rFonts w:ascii="Arial" w:hAnsi="Arial" w:cs="Arial"/>
                <w:color w:val="000000" w:themeColor="text1"/>
              </w:rPr>
            </w:pPr>
            <w:r w:rsidRPr="00CF6681">
              <w:rPr>
                <w:rFonts w:ascii="Arial" w:hAnsi="Arial" w:cs="Arial"/>
                <w:color w:val="000000" w:themeColor="text1"/>
              </w:rPr>
              <w:t>No.</w:t>
            </w:r>
          </w:p>
        </w:tc>
        <w:tc>
          <w:tcPr>
            <w:tcW w:w="5669" w:type="dxa"/>
            <w:noWrap/>
            <w:hideMark/>
          </w:tcPr>
          <w:p w14:paraId="71F15F70" w14:textId="77777777" w:rsidR="00562D67" w:rsidRPr="00CF6681"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themeColor="text1"/>
              </w:rPr>
              <w:t>Affiliation</w:t>
            </w:r>
          </w:p>
        </w:tc>
        <w:tc>
          <w:tcPr>
            <w:tcW w:w="1247" w:type="dxa"/>
          </w:tcPr>
          <w:p w14:paraId="53E74AC4" w14:textId="77777777" w:rsidR="00562D67" w:rsidRPr="00CF6681" w:rsidRDefault="00562D67" w:rsidP="00C315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themeColor="text1"/>
              </w:rPr>
              <w:t>Country</w:t>
            </w:r>
          </w:p>
        </w:tc>
        <w:tc>
          <w:tcPr>
            <w:tcW w:w="1701" w:type="dxa"/>
            <w:noWrap/>
            <w:hideMark/>
          </w:tcPr>
          <w:p w14:paraId="6B2C1D70" w14:textId="77777777" w:rsidR="00562D67" w:rsidRPr="00CF6681" w:rsidRDefault="00562D67" w:rsidP="00C315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themeColor="text1"/>
              </w:rPr>
              <w:t xml:space="preserve">Number of </w:t>
            </w:r>
            <w:proofErr w:type="gramStart"/>
            <w:r w:rsidRPr="00CF6681">
              <w:rPr>
                <w:rFonts w:ascii="Arial" w:hAnsi="Arial" w:cs="Arial"/>
                <w:color w:val="000000" w:themeColor="text1"/>
              </w:rPr>
              <w:t>publication</w:t>
            </w:r>
            <w:proofErr w:type="gramEnd"/>
          </w:p>
        </w:tc>
      </w:tr>
      <w:tr w:rsidR="00562D67" w:rsidRPr="00CF6681" w14:paraId="39AB5000"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386F242A"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1</w:t>
            </w:r>
          </w:p>
        </w:tc>
        <w:tc>
          <w:tcPr>
            <w:tcW w:w="5669" w:type="dxa"/>
            <w:noWrap/>
            <w:hideMark/>
          </w:tcPr>
          <w:p w14:paraId="1ACB210C" w14:textId="77777777" w:rsidR="00562D67" w:rsidRPr="00CF6681"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Universidade</w:t>
            </w:r>
            <w:proofErr w:type="spellEnd"/>
            <w:r w:rsidRPr="00CF6681">
              <w:rPr>
                <w:rFonts w:ascii="Arial" w:hAnsi="Arial" w:cs="Arial"/>
                <w:color w:val="000000"/>
              </w:rPr>
              <w:t xml:space="preserve"> de São Paulo</w:t>
            </w:r>
          </w:p>
        </w:tc>
        <w:tc>
          <w:tcPr>
            <w:tcW w:w="1247" w:type="dxa"/>
          </w:tcPr>
          <w:p w14:paraId="7DBF8F44"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38E80F9A"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F6681">
              <w:rPr>
                <w:rFonts w:ascii="Arial" w:hAnsi="Arial" w:cs="Arial"/>
                <w:color w:val="000000"/>
              </w:rPr>
              <w:t>13</w:t>
            </w:r>
          </w:p>
        </w:tc>
      </w:tr>
      <w:tr w:rsidR="00562D67" w:rsidRPr="00CF6681" w14:paraId="028209F0"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7C28EDA8"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2</w:t>
            </w:r>
          </w:p>
        </w:tc>
        <w:tc>
          <w:tcPr>
            <w:tcW w:w="5669" w:type="dxa"/>
            <w:noWrap/>
            <w:hideMark/>
          </w:tcPr>
          <w:p w14:paraId="4932482E" w14:textId="77777777" w:rsidR="00562D67" w:rsidRPr="00CF6681"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Universidade</w:t>
            </w:r>
            <w:proofErr w:type="spellEnd"/>
            <w:r w:rsidRPr="00CF6681">
              <w:rPr>
                <w:rFonts w:ascii="Arial" w:hAnsi="Arial" w:cs="Arial"/>
                <w:color w:val="000000"/>
              </w:rPr>
              <w:t xml:space="preserve"> Federal de Santa Catarina</w:t>
            </w:r>
          </w:p>
        </w:tc>
        <w:tc>
          <w:tcPr>
            <w:tcW w:w="1247" w:type="dxa"/>
          </w:tcPr>
          <w:p w14:paraId="2907FA2F"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32159F03"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rPr>
              <w:t>8</w:t>
            </w:r>
          </w:p>
        </w:tc>
      </w:tr>
      <w:tr w:rsidR="00562D67" w:rsidRPr="00CF6681" w14:paraId="13B79043"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51C3F97A"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3</w:t>
            </w:r>
          </w:p>
        </w:tc>
        <w:tc>
          <w:tcPr>
            <w:tcW w:w="5669" w:type="dxa"/>
            <w:noWrap/>
            <w:hideMark/>
          </w:tcPr>
          <w:p w14:paraId="6646AD7D" w14:textId="77777777" w:rsidR="00562D67" w:rsidRPr="00CF6681"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Mendelova</w:t>
            </w:r>
            <w:proofErr w:type="spellEnd"/>
            <w:r w:rsidRPr="00CF6681">
              <w:rPr>
                <w:rFonts w:ascii="Arial" w:hAnsi="Arial" w:cs="Arial"/>
                <w:color w:val="000000"/>
              </w:rPr>
              <w:t xml:space="preserve"> </w:t>
            </w:r>
            <w:proofErr w:type="spellStart"/>
            <w:r w:rsidRPr="00CF6681">
              <w:rPr>
                <w:rFonts w:ascii="Arial" w:hAnsi="Arial" w:cs="Arial"/>
                <w:color w:val="000000"/>
              </w:rPr>
              <w:t>Univerzita</w:t>
            </w:r>
            <w:proofErr w:type="spellEnd"/>
            <w:r w:rsidRPr="00CF6681">
              <w:rPr>
                <w:rFonts w:ascii="Arial" w:hAnsi="Arial" w:cs="Arial"/>
                <w:color w:val="000000"/>
              </w:rPr>
              <w:t xml:space="preserve"> v </w:t>
            </w:r>
            <w:proofErr w:type="spellStart"/>
            <w:r w:rsidRPr="00CF6681">
              <w:rPr>
                <w:rFonts w:ascii="Arial" w:hAnsi="Arial" w:cs="Arial"/>
                <w:color w:val="000000"/>
              </w:rPr>
              <w:t>Brně</w:t>
            </w:r>
            <w:proofErr w:type="spellEnd"/>
          </w:p>
        </w:tc>
        <w:tc>
          <w:tcPr>
            <w:tcW w:w="1247" w:type="dxa"/>
          </w:tcPr>
          <w:p w14:paraId="407A8208"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B0003">
              <w:rPr>
                <w:rFonts w:ascii="Arial" w:hAnsi="Arial" w:cs="Arial"/>
                <w:color w:val="000000" w:themeColor="text1"/>
              </w:rPr>
              <w:t>Czech Republic</w:t>
            </w:r>
          </w:p>
        </w:tc>
        <w:tc>
          <w:tcPr>
            <w:tcW w:w="1701" w:type="dxa"/>
            <w:noWrap/>
            <w:hideMark/>
          </w:tcPr>
          <w:p w14:paraId="36DB3CC8"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F6681">
              <w:rPr>
                <w:rFonts w:ascii="Arial" w:hAnsi="Arial" w:cs="Arial"/>
                <w:color w:val="000000"/>
              </w:rPr>
              <w:t>6</w:t>
            </w:r>
          </w:p>
        </w:tc>
      </w:tr>
      <w:tr w:rsidR="00562D67" w:rsidRPr="00CF6681" w14:paraId="342B4C5B"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632" w:type="dxa"/>
            <w:noWrap/>
          </w:tcPr>
          <w:p w14:paraId="04261862"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4</w:t>
            </w:r>
          </w:p>
        </w:tc>
        <w:tc>
          <w:tcPr>
            <w:tcW w:w="5669" w:type="dxa"/>
            <w:noWrap/>
          </w:tcPr>
          <w:p w14:paraId="44822A5D" w14:textId="77777777" w:rsidR="00562D67" w:rsidRPr="00CF6681"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CF6681">
              <w:rPr>
                <w:rFonts w:ascii="Arial" w:hAnsi="Arial" w:cs="Arial"/>
                <w:color w:val="000000"/>
              </w:rPr>
              <w:t>Universidade</w:t>
            </w:r>
            <w:proofErr w:type="spellEnd"/>
            <w:r w:rsidRPr="00CF6681">
              <w:rPr>
                <w:rFonts w:ascii="Arial" w:hAnsi="Arial" w:cs="Arial"/>
                <w:color w:val="000000"/>
              </w:rPr>
              <w:t xml:space="preserve"> de Brasília</w:t>
            </w:r>
          </w:p>
        </w:tc>
        <w:tc>
          <w:tcPr>
            <w:tcW w:w="1247" w:type="dxa"/>
          </w:tcPr>
          <w:p w14:paraId="50A0058E"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tcPr>
          <w:p w14:paraId="2601F546"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F6681">
              <w:rPr>
                <w:rFonts w:ascii="Arial" w:hAnsi="Arial" w:cs="Arial"/>
                <w:color w:val="000000"/>
              </w:rPr>
              <w:t>6</w:t>
            </w:r>
          </w:p>
        </w:tc>
      </w:tr>
      <w:tr w:rsidR="00562D67" w:rsidRPr="00CF6681" w14:paraId="673EB58B"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tcPr>
          <w:p w14:paraId="7C1D154C"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5</w:t>
            </w:r>
          </w:p>
        </w:tc>
        <w:tc>
          <w:tcPr>
            <w:tcW w:w="5669" w:type="dxa"/>
            <w:noWrap/>
          </w:tcPr>
          <w:p w14:paraId="02C70770" w14:textId="77777777" w:rsidR="00562D67" w:rsidRPr="00CF6681"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CF6681">
              <w:rPr>
                <w:rFonts w:ascii="Arial" w:hAnsi="Arial" w:cs="Arial"/>
                <w:color w:val="000000"/>
              </w:rPr>
              <w:t>Universidade</w:t>
            </w:r>
            <w:proofErr w:type="spellEnd"/>
            <w:r w:rsidRPr="00CF6681">
              <w:rPr>
                <w:rFonts w:ascii="Arial" w:hAnsi="Arial" w:cs="Arial"/>
                <w:color w:val="000000"/>
              </w:rPr>
              <w:t xml:space="preserve"> Federal do Rio Grande do Norte</w:t>
            </w:r>
          </w:p>
        </w:tc>
        <w:tc>
          <w:tcPr>
            <w:tcW w:w="1247" w:type="dxa"/>
          </w:tcPr>
          <w:p w14:paraId="28750CDC"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tcPr>
          <w:p w14:paraId="2D7B1E1B"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F6681">
              <w:rPr>
                <w:rFonts w:ascii="Arial" w:hAnsi="Arial" w:cs="Arial"/>
                <w:color w:val="000000"/>
              </w:rPr>
              <w:t>5</w:t>
            </w:r>
          </w:p>
        </w:tc>
      </w:tr>
      <w:tr w:rsidR="00562D67" w:rsidRPr="00CF6681" w14:paraId="0F962012"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6BC77720"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6</w:t>
            </w:r>
          </w:p>
        </w:tc>
        <w:tc>
          <w:tcPr>
            <w:tcW w:w="5669" w:type="dxa"/>
            <w:noWrap/>
            <w:hideMark/>
          </w:tcPr>
          <w:p w14:paraId="5E31FA76" w14:textId="77777777" w:rsidR="00562D67" w:rsidRPr="00CF6681"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Universidade</w:t>
            </w:r>
            <w:proofErr w:type="spellEnd"/>
            <w:r w:rsidRPr="00CF6681">
              <w:rPr>
                <w:rFonts w:ascii="Arial" w:hAnsi="Arial" w:cs="Arial"/>
                <w:color w:val="000000"/>
              </w:rPr>
              <w:t xml:space="preserve"> Federal do Rio Grande do Sul</w:t>
            </w:r>
          </w:p>
        </w:tc>
        <w:tc>
          <w:tcPr>
            <w:tcW w:w="1247" w:type="dxa"/>
          </w:tcPr>
          <w:p w14:paraId="3E627A2D"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62F5ED1B"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rPr>
              <w:t>4</w:t>
            </w:r>
          </w:p>
        </w:tc>
      </w:tr>
      <w:tr w:rsidR="00562D67" w:rsidRPr="00CF6681" w14:paraId="4F372CF5"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0D58FE4D"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7</w:t>
            </w:r>
          </w:p>
        </w:tc>
        <w:tc>
          <w:tcPr>
            <w:tcW w:w="5669" w:type="dxa"/>
            <w:noWrap/>
            <w:hideMark/>
          </w:tcPr>
          <w:p w14:paraId="2A208672" w14:textId="77777777" w:rsidR="00562D67" w:rsidRPr="00CF6681"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Universidade</w:t>
            </w:r>
            <w:proofErr w:type="spellEnd"/>
            <w:r w:rsidRPr="00CF6681">
              <w:rPr>
                <w:rFonts w:ascii="Arial" w:hAnsi="Arial" w:cs="Arial"/>
                <w:color w:val="000000"/>
              </w:rPr>
              <w:t xml:space="preserve"> Federal da Paraíba</w:t>
            </w:r>
          </w:p>
        </w:tc>
        <w:tc>
          <w:tcPr>
            <w:tcW w:w="1247" w:type="dxa"/>
          </w:tcPr>
          <w:p w14:paraId="3CD29F47"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773534CA"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F6681">
              <w:rPr>
                <w:rFonts w:ascii="Arial" w:hAnsi="Arial" w:cs="Arial"/>
                <w:color w:val="000000"/>
              </w:rPr>
              <w:t>4</w:t>
            </w:r>
          </w:p>
        </w:tc>
      </w:tr>
      <w:tr w:rsidR="00562D67" w:rsidRPr="00CF6681" w14:paraId="49E55FA9"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12C48B59"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8</w:t>
            </w:r>
          </w:p>
        </w:tc>
        <w:tc>
          <w:tcPr>
            <w:tcW w:w="5669" w:type="dxa"/>
            <w:noWrap/>
            <w:hideMark/>
          </w:tcPr>
          <w:p w14:paraId="19228EBB" w14:textId="77777777" w:rsidR="00562D67" w:rsidRPr="00CF6681"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Universidade</w:t>
            </w:r>
            <w:proofErr w:type="spellEnd"/>
            <w:r w:rsidRPr="00CF6681">
              <w:rPr>
                <w:rFonts w:ascii="Arial" w:hAnsi="Arial" w:cs="Arial"/>
                <w:color w:val="000000"/>
              </w:rPr>
              <w:t xml:space="preserve"> Federal de Goiás</w:t>
            </w:r>
          </w:p>
        </w:tc>
        <w:tc>
          <w:tcPr>
            <w:tcW w:w="1247" w:type="dxa"/>
          </w:tcPr>
          <w:p w14:paraId="5DCA54A7"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361E77C4"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rPr>
              <w:t>4</w:t>
            </w:r>
          </w:p>
        </w:tc>
      </w:tr>
      <w:tr w:rsidR="00562D67" w:rsidRPr="00CF6681" w14:paraId="7419CA86"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7F93BED7"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9</w:t>
            </w:r>
          </w:p>
        </w:tc>
        <w:tc>
          <w:tcPr>
            <w:tcW w:w="5669" w:type="dxa"/>
            <w:noWrap/>
            <w:hideMark/>
          </w:tcPr>
          <w:p w14:paraId="620D4640" w14:textId="77777777" w:rsidR="00562D67" w:rsidRPr="00CF6681"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Universitat</w:t>
            </w:r>
            <w:proofErr w:type="spellEnd"/>
            <w:r w:rsidRPr="00CF6681">
              <w:rPr>
                <w:rFonts w:ascii="Arial" w:hAnsi="Arial" w:cs="Arial"/>
                <w:color w:val="000000"/>
              </w:rPr>
              <w:t xml:space="preserve"> de Barcelona</w:t>
            </w:r>
          </w:p>
        </w:tc>
        <w:tc>
          <w:tcPr>
            <w:tcW w:w="1247" w:type="dxa"/>
          </w:tcPr>
          <w:p w14:paraId="324CE0BD"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Spain</w:t>
            </w:r>
          </w:p>
        </w:tc>
        <w:tc>
          <w:tcPr>
            <w:tcW w:w="1701" w:type="dxa"/>
            <w:noWrap/>
            <w:hideMark/>
          </w:tcPr>
          <w:p w14:paraId="4A56842F"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F6681">
              <w:rPr>
                <w:rFonts w:ascii="Arial" w:hAnsi="Arial" w:cs="Arial"/>
                <w:color w:val="000000"/>
              </w:rPr>
              <w:t>3</w:t>
            </w:r>
          </w:p>
        </w:tc>
      </w:tr>
      <w:tr w:rsidR="00562D67" w:rsidRPr="00CF6681" w14:paraId="67881001"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1C7B7383"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10</w:t>
            </w:r>
          </w:p>
        </w:tc>
        <w:tc>
          <w:tcPr>
            <w:tcW w:w="5669" w:type="dxa"/>
            <w:noWrap/>
            <w:hideMark/>
          </w:tcPr>
          <w:p w14:paraId="470B33BE" w14:textId="77777777" w:rsidR="00562D67" w:rsidRPr="00CF6681"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Universidade</w:t>
            </w:r>
            <w:proofErr w:type="spellEnd"/>
            <w:r w:rsidRPr="00CF6681">
              <w:rPr>
                <w:rFonts w:ascii="Arial" w:hAnsi="Arial" w:cs="Arial"/>
                <w:color w:val="000000"/>
              </w:rPr>
              <w:t xml:space="preserve"> Estadual Paulista Júlio de Mesquita Filho</w:t>
            </w:r>
          </w:p>
        </w:tc>
        <w:tc>
          <w:tcPr>
            <w:tcW w:w="1247" w:type="dxa"/>
          </w:tcPr>
          <w:p w14:paraId="13CCE0FC"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35DFD8AC"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rPr>
              <w:t>3</w:t>
            </w:r>
          </w:p>
        </w:tc>
      </w:tr>
      <w:tr w:rsidR="00562D67" w:rsidRPr="00CF6681" w14:paraId="5F4A6B3A"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69DAE82D"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11</w:t>
            </w:r>
          </w:p>
        </w:tc>
        <w:tc>
          <w:tcPr>
            <w:tcW w:w="5669" w:type="dxa"/>
            <w:noWrap/>
            <w:hideMark/>
          </w:tcPr>
          <w:p w14:paraId="0E0A032E" w14:textId="77777777" w:rsidR="00562D67" w:rsidRPr="00CF6681"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Fundacao</w:t>
            </w:r>
            <w:proofErr w:type="spellEnd"/>
            <w:r w:rsidRPr="00CF6681">
              <w:rPr>
                <w:rFonts w:ascii="Arial" w:hAnsi="Arial" w:cs="Arial"/>
                <w:color w:val="000000"/>
              </w:rPr>
              <w:t xml:space="preserve"> </w:t>
            </w:r>
            <w:proofErr w:type="spellStart"/>
            <w:r w:rsidRPr="00CF6681">
              <w:rPr>
                <w:rFonts w:ascii="Arial" w:hAnsi="Arial" w:cs="Arial"/>
                <w:color w:val="000000"/>
              </w:rPr>
              <w:t>Universidade</w:t>
            </w:r>
            <w:proofErr w:type="spellEnd"/>
            <w:r w:rsidRPr="00CF6681">
              <w:rPr>
                <w:rFonts w:ascii="Arial" w:hAnsi="Arial" w:cs="Arial"/>
                <w:color w:val="000000"/>
              </w:rPr>
              <w:t xml:space="preserve"> Federal de Rondonia</w:t>
            </w:r>
          </w:p>
        </w:tc>
        <w:tc>
          <w:tcPr>
            <w:tcW w:w="1247" w:type="dxa"/>
          </w:tcPr>
          <w:p w14:paraId="3128C6B7"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045C2D81"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F6681">
              <w:rPr>
                <w:rFonts w:ascii="Arial" w:hAnsi="Arial" w:cs="Arial"/>
                <w:color w:val="000000"/>
              </w:rPr>
              <w:t>3</w:t>
            </w:r>
          </w:p>
        </w:tc>
      </w:tr>
      <w:tr w:rsidR="00562D67" w:rsidRPr="00CF6681" w14:paraId="49907633"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45008735"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lastRenderedPageBreak/>
              <w:t>12</w:t>
            </w:r>
          </w:p>
        </w:tc>
        <w:tc>
          <w:tcPr>
            <w:tcW w:w="5669" w:type="dxa"/>
            <w:noWrap/>
            <w:hideMark/>
          </w:tcPr>
          <w:p w14:paraId="404FCEC0" w14:textId="77777777" w:rsidR="00562D67" w:rsidRPr="00CF6681"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Universidade</w:t>
            </w:r>
            <w:proofErr w:type="spellEnd"/>
            <w:r w:rsidRPr="00CF6681">
              <w:rPr>
                <w:rFonts w:ascii="Arial" w:hAnsi="Arial" w:cs="Arial"/>
                <w:color w:val="000000"/>
              </w:rPr>
              <w:t xml:space="preserve"> Federal de Mato Grosso</w:t>
            </w:r>
          </w:p>
        </w:tc>
        <w:tc>
          <w:tcPr>
            <w:tcW w:w="1247" w:type="dxa"/>
          </w:tcPr>
          <w:p w14:paraId="50BB7510"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4286D46F"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rPr>
              <w:t>2</w:t>
            </w:r>
          </w:p>
        </w:tc>
      </w:tr>
      <w:tr w:rsidR="00562D67" w:rsidRPr="00CF6681" w14:paraId="3FAF9134"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46134E21"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13</w:t>
            </w:r>
          </w:p>
        </w:tc>
        <w:tc>
          <w:tcPr>
            <w:tcW w:w="5669" w:type="dxa"/>
            <w:noWrap/>
            <w:hideMark/>
          </w:tcPr>
          <w:p w14:paraId="6DA92C64" w14:textId="77777777" w:rsidR="00562D67" w:rsidRPr="00CF6681"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F6681">
              <w:rPr>
                <w:rFonts w:ascii="Arial" w:hAnsi="Arial" w:cs="Arial"/>
                <w:color w:val="000000"/>
              </w:rPr>
              <w:t>Universiti Utara Malaysia</w:t>
            </w:r>
          </w:p>
        </w:tc>
        <w:tc>
          <w:tcPr>
            <w:tcW w:w="1247" w:type="dxa"/>
          </w:tcPr>
          <w:p w14:paraId="0E18E175"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Malaysia</w:t>
            </w:r>
          </w:p>
        </w:tc>
        <w:tc>
          <w:tcPr>
            <w:tcW w:w="1701" w:type="dxa"/>
            <w:noWrap/>
            <w:hideMark/>
          </w:tcPr>
          <w:p w14:paraId="6B8DF2FC"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F6681">
              <w:rPr>
                <w:rFonts w:ascii="Arial" w:hAnsi="Arial" w:cs="Arial"/>
                <w:color w:val="000000"/>
              </w:rPr>
              <w:t>2</w:t>
            </w:r>
          </w:p>
        </w:tc>
      </w:tr>
      <w:tr w:rsidR="00562D67" w:rsidRPr="00CF6681" w14:paraId="7C28EB23"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4D6241D8"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14</w:t>
            </w:r>
          </w:p>
        </w:tc>
        <w:tc>
          <w:tcPr>
            <w:tcW w:w="5669" w:type="dxa"/>
            <w:noWrap/>
            <w:hideMark/>
          </w:tcPr>
          <w:p w14:paraId="4D84E006" w14:textId="77777777" w:rsidR="00562D67" w:rsidRPr="00CF6681"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rPr>
              <w:t>Fujian Agriculture and Forestry University</w:t>
            </w:r>
          </w:p>
        </w:tc>
        <w:tc>
          <w:tcPr>
            <w:tcW w:w="1247" w:type="dxa"/>
          </w:tcPr>
          <w:p w14:paraId="7D9316E0"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China</w:t>
            </w:r>
          </w:p>
        </w:tc>
        <w:tc>
          <w:tcPr>
            <w:tcW w:w="1701" w:type="dxa"/>
            <w:noWrap/>
            <w:hideMark/>
          </w:tcPr>
          <w:p w14:paraId="0EE18145" w14:textId="77777777" w:rsidR="00562D67" w:rsidRPr="00CF6681"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F6681">
              <w:rPr>
                <w:rFonts w:ascii="Arial" w:hAnsi="Arial" w:cs="Arial"/>
                <w:color w:val="000000"/>
              </w:rPr>
              <w:t>2</w:t>
            </w:r>
          </w:p>
        </w:tc>
      </w:tr>
      <w:tr w:rsidR="00562D67" w:rsidRPr="00CF6681" w14:paraId="1E83909B"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noWrap/>
            <w:hideMark/>
          </w:tcPr>
          <w:p w14:paraId="48D18AF6" w14:textId="77777777" w:rsidR="00562D67" w:rsidRPr="00CF0A6B" w:rsidRDefault="00562D67" w:rsidP="00C315C7">
            <w:pPr>
              <w:jc w:val="center"/>
              <w:rPr>
                <w:rFonts w:ascii="Arial" w:hAnsi="Arial" w:cs="Arial"/>
                <w:b w:val="0"/>
                <w:bCs w:val="0"/>
                <w:color w:val="000000" w:themeColor="text1"/>
              </w:rPr>
            </w:pPr>
            <w:r w:rsidRPr="00CF0A6B">
              <w:rPr>
                <w:rFonts w:ascii="Arial" w:hAnsi="Arial" w:cs="Arial"/>
                <w:b w:val="0"/>
                <w:bCs w:val="0"/>
                <w:color w:val="000000" w:themeColor="text1"/>
              </w:rPr>
              <w:t>15</w:t>
            </w:r>
          </w:p>
        </w:tc>
        <w:tc>
          <w:tcPr>
            <w:tcW w:w="5669" w:type="dxa"/>
            <w:noWrap/>
            <w:hideMark/>
          </w:tcPr>
          <w:p w14:paraId="29CCD2EA" w14:textId="77777777" w:rsidR="00562D67" w:rsidRPr="00CF6681"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00CF6681">
              <w:rPr>
                <w:rFonts w:ascii="Arial" w:hAnsi="Arial" w:cs="Arial"/>
                <w:color w:val="000000"/>
              </w:rPr>
              <w:t>Universidade</w:t>
            </w:r>
            <w:proofErr w:type="spellEnd"/>
            <w:r w:rsidRPr="00CF6681">
              <w:rPr>
                <w:rFonts w:ascii="Arial" w:hAnsi="Arial" w:cs="Arial"/>
                <w:color w:val="000000"/>
              </w:rPr>
              <w:t xml:space="preserve"> Federal de Mato Grosso do Sul</w:t>
            </w:r>
          </w:p>
        </w:tc>
        <w:tc>
          <w:tcPr>
            <w:tcW w:w="1247" w:type="dxa"/>
          </w:tcPr>
          <w:p w14:paraId="31C422CA"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1701" w:type="dxa"/>
            <w:noWrap/>
            <w:hideMark/>
          </w:tcPr>
          <w:p w14:paraId="4C7779AC" w14:textId="77777777" w:rsidR="00562D67" w:rsidRPr="00CF6681"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F6681">
              <w:rPr>
                <w:rFonts w:ascii="Arial" w:hAnsi="Arial" w:cs="Arial"/>
                <w:color w:val="000000"/>
              </w:rPr>
              <w:t>2</w:t>
            </w:r>
          </w:p>
        </w:tc>
      </w:tr>
    </w:tbl>
    <w:p w14:paraId="384F4AF9" w14:textId="77777777" w:rsidR="00562D67" w:rsidRPr="00CF6681" w:rsidRDefault="00562D67" w:rsidP="00562D67">
      <w:pPr>
        <w:rPr>
          <w:rFonts w:ascii="Arial" w:hAnsi="Arial" w:cs="Arial"/>
          <w:b/>
          <w:bCs/>
          <w:color w:val="EE0000"/>
        </w:rPr>
      </w:pPr>
    </w:p>
    <w:p w14:paraId="54FC02EE" w14:textId="77777777" w:rsidR="00562D67" w:rsidRPr="00B32BF9" w:rsidRDefault="00562D67" w:rsidP="00562D67">
      <w:pPr>
        <w:rPr>
          <w:rFonts w:ascii="Arial" w:hAnsi="Arial" w:cs="Arial"/>
          <w:b/>
          <w:bCs/>
          <w:sz w:val="24"/>
          <w:szCs w:val="24"/>
        </w:rPr>
      </w:pPr>
      <w:r w:rsidRPr="00B32BF9">
        <w:rPr>
          <w:rFonts w:ascii="Arial" w:hAnsi="Arial" w:cs="Arial"/>
          <w:b/>
          <w:bCs/>
          <w:sz w:val="24"/>
          <w:szCs w:val="24"/>
        </w:rPr>
        <w:t>Document by Countries</w:t>
      </w:r>
    </w:p>
    <w:p w14:paraId="63094172" w14:textId="77777777" w:rsidR="00562D67" w:rsidRPr="003656AD" w:rsidRDefault="00562D67" w:rsidP="00562D67">
      <w:pPr>
        <w:rPr>
          <w:rFonts w:ascii="Arial" w:hAnsi="Arial" w:cs="Arial"/>
          <w:b/>
          <w:bCs/>
        </w:rPr>
      </w:pPr>
    </w:p>
    <w:p w14:paraId="75209C36" w14:textId="77777777" w:rsidR="00562D67" w:rsidRPr="00034088" w:rsidRDefault="00562D67" w:rsidP="00562D67">
      <w:pPr>
        <w:jc w:val="both"/>
        <w:rPr>
          <w:sz w:val="24"/>
          <w:szCs w:val="24"/>
        </w:rPr>
      </w:pPr>
      <w:r w:rsidRPr="00034088">
        <w:rPr>
          <w:sz w:val="24"/>
          <w:szCs w:val="24"/>
        </w:rPr>
        <w:t>Table 5 presents the top 20 countries contributing to publications related to biological assets, showing a highly uneven distribution of research output across nations. Brazil clearly dominates the field with 43 publications, far better than all other countries. This leading position reflects Brazil’s strong agricultural and forestry sectors, as well as sustained academic interest in accounting and valuation issues related to biological assets. The Czech Republic follows at a distant second with nine publications, while the United States contributes five studies, indicating moderate but consistent research engagement in these countries.</w:t>
      </w:r>
    </w:p>
    <w:p w14:paraId="7F15AFBC" w14:textId="77777777" w:rsidR="00562D67" w:rsidRPr="00034088" w:rsidRDefault="00562D67" w:rsidP="00562D67">
      <w:pPr>
        <w:jc w:val="both"/>
        <w:rPr>
          <w:sz w:val="24"/>
          <w:szCs w:val="24"/>
        </w:rPr>
      </w:pPr>
    </w:p>
    <w:p w14:paraId="7E03C3B1" w14:textId="77777777" w:rsidR="00562D67" w:rsidRPr="00034088" w:rsidRDefault="00562D67" w:rsidP="00562D67">
      <w:pPr>
        <w:jc w:val="both"/>
        <w:rPr>
          <w:sz w:val="24"/>
          <w:szCs w:val="24"/>
        </w:rPr>
      </w:pPr>
      <w:r w:rsidRPr="00034088">
        <w:rPr>
          <w:sz w:val="24"/>
          <w:szCs w:val="24"/>
        </w:rPr>
        <w:t>Other countries demonstrate lower yet meaningful levels of contribution. Malaysia, Romania, and Spain each recorded four publications, suggesting emerging research interest within both developing and developed economies. Countries such as Ecuador and Portugal contributed three publications each, meeting the threshold for notable research activity. The remaining countries, including China, Indonesia, Latvia, the Russian Federation, Slovakia, and the United Kingdom, recorded two publications, reflecting more limited involvement. Overall, the findings suggest that biological asset research is concentrated in a small number of countries, with gradual expansion across diverse regions.</w:t>
      </w:r>
    </w:p>
    <w:p w14:paraId="71775C00" w14:textId="77777777" w:rsidR="00562D67" w:rsidRDefault="00562D67" w:rsidP="00562D67">
      <w:pPr>
        <w:rPr>
          <w:rFonts w:ascii="Arial" w:hAnsi="Arial" w:cs="Arial"/>
          <w:b/>
          <w:bCs/>
          <w:color w:val="EE0000"/>
        </w:rPr>
      </w:pPr>
    </w:p>
    <w:p w14:paraId="4B531396" w14:textId="77777777" w:rsidR="00442997" w:rsidRPr="00DD2E41" w:rsidRDefault="00442997" w:rsidP="00562D67">
      <w:pPr>
        <w:rPr>
          <w:rFonts w:ascii="Arial" w:hAnsi="Arial" w:cs="Arial"/>
          <w:b/>
          <w:bCs/>
          <w:color w:val="EE0000"/>
        </w:rPr>
      </w:pPr>
    </w:p>
    <w:p w14:paraId="0B117233" w14:textId="77777777" w:rsidR="00562D67" w:rsidRPr="004F04BA" w:rsidRDefault="00562D67" w:rsidP="00562D67">
      <w:pPr>
        <w:rPr>
          <w:rFonts w:ascii="Arial" w:hAnsi="Arial" w:cs="Arial"/>
          <w:sz w:val="24"/>
          <w:szCs w:val="24"/>
        </w:rPr>
      </w:pPr>
      <w:r w:rsidRPr="004F04BA">
        <w:rPr>
          <w:rFonts w:ascii="Arial" w:hAnsi="Arial" w:cs="Arial"/>
          <w:b/>
          <w:bCs/>
          <w:sz w:val="24"/>
          <w:szCs w:val="24"/>
        </w:rPr>
        <w:t>Table 5:</w:t>
      </w:r>
      <w:r w:rsidRPr="004F04BA">
        <w:rPr>
          <w:rFonts w:ascii="Arial" w:hAnsi="Arial" w:cs="Arial"/>
          <w:sz w:val="24"/>
          <w:szCs w:val="24"/>
        </w:rPr>
        <w:t xml:space="preserve"> Top 20 countries which have publications related to biological assets</w:t>
      </w:r>
    </w:p>
    <w:p w14:paraId="3756CE4B" w14:textId="77777777" w:rsidR="00562D67" w:rsidRPr="00DD2E41" w:rsidRDefault="00562D67" w:rsidP="00562D67">
      <w:pPr>
        <w:rPr>
          <w:rFonts w:ascii="Arial" w:hAnsi="Arial" w:cs="Arial"/>
          <w:color w:val="EE0000"/>
        </w:rPr>
      </w:pPr>
    </w:p>
    <w:tbl>
      <w:tblPr>
        <w:tblStyle w:val="GridTable4-Accent4"/>
        <w:tblW w:w="6630" w:type="dxa"/>
        <w:tblLook w:val="04A0" w:firstRow="1" w:lastRow="0" w:firstColumn="1" w:lastColumn="0" w:noHBand="0" w:noVBand="1"/>
      </w:tblPr>
      <w:tblGrid>
        <w:gridCol w:w="960"/>
        <w:gridCol w:w="2835"/>
        <w:gridCol w:w="2835"/>
      </w:tblGrid>
      <w:tr w:rsidR="00562D67" w:rsidRPr="00DD2E41" w14:paraId="4DE11107" w14:textId="77777777" w:rsidTr="0035772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34DCD4" w14:textId="77777777" w:rsidR="00562D67" w:rsidRPr="00304A88" w:rsidRDefault="00562D67" w:rsidP="00C315C7">
            <w:pPr>
              <w:jc w:val="center"/>
              <w:rPr>
                <w:rFonts w:ascii="Arial" w:hAnsi="Arial" w:cs="Arial"/>
                <w:color w:val="000000" w:themeColor="text1"/>
              </w:rPr>
            </w:pPr>
            <w:r w:rsidRPr="00304A88">
              <w:rPr>
                <w:rFonts w:ascii="Arial" w:hAnsi="Arial" w:cs="Arial"/>
                <w:color w:val="000000" w:themeColor="text1"/>
              </w:rPr>
              <w:t>No.</w:t>
            </w:r>
          </w:p>
        </w:tc>
        <w:tc>
          <w:tcPr>
            <w:tcW w:w="2835" w:type="dxa"/>
            <w:noWrap/>
            <w:hideMark/>
          </w:tcPr>
          <w:p w14:paraId="3F0872BA" w14:textId="77777777" w:rsidR="00562D67" w:rsidRPr="00304A88"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304A88">
              <w:rPr>
                <w:rFonts w:ascii="Arial" w:hAnsi="Arial" w:cs="Arial"/>
                <w:color w:val="000000" w:themeColor="text1"/>
              </w:rPr>
              <w:t>Country</w:t>
            </w:r>
          </w:p>
        </w:tc>
        <w:tc>
          <w:tcPr>
            <w:tcW w:w="2835" w:type="dxa"/>
            <w:noWrap/>
            <w:hideMark/>
          </w:tcPr>
          <w:p w14:paraId="42262EE0" w14:textId="77777777" w:rsidR="00562D67" w:rsidRPr="00304A88"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304A88">
              <w:rPr>
                <w:rFonts w:ascii="Arial" w:hAnsi="Arial" w:cs="Arial"/>
                <w:color w:val="000000" w:themeColor="text1"/>
              </w:rPr>
              <w:t>Number of Publications</w:t>
            </w:r>
          </w:p>
        </w:tc>
      </w:tr>
      <w:tr w:rsidR="00562D67" w:rsidRPr="00DD2E41" w14:paraId="1C27D5E7"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572896"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w:t>
            </w:r>
          </w:p>
        </w:tc>
        <w:tc>
          <w:tcPr>
            <w:tcW w:w="2835" w:type="dxa"/>
            <w:noWrap/>
          </w:tcPr>
          <w:p w14:paraId="00BCE3AE"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Brazil</w:t>
            </w:r>
          </w:p>
        </w:tc>
        <w:tc>
          <w:tcPr>
            <w:tcW w:w="2835" w:type="dxa"/>
            <w:noWrap/>
          </w:tcPr>
          <w:p w14:paraId="69772DE0"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43</w:t>
            </w:r>
          </w:p>
        </w:tc>
      </w:tr>
      <w:tr w:rsidR="00562D67" w:rsidRPr="00DD2E41" w14:paraId="7C001AC7"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45B099"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2</w:t>
            </w:r>
          </w:p>
        </w:tc>
        <w:tc>
          <w:tcPr>
            <w:tcW w:w="2835" w:type="dxa"/>
            <w:noWrap/>
          </w:tcPr>
          <w:p w14:paraId="6F94A177"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Czech Republic</w:t>
            </w:r>
          </w:p>
        </w:tc>
        <w:tc>
          <w:tcPr>
            <w:tcW w:w="2835" w:type="dxa"/>
            <w:noWrap/>
          </w:tcPr>
          <w:p w14:paraId="340341CD"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9</w:t>
            </w:r>
          </w:p>
        </w:tc>
      </w:tr>
      <w:tr w:rsidR="00562D67" w:rsidRPr="00DD2E41" w14:paraId="695D9BE7"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10452C"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3</w:t>
            </w:r>
          </w:p>
        </w:tc>
        <w:tc>
          <w:tcPr>
            <w:tcW w:w="2835" w:type="dxa"/>
            <w:noWrap/>
          </w:tcPr>
          <w:p w14:paraId="2A3A6CA5"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United States</w:t>
            </w:r>
          </w:p>
        </w:tc>
        <w:tc>
          <w:tcPr>
            <w:tcW w:w="2835" w:type="dxa"/>
            <w:noWrap/>
          </w:tcPr>
          <w:p w14:paraId="1E66D09B"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5</w:t>
            </w:r>
          </w:p>
        </w:tc>
      </w:tr>
      <w:tr w:rsidR="00562D67" w:rsidRPr="00DD2E41" w14:paraId="21761122"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32E5B4"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4</w:t>
            </w:r>
          </w:p>
        </w:tc>
        <w:tc>
          <w:tcPr>
            <w:tcW w:w="2835" w:type="dxa"/>
            <w:noWrap/>
          </w:tcPr>
          <w:p w14:paraId="06A2FCBE"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Malaysia</w:t>
            </w:r>
          </w:p>
        </w:tc>
        <w:tc>
          <w:tcPr>
            <w:tcW w:w="2835" w:type="dxa"/>
            <w:noWrap/>
          </w:tcPr>
          <w:p w14:paraId="35C6AA0A"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w:t>
            </w:r>
          </w:p>
        </w:tc>
      </w:tr>
      <w:tr w:rsidR="00562D67" w:rsidRPr="00DD2E41" w14:paraId="67BA528F"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7C147A"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5</w:t>
            </w:r>
          </w:p>
        </w:tc>
        <w:tc>
          <w:tcPr>
            <w:tcW w:w="2835" w:type="dxa"/>
            <w:noWrap/>
          </w:tcPr>
          <w:p w14:paraId="382A5EF8"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Romania</w:t>
            </w:r>
          </w:p>
        </w:tc>
        <w:tc>
          <w:tcPr>
            <w:tcW w:w="2835" w:type="dxa"/>
            <w:noWrap/>
          </w:tcPr>
          <w:p w14:paraId="4C8A10FB"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w:t>
            </w:r>
          </w:p>
        </w:tc>
      </w:tr>
      <w:tr w:rsidR="00562D67" w:rsidRPr="00DD2E41" w14:paraId="3280234B"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FE2EEF"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6</w:t>
            </w:r>
          </w:p>
        </w:tc>
        <w:tc>
          <w:tcPr>
            <w:tcW w:w="2835" w:type="dxa"/>
            <w:noWrap/>
          </w:tcPr>
          <w:p w14:paraId="3F5B71BF"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Spain</w:t>
            </w:r>
          </w:p>
        </w:tc>
        <w:tc>
          <w:tcPr>
            <w:tcW w:w="2835" w:type="dxa"/>
            <w:noWrap/>
          </w:tcPr>
          <w:p w14:paraId="32278E05"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w:t>
            </w:r>
          </w:p>
        </w:tc>
      </w:tr>
      <w:tr w:rsidR="00562D67" w:rsidRPr="00DD2E41" w14:paraId="317CFEF9"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D6C70A"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7</w:t>
            </w:r>
          </w:p>
        </w:tc>
        <w:tc>
          <w:tcPr>
            <w:tcW w:w="2835" w:type="dxa"/>
            <w:noWrap/>
          </w:tcPr>
          <w:p w14:paraId="629EBFD2"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Ecuador</w:t>
            </w:r>
          </w:p>
        </w:tc>
        <w:tc>
          <w:tcPr>
            <w:tcW w:w="2835" w:type="dxa"/>
            <w:noWrap/>
          </w:tcPr>
          <w:p w14:paraId="7F31B86C"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r>
      <w:tr w:rsidR="00562D67" w:rsidRPr="00DD2E41" w14:paraId="14FF00D9"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4E5420"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8</w:t>
            </w:r>
          </w:p>
        </w:tc>
        <w:tc>
          <w:tcPr>
            <w:tcW w:w="2835" w:type="dxa"/>
            <w:noWrap/>
          </w:tcPr>
          <w:p w14:paraId="0EFE15E9"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Portugal</w:t>
            </w:r>
          </w:p>
        </w:tc>
        <w:tc>
          <w:tcPr>
            <w:tcW w:w="2835" w:type="dxa"/>
            <w:noWrap/>
          </w:tcPr>
          <w:p w14:paraId="449B4DA8"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r>
      <w:tr w:rsidR="00562D67" w:rsidRPr="00DD2E41" w14:paraId="0700DCA2"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D03E01"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9</w:t>
            </w:r>
          </w:p>
        </w:tc>
        <w:tc>
          <w:tcPr>
            <w:tcW w:w="2835" w:type="dxa"/>
            <w:noWrap/>
          </w:tcPr>
          <w:p w14:paraId="70E7768A"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China</w:t>
            </w:r>
          </w:p>
        </w:tc>
        <w:tc>
          <w:tcPr>
            <w:tcW w:w="2835" w:type="dxa"/>
            <w:noWrap/>
          </w:tcPr>
          <w:p w14:paraId="7ABB8597"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r>
      <w:tr w:rsidR="00562D67" w:rsidRPr="00DD2E41" w14:paraId="0679AA9E"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1CE02F"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10</w:t>
            </w:r>
          </w:p>
        </w:tc>
        <w:tc>
          <w:tcPr>
            <w:tcW w:w="2835" w:type="dxa"/>
            <w:noWrap/>
          </w:tcPr>
          <w:p w14:paraId="39D140CB"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Indonesia</w:t>
            </w:r>
          </w:p>
        </w:tc>
        <w:tc>
          <w:tcPr>
            <w:tcW w:w="2835" w:type="dxa"/>
            <w:noWrap/>
          </w:tcPr>
          <w:p w14:paraId="2BAF7DCB"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r>
      <w:tr w:rsidR="00562D67" w:rsidRPr="00DD2E41" w14:paraId="2D5D9A9A"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932906"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11</w:t>
            </w:r>
          </w:p>
        </w:tc>
        <w:tc>
          <w:tcPr>
            <w:tcW w:w="2835" w:type="dxa"/>
            <w:noWrap/>
          </w:tcPr>
          <w:p w14:paraId="1C997272"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Latvia</w:t>
            </w:r>
          </w:p>
        </w:tc>
        <w:tc>
          <w:tcPr>
            <w:tcW w:w="2835" w:type="dxa"/>
            <w:noWrap/>
          </w:tcPr>
          <w:p w14:paraId="45C839C8"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r>
      <w:tr w:rsidR="00562D67" w:rsidRPr="00DD2E41" w14:paraId="7CCA8D8C"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00E3D4"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12</w:t>
            </w:r>
          </w:p>
        </w:tc>
        <w:tc>
          <w:tcPr>
            <w:tcW w:w="2835" w:type="dxa"/>
            <w:noWrap/>
          </w:tcPr>
          <w:p w14:paraId="6C312CB5"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Russian Federation</w:t>
            </w:r>
          </w:p>
        </w:tc>
        <w:tc>
          <w:tcPr>
            <w:tcW w:w="2835" w:type="dxa"/>
            <w:noWrap/>
          </w:tcPr>
          <w:p w14:paraId="358CFCC9"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r>
      <w:tr w:rsidR="00562D67" w:rsidRPr="00DD2E41" w14:paraId="040DC05C"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A52E99"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13</w:t>
            </w:r>
          </w:p>
        </w:tc>
        <w:tc>
          <w:tcPr>
            <w:tcW w:w="2835" w:type="dxa"/>
            <w:noWrap/>
          </w:tcPr>
          <w:p w14:paraId="38F94513"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Pr>
                <w:rFonts w:ascii="Arial" w:hAnsi="Arial" w:cs="Arial"/>
                <w:color w:val="000000" w:themeColor="text1"/>
              </w:rPr>
              <w:t>Sebvia</w:t>
            </w:r>
            <w:proofErr w:type="spellEnd"/>
          </w:p>
        </w:tc>
        <w:tc>
          <w:tcPr>
            <w:tcW w:w="2835" w:type="dxa"/>
            <w:noWrap/>
          </w:tcPr>
          <w:p w14:paraId="4DDBCB29"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r>
      <w:tr w:rsidR="00562D67" w:rsidRPr="00DD2E41" w14:paraId="14604B2D"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994272"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14</w:t>
            </w:r>
          </w:p>
        </w:tc>
        <w:tc>
          <w:tcPr>
            <w:tcW w:w="2835" w:type="dxa"/>
            <w:noWrap/>
          </w:tcPr>
          <w:p w14:paraId="7896CBA7"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Slovakia</w:t>
            </w:r>
          </w:p>
        </w:tc>
        <w:tc>
          <w:tcPr>
            <w:tcW w:w="2835" w:type="dxa"/>
            <w:noWrap/>
          </w:tcPr>
          <w:p w14:paraId="4C0FC75E"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r>
      <w:tr w:rsidR="00562D67" w:rsidRPr="00DD2E41" w14:paraId="2875F9F4"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30B1A6"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15</w:t>
            </w:r>
          </w:p>
        </w:tc>
        <w:tc>
          <w:tcPr>
            <w:tcW w:w="2835" w:type="dxa"/>
            <w:noWrap/>
          </w:tcPr>
          <w:p w14:paraId="601BFEE6"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United Kingdoms</w:t>
            </w:r>
          </w:p>
        </w:tc>
        <w:tc>
          <w:tcPr>
            <w:tcW w:w="2835" w:type="dxa"/>
            <w:noWrap/>
          </w:tcPr>
          <w:p w14:paraId="2D0EB657"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r>
      <w:tr w:rsidR="00562D67" w:rsidRPr="00DD2E41" w14:paraId="23AC39DF"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5102D105"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16</w:t>
            </w:r>
          </w:p>
        </w:tc>
        <w:tc>
          <w:tcPr>
            <w:tcW w:w="2835" w:type="dxa"/>
            <w:noWrap/>
          </w:tcPr>
          <w:p w14:paraId="74197C50"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Australia</w:t>
            </w:r>
          </w:p>
        </w:tc>
        <w:tc>
          <w:tcPr>
            <w:tcW w:w="2835" w:type="dxa"/>
            <w:noWrap/>
          </w:tcPr>
          <w:p w14:paraId="10C2FE8E"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3BD21956"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34E0E7"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17</w:t>
            </w:r>
          </w:p>
        </w:tc>
        <w:tc>
          <w:tcPr>
            <w:tcW w:w="2835" w:type="dxa"/>
            <w:noWrap/>
          </w:tcPr>
          <w:p w14:paraId="04A4BCF0" w14:textId="77777777" w:rsidR="00562D67" w:rsidRPr="00304A88"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Austria</w:t>
            </w:r>
          </w:p>
        </w:tc>
        <w:tc>
          <w:tcPr>
            <w:tcW w:w="2835" w:type="dxa"/>
            <w:noWrap/>
          </w:tcPr>
          <w:p w14:paraId="3EF0ED73" w14:textId="77777777" w:rsidR="00562D67" w:rsidRPr="00304A88"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1FFF02E6"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0622D9CD" w14:textId="77777777" w:rsidR="00562D67" w:rsidRPr="00304A88" w:rsidRDefault="00562D67" w:rsidP="00C315C7">
            <w:pPr>
              <w:jc w:val="center"/>
              <w:rPr>
                <w:rFonts w:ascii="Arial" w:hAnsi="Arial" w:cs="Arial"/>
                <w:b w:val="0"/>
                <w:bCs w:val="0"/>
                <w:color w:val="000000" w:themeColor="text1"/>
              </w:rPr>
            </w:pPr>
            <w:r w:rsidRPr="00304A88">
              <w:rPr>
                <w:rFonts w:ascii="Arial" w:hAnsi="Arial" w:cs="Arial"/>
                <w:b w:val="0"/>
                <w:bCs w:val="0"/>
                <w:color w:val="000000" w:themeColor="text1"/>
              </w:rPr>
              <w:t>18</w:t>
            </w:r>
          </w:p>
        </w:tc>
        <w:tc>
          <w:tcPr>
            <w:tcW w:w="2835" w:type="dxa"/>
            <w:noWrap/>
          </w:tcPr>
          <w:p w14:paraId="020A53FC" w14:textId="77777777" w:rsidR="00562D67" w:rsidRPr="00304A88"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Bosnia and Herzegovina</w:t>
            </w:r>
          </w:p>
        </w:tc>
        <w:tc>
          <w:tcPr>
            <w:tcW w:w="2835" w:type="dxa"/>
            <w:noWrap/>
          </w:tcPr>
          <w:p w14:paraId="61449B19" w14:textId="77777777" w:rsidR="00562D67" w:rsidRPr="00304A88"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28F2A576"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tcPr>
          <w:p w14:paraId="151F02DB" w14:textId="77777777" w:rsidR="00562D67" w:rsidRPr="008F38B6" w:rsidRDefault="00562D67" w:rsidP="00C315C7">
            <w:pPr>
              <w:jc w:val="center"/>
              <w:rPr>
                <w:rFonts w:ascii="Arial" w:hAnsi="Arial" w:cs="Arial"/>
                <w:b w:val="0"/>
                <w:bCs w:val="0"/>
                <w:color w:val="000000" w:themeColor="text1"/>
              </w:rPr>
            </w:pPr>
            <w:r w:rsidRPr="008F38B6">
              <w:rPr>
                <w:rFonts w:ascii="Arial" w:hAnsi="Arial" w:cs="Arial"/>
                <w:b w:val="0"/>
                <w:bCs w:val="0"/>
                <w:color w:val="000000" w:themeColor="text1"/>
              </w:rPr>
              <w:t>19</w:t>
            </w:r>
          </w:p>
        </w:tc>
        <w:tc>
          <w:tcPr>
            <w:tcW w:w="2835" w:type="dxa"/>
            <w:noWrap/>
          </w:tcPr>
          <w:p w14:paraId="61BD421B" w14:textId="77777777" w:rsidR="00562D67"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Chile</w:t>
            </w:r>
          </w:p>
        </w:tc>
        <w:tc>
          <w:tcPr>
            <w:tcW w:w="2835" w:type="dxa"/>
            <w:noWrap/>
          </w:tcPr>
          <w:p w14:paraId="349DE8A4" w14:textId="77777777" w:rsidR="00562D67"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r w:rsidR="00562D67" w:rsidRPr="00DD2E41" w14:paraId="1C854676"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tcPr>
          <w:p w14:paraId="7FC25716" w14:textId="77777777" w:rsidR="00562D67" w:rsidRPr="008F38B6" w:rsidRDefault="00562D67" w:rsidP="00C315C7">
            <w:pPr>
              <w:jc w:val="center"/>
              <w:rPr>
                <w:rFonts w:ascii="Arial" w:hAnsi="Arial" w:cs="Arial"/>
                <w:b w:val="0"/>
                <w:bCs w:val="0"/>
                <w:color w:val="000000" w:themeColor="text1"/>
              </w:rPr>
            </w:pPr>
            <w:r w:rsidRPr="008F38B6">
              <w:rPr>
                <w:rFonts w:ascii="Arial" w:hAnsi="Arial" w:cs="Arial"/>
                <w:b w:val="0"/>
                <w:bCs w:val="0"/>
                <w:color w:val="000000" w:themeColor="text1"/>
              </w:rPr>
              <w:t>20</w:t>
            </w:r>
          </w:p>
        </w:tc>
        <w:tc>
          <w:tcPr>
            <w:tcW w:w="2835" w:type="dxa"/>
            <w:noWrap/>
          </w:tcPr>
          <w:p w14:paraId="5D93E22C" w14:textId="77777777" w:rsidR="00562D67"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Croatia</w:t>
            </w:r>
          </w:p>
        </w:tc>
        <w:tc>
          <w:tcPr>
            <w:tcW w:w="2835" w:type="dxa"/>
            <w:noWrap/>
          </w:tcPr>
          <w:p w14:paraId="0D58A381" w14:textId="77777777" w:rsidR="00562D67"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r>
    </w:tbl>
    <w:p w14:paraId="3FECD1FE" w14:textId="77777777" w:rsidR="00562D67" w:rsidRDefault="00562D67" w:rsidP="00562D67">
      <w:pPr>
        <w:rPr>
          <w:rFonts w:ascii="Arial" w:hAnsi="Arial" w:cs="Arial"/>
          <w:b/>
          <w:bCs/>
          <w:color w:val="EE0000"/>
        </w:rPr>
      </w:pPr>
    </w:p>
    <w:p w14:paraId="7B40CECB" w14:textId="77777777" w:rsidR="00562D67" w:rsidRPr="00B32BF9" w:rsidRDefault="00562D67" w:rsidP="00562D67">
      <w:pPr>
        <w:rPr>
          <w:rFonts w:ascii="Arial" w:hAnsi="Arial" w:cs="Arial"/>
          <w:b/>
          <w:bCs/>
          <w:sz w:val="24"/>
          <w:szCs w:val="24"/>
        </w:rPr>
      </w:pPr>
      <w:r w:rsidRPr="00B32BF9">
        <w:rPr>
          <w:rFonts w:ascii="Arial" w:hAnsi="Arial" w:cs="Arial"/>
          <w:b/>
          <w:bCs/>
          <w:sz w:val="24"/>
          <w:szCs w:val="24"/>
        </w:rPr>
        <w:t>Document by Type</w:t>
      </w:r>
    </w:p>
    <w:p w14:paraId="004A3391" w14:textId="77777777" w:rsidR="00562D67" w:rsidRDefault="00562D67" w:rsidP="00562D67">
      <w:pPr>
        <w:rPr>
          <w:rFonts w:ascii="Arial" w:hAnsi="Arial" w:cs="Arial"/>
          <w:b/>
          <w:bCs/>
          <w:color w:val="EE0000"/>
        </w:rPr>
      </w:pPr>
    </w:p>
    <w:p w14:paraId="39A8F1DB" w14:textId="77777777" w:rsidR="00562D67" w:rsidRPr="00034088" w:rsidRDefault="00562D67" w:rsidP="00562D67">
      <w:pPr>
        <w:jc w:val="both"/>
        <w:rPr>
          <w:sz w:val="24"/>
          <w:szCs w:val="24"/>
        </w:rPr>
      </w:pPr>
      <w:r w:rsidRPr="00034088">
        <w:rPr>
          <w:sz w:val="24"/>
          <w:szCs w:val="24"/>
        </w:rPr>
        <w:t>Table 6 illustrates the distribution of publications on biological assets according to document type. The results indicate that journal articles tremendously constitute the main form of scholarly output, with 88 publications recorded. This pattern suggests that researchers in this field mainly rely on journal outlets to present detailed realistic findings and theoretical discussions related to biological asset accounting and reporting.</w:t>
      </w:r>
    </w:p>
    <w:p w14:paraId="21533089" w14:textId="77777777" w:rsidR="00562D67" w:rsidRPr="00034088" w:rsidRDefault="00562D67" w:rsidP="00562D67">
      <w:pPr>
        <w:jc w:val="both"/>
        <w:rPr>
          <w:sz w:val="24"/>
          <w:szCs w:val="24"/>
        </w:rPr>
      </w:pPr>
    </w:p>
    <w:p w14:paraId="0F79AEB2" w14:textId="77777777" w:rsidR="00562D67" w:rsidRPr="00034088" w:rsidRDefault="00562D67" w:rsidP="00562D67">
      <w:pPr>
        <w:jc w:val="both"/>
        <w:rPr>
          <w:sz w:val="24"/>
          <w:szCs w:val="24"/>
        </w:rPr>
      </w:pPr>
      <w:r w:rsidRPr="00034088">
        <w:rPr>
          <w:sz w:val="24"/>
          <w:szCs w:val="24"/>
        </w:rPr>
        <w:lastRenderedPageBreak/>
        <w:t>By comparison, alternative publication formats appear far less frequently. Both conference papers and book chapters account for only three publications each, while reviewing articles are limited to a single study. The small number of non-article documents implies limited emphasis on preliminary findings or literature synthesis. Overall, the evidence points to a research field that prioritizes in-depth journal publications over other dissemination channels.</w:t>
      </w:r>
    </w:p>
    <w:p w14:paraId="4A2F9B9C" w14:textId="77777777" w:rsidR="00562D67" w:rsidRPr="00034088" w:rsidRDefault="00562D67" w:rsidP="00562D67">
      <w:pPr>
        <w:rPr>
          <w:rFonts w:ascii="Arial" w:hAnsi="Arial" w:cs="Arial"/>
          <w:b/>
          <w:bCs/>
          <w:color w:val="EE0000"/>
          <w:sz w:val="24"/>
          <w:szCs w:val="24"/>
        </w:rPr>
      </w:pPr>
    </w:p>
    <w:p w14:paraId="5ABC4827" w14:textId="77777777" w:rsidR="00442997" w:rsidRDefault="00442997" w:rsidP="00562D67">
      <w:pPr>
        <w:rPr>
          <w:rFonts w:ascii="Arial" w:hAnsi="Arial" w:cs="Arial"/>
          <w:b/>
          <w:bCs/>
          <w:sz w:val="24"/>
          <w:szCs w:val="24"/>
        </w:rPr>
      </w:pPr>
    </w:p>
    <w:p w14:paraId="1F718B50" w14:textId="4D233530" w:rsidR="00562D67" w:rsidRPr="004F04BA" w:rsidRDefault="00562D67" w:rsidP="00562D67">
      <w:pPr>
        <w:rPr>
          <w:rFonts w:ascii="Arial" w:hAnsi="Arial" w:cs="Arial"/>
          <w:sz w:val="24"/>
          <w:szCs w:val="24"/>
        </w:rPr>
      </w:pPr>
      <w:r w:rsidRPr="004F04BA">
        <w:rPr>
          <w:rFonts w:ascii="Arial" w:hAnsi="Arial" w:cs="Arial"/>
          <w:b/>
          <w:bCs/>
          <w:sz w:val="24"/>
          <w:szCs w:val="24"/>
        </w:rPr>
        <w:t>Table 6:</w:t>
      </w:r>
      <w:r w:rsidRPr="004F04BA">
        <w:rPr>
          <w:rFonts w:ascii="Arial" w:hAnsi="Arial" w:cs="Arial"/>
          <w:sz w:val="24"/>
          <w:szCs w:val="24"/>
        </w:rPr>
        <w:t xml:space="preserve"> Documents by types of publication related to biological assets</w:t>
      </w:r>
    </w:p>
    <w:p w14:paraId="61FA3528" w14:textId="77777777" w:rsidR="00562D67" w:rsidRPr="00DD2E41" w:rsidRDefault="00562D67" w:rsidP="00562D67">
      <w:pPr>
        <w:rPr>
          <w:rFonts w:ascii="Arial" w:hAnsi="Arial" w:cs="Arial"/>
          <w:color w:val="EE0000"/>
        </w:rPr>
      </w:pPr>
    </w:p>
    <w:tbl>
      <w:tblPr>
        <w:tblStyle w:val="GridTable4-Accent4"/>
        <w:tblW w:w="6745" w:type="dxa"/>
        <w:tblLook w:val="04A0" w:firstRow="1" w:lastRow="0" w:firstColumn="1" w:lastColumn="0" w:noHBand="0" w:noVBand="1"/>
      </w:tblPr>
      <w:tblGrid>
        <w:gridCol w:w="960"/>
        <w:gridCol w:w="2560"/>
        <w:gridCol w:w="3225"/>
      </w:tblGrid>
      <w:tr w:rsidR="00562D67" w:rsidRPr="00DD2E41" w14:paraId="5E14BD1C" w14:textId="77777777" w:rsidTr="0035772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D6291B" w14:textId="77777777" w:rsidR="00562D67" w:rsidRPr="00334604" w:rsidRDefault="00562D67" w:rsidP="00C315C7">
            <w:pPr>
              <w:jc w:val="center"/>
              <w:rPr>
                <w:rFonts w:ascii="Arial" w:hAnsi="Arial" w:cs="Arial"/>
                <w:color w:val="000000" w:themeColor="text1"/>
              </w:rPr>
            </w:pPr>
            <w:r w:rsidRPr="00334604">
              <w:rPr>
                <w:rFonts w:ascii="Arial" w:hAnsi="Arial" w:cs="Arial"/>
                <w:color w:val="000000" w:themeColor="text1"/>
              </w:rPr>
              <w:t>No.</w:t>
            </w:r>
          </w:p>
        </w:tc>
        <w:tc>
          <w:tcPr>
            <w:tcW w:w="2560" w:type="dxa"/>
            <w:noWrap/>
            <w:hideMark/>
          </w:tcPr>
          <w:p w14:paraId="70F3C806" w14:textId="77777777" w:rsidR="00562D67" w:rsidRPr="00334604" w:rsidRDefault="00562D67" w:rsidP="00C315C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334604">
              <w:rPr>
                <w:rFonts w:ascii="Arial" w:hAnsi="Arial" w:cs="Arial"/>
                <w:color w:val="000000" w:themeColor="text1"/>
              </w:rPr>
              <w:t>Document Types</w:t>
            </w:r>
          </w:p>
        </w:tc>
        <w:tc>
          <w:tcPr>
            <w:tcW w:w="3225" w:type="dxa"/>
            <w:noWrap/>
            <w:hideMark/>
          </w:tcPr>
          <w:p w14:paraId="534D7881" w14:textId="77777777" w:rsidR="00562D67" w:rsidRPr="00334604" w:rsidRDefault="00562D67" w:rsidP="00C315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334604">
              <w:rPr>
                <w:rFonts w:ascii="Arial" w:hAnsi="Arial" w:cs="Arial"/>
                <w:color w:val="000000" w:themeColor="text1"/>
              </w:rPr>
              <w:t>Number of Publications</w:t>
            </w:r>
          </w:p>
        </w:tc>
      </w:tr>
      <w:tr w:rsidR="00562D67" w:rsidRPr="00DD2E41" w14:paraId="0B51446C"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A7C99D" w14:textId="77777777" w:rsidR="00562D67" w:rsidRPr="00334604" w:rsidRDefault="00562D67" w:rsidP="00C315C7">
            <w:pPr>
              <w:jc w:val="center"/>
              <w:rPr>
                <w:rFonts w:ascii="Arial" w:hAnsi="Arial" w:cs="Arial"/>
                <w:b w:val="0"/>
                <w:bCs w:val="0"/>
                <w:color w:val="000000" w:themeColor="text1"/>
              </w:rPr>
            </w:pPr>
            <w:r w:rsidRPr="00334604">
              <w:rPr>
                <w:rFonts w:ascii="Arial" w:hAnsi="Arial" w:cs="Arial"/>
                <w:b w:val="0"/>
                <w:bCs w:val="0"/>
                <w:color w:val="000000" w:themeColor="text1"/>
              </w:rPr>
              <w:t>1</w:t>
            </w:r>
          </w:p>
        </w:tc>
        <w:tc>
          <w:tcPr>
            <w:tcW w:w="2560" w:type="dxa"/>
            <w:noWrap/>
            <w:hideMark/>
          </w:tcPr>
          <w:p w14:paraId="2BEE8233" w14:textId="77777777" w:rsidR="00562D67" w:rsidRPr="00334604"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34604">
              <w:rPr>
                <w:rFonts w:ascii="Arial" w:hAnsi="Arial" w:cs="Arial"/>
                <w:color w:val="000000" w:themeColor="text1"/>
              </w:rPr>
              <w:t>Article</w:t>
            </w:r>
          </w:p>
        </w:tc>
        <w:tc>
          <w:tcPr>
            <w:tcW w:w="3225" w:type="dxa"/>
            <w:noWrap/>
            <w:hideMark/>
          </w:tcPr>
          <w:p w14:paraId="7805A329" w14:textId="77777777" w:rsidR="00562D67" w:rsidRPr="00334604"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88</w:t>
            </w:r>
          </w:p>
        </w:tc>
      </w:tr>
      <w:tr w:rsidR="00562D67" w:rsidRPr="00DD2E41" w14:paraId="563105B5"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BAA5B2" w14:textId="77777777" w:rsidR="00562D67" w:rsidRPr="00334604" w:rsidRDefault="00562D67" w:rsidP="00C315C7">
            <w:pPr>
              <w:jc w:val="center"/>
              <w:rPr>
                <w:rFonts w:ascii="Arial" w:hAnsi="Arial" w:cs="Arial"/>
                <w:b w:val="0"/>
                <w:bCs w:val="0"/>
                <w:color w:val="000000" w:themeColor="text1"/>
              </w:rPr>
            </w:pPr>
            <w:r w:rsidRPr="00334604">
              <w:rPr>
                <w:rFonts w:ascii="Arial" w:hAnsi="Arial" w:cs="Arial"/>
                <w:b w:val="0"/>
                <w:bCs w:val="0"/>
                <w:color w:val="000000" w:themeColor="text1"/>
              </w:rPr>
              <w:t>2</w:t>
            </w:r>
          </w:p>
        </w:tc>
        <w:tc>
          <w:tcPr>
            <w:tcW w:w="2560" w:type="dxa"/>
            <w:noWrap/>
            <w:hideMark/>
          </w:tcPr>
          <w:p w14:paraId="5E737BEC" w14:textId="77777777" w:rsidR="00562D67" w:rsidRPr="00334604"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334604">
              <w:rPr>
                <w:rFonts w:ascii="Arial" w:hAnsi="Arial" w:cs="Arial"/>
                <w:color w:val="000000" w:themeColor="text1"/>
              </w:rPr>
              <w:t>Conference Paper</w:t>
            </w:r>
          </w:p>
        </w:tc>
        <w:tc>
          <w:tcPr>
            <w:tcW w:w="3225" w:type="dxa"/>
            <w:noWrap/>
            <w:hideMark/>
          </w:tcPr>
          <w:p w14:paraId="0F65F9E8" w14:textId="77777777" w:rsidR="00562D67" w:rsidRPr="00334604"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r>
      <w:tr w:rsidR="00562D67" w:rsidRPr="00DD2E41" w14:paraId="75FFCCF4" w14:textId="77777777" w:rsidTr="0035772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B4D516" w14:textId="77777777" w:rsidR="00562D67" w:rsidRPr="00334604" w:rsidRDefault="00562D67" w:rsidP="00C315C7">
            <w:pPr>
              <w:jc w:val="center"/>
              <w:rPr>
                <w:rFonts w:ascii="Arial" w:hAnsi="Arial" w:cs="Arial"/>
                <w:b w:val="0"/>
                <w:bCs w:val="0"/>
                <w:color w:val="000000" w:themeColor="text1"/>
              </w:rPr>
            </w:pPr>
            <w:r w:rsidRPr="00334604">
              <w:rPr>
                <w:rFonts w:ascii="Arial" w:hAnsi="Arial" w:cs="Arial"/>
                <w:b w:val="0"/>
                <w:bCs w:val="0"/>
                <w:color w:val="000000" w:themeColor="text1"/>
              </w:rPr>
              <w:t>3</w:t>
            </w:r>
          </w:p>
        </w:tc>
        <w:tc>
          <w:tcPr>
            <w:tcW w:w="2560" w:type="dxa"/>
            <w:noWrap/>
            <w:hideMark/>
          </w:tcPr>
          <w:p w14:paraId="015F68CA" w14:textId="77777777" w:rsidR="00562D67" w:rsidRPr="00334604" w:rsidRDefault="00562D67" w:rsidP="00C315C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34604">
              <w:rPr>
                <w:rFonts w:ascii="Arial" w:hAnsi="Arial" w:cs="Arial"/>
                <w:color w:val="000000" w:themeColor="text1"/>
              </w:rPr>
              <w:t>Book Chapter</w:t>
            </w:r>
          </w:p>
        </w:tc>
        <w:tc>
          <w:tcPr>
            <w:tcW w:w="3225" w:type="dxa"/>
            <w:noWrap/>
            <w:hideMark/>
          </w:tcPr>
          <w:p w14:paraId="4443BEE9" w14:textId="77777777" w:rsidR="00562D67" w:rsidRPr="00334604" w:rsidRDefault="00562D67" w:rsidP="00C315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r>
      <w:tr w:rsidR="00562D67" w:rsidRPr="00DD2E41" w14:paraId="617B1400" w14:textId="77777777" w:rsidTr="00357729">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66AFEA" w14:textId="77777777" w:rsidR="00562D67" w:rsidRPr="00334604" w:rsidRDefault="00562D67" w:rsidP="00C315C7">
            <w:pPr>
              <w:jc w:val="center"/>
              <w:rPr>
                <w:rFonts w:ascii="Arial" w:hAnsi="Arial" w:cs="Arial"/>
                <w:b w:val="0"/>
                <w:bCs w:val="0"/>
                <w:color w:val="000000" w:themeColor="text1"/>
              </w:rPr>
            </w:pPr>
            <w:r w:rsidRPr="00334604">
              <w:rPr>
                <w:rFonts w:ascii="Arial" w:hAnsi="Arial" w:cs="Arial"/>
                <w:b w:val="0"/>
                <w:bCs w:val="0"/>
                <w:color w:val="000000" w:themeColor="text1"/>
              </w:rPr>
              <w:t>4</w:t>
            </w:r>
          </w:p>
        </w:tc>
        <w:tc>
          <w:tcPr>
            <w:tcW w:w="2560" w:type="dxa"/>
            <w:noWrap/>
            <w:hideMark/>
          </w:tcPr>
          <w:p w14:paraId="0B7786D7" w14:textId="77777777" w:rsidR="00562D67" w:rsidRPr="00334604" w:rsidRDefault="00562D67" w:rsidP="00C315C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334604">
              <w:rPr>
                <w:rFonts w:ascii="Arial" w:hAnsi="Arial" w:cs="Arial"/>
                <w:color w:val="000000" w:themeColor="text1"/>
              </w:rPr>
              <w:t>Review</w:t>
            </w:r>
          </w:p>
        </w:tc>
        <w:tc>
          <w:tcPr>
            <w:tcW w:w="3225" w:type="dxa"/>
            <w:noWrap/>
            <w:hideMark/>
          </w:tcPr>
          <w:p w14:paraId="037CB010" w14:textId="77777777" w:rsidR="00562D67" w:rsidRPr="00334604" w:rsidRDefault="00562D67" w:rsidP="00C315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334604">
              <w:rPr>
                <w:rFonts w:ascii="Arial" w:hAnsi="Arial" w:cs="Arial"/>
                <w:color w:val="000000" w:themeColor="text1"/>
              </w:rPr>
              <w:t>1</w:t>
            </w:r>
          </w:p>
        </w:tc>
      </w:tr>
    </w:tbl>
    <w:p w14:paraId="49BB3B10" w14:textId="77777777" w:rsidR="00562D67" w:rsidRDefault="00562D67" w:rsidP="00562D67">
      <w:pPr>
        <w:rPr>
          <w:rFonts w:ascii="Arial" w:hAnsi="Arial" w:cs="Arial"/>
          <w:b/>
          <w:bCs/>
          <w:color w:val="EE0000"/>
        </w:rPr>
      </w:pPr>
    </w:p>
    <w:p w14:paraId="2ED5A057" w14:textId="77777777" w:rsidR="00562D67" w:rsidRDefault="00562D67" w:rsidP="00562D67">
      <w:pPr>
        <w:rPr>
          <w:rFonts w:ascii="Arial" w:hAnsi="Arial" w:cs="Arial"/>
          <w:b/>
          <w:bCs/>
          <w:color w:val="000000" w:themeColor="text1"/>
          <w:sz w:val="24"/>
          <w:szCs w:val="24"/>
        </w:rPr>
      </w:pPr>
    </w:p>
    <w:p w14:paraId="5475070A" w14:textId="77777777" w:rsidR="00562D67" w:rsidRPr="00B32BF9" w:rsidRDefault="00562D67" w:rsidP="00562D67">
      <w:pPr>
        <w:rPr>
          <w:rFonts w:ascii="Arial" w:hAnsi="Arial" w:cs="Arial"/>
          <w:b/>
          <w:bCs/>
          <w:color w:val="000000" w:themeColor="text1"/>
          <w:sz w:val="28"/>
          <w:szCs w:val="28"/>
        </w:rPr>
      </w:pPr>
      <w:r w:rsidRPr="00B32BF9">
        <w:rPr>
          <w:rFonts w:ascii="Arial" w:hAnsi="Arial" w:cs="Arial"/>
          <w:b/>
          <w:bCs/>
          <w:color w:val="000000" w:themeColor="text1"/>
          <w:sz w:val="28"/>
          <w:szCs w:val="28"/>
        </w:rPr>
        <w:t>CONCLUSION</w:t>
      </w:r>
    </w:p>
    <w:p w14:paraId="289BF7E1" w14:textId="77777777" w:rsidR="00562D67" w:rsidRDefault="00562D67" w:rsidP="00562D67">
      <w:pPr>
        <w:rPr>
          <w:rFonts w:ascii="Arial" w:hAnsi="Arial" w:cs="Arial"/>
          <w:b/>
          <w:bCs/>
          <w:color w:val="EE0000"/>
        </w:rPr>
      </w:pPr>
    </w:p>
    <w:p w14:paraId="02814623" w14:textId="77777777" w:rsidR="00562D67" w:rsidRPr="00034088" w:rsidRDefault="00562D67" w:rsidP="00562D67">
      <w:pPr>
        <w:jc w:val="both"/>
        <w:rPr>
          <w:color w:val="000000" w:themeColor="text1"/>
          <w:sz w:val="24"/>
          <w:szCs w:val="24"/>
        </w:rPr>
      </w:pPr>
      <w:r w:rsidRPr="00034088">
        <w:rPr>
          <w:color w:val="000000" w:themeColor="text1"/>
          <w:sz w:val="24"/>
          <w:szCs w:val="24"/>
        </w:rPr>
        <w:t>This bibliometric analysis provides a comprehensive overview of the development and evolution of research on biological asset accounting, particularly in relation to fair value measurement under IAS 41.  The findings reveal a gradual but consistent growth in scholarly interest over time, with publication activity increasing significantly after 2013 and reaching its peak between 2020 and 2022.  This upward trend reflects the growing importance of biological assets in financial reporting, driven by heightened global attention to agricultural sustainability, valuation transparency, and the economic significance of agribusiness sectors.  The dominance of journal articles as the primary publication type further indicates that the field emphasizes rigorous empirical and conceptual investigation.</w:t>
      </w:r>
    </w:p>
    <w:p w14:paraId="346C668F" w14:textId="77777777" w:rsidR="00562D67" w:rsidRPr="00034088" w:rsidRDefault="00562D67" w:rsidP="00562D67">
      <w:pPr>
        <w:rPr>
          <w:rFonts w:ascii="Arial" w:hAnsi="Arial" w:cs="Arial"/>
          <w:b/>
          <w:bCs/>
          <w:color w:val="EE0000"/>
          <w:sz w:val="24"/>
          <w:szCs w:val="24"/>
        </w:rPr>
      </w:pPr>
    </w:p>
    <w:p w14:paraId="3DA75E7C" w14:textId="77777777" w:rsidR="00562D67" w:rsidRPr="00034088" w:rsidRDefault="00562D67" w:rsidP="00562D67">
      <w:pPr>
        <w:jc w:val="both"/>
        <w:rPr>
          <w:rFonts w:ascii="Arial" w:hAnsi="Arial" w:cs="Arial"/>
          <w:b/>
          <w:bCs/>
          <w:color w:val="EE0000"/>
          <w:sz w:val="24"/>
          <w:szCs w:val="24"/>
        </w:rPr>
      </w:pPr>
      <w:r w:rsidRPr="00034088">
        <w:rPr>
          <w:noProof/>
          <w:sz w:val="24"/>
          <w:szCs w:val="24"/>
        </w:rPr>
        <w:t>The analysis also highlights a concentration research structure characterized by a limited group of highly productive authors, journals, institutions and countries.  Brazil emerges as the leading contributor across institutional affiliations and national output, demonstrating the strong linkages between agricultural economic environments and academic research priorities. Similarly, the prominance of specialized journals suggests that biological asset accounting remains  a niche yet developing area within accounting research.  Although contributions from Europe and Asis are increasing, the uneven geographical distribution indicates that research participation is still expanding and has not yet reached global balance.</w:t>
      </w:r>
    </w:p>
    <w:p w14:paraId="58E0800E" w14:textId="77777777" w:rsidR="00562D67" w:rsidRPr="00034088" w:rsidRDefault="00562D67" w:rsidP="00562D67">
      <w:pPr>
        <w:jc w:val="both"/>
        <w:rPr>
          <w:rFonts w:ascii="Arial" w:hAnsi="Arial" w:cs="Arial"/>
          <w:b/>
          <w:bCs/>
          <w:color w:val="EE0000"/>
          <w:sz w:val="24"/>
          <w:szCs w:val="24"/>
        </w:rPr>
      </w:pPr>
    </w:p>
    <w:p w14:paraId="379D7E17" w14:textId="77777777" w:rsidR="00562D67" w:rsidRPr="00034088" w:rsidRDefault="00562D67" w:rsidP="00562D67">
      <w:pPr>
        <w:jc w:val="both"/>
        <w:rPr>
          <w:rFonts w:ascii="Arial" w:hAnsi="Arial" w:cs="Arial"/>
          <w:b/>
          <w:bCs/>
          <w:color w:val="EE0000"/>
          <w:sz w:val="24"/>
          <w:szCs w:val="24"/>
        </w:rPr>
      </w:pPr>
      <w:r w:rsidRPr="00034088">
        <w:rPr>
          <w:noProof/>
          <w:sz w:val="24"/>
          <w:szCs w:val="24"/>
        </w:rPr>
        <w:t>Overall, the study confirms that while fair value measurement of biological assets has attracted growing academic attention, significant opportunities remain for future research.  Emerging economies, interdisciplinary perspectives and comparative international studies offer promising directions for expanding the literature.  Future research may also explore methodological advancements, disclosure practices and the practical implications of valuation challenges faced by preparers and users of financial statements.  By mapping existing scholarship and identifying research gaps, this bibliometric analysis contributes to a clearer understanding of the intellectual landscape of biological asset accounting and supports continued development in this evolving field.</w:t>
      </w:r>
    </w:p>
    <w:p w14:paraId="2FFB0C80" w14:textId="77777777" w:rsidR="00562D67" w:rsidRDefault="00562D67" w:rsidP="00562D67">
      <w:pPr>
        <w:rPr>
          <w:rFonts w:ascii="Arial" w:hAnsi="Arial" w:cs="Arial"/>
          <w:b/>
          <w:bCs/>
          <w:color w:val="EE0000"/>
        </w:rPr>
      </w:pPr>
    </w:p>
    <w:p w14:paraId="2ECB5071" w14:textId="77777777" w:rsidR="00562D67" w:rsidRPr="00DD2E41" w:rsidRDefault="00562D67" w:rsidP="00562D67">
      <w:pPr>
        <w:rPr>
          <w:rFonts w:ascii="Arial" w:hAnsi="Arial" w:cs="Arial"/>
          <w:b/>
          <w:bCs/>
          <w:color w:val="EE0000"/>
        </w:rPr>
      </w:pPr>
    </w:p>
    <w:p w14:paraId="1272BDF6" w14:textId="77777777" w:rsidR="00562D67" w:rsidRPr="00D0316D" w:rsidRDefault="00562D67" w:rsidP="00562D67">
      <w:pPr>
        <w:rPr>
          <w:rFonts w:ascii="Arial" w:hAnsi="Arial" w:cs="Arial"/>
          <w:b/>
          <w:bCs/>
          <w:sz w:val="28"/>
          <w:szCs w:val="28"/>
        </w:rPr>
      </w:pPr>
      <w:r w:rsidRPr="00D0316D">
        <w:rPr>
          <w:rFonts w:ascii="Arial" w:hAnsi="Arial" w:cs="Arial"/>
          <w:b/>
          <w:bCs/>
          <w:sz w:val="28"/>
          <w:szCs w:val="28"/>
        </w:rPr>
        <w:t>REFERENCES</w:t>
      </w:r>
    </w:p>
    <w:p w14:paraId="56EE3C9E" w14:textId="77777777" w:rsidR="00562D67" w:rsidRDefault="00562D67" w:rsidP="00562D67">
      <w:pPr>
        <w:rPr>
          <w:rFonts w:ascii="Arial" w:hAnsi="Arial" w:cs="Arial"/>
          <w:b/>
          <w:bCs/>
          <w:sz w:val="24"/>
          <w:szCs w:val="24"/>
        </w:rPr>
      </w:pPr>
    </w:p>
    <w:p w14:paraId="0C984BDC" w14:textId="77777777" w:rsidR="00562D67" w:rsidRPr="00D0316D" w:rsidRDefault="00562D67" w:rsidP="00562D67">
      <w:pPr>
        <w:jc w:val="both"/>
        <w:rPr>
          <w:sz w:val="24"/>
          <w:szCs w:val="24"/>
        </w:rPr>
      </w:pPr>
      <w:r w:rsidRPr="00D0316D">
        <w:rPr>
          <w:sz w:val="24"/>
          <w:szCs w:val="24"/>
        </w:rPr>
        <w:t xml:space="preserve">Alfarisyi, N., </w:t>
      </w:r>
      <w:proofErr w:type="spellStart"/>
      <w:r w:rsidRPr="00D0316D">
        <w:rPr>
          <w:sz w:val="24"/>
          <w:szCs w:val="24"/>
        </w:rPr>
        <w:t>Diantimala</w:t>
      </w:r>
      <w:proofErr w:type="spellEnd"/>
      <w:r w:rsidRPr="00D0316D">
        <w:rPr>
          <w:sz w:val="24"/>
          <w:szCs w:val="24"/>
        </w:rPr>
        <w:t>, Y., Yahya, R., &amp; Saleh, M. (2022). Biological Assets and Firm Value: Do Fair Value Measurement and Disclosure Matter. </w:t>
      </w:r>
      <w:proofErr w:type="spellStart"/>
      <w:r w:rsidRPr="00D0316D">
        <w:rPr>
          <w:i/>
          <w:iCs/>
          <w:sz w:val="24"/>
          <w:szCs w:val="24"/>
        </w:rPr>
        <w:t>Jurnal</w:t>
      </w:r>
      <w:proofErr w:type="spellEnd"/>
      <w:r w:rsidRPr="00D0316D">
        <w:rPr>
          <w:i/>
          <w:iCs/>
          <w:sz w:val="24"/>
          <w:szCs w:val="24"/>
        </w:rPr>
        <w:t xml:space="preserve"> </w:t>
      </w:r>
      <w:proofErr w:type="spellStart"/>
      <w:r w:rsidRPr="00D0316D">
        <w:rPr>
          <w:i/>
          <w:iCs/>
          <w:sz w:val="24"/>
          <w:szCs w:val="24"/>
        </w:rPr>
        <w:t>Dinamika</w:t>
      </w:r>
      <w:proofErr w:type="spellEnd"/>
      <w:r w:rsidRPr="00D0316D">
        <w:rPr>
          <w:i/>
          <w:iCs/>
          <w:sz w:val="24"/>
          <w:szCs w:val="24"/>
        </w:rPr>
        <w:t xml:space="preserve"> </w:t>
      </w:r>
      <w:proofErr w:type="spellStart"/>
      <w:r w:rsidRPr="00D0316D">
        <w:rPr>
          <w:i/>
          <w:iCs/>
          <w:sz w:val="24"/>
          <w:szCs w:val="24"/>
        </w:rPr>
        <w:t>Akuntansi</w:t>
      </w:r>
      <w:proofErr w:type="spellEnd"/>
      <w:r w:rsidRPr="00D0316D">
        <w:rPr>
          <w:i/>
          <w:iCs/>
          <w:sz w:val="24"/>
          <w:szCs w:val="24"/>
        </w:rPr>
        <w:t xml:space="preserve"> Dan Bisnis</w:t>
      </w:r>
      <w:r w:rsidRPr="00D0316D">
        <w:rPr>
          <w:sz w:val="24"/>
          <w:szCs w:val="24"/>
        </w:rPr>
        <w:t>, </w:t>
      </w:r>
      <w:r w:rsidRPr="00D0316D">
        <w:rPr>
          <w:i/>
          <w:iCs/>
          <w:sz w:val="24"/>
          <w:szCs w:val="24"/>
        </w:rPr>
        <w:t>9</w:t>
      </w:r>
      <w:r w:rsidRPr="00D0316D">
        <w:rPr>
          <w:sz w:val="24"/>
          <w:szCs w:val="24"/>
        </w:rPr>
        <w:t>(2), 205-222.</w:t>
      </w:r>
    </w:p>
    <w:p w14:paraId="49A2F99C" w14:textId="77777777" w:rsidR="00562D67" w:rsidRPr="00D0316D" w:rsidRDefault="00562D67" w:rsidP="00562D67">
      <w:pPr>
        <w:jc w:val="both"/>
        <w:rPr>
          <w:sz w:val="24"/>
          <w:szCs w:val="24"/>
        </w:rPr>
      </w:pPr>
    </w:p>
    <w:p w14:paraId="0C4EA27A" w14:textId="77777777" w:rsidR="00562D67" w:rsidRPr="00D0316D" w:rsidRDefault="00562D67" w:rsidP="00562D67">
      <w:pPr>
        <w:jc w:val="both"/>
        <w:rPr>
          <w:sz w:val="24"/>
          <w:szCs w:val="24"/>
        </w:rPr>
      </w:pPr>
      <w:proofErr w:type="spellStart"/>
      <w:r w:rsidRPr="00D0316D">
        <w:rPr>
          <w:sz w:val="24"/>
          <w:szCs w:val="24"/>
        </w:rPr>
        <w:t>Aliberch</w:t>
      </w:r>
      <w:proofErr w:type="spellEnd"/>
      <w:r w:rsidRPr="00D0316D">
        <w:rPr>
          <w:sz w:val="24"/>
          <w:szCs w:val="24"/>
        </w:rPr>
        <w:t>, A. S., &amp; Blandón, J. G. (2012). A comparative study of difficulties in accounting preparation and judgement in agriculture using fair value and historical cost for biological assets valuation. </w:t>
      </w:r>
      <w:r w:rsidRPr="00D0316D">
        <w:rPr>
          <w:i/>
          <w:iCs/>
          <w:sz w:val="24"/>
          <w:szCs w:val="24"/>
        </w:rPr>
        <w:t xml:space="preserve">Revista de </w:t>
      </w:r>
      <w:proofErr w:type="spellStart"/>
      <w:r w:rsidRPr="00D0316D">
        <w:rPr>
          <w:i/>
          <w:iCs/>
          <w:sz w:val="24"/>
          <w:szCs w:val="24"/>
        </w:rPr>
        <w:t>Contabilidad</w:t>
      </w:r>
      <w:proofErr w:type="spellEnd"/>
      <w:r w:rsidRPr="00D0316D">
        <w:rPr>
          <w:sz w:val="24"/>
          <w:szCs w:val="24"/>
        </w:rPr>
        <w:t>, </w:t>
      </w:r>
      <w:r w:rsidRPr="00D0316D">
        <w:rPr>
          <w:i/>
          <w:iCs/>
          <w:sz w:val="24"/>
          <w:szCs w:val="24"/>
        </w:rPr>
        <w:t>15</w:t>
      </w:r>
      <w:r w:rsidRPr="00D0316D">
        <w:rPr>
          <w:sz w:val="24"/>
          <w:szCs w:val="24"/>
        </w:rPr>
        <w:t>(1), 109-142.</w:t>
      </w:r>
    </w:p>
    <w:p w14:paraId="3FBBDCC4" w14:textId="77777777" w:rsidR="00562D67" w:rsidRPr="00D0316D" w:rsidRDefault="00562D67" w:rsidP="00562D67">
      <w:pPr>
        <w:rPr>
          <w:rFonts w:ascii="Arial" w:hAnsi="Arial" w:cs="Arial"/>
          <w:b/>
          <w:bCs/>
          <w:sz w:val="24"/>
          <w:szCs w:val="24"/>
        </w:rPr>
      </w:pPr>
    </w:p>
    <w:p w14:paraId="251118C2" w14:textId="77777777" w:rsidR="00562D67" w:rsidRPr="00D0316D" w:rsidRDefault="00562D67" w:rsidP="00562D67">
      <w:pPr>
        <w:jc w:val="both"/>
        <w:rPr>
          <w:sz w:val="24"/>
          <w:szCs w:val="24"/>
        </w:rPr>
      </w:pPr>
      <w:r w:rsidRPr="00D0316D">
        <w:rPr>
          <w:sz w:val="24"/>
          <w:szCs w:val="24"/>
        </w:rPr>
        <w:t>Campos-Llerena, P., Arias-Pérez, M., Toscano-Morales, C., &amp; Barreno-Córdova, C. (2024). Biological assets in agricultural accounting: A systematic review of the application of IAS 41. </w:t>
      </w:r>
      <w:r w:rsidRPr="00D0316D">
        <w:rPr>
          <w:i/>
          <w:iCs/>
          <w:sz w:val="24"/>
          <w:szCs w:val="24"/>
        </w:rPr>
        <w:t>Journal of Risk and Financial Management</w:t>
      </w:r>
      <w:r w:rsidRPr="00D0316D">
        <w:rPr>
          <w:sz w:val="24"/>
          <w:szCs w:val="24"/>
        </w:rPr>
        <w:t>, </w:t>
      </w:r>
      <w:r w:rsidRPr="00D0316D">
        <w:rPr>
          <w:i/>
          <w:iCs/>
          <w:sz w:val="24"/>
          <w:szCs w:val="24"/>
        </w:rPr>
        <w:t>18</w:t>
      </w:r>
      <w:r w:rsidRPr="00D0316D">
        <w:rPr>
          <w:sz w:val="24"/>
          <w:szCs w:val="24"/>
        </w:rPr>
        <w:t>(7), 380.</w:t>
      </w:r>
    </w:p>
    <w:p w14:paraId="1BEF7DE1" w14:textId="77777777" w:rsidR="00562D67" w:rsidRPr="00D0316D" w:rsidRDefault="00562D67" w:rsidP="00562D67">
      <w:pPr>
        <w:jc w:val="both"/>
        <w:rPr>
          <w:sz w:val="24"/>
          <w:szCs w:val="24"/>
        </w:rPr>
      </w:pPr>
    </w:p>
    <w:p w14:paraId="4DBCEB71" w14:textId="77777777" w:rsidR="00562D67" w:rsidRPr="00D0316D" w:rsidRDefault="00562D67" w:rsidP="00562D67">
      <w:pPr>
        <w:jc w:val="both"/>
        <w:rPr>
          <w:sz w:val="24"/>
          <w:szCs w:val="24"/>
        </w:rPr>
      </w:pPr>
      <w:r w:rsidRPr="00D0316D">
        <w:rPr>
          <w:sz w:val="24"/>
          <w:szCs w:val="24"/>
        </w:rPr>
        <w:lastRenderedPageBreak/>
        <w:t>Gonçalves, R., Lopes, P., &amp; Craig, R. (2017). Value relevance of biological assets under IFRS. </w:t>
      </w:r>
      <w:r w:rsidRPr="00D0316D">
        <w:rPr>
          <w:i/>
          <w:iCs/>
          <w:sz w:val="24"/>
          <w:szCs w:val="24"/>
        </w:rPr>
        <w:t>Journal of international accounting, auditing and taxation</w:t>
      </w:r>
      <w:r w:rsidRPr="00D0316D">
        <w:rPr>
          <w:sz w:val="24"/>
          <w:szCs w:val="24"/>
        </w:rPr>
        <w:t>, </w:t>
      </w:r>
      <w:r w:rsidRPr="00D0316D">
        <w:rPr>
          <w:i/>
          <w:iCs/>
          <w:sz w:val="24"/>
          <w:szCs w:val="24"/>
        </w:rPr>
        <w:t>29</w:t>
      </w:r>
      <w:r w:rsidRPr="00D0316D">
        <w:rPr>
          <w:sz w:val="24"/>
          <w:szCs w:val="24"/>
        </w:rPr>
        <w:t>, 118-126.</w:t>
      </w:r>
    </w:p>
    <w:p w14:paraId="63A12B8F" w14:textId="77777777" w:rsidR="00562D67" w:rsidRPr="00D0316D" w:rsidRDefault="00562D67" w:rsidP="00562D67">
      <w:pPr>
        <w:jc w:val="both"/>
        <w:rPr>
          <w:sz w:val="24"/>
          <w:szCs w:val="24"/>
        </w:rPr>
      </w:pPr>
    </w:p>
    <w:p w14:paraId="3911012A" w14:textId="77777777" w:rsidR="00562D67" w:rsidRPr="00D0316D" w:rsidRDefault="00562D67" w:rsidP="00562D67">
      <w:pPr>
        <w:jc w:val="both"/>
        <w:rPr>
          <w:sz w:val="24"/>
          <w:szCs w:val="24"/>
        </w:rPr>
      </w:pPr>
      <w:r w:rsidRPr="00D0316D">
        <w:rPr>
          <w:sz w:val="24"/>
          <w:szCs w:val="24"/>
        </w:rPr>
        <w:t xml:space="preserve">Herbohn, K., &amp; </w:t>
      </w:r>
      <w:proofErr w:type="spellStart"/>
      <w:r w:rsidRPr="00D0316D">
        <w:rPr>
          <w:sz w:val="24"/>
          <w:szCs w:val="24"/>
        </w:rPr>
        <w:t>Herbohn</w:t>
      </w:r>
      <w:proofErr w:type="spellEnd"/>
      <w:r w:rsidRPr="00D0316D">
        <w:rPr>
          <w:sz w:val="24"/>
          <w:szCs w:val="24"/>
        </w:rPr>
        <w:t xml:space="preserve">, J. (2006). International Accounting Standard (IAS) 41: what are the implications for reporting forest </w:t>
      </w:r>
      <w:proofErr w:type="gramStart"/>
      <w:r w:rsidRPr="00D0316D">
        <w:rPr>
          <w:sz w:val="24"/>
          <w:szCs w:val="24"/>
        </w:rPr>
        <w:t>assets?.</w:t>
      </w:r>
      <w:proofErr w:type="gramEnd"/>
      <w:r w:rsidRPr="00D0316D">
        <w:rPr>
          <w:sz w:val="24"/>
          <w:szCs w:val="24"/>
        </w:rPr>
        <w:t> </w:t>
      </w:r>
      <w:r w:rsidRPr="00D0316D">
        <w:rPr>
          <w:i/>
          <w:iCs/>
          <w:sz w:val="24"/>
          <w:szCs w:val="24"/>
        </w:rPr>
        <w:t>Small-scale Forest Economics, Management and Policy</w:t>
      </w:r>
      <w:r w:rsidRPr="00D0316D">
        <w:rPr>
          <w:sz w:val="24"/>
          <w:szCs w:val="24"/>
        </w:rPr>
        <w:t>, </w:t>
      </w:r>
      <w:r w:rsidRPr="00D0316D">
        <w:rPr>
          <w:i/>
          <w:iCs/>
          <w:sz w:val="24"/>
          <w:szCs w:val="24"/>
        </w:rPr>
        <w:t>5</w:t>
      </w:r>
      <w:r w:rsidRPr="00D0316D">
        <w:rPr>
          <w:sz w:val="24"/>
          <w:szCs w:val="24"/>
        </w:rPr>
        <w:t>(2), 175-189.</w:t>
      </w:r>
    </w:p>
    <w:p w14:paraId="5C667788" w14:textId="77777777" w:rsidR="00562D67" w:rsidRPr="00D0316D" w:rsidRDefault="00562D67" w:rsidP="00562D67">
      <w:pPr>
        <w:jc w:val="both"/>
        <w:rPr>
          <w:sz w:val="24"/>
          <w:szCs w:val="24"/>
        </w:rPr>
      </w:pPr>
    </w:p>
    <w:p w14:paraId="62047CFD" w14:textId="77777777" w:rsidR="00562D67" w:rsidRPr="00D0316D" w:rsidRDefault="00562D67" w:rsidP="00562D67">
      <w:pPr>
        <w:jc w:val="both"/>
        <w:rPr>
          <w:sz w:val="24"/>
          <w:szCs w:val="24"/>
        </w:rPr>
      </w:pPr>
      <w:r w:rsidRPr="00D0316D">
        <w:rPr>
          <w:sz w:val="24"/>
          <w:szCs w:val="24"/>
        </w:rPr>
        <w:t>Kadri, M. H., Amin, J. M., &amp; Bakar, Z. A. (2023). Examining the value relevance of biological assets and their fair value change in Malaysia. </w:t>
      </w:r>
      <w:r w:rsidRPr="00D0316D">
        <w:rPr>
          <w:i/>
          <w:iCs/>
          <w:sz w:val="24"/>
          <w:szCs w:val="24"/>
        </w:rPr>
        <w:t xml:space="preserve">International Journal </w:t>
      </w:r>
      <w:proofErr w:type="gramStart"/>
      <w:r w:rsidRPr="00D0316D">
        <w:rPr>
          <w:i/>
          <w:iCs/>
          <w:sz w:val="24"/>
          <w:szCs w:val="24"/>
        </w:rPr>
        <w:t>Of</w:t>
      </w:r>
      <w:proofErr w:type="gramEnd"/>
      <w:r w:rsidRPr="00D0316D">
        <w:rPr>
          <w:i/>
          <w:iCs/>
          <w:sz w:val="24"/>
          <w:szCs w:val="24"/>
        </w:rPr>
        <w:t xml:space="preserve"> Academic Research </w:t>
      </w:r>
      <w:proofErr w:type="gramStart"/>
      <w:r w:rsidRPr="00D0316D">
        <w:rPr>
          <w:i/>
          <w:iCs/>
          <w:sz w:val="24"/>
          <w:szCs w:val="24"/>
        </w:rPr>
        <w:t>In</w:t>
      </w:r>
      <w:proofErr w:type="gramEnd"/>
      <w:r w:rsidRPr="00D0316D">
        <w:rPr>
          <w:i/>
          <w:iCs/>
          <w:sz w:val="24"/>
          <w:szCs w:val="24"/>
        </w:rPr>
        <w:t xml:space="preserve"> Accounting, Finance </w:t>
      </w:r>
      <w:proofErr w:type="gramStart"/>
      <w:r w:rsidRPr="00D0316D">
        <w:rPr>
          <w:i/>
          <w:iCs/>
          <w:sz w:val="24"/>
          <w:szCs w:val="24"/>
        </w:rPr>
        <w:t>And</w:t>
      </w:r>
      <w:proofErr w:type="gramEnd"/>
      <w:r w:rsidRPr="00D0316D">
        <w:rPr>
          <w:i/>
          <w:iCs/>
          <w:sz w:val="24"/>
          <w:szCs w:val="24"/>
        </w:rPr>
        <w:t xml:space="preserve"> Management Sciences</w:t>
      </w:r>
      <w:r w:rsidRPr="00D0316D">
        <w:rPr>
          <w:sz w:val="24"/>
          <w:szCs w:val="24"/>
        </w:rPr>
        <w:t>, </w:t>
      </w:r>
      <w:r w:rsidRPr="00D0316D">
        <w:rPr>
          <w:i/>
          <w:iCs/>
          <w:sz w:val="24"/>
          <w:szCs w:val="24"/>
        </w:rPr>
        <w:t>13</w:t>
      </w:r>
      <w:r w:rsidRPr="00D0316D">
        <w:rPr>
          <w:sz w:val="24"/>
          <w:szCs w:val="24"/>
        </w:rPr>
        <w:t>(1), 562-571.</w:t>
      </w:r>
    </w:p>
    <w:p w14:paraId="613BD4EB" w14:textId="77777777" w:rsidR="00562D67" w:rsidRPr="00D0316D" w:rsidRDefault="00562D67" w:rsidP="00562D67">
      <w:pPr>
        <w:jc w:val="both"/>
        <w:rPr>
          <w:sz w:val="24"/>
          <w:szCs w:val="24"/>
        </w:rPr>
      </w:pPr>
    </w:p>
    <w:p w14:paraId="4F64217F" w14:textId="77777777" w:rsidR="00562D67" w:rsidRPr="00D0316D" w:rsidRDefault="00562D67" w:rsidP="00562D67">
      <w:pPr>
        <w:jc w:val="both"/>
        <w:rPr>
          <w:sz w:val="24"/>
          <w:szCs w:val="24"/>
        </w:rPr>
      </w:pPr>
      <w:r w:rsidRPr="00D0316D">
        <w:rPr>
          <w:sz w:val="24"/>
          <w:szCs w:val="24"/>
        </w:rPr>
        <w:t xml:space="preserve">IFRS Foundation. (2023). </w:t>
      </w:r>
      <w:r w:rsidRPr="00D0316D">
        <w:rPr>
          <w:i/>
          <w:iCs/>
          <w:sz w:val="24"/>
          <w:szCs w:val="24"/>
        </w:rPr>
        <w:t>International Accounting Standard 41: Agriculture</w:t>
      </w:r>
      <w:r w:rsidRPr="00D0316D">
        <w:rPr>
          <w:sz w:val="24"/>
          <w:szCs w:val="24"/>
        </w:rPr>
        <w:t xml:space="preserve">. </w:t>
      </w:r>
      <w:hyperlink r:id="rId9" w:tgtFrame="_new" w:history="1">
        <w:r w:rsidRPr="00D0316D">
          <w:rPr>
            <w:rStyle w:val="Hyperlink"/>
            <w:sz w:val="24"/>
            <w:szCs w:val="24"/>
          </w:rPr>
          <w:t>https://www.ifrs.org/content/dam/ifrs/publications/html-standards/english/2023/issued/ias41.pdf</w:t>
        </w:r>
      </w:hyperlink>
    </w:p>
    <w:p w14:paraId="4F65F514" w14:textId="77777777" w:rsidR="00562D67" w:rsidRPr="00D0316D" w:rsidRDefault="00562D67" w:rsidP="00562D67">
      <w:pPr>
        <w:jc w:val="both"/>
        <w:rPr>
          <w:sz w:val="24"/>
          <w:szCs w:val="24"/>
        </w:rPr>
      </w:pPr>
    </w:p>
    <w:p w14:paraId="1577E858" w14:textId="77777777" w:rsidR="00562D67" w:rsidRPr="00E3759F" w:rsidRDefault="00562D67" w:rsidP="00562D67">
      <w:pPr>
        <w:jc w:val="both"/>
      </w:pPr>
    </w:p>
    <w:p w14:paraId="341936E9" w14:textId="77777777" w:rsidR="00562D67" w:rsidRDefault="00562D67" w:rsidP="00562D67">
      <w:pPr>
        <w:rPr>
          <w:rFonts w:ascii="Arial" w:hAnsi="Arial" w:cs="Arial"/>
          <w:b/>
          <w:bCs/>
          <w:color w:val="EE0000"/>
        </w:rPr>
      </w:pPr>
    </w:p>
    <w:p w14:paraId="0303DBD7" w14:textId="77777777" w:rsidR="000D4091" w:rsidRDefault="000D4091" w:rsidP="000D4091">
      <w:pPr>
        <w:rPr>
          <w:rFonts w:ascii="Arial" w:hAnsi="Arial" w:cs="Arial"/>
          <w:b/>
          <w:bCs/>
          <w:sz w:val="24"/>
          <w:szCs w:val="24"/>
        </w:rPr>
      </w:pPr>
    </w:p>
    <w:p w14:paraId="5AD0A8F8" w14:textId="77777777" w:rsidR="00A47BED" w:rsidRDefault="00A47BED"/>
    <w:sectPr w:rsidR="00A47BED" w:rsidSect="00A808E0">
      <w:pgSz w:w="11906" w:h="16838"/>
      <w:pgMar w:top="431" w:right="238" w:bottom="953"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67"/>
    <w:rsid w:val="00034088"/>
    <w:rsid w:val="00071909"/>
    <w:rsid w:val="000D4091"/>
    <w:rsid w:val="0032687E"/>
    <w:rsid w:val="00357729"/>
    <w:rsid w:val="00442997"/>
    <w:rsid w:val="004F04BA"/>
    <w:rsid w:val="004F4741"/>
    <w:rsid w:val="00562D67"/>
    <w:rsid w:val="006D542C"/>
    <w:rsid w:val="0079340A"/>
    <w:rsid w:val="00915721"/>
    <w:rsid w:val="00980CE9"/>
    <w:rsid w:val="00A34205"/>
    <w:rsid w:val="00A47BED"/>
    <w:rsid w:val="00A74929"/>
    <w:rsid w:val="00A808E0"/>
    <w:rsid w:val="00B32BF9"/>
    <w:rsid w:val="00D0316D"/>
    <w:rsid w:val="00FC19C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2F59"/>
  <w15:chartTrackingRefBased/>
  <w15:docId w15:val="{1811135B-7C1C-4023-910F-785D0494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6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62D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MY"/>
      <w14:ligatures w14:val="standardContextual"/>
    </w:rPr>
  </w:style>
  <w:style w:type="paragraph" w:styleId="Heading2">
    <w:name w:val="heading 2"/>
    <w:basedOn w:val="Normal"/>
    <w:next w:val="Normal"/>
    <w:link w:val="Heading2Char"/>
    <w:uiPriority w:val="9"/>
    <w:semiHidden/>
    <w:unhideWhenUsed/>
    <w:qFormat/>
    <w:rsid w:val="00562D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MY"/>
      <w14:ligatures w14:val="standardContextual"/>
    </w:rPr>
  </w:style>
  <w:style w:type="paragraph" w:styleId="Heading3">
    <w:name w:val="heading 3"/>
    <w:basedOn w:val="Normal"/>
    <w:next w:val="Normal"/>
    <w:link w:val="Heading3Char"/>
    <w:uiPriority w:val="9"/>
    <w:semiHidden/>
    <w:unhideWhenUsed/>
    <w:qFormat/>
    <w:rsid w:val="00562D6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MY"/>
      <w14:ligatures w14:val="standardContextual"/>
    </w:rPr>
  </w:style>
  <w:style w:type="paragraph" w:styleId="Heading4">
    <w:name w:val="heading 4"/>
    <w:basedOn w:val="Normal"/>
    <w:next w:val="Normal"/>
    <w:link w:val="Heading4Char"/>
    <w:uiPriority w:val="9"/>
    <w:semiHidden/>
    <w:unhideWhenUsed/>
    <w:qFormat/>
    <w:rsid w:val="00562D6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MY"/>
      <w14:ligatures w14:val="standardContextual"/>
    </w:rPr>
  </w:style>
  <w:style w:type="paragraph" w:styleId="Heading5">
    <w:name w:val="heading 5"/>
    <w:basedOn w:val="Normal"/>
    <w:next w:val="Normal"/>
    <w:link w:val="Heading5Char"/>
    <w:uiPriority w:val="9"/>
    <w:semiHidden/>
    <w:unhideWhenUsed/>
    <w:qFormat/>
    <w:rsid w:val="00562D6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MY"/>
      <w14:ligatures w14:val="standardContextual"/>
    </w:rPr>
  </w:style>
  <w:style w:type="paragraph" w:styleId="Heading6">
    <w:name w:val="heading 6"/>
    <w:basedOn w:val="Normal"/>
    <w:next w:val="Normal"/>
    <w:link w:val="Heading6Char"/>
    <w:uiPriority w:val="9"/>
    <w:semiHidden/>
    <w:unhideWhenUsed/>
    <w:qFormat/>
    <w:rsid w:val="00562D67"/>
    <w:pPr>
      <w:keepNext/>
      <w:keepLines/>
      <w:spacing w:before="40" w:line="259" w:lineRule="auto"/>
      <w:outlineLvl w:val="5"/>
    </w:pPr>
    <w:rPr>
      <w:rFonts w:asciiTheme="minorHAnsi" w:eastAsiaTheme="majorEastAsia" w:hAnsiTheme="minorHAnsi" w:cstheme="majorBidi"/>
      <w:i/>
      <w:iCs/>
      <w:color w:val="595959" w:themeColor="text1" w:themeTint="A6"/>
      <w:kern w:val="2"/>
      <w:lang w:val="en-MY"/>
      <w14:ligatures w14:val="standardContextual"/>
    </w:rPr>
  </w:style>
  <w:style w:type="paragraph" w:styleId="Heading7">
    <w:name w:val="heading 7"/>
    <w:basedOn w:val="Normal"/>
    <w:next w:val="Normal"/>
    <w:link w:val="Heading7Char"/>
    <w:uiPriority w:val="9"/>
    <w:semiHidden/>
    <w:unhideWhenUsed/>
    <w:qFormat/>
    <w:rsid w:val="00562D67"/>
    <w:pPr>
      <w:keepNext/>
      <w:keepLines/>
      <w:spacing w:before="40" w:line="259" w:lineRule="auto"/>
      <w:outlineLvl w:val="6"/>
    </w:pPr>
    <w:rPr>
      <w:rFonts w:asciiTheme="minorHAnsi" w:eastAsiaTheme="majorEastAsia" w:hAnsiTheme="minorHAnsi" w:cstheme="majorBidi"/>
      <w:color w:val="595959" w:themeColor="text1" w:themeTint="A6"/>
      <w:kern w:val="2"/>
      <w:lang w:val="en-MY"/>
      <w14:ligatures w14:val="standardContextual"/>
    </w:rPr>
  </w:style>
  <w:style w:type="paragraph" w:styleId="Heading8">
    <w:name w:val="heading 8"/>
    <w:basedOn w:val="Normal"/>
    <w:next w:val="Normal"/>
    <w:link w:val="Heading8Char"/>
    <w:uiPriority w:val="9"/>
    <w:semiHidden/>
    <w:unhideWhenUsed/>
    <w:qFormat/>
    <w:rsid w:val="00562D67"/>
    <w:pPr>
      <w:keepNext/>
      <w:keepLines/>
      <w:spacing w:line="259" w:lineRule="auto"/>
      <w:outlineLvl w:val="7"/>
    </w:pPr>
    <w:rPr>
      <w:rFonts w:asciiTheme="minorHAnsi" w:eastAsiaTheme="majorEastAsia" w:hAnsiTheme="minorHAnsi" w:cstheme="majorBidi"/>
      <w:i/>
      <w:iCs/>
      <w:color w:val="272727" w:themeColor="text1" w:themeTint="D8"/>
      <w:kern w:val="2"/>
      <w:lang w:val="en-MY"/>
      <w14:ligatures w14:val="standardContextual"/>
    </w:rPr>
  </w:style>
  <w:style w:type="paragraph" w:styleId="Heading9">
    <w:name w:val="heading 9"/>
    <w:basedOn w:val="Normal"/>
    <w:next w:val="Normal"/>
    <w:link w:val="Heading9Char"/>
    <w:uiPriority w:val="9"/>
    <w:semiHidden/>
    <w:unhideWhenUsed/>
    <w:qFormat/>
    <w:rsid w:val="00562D67"/>
    <w:pPr>
      <w:keepNext/>
      <w:keepLines/>
      <w:spacing w:line="259" w:lineRule="auto"/>
      <w:outlineLvl w:val="8"/>
    </w:pPr>
    <w:rPr>
      <w:rFonts w:asciiTheme="minorHAnsi" w:eastAsiaTheme="majorEastAsia" w:hAnsiTheme="minorHAnsi" w:cstheme="majorBidi"/>
      <w:color w:val="272727" w:themeColor="text1" w:themeTint="D8"/>
      <w:kern w:val="2"/>
      <w:lang w:val="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D67"/>
    <w:rPr>
      <w:rFonts w:eastAsiaTheme="majorEastAsia" w:cstheme="majorBidi"/>
      <w:color w:val="272727" w:themeColor="text1" w:themeTint="D8"/>
    </w:rPr>
  </w:style>
  <w:style w:type="paragraph" w:styleId="Title">
    <w:name w:val="Title"/>
    <w:basedOn w:val="Normal"/>
    <w:next w:val="Normal"/>
    <w:link w:val="TitleChar"/>
    <w:uiPriority w:val="10"/>
    <w:qFormat/>
    <w:rsid w:val="00562D67"/>
    <w:pPr>
      <w:spacing w:after="80"/>
      <w:contextualSpacing/>
    </w:pPr>
    <w:rPr>
      <w:rFonts w:asciiTheme="majorHAnsi" w:eastAsiaTheme="majorEastAsia" w:hAnsiTheme="majorHAnsi" w:cstheme="majorBidi"/>
      <w:spacing w:val="-10"/>
      <w:kern w:val="28"/>
      <w:sz w:val="56"/>
      <w:szCs w:val="56"/>
      <w:lang w:val="en-MY"/>
      <w14:ligatures w14:val="standardContextual"/>
    </w:rPr>
  </w:style>
  <w:style w:type="character" w:customStyle="1" w:styleId="TitleChar">
    <w:name w:val="Title Char"/>
    <w:basedOn w:val="DefaultParagraphFont"/>
    <w:link w:val="Title"/>
    <w:uiPriority w:val="10"/>
    <w:rsid w:val="00562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D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MY"/>
      <w14:ligatures w14:val="standardContextual"/>
    </w:rPr>
  </w:style>
  <w:style w:type="character" w:customStyle="1" w:styleId="SubtitleChar">
    <w:name w:val="Subtitle Char"/>
    <w:basedOn w:val="DefaultParagraphFont"/>
    <w:link w:val="Subtitle"/>
    <w:uiPriority w:val="11"/>
    <w:rsid w:val="00562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D67"/>
    <w:pPr>
      <w:spacing w:before="160" w:after="160" w:line="259" w:lineRule="auto"/>
      <w:jc w:val="center"/>
    </w:pPr>
    <w:rPr>
      <w:rFonts w:asciiTheme="minorHAnsi" w:eastAsiaTheme="minorHAnsi" w:hAnsiTheme="minorHAnsi" w:cstheme="minorBidi"/>
      <w:i/>
      <w:iCs/>
      <w:color w:val="404040" w:themeColor="text1" w:themeTint="BF"/>
      <w:kern w:val="2"/>
      <w:lang w:val="en-MY"/>
      <w14:ligatures w14:val="standardContextual"/>
    </w:rPr>
  </w:style>
  <w:style w:type="character" w:customStyle="1" w:styleId="QuoteChar">
    <w:name w:val="Quote Char"/>
    <w:basedOn w:val="DefaultParagraphFont"/>
    <w:link w:val="Quote"/>
    <w:uiPriority w:val="29"/>
    <w:rsid w:val="00562D67"/>
    <w:rPr>
      <w:i/>
      <w:iCs/>
      <w:color w:val="404040" w:themeColor="text1" w:themeTint="BF"/>
    </w:rPr>
  </w:style>
  <w:style w:type="paragraph" w:styleId="ListParagraph">
    <w:name w:val="List Paragraph"/>
    <w:basedOn w:val="Normal"/>
    <w:uiPriority w:val="34"/>
    <w:qFormat/>
    <w:rsid w:val="00562D67"/>
    <w:pPr>
      <w:spacing w:after="160" w:line="259" w:lineRule="auto"/>
      <w:ind w:left="720"/>
      <w:contextualSpacing/>
    </w:pPr>
    <w:rPr>
      <w:rFonts w:asciiTheme="minorHAnsi" w:eastAsiaTheme="minorHAnsi" w:hAnsiTheme="minorHAnsi" w:cstheme="minorBidi"/>
      <w:kern w:val="2"/>
      <w:lang w:val="en-MY"/>
      <w14:ligatures w14:val="standardContextual"/>
    </w:rPr>
  </w:style>
  <w:style w:type="character" w:styleId="IntenseEmphasis">
    <w:name w:val="Intense Emphasis"/>
    <w:basedOn w:val="DefaultParagraphFont"/>
    <w:uiPriority w:val="21"/>
    <w:qFormat/>
    <w:rsid w:val="00562D67"/>
    <w:rPr>
      <w:i/>
      <w:iCs/>
      <w:color w:val="0F4761" w:themeColor="accent1" w:themeShade="BF"/>
    </w:rPr>
  </w:style>
  <w:style w:type="paragraph" w:styleId="IntenseQuote">
    <w:name w:val="Intense Quote"/>
    <w:basedOn w:val="Normal"/>
    <w:next w:val="Normal"/>
    <w:link w:val="IntenseQuoteChar"/>
    <w:uiPriority w:val="30"/>
    <w:qFormat/>
    <w:rsid w:val="00562D6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MY"/>
      <w14:ligatures w14:val="standardContextual"/>
    </w:rPr>
  </w:style>
  <w:style w:type="character" w:customStyle="1" w:styleId="IntenseQuoteChar">
    <w:name w:val="Intense Quote Char"/>
    <w:basedOn w:val="DefaultParagraphFont"/>
    <w:link w:val="IntenseQuote"/>
    <w:uiPriority w:val="30"/>
    <w:rsid w:val="00562D67"/>
    <w:rPr>
      <w:i/>
      <w:iCs/>
      <w:color w:val="0F4761" w:themeColor="accent1" w:themeShade="BF"/>
    </w:rPr>
  </w:style>
  <w:style w:type="character" w:styleId="IntenseReference">
    <w:name w:val="Intense Reference"/>
    <w:basedOn w:val="DefaultParagraphFont"/>
    <w:uiPriority w:val="32"/>
    <w:qFormat/>
    <w:rsid w:val="00562D67"/>
    <w:rPr>
      <w:b/>
      <w:bCs/>
      <w:smallCaps/>
      <w:color w:val="0F4761" w:themeColor="accent1" w:themeShade="BF"/>
      <w:spacing w:val="5"/>
    </w:rPr>
  </w:style>
  <w:style w:type="paragraph" w:customStyle="1" w:styleId="AuthorName">
    <w:name w:val="Author Name"/>
    <w:basedOn w:val="Normal"/>
    <w:qFormat/>
    <w:rsid w:val="00562D67"/>
    <w:pPr>
      <w:jc w:val="center"/>
    </w:pPr>
    <w:rPr>
      <w:b/>
      <w:color w:val="000000"/>
      <w:lang w:val="en-CA" w:eastAsia="en-MY"/>
    </w:rPr>
  </w:style>
  <w:style w:type="paragraph" w:customStyle="1" w:styleId="Adress">
    <w:name w:val="Adress"/>
    <w:basedOn w:val="Normal"/>
    <w:qFormat/>
    <w:rsid w:val="00562D67"/>
    <w:pPr>
      <w:jc w:val="center"/>
    </w:pPr>
    <w:rPr>
      <w:i/>
      <w:color w:val="000000"/>
      <w:lang w:val="en-CA" w:eastAsia="en-MY"/>
    </w:rPr>
  </w:style>
  <w:style w:type="paragraph" w:customStyle="1" w:styleId="Email">
    <w:name w:val="Email"/>
    <w:basedOn w:val="Normal"/>
    <w:qFormat/>
    <w:rsid w:val="00562D67"/>
    <w:pPr>
      <w:jc w:val="center"/>
    </w:pPr>
    <w:rPr>
      <w:i/>
      <w:lang w:val="en-CA"/>
    </w:rPr>
  </w:style>
  <w:style w:type="character" w:styleId="Hyperlink">
    <w:name w:val="Hyperlink"/>
    <w:basedOn w:val="DefaultParagraphFont"/>
    <w:uiPriority w:val="99"/>
    <w:unhideWhenUsed/>
    <w:rsid w:val="00562D67"/>
    <w:rPr>
      <w:color w:val="467886" w:themeColor="hyperlink"/>
      <w:u w:val="single"/>
    </w:rPr>
  </w:style>
  <w:style w:type="paragraph" w:styleId="BodyText">
    <w:name w:val="Body Text"/>
    <w:basedOn w:val="Normal"/>
    <w:link w:val="BodyTextChar"/>
    <w:unhideWhenUsed/>
    <w:rsid w:val="00562D67"/>
    <w:pPr>
      <w:spacing w:after="120"/>
    </w:pPr>
  </w:style>
  <w:style w:type="character" w:customStyle="1" w:styleId="BodyTextChar">
    <w:name w:val="Body Text Char"/>
    <w:basedOn w:val="DefaultParagraphFont"/>
    <w:link w:val="BodyText"/>
    <w:rsid w:val="00562D67"/>
    <w:rPr>
      <w:rFonts w:ascii="Times New Roman" w:eastAsia="Times New Roman" w:hAnsi="Times New Roman" w:cs="Times New Roman"/>
      <w:kern w:val="0"/>
      <w:lang w:val="en-US"/>
      <w14:ligatures w14:val="none"/>
    </w:rPr>
  </w:style>
  <w:style w:type="table" w:styleId="GridTable4-Accent1">
    <w:name w:val="Grid Table 4 Accent 1"/>
    <w:basedOn w:val="TableNormal"/>
    <w:uiPriority w:val="49"/>
    <w:rsid w:val="00562D67"/>
    <w:pPr>
      <w:spacing w:after="0" w:line="240" w:lineRule="auto"/>
    </w:pPr>
    <w:rPr>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4">
    <w:name w:val="Grid Table 4 Accent 4"/>
    <w:basedOn w:val="TableNormal"/>
    <w:uiPriority w:val="49"/>
    <w:rsid w:val="0035772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irahnaiimi@uitm.edu.my" TargetMode="External"/><Relationship Id="rId3" Type="http://schemas.openxmlformats.org/officeDocument/2006/relationships/webSettings" Target="webSettings.xml"/><Relationship Id="rId7" Type="http://schemas.openxmlformats.org/officeDocument/2006/relationships/hyperlink" Target="mailto:4kamarul@klpk.com.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marjan@uitm.edu.my" TargetMode="External"/><Relationship Id="rId11" Type="http://schemas.openxmlformats.org/officeDocument/2006/relationships/theme" Target="theme/theme1.xml"/><Relationship Id="rId5" Type="http://schemas.openxmlformats.org/officeDocument/2006/relationships/hyperlink" Target="mailto:norkartini@uitm.edu.my" TargetMode="External"/><Relationship Id="rId10" Type="http://schemas.openxmlformats.org/officeDocument/2006/relationships/fontTable" Target="fontTable.xml"/><Relationship Id="rId4" Type="http://schemas.openxmlformats.org/officeDocument/2006/relationships/hyperlink" Target="mailto:nazirahnaiimi@uitm.edu.my" TargetMode="External"/><Relationship Id="rId9" Type="http://schemas.openxmlformats.org/officeDocument/2006/relationships/hyperlink" Target="https://www.ifrs.org/content/dam/ifrs/publications/html-standards/english/2023/issued/ias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3764</Words>
  <Characters>21457</Characters>
  <Application>Microsoft Office Word</Application>
  <DocSecurity>0</DocSecurity>
  <Lines>178</Lines>
  <Paragraphs>50</Paragraphs>
  <ScaleCrop>false</ScaleCrop>
  <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Nazirah Naiimi</dc:creator>
  <cp:keywords/>
  <dc:description/>
  <cp:lastModifiedBy>Nazirah Naiimi</cp:lastModifiedBy>
  <cp:revision>16</cp:revision>
  <dcterms:created xsi:type="dcterms:W3CDTF">2026-05-15T02:27:00Z</dcterms:created>
  <dcterms:modified xsi:type="dcterms:W3CDTF">2026-06-05T02:09:00Z</dcterms:modified>
</cp:coreProperties>
</file>