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52A" w:rsidRDefault="00B4534C">
      <w:pPr>
        <w:spacing w:after="160" w:line="360" w:lineRule="auto"/>
        <w:jc w:val="center"/>
      </w:pPr>
      <w:r>
        <w:rPr>
          <w:b/>
          <w:bCs/>
          <w:sz w:val="28"/>
          <w:szCs w:val="28"/>
        </w:rPr>
        <w:t>A RISK-BASED IT AUDIT FRAMEWORK FOR KPI-DRIVEN AND INDUSTRY 4.0-ALIGNED ON-THE-JOB TRAINING QUALITY IN BSCS AND BSIT PROGRAMS:</w:t>
      </w:r>
    </w:p>
    <w:p w:rsidR="0015252A" w:rsidRDefault="00B4534C">
      <w:pPr>
        <w:spacing w:after="160" w:line="360" w:lineRule="auto"/>
        <w:jc w:val="center"/>
      </w:pPr>
      <w:r>
        <w:rPr>
          <w:b/>
          <w:bCs/>
          <w:sz w:val="28"/>
          <w:szCs w:val="28"/>
        </w:rPr>
        <w:t/>
      </w:r>
    </w:p>
    <w:p w:rsidR="0015252A" w:rsidRDefault="0015252A"/>
    <w:p w:rsidR="0015252A" w:rsidRDefault="00B4534C">
      <w:pPr>
        <w:spacing w:after="160" w:line="360" w:lineRule="auto"/>
        <w:jc w:val="center"/>
      </w:pPr>
      <w:r>
        <w:rPr>
          <w:b/>
          <w:bCs/>
        </w:rPr>
        <w:t/>
      </w:r>
    </w:p>
    <w:p w:rsidR="0015252A" w:rsidRDefault="00B4534C">
      <w:pPr>
        <w:spacing w:after="160" w:line="360" w:lineRule="auto"/>
        <w:jc w:val="center"/>
      </w:pPr>
      <w:r>
        <w:rPr>
          <w:i/>
          <w:iCs/>
        </w:rPr>
        <w:t/>
      </w:r>
    </w:p>
    <w:p w:rsidR="0015252A" w:rsidRDefault="00B4534C">
      <w:pPr>
        <w:spacing w:after="160" w:line="360" w:lineRule="auto"/>
        <w:jc w:val="center"/>
      </w:pPr>
      <w:r>
        <w:rPr>
          <w:i/>
          <w:iCs/>
        </w:rPr>
        <w:t/>
      </w:r>
    </w:p>
    <w:p w:rsidR="0015252A" w:rsidRDefault="00B4534C">
      <w:pPr>
        <w:spacing w:after="160" w:line="360" w:lineRule="auto"/>
        <w:jc w:val="center"/>
      </w:pPr>
      <w:r>
        <w:rPr>
          <w:i/>
          <w:iCs/>
        </w:rPr>
        <w:t/>
      </w:r>
    </w:p>
    <w:p w:rsidR="0015252A" w:rsidRDefault="00B4534C">
      <w:pPr>
        <w:spacing w:after="160" w:line="360" w:lineRule="auto"/>
        <w:jc w:val="center"/>
      </w:pPr>
      <w:r>
        <w:rPr>
          <w:i/>
          <w:iCs/>
        </w:rPr>
        <w:t/>
      </w:r>
    </w:p>
    <w:p w:rsidR="0015252A" w:rsidRDefault="0015252A"/>
    <w:p w:rsidR="0015252A" w:rsidRDefault="00B4534C">
      <w:pPr>
        <w:pStyle w:val="Heading1"/>
      </w:pPr>
      <w:r>
        <w:t>ABSTRACT</w:t>
      </w:r>
    </w:p>
    <w:p w:rsidR="00845B79" w:rsidRDefault="000B46BE" w:rsidP="000B46BE">
      <w:pPr>
        <w:spacing w:after="160" w:line="360" w:lineRule="auto"/>
        <w:ind w:firstLine="720"/>
        <w:jc w:val="both"/>
      </w:pPr>
      <w:r w:rsidRPr="000B46BE">
        <w:t>This study introduces a risk-based IT audit framework for evaluating the quality of On-the-Job Training (OJT) in undergraduate computing programs and presents its preliminary psychometric evaluation</w:t>
      </w:r>
      <w:r w:rsidR="00F7044B" w:rsidRPr="00F7044B">
        <w:t>. The study combines eight constructs in one forty</w:t>
      </w:r>
      <w:r w:rsidR="00FB53FE">
        <w:t>-</w:t>
      </w:r>
      <w:r w:rsidR="007F56D6">
        <w:t>three</w:t>
      </w:r>
      <w:r w:rsidR="00F7044B" w:rsidRPr="00F7044B">
        <w:t xml:space="preserve"> item KPI-Driven OJT Evaluation Instrument, anchored on the COSO Enterprise Risk Management 2017 Internal Control – Integrated Framework (</w:t>
      </w:r>
      <w:r w:rsidR="005B3601">
        <w:t>COSO</w:t>
      </w:r>
      <w:r w:rsidR="00F7044B" w:rsidRPr="00F7044B">
        <w:t>, 2017), the Industry 4.0 readiness construct</w:t>
      </w:r>
      <w:r w:rsidR="00B20A2F">
        <w:t xml:space="preserve"> (</w:t>
      </w:r>
      <w:r w:rsidR="005B3601">
        <w:t>COSO</w:t>
      </w:r>
      <w:r w:rsidR="00B20A2F">
        <w:t>, 2017)</w:t>
      </w:r>
      <w:r w:rsidR="00193008">
        <w:t>, BADIR analytics methodology</w:t>
      </w:r>
      <w:r>
        <w:t>,</w:t>
      </w:r>
      <w:r w:rsidR="00F7044B" w:rsidRPr="00F7044B">
        <w:t xml:space="preserve"> and the Experiential Learning Theory (Kolb, 1984). It was validated with three consecutive cohorts of Notre Dame of </w:t>
      </w:r>
      <w:proofErr w:type="spellStart"/>
      <w:r w:rsidR="00F7044B" w:rsidRPr="00F7044B">
        <w:t>Marbel</w:t>
      </w:r>
      <w:proofErr w:type="spellEnd"/>
      <w:r w:rsidR="00F7044B" w:rsidRPr="00F7044B">
        <w:t xml:space="preserve"> University in Region XII, Philippines, student-trainees, Bachelor of Science in Computer Science (BSCS) and Bachelor of Science in Information Technology (BSIT).</w:t>
      </w:r>
      <w:r w:rsidR="00F7044B">
        <w:t xml:space="preserve"> </w:t>
      </w:r>
      <w:r w:rsidR="00B4534C">
        <w:t>From a population frame of N = 99 across School Years 2023–2024, 2024–2025, and 2025–2026, sixty-four respondents (n = 64; response rate 64.65%) provided valid consent and complete responses. The deployment yielded an overall Cronbach’s alpha of 0.</w:t>
      </w:r>
      <w:r w:rsidR="003C5971">
        <w:t>928</w:t>
      </w:r>
      <w:r w:rsidR="00B4534C">
        <w:t>, with most constructs demonstrating acceptable reliability estimates for exploratory deployment research.</w:t>
      </w:r>
      <w:r w:rsidR="00193008">
        <w:t xml:space="preserve"> The BSCS-specific Industry 4.0 subscale (I4CS) returned an unsatisfactory alpha of 0.248, interpreted as </w:t>
      </w:r>
      <w:r w:rsidR="00DA033E">
        <w:t xml:space="preserve">a </w:t>
      </w:r>
      <w:r w:rsidR="00193008">
        <w:t xml:space="preserve">content-validity signal reflecting placement </w:t>
      </w:r>
      <w:r w:rsidR="00193008">
        <w:lastRenderedPageBreak/>
        <w:t xml:space="preserve">heterogeneity across </w:t>
      </w:r>
      <w:r w:rsidR="00DA033E">
        <w:t>multiple</w:t>
      </w:r>
      <w:r w:rsidR="00193008">
        <w:t xml:space="preserve"> CC2020 </w:t>
      </w:r>
      <w:r w:rsidR="00DA033E">
        <w:t xml:space="preserve">competency </w:t>
      </w:r>
      <w:r w:rsidR="00193008">
        <w:t>domains.</w:t>
      </w:r>
      <w:r w:rsidR="00B4534C">
        <w:t xml:space="preserve"> Construct means ranged from 4.30 (Monitoring Activities) to 4.62 (Control Environment) on a five-point scale, with the criterion variable Overall OJT Program Quality (OQ) at 4.57 (SD = 0.46). One-way ANOVA detected no significant inter-cohort differences in KPI achievement (</w:t>
      </w:r>
      <w:proofErr w:type="gramStart"/>
      <w:r w:rsidR="00B4534C">
        <w:t>F(</w:t>
      </w:r>
      <w:proofErr w:type="gramEnd"/>
      <w:r w:rsidR="00B4534C">
        <w:t xml:space="preserve">2, 61) = 1.31, p = .278) or OJT Quality (F(2, 61) = 1.00, p = .374), indicating temporal stability across the three school years. Pearson correlations confirmed statistically significant medium-to-large associations among the COSO ERM constructs, while KPI-Driven Performance demonstrated the strongest positive association with Overall OJT Quality (r = 0.84, p &lt; .001). </w:t>
      </w:r>
      <w:r w:rsidR="00845B79" w:rsidRPr="00845B79">
        <w:t xml:space="preserve">The findings demonstrate the feasibility of applying COSO ERM principles as a </w:t>
      </w:r>
      <w:r w:rsidR="005A3451">
        <w:t>structured</w:t>
      </w:r>
      <w:r w:rsidR="00845B79" w:rsidRPr="00845B79">
        <w:t xml:space="preserve"> and psychometrically supported framework for audit-grade OJT quality evaluation in Philippine computing education.</w:t>
      </w:r>
    </w:p>
    <w:p w:rsidR="0015252A" w:rsidRDefault="000B46BE" w:rsidP="000B46BE">
      <w:pPr>
        <w:spacing w:after="160" w:line="360" w:lineRule="auto"/>
        <w:ind w:firstLine="720"/>
        <w:jc w:val="both"/>
      </w:pPr>
      <w:r w:rsidRPr="000B46BE">
        <w:t>The instrument is provided as an open-access evaluation framework for future replication and validation in Philippine higher education institutions.</w:t>
      </w:r>
    </w:p>
    <w:p w:rsidR="000B46BE" w:rsidRDefault="000B46BE"/>
    <w:p w:rsidR="0015252A" w:rsidRDefault="00B4534C">
      <w:pPr>
        <w:spacing w:after="160" w:line="360" w:lineRule="auto"/>
        <w:ind w:firstLine="720"/>
        <w:jc w:val="both"/>
      </w:pPr>
      <w:r>
        <w:rPr>
          <w:b/>
          <w:bCs/>
        </w:rPr>
        <w:t xml:space="preserve">Keywords: </w:t>
      </w:r>
      <w:r w:rsidR="00C873E1" w:rsidRPr="00C873E1">
        <w:rPr>
          <w:i/>
          <w:iCs/>
        </w:rPr>
        <w:t>On-the-Job Training; IT audit; COSO ERM 2017; Industry 4.0; Cronbach's alpha; sequential cohort study; Philippine higher education; BSCS; BSIT; KPI-driven evaluation; content validity; sequential cohort design</w:t>
      </w:r>
    </w:p>
    <w:p w:rsidR="0015252A" w:rsidRDefault="0015252A"/>
    <w:p w:rsidR="0015252A" w:rsidRDefault="00B4534C">
      <w:r>
        <w:br w:type="page"/>
      </w:r>
    </w:p>
    <w:p w:rsidR="0015252A" w:rsidRDefault="00B4534C">
      <w:pPr>
        <w:pStyle w:val="Heading1"/>
      </w:pPr>
      <w:r>
        <w:lastRenderedPageBreak/>
        <w:t>1. INTRODUCTION</w:t>
      </w:r>
    </w:p>
    <w:p w:rsidR="0015252A" w:rsidRDefault="00B4534C">
      <w:pPr>
        <w:spacing w:after="160" w:line="360" w:lineRule="auto"/>
        <w:ind w:firstLine="720"/>
        <w:jc w:val="both"/>
      </w:pPr>
      <w:r>
        <w:t xml:space="preserve">On-the-Job Training (OJT) is </w:t>
      </w:r>
      <w:r w:rsidR="0019489A">
        <w:t xml:space="preserve">one of the </w:t>
      </w:r>
      <w:r>
        <w:t>graduation requirement</w:t>
      </w:r>
      <w:r w:rsidR="0019489A">
        <w:t>s</w:t>
      </w:r>
      <w:r>
        <w:t xml:space="preserve"> of </w:t>
      </w:r>
      <w:r w:rsidR="0019489A">
        <w:t xml:space="preserve">all </w:t>
      </w:r>
      <w:r>
        <w:t>Bachelor of Science in Computer Science (BSCS) and Bachelor of Science in Information Technology (BSIT) program</w:t>
      </w:r>
      <w:r w:rsidR="00876D5D">
        <w:t>s</w:t>
      </w:r>
      <w:r>
        <w:t xml:space="preserve"> in the Philippines (Commission on Higher Education [CHED], 2017). </w:t>
      </w:r>
      <w:r w:rsidR="0019489A" w:rsidRPr="0019489A">
        <w:t xml:space="preserve">Although OJT is a key component of graduate employability and Industry 4.0 readiness, the assessment of the quality of OJT in schools has been based on narrative supervisor assessments, a completion rubric, and program-specific checklists, with none having a theory-based measurement framework. </w:t>
      </w:r>
      <w:r>
        <w:t>The 2020 Computing Curricula joint task force (Computing Curricula 2020, hereafter CC2020) explicitly called for assessment tools that connect OJT outcomes to program-specific competency areas in the BSCS and BSIT pathways (CC2020 Task Force, 2020), but such tools remain underdeveloped in the Philippine setting.</w:t>
      </w:r>
      <w:r w:rsidR="00193008">
        <w:t xml:space="preserve"> </w:t>
      </w:r>
      <w:r w:rsidR="001376D4">
        <w:t xml:space="preserve"> </w:t>
      </w:r>
    </w:p>
    <w:p w:rsidR="0015252A" w:rsidRDefault="00B4534C">
      <w:pPr>
        <w:spacing w:after="160" w:line="360" w:lineRule="auto"/>
        <w:ind w:firstLine="720"/>
        <w:jc w:val="both"/>
      </w:pPr>
      <w:r>
        <w:t xml:space="preserve">Industry 4.0, defined by Schwab (2017) as the </w:t>
      </w:r>
      <w:r w:rsidR="00943571">
        <w:t>merging</w:t>
      </w:r>
      <w:r>
        <w:t xml:space="preserve"> of </w:t>
      </w:r>
      <w:r w:rsidR="00666E07">
        <w:t xml:space="preserve">the </w:t>
      </w:r>
      <w:r>
        <w:t xml:space="preserve">cyber-physical systems, artificial intelligence, and the Internet of Things, has </w:t>
      </w:r>
      <w:r w:rsidR="00666E07">
        <w:t xml:space="preserve">changed the expectations of </w:t>
      </w:r>
      <w:r>
        <w:t>employer</w:t>
      </w:r>
      <w:r w:rsidR="00666E07">
        <w:t>s</w:t>
      </w:r>
      <w:r>
        <w:t xml:space="preserve"> </w:t>
      </w:r>
      <w:r w:rsidR="00666E07">
        <w:t xml:space="preserve">with respect to </w:t>
      </w:r>
      <w:r>
        <w:t xml:space="preserve">computing graduates. </w:t>
      </w:r>
      <w:r w:rsidR="006B1BD7">
        <w:t>T</w:t>
      </w:r>
      <w:r w:rsidR="00666E07">
        <w:t>he</w:t>
      </w:r>
      <w:r>
        <w:t xml:space="preserve"> Philippine IT-Business Process Management (IT-BPM) industry</w:t>
      </w:r>
      <w:r w:rsidR="00A1592B">
        <w:t xml:space="preserve"> </w:t>
      </w:r>
      <w:r>
        <w:t xml:space="preserve">projected a 1.1 million-worker shortfall in Industry 4.0-ready talent by 2028 (IT and Business Process Association of the Philippines [IBPAP], 2022), and Region XII (SOCCSKSARGEN) faces additional structural constraints due to its predominantly rural economic base. Notre Dame of Marbel University (NDMU), the </w:t>
      </w:r>
      <w:r w:rsidR="00666E07">
        <w:t>leading</w:t>
      </w:r>
      <w:r>
        <w:t xml:space="preserve"> private higher education institution in the South Cotabato province, graduates approximately </w:t>
      </w:r>
      <w:r w:rsidR="00F07FFD">
        <w:t>ninet</w:t>
      </w:r>
      <w:r>
        <w:t xml:space="preserve">y BSCS and BSIT students </w:t>
      </w:r>
      <w:r w:rsidR="00666E07">
        <w:t xml:space="preserve">for three </w:t>
      </w:r>
      <w:r>
        <w:t>academic year</w:t>
      </w:r>
      <w:r w:rsidR="00666E07">
        <w:t>s</w:t>
      </w:r>
      <w:r>
        <w:t xml:space="preserve"> and places all of them in OJT programs. </w:t>
      </w:r>
      <w:r w:rsidR="00666E07">
        <w:t>There is a gap in the literature and in program evaluation at NDMU in that a measure of OJT quality is not psychometrically validated.</w:t>
      </w:r>
      <w:r w:rsidR="0004752C">
        <w:t xml:space="preserve"> </w:t>
      </w:r>
      <w:r w:rsidR="008A6673" w:rsidRPr="008A6673">
        <w:t xml:space="preserve">To the </w:t>
      </w:r>
      <w:r w:rsidR="00924647">
        <w:t>author</w:t>
      </w:r>
      <w:r w:rsidR="008A6673" w:rsidRPr="008A6673">
        <w:t>s’ knowledge, this is the first Philippine computing-education study to operationalize enterprise IT-audit governance principles as psychometric constructs for OJT quality evaluation.</w:t>
      </w:r>
    </w:p>
    <w:p w:rsidR="0047202B" w:rsidRDefault="0047202B">
      <w:pPr>
        <w:spacing w:after="160" w:line="360" w:lineRule="auto"/>
        <w:ind w:firstLine="720"/>
        <w:jc w:val="both"/>
      </w:pPr>
      <w:r w:rsidRPr="0047202B">
        <w:t xml:space="preserve">Existing internship and OJT evaluation studies in computing education have primarily focused on satisfaction, employability, or isolated competency outcomes rather than integrated governance-oriented quality assurance frameworks. Furthermore, current OJT assessment tools in Philippine computing education remain weakly aligned with enterprise risk management principles, Industry 4.0 competency mapping, and psychometric validation standards. This gap </w:t>
      </w:r>
      <w:r w:rsidRPr="0047202B">
        <w:lastRenderedPageBreak/>
        <w:t>limits the ability of higher education institutions to conduct audit-grade evaluation of internship quality and Industry 4.0 readiness.</w:t>
      </w:r>
    </w:p>
    <w:p w:rsidR="0015252A" w:rsidRDefault="00B4534C">
      <w:pPr>
        <w:spacing w:after="160" w:line="360" w:lineRule="auto"/>
        <w:ind w:firstLine="720"/>
        <w:jc w:val="both"/>
      </w:pPr>
      <w:r>
        <w:t>Th</w:t>
      </w:r>
      <w:r w:rsidR="00666E07">
        <w:t>e</w:t>
      </w:r>
      <w:r>
        <w:t xml:space="preserve"> </w:t>
      </w:r>
      <w:r w:rsidR="00666E07">
        <w:t xml:space="preserve">purpose of this </w:t>
      </w:r>
      <w:r>
        <w:t xml:space="preserve">study </w:t>
      </w:r>
      <w:r w:rsidR="00666E07">
        <w:t xml:space="preserve">is to </w:t>
      </w:r>
      <w:r w:rsidR="00B44512">
        <w:t>address this</w:t>
      </w:r>
      <w:r w:rsidR="00666E07">
        <w:t xml:space="preserve"> gap </w:t>
      </w:r>
      <w:r w:rsidR="00B44512">
        <w:t xml:space="preserve">through the </w:t>
      </w:r>
      <w:r w:rsidR="00666E07">
        <w:t>develop</w:t>
      </w:r>
      <w:r w:rsidR="00B44512">
        <w:t>ment</w:t>
      </w:r>
      <w:r w:rsidR="00666E07">
        <w:t>, validat</w:t>
      </w:r>
      <w:r w:rsidR="00B44512">
        <w:t>ion,</w:t>
      </w:r>
      <w:r w:rsidR="00666E07">
        <w:t xml:space="preserve"> and </w:t>
      </w:r>
      <w:r w:rsidR="00B44512">
        <w:t>deployment of</w:t>
      </w:r>
      <w:r w:rsidR="00666E07">
        <w:t xml:space="preserve"> a KPI-Driven OJT Evaluation instrument based on four theories.</w:t>
      </w:r>
      <w:r w:rsidR="009F7216">
        <w:t xml:space="preserve"> </w:t>
      </w:r>
      <w:r>
        <w:t xml:space="preserve">The Committee of Sponsoring Organizations of the Treadway Commission Enterprise Risk Management 2017 Internal Control – Integrated Framework (COSO, 2017) </w:t>
      </w:r>
      <w:r w:rsidR="009F7216">
        <w:t>includes</w:t>
      </w:r>
      <w:r>
        <w:t xml:space="preserve"> five of the eight constructs measured by the instrument: Control Environment, Risk Assessment, Control Activities, Information &amp; Communication, and Monitoring Activities. The BADIR analytics methodology </w:t>
      </w:r>
      <w:r w:rsidR="009F7216">
        <w:t>provides</w:t>
      </w:r>
      <w:r>
        <w:t xml:space="preserve"> the KPI-driven performance assessment construct (Maheshwari, 2014). Kolb’s (1984) Experiential Learning Theory anchors the criterion variable, Overall OJT Program Quality. </w:t>
      </w:r>
      <w:r w:rsidR="000F45BD" w:rsidRPr="000F45BD">
        <w:t>This four-theory integration represents the first application of enterprise IT-audit principles within the Philippine computing-education context.</w:t>
      </w:r>
    </w:p>
    <w:p w:rsidR="008A6673" w:rsidRDefault="008A6673">
      <w:pPr>
        <w:spacing w:after="160" w:line="360" w:lineRule="auto"/>
        <w:ind w:firstLine="720"/>
        <w:jc w:val="both"/>
      </w:pPr>
      <w:r>
        <w:t>Collectively, these frameworks position OJT not merely as a training requirement but as a governance-sensitive educational environment requiring structured monitoring, competency alignment, risk-aware supervision, and measurable performance outcomes.</w:t>
      </w:r>
      <w:r w:rsidR="00D87AA8">
        <w:t xml:space="preserve"> Accordingly, the present study conceptualizes OJT quality as a governance-sensitive and competency-driven educational process rather than merely a procedural internship requirement.</w:t>
      </w:r>
      <w:r>
        <w:t xml:space="preserve"> The integration of COSO ERM, BADIR analytics, CC2020 competency mapping, and experiential learning theory therefore enables a multidimensional evaluation model for computing internships.</w:t>
      </w:r>
    </w:p>
    <w:p w:rsidR="0015252A" w:rsidRDefault="00B4534C">
      <w:pPr>
        <w:spacing w:after="160" w:line="360" w:lineRule="auto"/>
        <w:ind w:firstLine="720"/>
        <w:jc w:val="both"/>
      </w:pPr>
      <w:r>
        <w:t xml:space="preserve">Three research questions guide the study: (1) Does the proposed KPI-Driven OJT Evaluation Instrument demonstrate adequate internal consistency reliability when deployed across three independent cohorts? (2) Are there statistically significant differences in KPI achievement and OJT Quality scores across the three sequential cohorts? (3) </w:t>
      </w:r>
      <w:r w:rsidR="0047202B" w:rsidRPr="0047202B">
        <w:t xml:space="preserve">Which COSO ERM, KPI-driven, and Industry 4.0 constructs </w:t>
      </w:r>
      <w:r w:rsidR="008A5F89">
        <w:t xml:space="preserve">demonstrate statistically </w:t>
      </w:r>
      <w:r w:rsidR="0047202B" w:rsidRPr="0047202B">
        <w:t>significant</w:t>
      </w:r>
      <w:r w:rsidR="008A5F89">
        <w:t xml:space="preserve"> associations</w:t>
      </w:r>
      <w:r w:rsidR="0047202B" w:rsidRPr="0047202B">
        <w:t xml:space="preserve"> with Overall OJT Program Quality</w:t>
      </w:r>
      <w:r>
        <w:t>?</w:t>
      </w:r>
      <w:r w:rsidR="00A7722E">
        <w:t xml:space="preserve"> </w:t>
      </w:r>
      <w:r w:rsidR="00A7722E" w:rsidRPr="00A7722E">
        <w:t>(4) How does the psychometric performance of the BSCS-specific Industry 4.0 subscale (I4CS) compare with that of the BSIT-specific subscale (I4IT), and what content-validity implications does this divergence have for the program-specific branching design of the instrument?</w:t>
      </w:r>
      <w:r>
        <w:t xml:space="preserve"> </w:t>
      </w:r>
      <w:r w:rsidR="00A7722E">
        <w:t xml:space="preserve"> </w:t>
      </w:r>
      <w:r w:rsidR="00663238" w:rsidRPr="00663238">
        <w:t>Answers provide empirical defensibility of the instrument and generate evidence-based recommendations that guide program improvement in the OJT program at NDMU and serve as guidance for program replication in the computing-education sector in the Philippines.</w:t>
      </w:r>
    </w:p>
    <w:p w:rsidR="0015252A" w:rsidRDefault="00B4534C">
      <w:pPr>
        <w:pStyle w:val="Heading1"/>
      </w:pPr>
      <w:r>
        <w:lastRenderedPageBreak/>
        <w:t>2. MATERIALS AND METHODS</w:t>
      </w:r>
    </w:p>
    <w:p w:rsidR="0015252A" w:rsidRDefault="00B4534C">
      <w:pPr>
        <w:pStyle w:val="Heading2"/>
      </w:pPr>
      <w:r>
        <w:t>2.1 Research Design</w:t>
      </w:r>
    </w:p>
    <w:p w:rsidR="0015252A" w:rsidRDefault="00B4534C">
      <w:pPr>
        <w:spacing w:after="160" w:line="360" w:lineRule="auto"/>
        <w:jc w:val="both"/>
      </w:pPr>
      <w:r>
        <w:t>The study employed a three-year sequential cohort design with a single deployed measurement at the conclusion of each cohort’s OJT cycle (Singer &amp; Willett, 2003). The longitudinal architecture covers three sequential school years — SY 2023–2024 (Cohort I), SY 2024–2025 (Cohort II), and SY 2025–2026 (Cohort III) — corresponding to the three most recent BSCS and BSIT graduating cohorts of Notre Dame of Marbel University. The instrument was deployed once per cohort upon completion of OJT, producing a between-</w:t>
      </w:r>
      <w:proofErr w:type="gramStart"/>
      <w:r>
        <w:t>subjects</w:t>
      </w:r>
      <w:proofErr w:type="gramEnd"/>
      <w:r>
        <w:t xml:space="preserve"> comparison across the three school years. Cross-sectional and inferential analyses were conducted on the pooled deployment sample, while reliability re-estimation was conducted on the full sample to confirm the psychometric properties established at the pilot stage.</w:t>
      </w:r>
    </w:p>
    <w:p w:rsidR="0015252A" w:rsidRDefault="00B4534C">
      <w:pPr>
        <w:pStyle w:val="Heading2"/>
      </w:pPr>
      <w:r>
        <w:t>2.2 Population and Sample</w:t>
      </w:r>
    </w:p>
    <w:p w:rsidR="0015252A" w:rsidRDefault="00B4534C">
      <w:pPr>
        <w:spacing w:after="160" w:line="360" w:lineRule="auto"/>
        <w:jc w:val="both"/>
      </w:pPr>
      <w:r>
        <w:t>The target population comprised all BSCS and BSIT student-trainees of NDMU who completed or were completing their OJT requirement during the three-year study window. The total population frame was N = 99 (Cohort I = 23, Cohort II = 35, Cohort III = 41). Following the small-population census recommendation of Memon et al. (2020) for populations of N ≤ 200, complete enumeration was adopted as the sampling strategy.</w:t>
      </w:r>
    </w:p>
    <w:p w:rsidR="0015252A" w:rsidRDefault="00B4534C">
      <w:pPr>
        <w:spacing w:after="160" w:line="360" w:lineRule="auto"/>
        <w:ind w:firstLine="720"/>
        <w:jc w:val="both"/>
      </w:pPr>
      <w:r>
        <w:t>After the data-collection window closed, sixty-seven submissions were received. Three respondents declined informed consent and were systematically excluded under the Data Privacy Act of 2012 (Republic Act 10173) and the National Ethical Guidelines for Health and Health-Related Research of the Philippine Health Research Ethics Board (2017), yielding a qualified analytical sample of n = 64. The achieved overall response rate of 64.65% meets contemporary benchmarks for organizational and educational survey research, falling within the recent average response rates documented by Holtom et al. (2022). The inverse Slovin recalibration yielded a margin of error of 7.50%, which falls within the bounds explicitly accepted by Memon et al. (2020) for educational and exploratory research in small institutional populations.</w:t>
      </w:r>
    </w:p>
    <w:p w:rsidR="0015252A" w:rsidRDefault="00B4534C">
      <w:pPr>
        <w:spacing w:after="160" w:line="360" w:lineRule="auto"/>
        <w:jc w:val="center"/>
      </w:pPr>
      <w:r>
        <w:rPr>
          <w:b/>
          <w:bCs/>
        </w:rPr>
        <w:t>Table 1</w:t>
      </w:r>
    </w:p>
    <w:p w:rsidR="0015252A" w:rsidRDefault="00B4534C">
      <w:pPr>
        <w:spacing w:after="160" w:line="360" w:lineRule="auto"/>
        <w:jc w:val="center"/>
      </w:pPr>
      <w:r>
        <w:rPr>
          <w:b/>
          <w:bCs/>
        </w:rPr>
        <w:t>Composition of the Qualified Analytical Sample (n = 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1872"/>
        <w:gridCol w:w="1872"/>
        <w:gridCol w:w="1872"/>
      </w:tblGrid>
      <w:tr w:rsidR="0015252A" w:rsidTr="00D242BA">
        <w:trPr>
          <w:tblHeader/>
        </w:trPr>
        <w:tc>
          <w:tcPr>
            <w:tcW w:w="374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lastRenderedPageBreak/>
              <w:t>Cohort</w:t>
            </w:r>
          </w:p>
        </w:tc>
        <w:tc>
          <w:tcPr>
            <w:tcW w:w="1872"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BSCS</w:t>
            </w:r>
          </w:p>
        </w:tc>
        <w:tc>
          <w:tcPr>
            <w:tcW w:w="1872"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BSIT</w:t>
            </w:r>
          </w:p>
        </w:tc>
        <w:tc>
          <w:tcPr>
            <w:tcW w:w="1872"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Total</w:t>
            </w:r>
          </w:p>
        </w:tc>
      </w:tr>
      <w:tr w:rsidR="0015252A" w:rsidTr="00D242BA">
        <w:tc>
          <w:tcPr>
            <w:tcW w:w="3744" w:type="dxa"/>
            <w:tcBorders>
              <w:top w:val="single" w:sz="4" w:space="0" w:color="000000"/>
              <w:left w:val="nil"/>
              <w:bottom w:val="nil"/>
              <w:right w:val="nil"/>
            </w:tcBorders>
            <w:tcMar>
              <w:top w:w="80" w:type="dxa"/>
              <w:left w:w="120" w:type="dxa"/>
              <w:bottom w:w="80" w:type="dxa"/>
              <w:right w:w="120" w:type="dxa"/>
            </w:tcMar>
          </w:tcPr>
          <w:p w:rsidR="0015252A" w:rsidRDefault="00B4534C">
            <w:r>
              <w:t>Cohort I (SY 2023–2024)</w:t>
            </w:r>
          </w:p>
        </w:tc>
        <w:tc>
          <w:tcPr>
            <w:tcW w:w="1872"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7</w:t>
            </w:r>
          </w:p>
        </w:tc>
        <w:tc>
          <w:tcPr>
            <w:tcW w:w="1872"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9</w:t>
            </w:r>
          </w:p>
        </w:tc>
        <w:tc>
          <w:tcPr>
            <w:tcW w:w="1872"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rPr>
                <w:b/>
                <w:bCs/>
              </w:rPr>
              <w:t>16</w:t>
            </w:r>
          </w:p>
        </w:tc>
      </w:tr>
      <w:tr w:rsidR="0015252A" w:rsidTr="00D242BA">
        <w:tc>
          <w:tcPr>
            <w:tcW w:w="3744" w:type="dxa"/>
            <w:tcBorders>
              <w:top w:val="nil"/>
              <w:left w:val="nil"/>
              <w:bottom w:val="nil"/>
              <w:right w:val="nil"/>
            </w:tcBorders>
            <w:tcMar>
              <w:top w:w="80" w:type="dxa"/>
              <w:left w:w="120" w:type="dxa"/>
              <w:bottom w:w="80" w:type="dxa"/>
              <w:right w:w="120" w:type="dxa"/>
            </w:tcMar>
          </w:tcPr>
          <w:p w:rsidR="0015252A" w:rsidRDefault="00B4534C">
            <w:r>
              <w:t>Cohort II (SY 2024–2025)</w:t>
            </w:r>
          </w:p>
        </w:tc>
        <w:tc>
          <w:tcPr>
            <w:tcW w:w="1872" w:type="dxa"/>
            <w:tcBorders>
              <w:top w:val="nil"/>
              <w:left w:val="nil"/>
              <w:bottom w:val="nil"/>
              <w:right w:val="nil"/>
            </w:tcBorders>
            <w:tcMar>
              <w:top w:w="80" w:type="dxa"/>
              <w:left w:w="120" w:type="dxa"/>
              <w:bottom w:w="80" w:type="dxa"/>
              <w:right w:w="120" w:type="dxa"/>
            </w:tcMar>
          </w:tcPr>
          <w:p w:rsidR="0015252A" w:rsidRDefault="00B4534C">
            <w:pPr>
              <w:jc w:val="center"/>
            </w:pPr>
            <w:r>
              <w:t>12</w:t>
            </w:r>
          </w:p>
        </w:tc>
        <w:tc>
          <w:tcPr>
            <w:tcW w:w="1872" w:type="dxa"/>
            <w:tcBorders>
              <w:top w:val="nil"/>
              <w:left w:val="nil"/>
              <w:bottom w:val="nil"/>
              <w:right w:val="nil"/>
            </w:tcBorders>
            <w:tcMar>
              <w:top w:w="80" w:type="dxa"/>
              <w:left w:w="120" w:type="dxa"/>
              <w:bottom w:w="80" w:type="dxa"/>
              <w:right w:w="120" w:type="dxa"/>
            </w:tcMar>
          </w:tcPr>
          <w:p w:rsidR="0015252A" w:rsidRDefault="00B4534C">
            <w:pPr>
              <w:jc w:val="center"/>
            </w:pPr>
            <w:r>
              <w:t>10</w:t>
            </w:r>
          </w:p>
        </w:tc>
        <w:tc>
          <w:tcPr>
            <w:tcW w:w="1872"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22</w:t>
            </w:r>
          </w:p>
        </w:tc>
      </w:tr>
      <w:tr w:rsidR="0015252A" w:rsidTr="00D242BA">
        <w:tc>
          <w:tcPr>
            <w:tcW w:w="3744" w:type="dxa"/>
            <w:tcBorders>
              <w:top w:val="nil"/>
              <w:left w:val="nil"/>
              <w:bottom w:val="nil"/>
              <w:right w:val="nil"/>
            </w:tcBorders>
            <w:tcMar>
              <w:top w:w="80" w:type="dxa"/>
              <w:left w:w="120" w:type="dxa"/>
              <w:bottom w:w="80" w:type="dxa"/>
              <w:right w:w="120" w:type="dxa"/>
            </w:tcMar>
          </w:tcPr>
          <w:p w:rsidR="0015252A" w:rsidRDefault="00B4534C">
            <w:r>
              <w:t>Cohort III (SY 2025–2026)</w:t>
            </w:r>
          </w:p>
        </w:tc>
        <w:tc>
          <w:tcPr>
            <w:tcW w:w="1872" w:type="dxa"/>
            <w:tcBorders>
              <w:top w:val="nil"/>
              <w:left w:val="nil"/>
              <w:bottom w:val="nil"/>
              <w:right w:val="nil"/>
            </w:tcBorders>
            <w:tcMar>
              <w:top w:w="80" w:type="dxa"/>
              <w:left w:w="120" w:type="dxa"/>
              <w:bottom w:w="80" w:type="dxa"/>
              <w:right w:w="120" w:type="dxa"/>
            </w:tcMar>
          </w:tcPr>
          <w:p w:rsidR="0015252A" w:rsidRDefault="00B4534C">
            <w:pPr>
              <w:jc w:val="center"/>
            </w:pPr>
            <w:r>
              <w:t>4</w:t>
            </w:r>
          </w:p>
        </w:tc>
        <w:tc>
          <w:tcPr>
            <w:tcW w:w="1872" w:type="dxa"/>
            <w:tcBorders>
              <w:top w:val="nil"/>
              <w:left w:val="nil"/>
              <w:bottom w:val="nil"/>
              <w:right w:val="nil"/>
            </w:tcBorders>
            <w:tcMar>
              <w:top w:w="80" w:type="dxa"/>
              <w:left w:w="120" w:type="dxa"/>
              <w:bottom w:w="80" w:type="dxa"/>
              <w:right w:w="120" w:type="dxa"/>
            </w:tcMar>
          </w:tcPr>
          <w:p w:rsidR="0015252A" w:rsidRDefault="00B4534C">
            <w:pPr>
              <w:jc w:val="center"/>
            </w:pPr>
            <w:r>
              <w:t>22</w:t>
            </w:r>
          </w:p>
        </w:tc>
        <w:tc>
          <w:tcPr>
            <w:tcW w:w="1872"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26</w:t>
            </w:r>
          </w:p>
        </w:tc>
      </w:tr>
      <w:tr w:rsidR="0015252A" w:rsidTr="00D242BA">
        <w:tc>
          <w:tcPr>
            <w:tcW w:w="3744" w:type="dxa"/>
            <w:tcBorders>
              <w:top w:val="nil"/>
              <w:left w:val="nil"/>
              <w:bottom w:val="nil"/>
              <w:right w:val="nil"/>
            </w:tcBorders>
            <w:tcMar>
              <w:top w:w="80" w:type="dxa"/>
              <w:left w:w="120" w:type="dxa"/>
              <w:bottom w:w="80" w:type="dxa"/>
              <w:right w:w="120" w:type="dxa"/>
            </w:tcMar>
          </w:tcPr>
          <w:p w:rsidR="0015252A" w:rsidRDefault="00B4534C">
            <w:r>
              <w:rPr>
                <w:b/>
                <w:bCs/>
              </w:rPr>
              <w:t>Total (n)</w:t>
            </w:r>
          </w:p>
        </w:tc>
        <w:tc>
          <w:tcPr>
            <w:tcW w:w="1872"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23</w:t>
            </w:r>
          </w:p>
        </w:tc>
        <w:tc>
          <w:tcPr>
            <w:tcW w:w="1872"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41</w:t>
            </w:r>
          </w:p>
        </w:tc>
        <w:tc>
          <w:tcPr>
            <w:tcW w:w="1872"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64</w:t>
            </w:r>
          </w:p>
        </w:tc>
      </w:tr>
    </w:tbl>
    <w:p w:rsidR="0015252A" w:rsidRDefault="0015252A"/>
    <w:p w:rsidR="0015252A" w:rsidRDefault="00B4534C">
      <w:pPr>
        <w:pStyle w:val="Heading2"/>
      </w:pPr>
      <w:r>
        <w:t>2.3 Instrument</w:t>
      </w:r>
    </w:p>
    <w:p w:rsidR="0015252A" w:rsidRDefault="007F119F" w:rsidP="008A6673">
      <w:pPr>
        <w:spacing w:after="160" w:line="360" w:lineRule="auto"/>
        <w:ind w:firstLine="720"/>
        <w:jc w:val="both"/>
      </w:pPr>
      <w:r>
        <w:t>For the purpose of this study, the</w:t>
      </w:r>
      <w:r w:rsidR="00B4534C">
        <w:t xml:space="preserve"> KPI-Driven OJT Evaluation Instrument</w:t>
      </w:r>
      <w:r>
        <w:t xml:space="preserve"> had</w:t>
      </w:r>
      <w:r w:rsidR="00B4534C">
        <w:t xml:space="preserve"> eight </w:t>
      </w:r>
      <w:r w:rsidR="00971F21">
        <w:t xml:space="preserve">constructs </w:t>
      </w:r>
      <w:r>
        <w:t xml:space="preserve">using </w:t>
      </w:r>
      <w:r w:rsidR="00971F21">
        <w:t xml:space="preserve">a </w:t>
      </w:r>
      <w:r w:rsidR="005378A5">
        <w:t>5-point Likert scale</w:t>
      </w:r>
      <w:r w:rsidR="00B4534C">
        <w:t xml:space="preserve"> </w:t>
      </w:r>
      <w:r>
        <w:t xml:space="preserve">with total of </w:t>
      </w:r>
      <w:r w:rsidR="005378A5">
        <w:t>forty-</w:t>
      </w:r>
      <w:r w:rsidR="007F56D6">
        <w:t>three</w:t>
      </w:r>
      <w:r w:rsidR="00B4534C">
        <w:t xml:space="preserve"> </w:t>
      </w:r>
      <w:r w:rsidR="005378A5">
        <w:t>substantive items,</w:t>
      </w:r>
      <w:r w:rsidR="00971F21">
        <w:t xml:space="preserve"> two</w:t>
      </w:r>
      <w:r w:rsidR="00B4534C">
        <w:t xml:space="preserve"> demographic </w:t>
      </w:r>
      <w:r w:rsidR="00971F21">
        <w:t>items</w:t>
      </w:r>
      <w:r w:rsidR="00B4534C">
        <w:t xml:space="preserve"> (cohort and program) and four open-ended response items. </w:t>
      </w:r>
      <w:r w:rsidR="0014648C">
        <w:t xml:space="preserve">The instrument employed program-specific branching: BSCS respondents answered the I4CS items, while BSIT respondents answered the I4IT items. </w:t>
      </w:r>
      <w:r w:rsidR="00B4534C">
        <w:t>The eight constructs</w:t>
      </w:r>
      <w:r>
        <w:t xml:space="preserve">, </w:t>
      </w:r>
      <w:r w:rsidR="00E67820">
        <w:t>with their</w:t>
      </w:r>
      <w:r w:rsidR="00B4534C">
        <w:t xml:space="preserve"> theoretical anchors are:</w:t>
      </w:r>
    </w:p>
    <w:p w:rsidR="0015252A" w:rsidRDefault="00B4534C" w:rsidP="00D87AA8">
      <w:pPr>
        <w:pStyle w:val="ListParagraph"/>
        <w:numPr>
          <w:ilvl w:val="0"/>
          <w:numId w:val="2"/>
        </w:numPr>
        <w:spacing w:after="80" w:line="360" w:lineRule="auto"/>
        <w:jc w:val="both"/>
      </w:pPr>
      <w:r>
        <w:t>Control Environment (CE) — 5 items — COSO ERM Component 1 (governance, ethics, supervisory competence, pre-deployment readiness)</w:t>
      </w:r>
    </w:p>
    <w:p w:rsidR="0015252A" w:rsidRDefault="00B4534C" w:rsidP="00D87AA8">
      <w:pPr>
        <w:pStyle w:val="ListParagraph"/>
        <w:numPr>
          <w:ilvl w:val="0"/>
          <w:numId w:val="2"/>
        </w:numPr>
        <w:spacing w:after="80" w:line="360" w:lineRule="auto"/>
        <w:jc w:val="both"/>
      </w:pPr>
      <w:r>
        <w:t xml:space="preserve">Risk Assessment (RA) — </w:t>
      </w:r>
      <w:r w:rsidR="002D6ADD">
        <w:t>5</w:t>
      </w:r>
      <w:r>
        <w:t xml:space="preserve"> items — COSO ERM Component 2 (task-skill alignment, duration sufficiency, resource access)</w:t>
      </w:r>
    </w:p>
    <w:p w:rsidR="0015252A" w:rsidRDefault="00B4534C" w:rsidP="00D87AA8">
      <w:pPr>
        <w:pStyle w:val="ListParagraph"/>
        <w:numPr>
          <w:ilvl w:val="0"/>
          <w:numId w:val="2"/>
        </w:numPr>
        <w:spacing w:after="80" w:line="360" w:lineRule="auto"/>
        <w:jc w:val="both"/>
      </w:pPr>
      <w:r>
        <w:t>Control Activities (CA) — 6 items — COSO ERM Component 3 (procedures, instructions, performance standards, security, issue resolution)</w:t>
      </w:r>
    </w:p>
    <w:p w:rsidR="0015252A" w:rsidRDefault="00B4534C" w:rsidP="00D87AA8">
      <w:pPr>
        <w:pStyle w:val="ListParagraph"/>
        <w:numPr>
          <w:ilvl w:val="0"/>
          <w:numId w:val="2"/>
        </w:numPr>
        <w:spacing w:after="80" w:line="360" w:lineRule="auto"/>
        <w:jc w:val="both"/>
      </w:pPr>
      <w:r>
        <w:t>Information &amp; Communication (IC) — 5 items — COSO ERM Component 4 (feedback clarity, expectations, communication channels)</w:t>
      </w:r>
    </w:p>
    <w:p w:rsidR="0015252A" w:rsidRDefault="00B4534C" w:rsidP="00D87AA8">
      <w:pPr>
        <w:pStyle w:val="ListParagraph"/>
        <w:numPr>
          <w:ilvl w:val="0"/>
          <w:numId w:val="2"/>
        </w:numPr>
        <w:spacing w:after="80" w:line="360" w:lineRule="auto"/>
        <w:jc w:val="both"/>
      </w:pPr>
      <w:r>
        <w:t>Monitoring Activities (MA) — 5 items — COSO ERM Component 5 (institutional and host-organization monitoring, issue tracking)</w:t>
      </w:r>
    </w:p>
    <w:p w:rsidR="0015252A" w:rsidRDefault="00B4534C" w:rsidP="00D87AA8">
      <w:pPr>
        <w:pStyle w:val="ListParagraph"/>
        <w:numPr>
          <w:ilvl w:val="0"/>
          <w:numId w:val="2"/>
        </w:numPr>
        <w:spacing w:after="80" w:line="360" w:lineRule="auto"/>
        <w:jc w:val="both"/>
      </w:pPr>
      <w:r>
        <w:t>Industry 4.0 Shared (I4S) — 4 items — Schwab (2017) digital readiness applicable to all programs</w:t>
      </w:r>
    </w:p>
    <w:p w:rsidR="00D74763" w:rsidRDefault="00D74763" w:rsidP="00D87AA8">
      <w:pPr>
        <w:pStyle w:val="ListParagraph"/>
        <w:numPr>
          <w:ilvl w:val="0"/>
          <w:numId w:val="2"/>
        </w:numPr>
        <w:spacing w:after="80" w:line="360" w:lineRule="auto"/>
        <w:jc w:val="both"/>
      </w:pPr>
      <w:r>
        <w:t>Industry 4.0 BSIT-specific (I4IT) and BSCS-specific (I4CS) constructs — 4 items each — anchored on CC2020 program-dominant competencies.</w:t>
      </w:r>
    </w:p>
    <w:p w:rsidR="0015252A" w:rsidRDefault="00B4534C" w:rsidP="00D87AA8">
      <w:pPr>
        <w:pStyle w:val="ListParagraph"/>
        <w:numPr>
          <w:ilvl w:val="0"/>
          <w:numId w:val="2"/>
        </w:numPr>
        <w:spacing w:after="80" w:line="360" w:lineRule="auto"/>
        <w:jc w:val="both"/>
      </w:pPr>
      <w:r>
        <w:lastRenderedPageBreak/>
        <w:t>KPI-Driven Performance (KPI) — 5 items — BADIR analytics indicators (competency improvement, knowledge application, theory-practice integration, reflection, performance improvement)</w:t>
      </w:r>
    </w:p>
    <w:p w:rsidR="0015252A" w:rsidRDefault="00B4534C" w:rsidP="00D87AA8">
      <w:pPr>
        <w:pStyle w:val="ListParagraph"/>
        <w:numPr>
          <w:ilvl w:val="0"/>
          <w:numId w:val="2"/>
        </w:numPr>
        <w:spacing w:after="80" w:line="360" w:lineRule="auto"/>
        <w:jc w:val="both"/>
      </w:pPr>
      <w:r>
        <w:t>Overall OJT Quality (OQ) — 5 items — criterion variable anchored on Kolb (1984) experiential learning outcomes</w:t>
      </w:r>
    </w:p>
    <w:p w:rsidR="0015252A" w:rsidRDefault="007B0004" w:rsidP="008A6673">
      <w:pPr>
        <w:spacing w:after="160" w:line="360" w:lineRule="auto"/>
        <w:ind w:firstLine="720"/>
        <w:jc w:val="both"/>
      </w:pPr>
      <w:r>
        <w:t>These items</w:t>
      </w:r>
      <w:r w:rsidR="00B4534C">
        <w:t xml:space="preserve"> </w:t>
      </w:r>
      <w:r>
        <w:t>were scored</w:t>
      </w:r>
      <w:r w:rsidR="00B4534C">
        <w:t xml:space="preserve"> on a five-point Likert scale (1 = Strongly Disagree; 5 = Strongly Agree). </w:t>
      </w:r>
      <w:r w:rsidR="003812E5">
        <w:t xml:space="preserve"> </w:t>
      </w:r>
      <w:r w:rsidR="008F2494">
        <w:t xml:space="preserve"> The instrument contained </w:t>
      </w:r>
      <w:proofErr w:type="gramStart"/>
      <w:r w:rsidR="007F56D6">
        <w:t>thirty nine</w:t>
      </w:r>
      <w:proofErr w:type="gramEnd"/>
      <w:r w:rsidR="008F2494">
        <w:t xml:space="preserve"> shared Likert items plus one four-item program-specific Industry 4.0 branch (I4CS for BSCS respondents or I4IT for BSIT respondents), resulting in forty-</w:t>
      </w:r>
      <w:r w:rsidR="007F56D6">
        <w:t>three</w:t>
      </w:r>
      <w:r w:rsidR="008F2494">
        <w:t xml:space="preserve"> total substantive items answered per respondent. </w:t>
      </w:r>
      <w:r w:rsidR="00B4534C">
        <w:t xml:space="preserve">The instrument was previously validated in a pilot study of </w:t>
      </w:r>
      <w:r>
        <w:t>eighteen</w:t>
      </w:r>
      <w:r w:rsidR="00B4534C">
        <w:t xml:space="preserve"> respondents, returning an overall Cronbach’s alpha of 0.939</w:t>
      </w:r>
      <w:r>
        <w:t>,</w:t>
      </w:r>
      <w:r w:rsidR="00B4534C">
        <w:t xml:space="preserve"> </w:t>
      </w:r>
      <w:r>
        <w:t>resulting in</w:t>
      </w:r>
      <w:r w:rsidR="00B4534C">
        <w:t xml:space="preserve"> ten item </w:t>
      </w:r>
      <w:r>
        <w:t>changes to the instrument before it could be deployed on the present participants</w:t>
      </w:r>
      <w:r w:rsidR="00B4534C">
        <w:t>.</w:t>
      </w:r>
      <w:r w:rsidR="006A5340">
        <w:t xml:space="preserve"> </w:t>
      </w:r>
      <w:r w:rsidR="006A5340" w:rsidRPr="006A5340">
        <w:t>Of note, the pilot-stage I4CS subscale (BSCS respondents only, n = 7) already returned a below-threshold reliability estimate, which informed the decision to flag this subscale for additional monitoring during the deployment phase.</w:t>
      </w:r>
      <w:r w:rsidR="0014648C">
        <w:t xml:space="preserve"> </w:t>
      </w:r>
      <w:r w:rsidR="00B6063C">
        <w:t xml:space="preserve"> </w:t>
      </w:r>
    </w:p>
    <w:p w:rsidR="00115AAE" w:rsidRDefault="00527E46" w:rsidP="008A6673">
      <w:pPr>
        <w:spacing w:after="160" w:line="360" w:lineRule="auto"/>
        <w:ind w:firstLine="720"/>
        <w:jc w:val="both"/>
      </w:pPr>
      <w:r w:rsidRPr="00527E46">
        <w:t>The nature of work (NW) was dealt with as a contextual moderating variable instead of a psychometric construct. The variable captured the operational exposure of student trainees on a number of OJT task domains like programming, technical support, documentation, networking, multimedia, and administrative tasks. The NW indicators were not tested for internal consistency, but rather analyzed descriptively and contextually, due to the possibility of respondents selecting multiple task categories. The variable was maintained to facilitate the interpretation of subgroups, the qualitative–quantitative triangulation and the explanation of the outcomes of the KPIs and OJT Quality.</w:t>
      </w:r>
    </w:p>
    <w:p w:rsidR="0015252A" w:rsidRDefault="00B4534C">
      <w:pPr>
        <w:pStyle w:val="Heading2"/>
      </w:pPr>
      <w:r>
        <w:t>2.4 Procedure</w:t>
      </w:r>
    </w:p>
    <w:p w:rsidR="0015252A" w:rsidRDefault="00B4534C" w:rsidP="008A6673">
      <w:pPr>
        <w:spacing w:after="160" w:line="360" w:lineRule="auto"/>
        <w:ind w:firstLine="720"/>
        <w:jc w:val="both"/>
      </w:pPr>
      <w:r>
        <w:t>The Google Form</w:t>
      </w:r>
      <w:r w:rsidR="00757C42">
        <w:t xml:space="preserve"> was coded with </w:t>
      </w:r>
      <w:r>
        <w:t>mandatory</w:t>
      </w:r>
      <w:r w:rsidR="00757C42">
        <w:t xml:space="preserve"> </w:t>
      </w:r>
      <w:proofErr w:type="gramStart"/>
      <w:r w:rsidR="00757C42">
        <w:t xml:space="preserve">and </w:t>
      </w:r>
      <w:r>
        <w:t xml:space="preserve"> informed</w:t>
      </w:r>
      <w:proofErr w:type="gramEnd"/>
      <w:r>
        <w:t xml:space="preserve"> consent, conditional branching for program-specific items, and automatic timestamp capture. The deployment link was </w:t>
      </w:r>
      <w:r w:rsidR="00757C42">
        <w:t xml:space="preserve">sent via the </w:t>
      </w:r>
      <w:r>
        <w:t xml:space="preserve">distributed institutional email channels of the Department of Computer Studies of NDMU </w:t>
      </w:r>
      <w:r w:rsidR="004853F6">
        <w:t xml:space="preserve"> </w:t>
      </w:r>
      <w:r>
        <w:t xml:space="preserve"> communications to alumni from Cohorts I and II. The data-collection window remained open from May</w:t>
      </w:r>
      <w:r w:rsidR="001D5A50">
        <w:t xml:space="preserve"> 1,</w:t>
      </w:r>
      <w:r>
        <w:t xml:space="preserve"> 2026 to May </w:t>
      </w:r>
      <w:r w:rsidR="001D5A50">
        <w:t xml:space="preserve">15, </w:t>
      </w:r>
      <w:r>
        <w:t>2026. Reminders were sent at 24-hour and 48-hour intervals following the recommendations of Wu et al. (2022) for online survey response-rate enhancement.</w:t>
      </w:r>
    </w:p>
    <w:p w:rsidR="0014648C" w:rsidRDefault="008A6673" w:rsidP="008A6673">
      <w:pPr>
        <w:spacing w:after="160" w:line="360" w:lineRule="auto"/>
        <w:ind w:firstLine="720"/>
        <w:jc w:val="both"/>
      </w:pPr>
      <w:r w:rsidRPr="008A6673">
        <w:lastRenderedPageBreak/>
        <w:t>After data collection, the dataset was cleaned and anonymized in compliance with the Data Privacy Act of 2012. Non-consenting respondents were systematically excluded, email addresses removed, and respondent identifiers pseudonymized (R1–R64). Reverse-coded item RA-4R was recoded as RA-4 to maintain directional consistency within the Risk Assessment construct.</w:t>
      </w:r>
    </w:p>
    <w:p w:rsidR="0015252A" w:rsidRDefault="00B4534C" w:rsidP="00631069">
      <w:pPr>
        <w:pStyle w:val="Heading2"/>
      </w:pPr>
      <w:r>
        <w:t>2.5 Statistical Analysis</w:t>
      </w:r>
    </w:p>
    <w:p w:rsidR="0053589A" w:rsidRDefault="0053589A" w:rsidP="0053589A">
      <w:pPr>
        <w:spacing w:after="160" w:line="360" w:lineRule="auto"/>
        <w:ind w:firstLine="720"/>
        <w:jc w:val="both"/>
      </w:pPr>
      <w:r>
        <w:t xml:space="preserve">All analyses were performed in Python 3.11 using the pandas, NumPy, and </w:t>
      </w:r>
      <w:proofErr w:type="spellStart"/>
      <w:r>
        <w:t>SciPy.stats</w:t>
      </w:r>
      <w:proofErr w:type="spellEnd"/>
      <w:r>
        <w:t xml:space="preserve"> libraries within the Google </w:t>
      </w:r>
      <w:proofErr w:type="spellStart"/>
      <w:r>
        <w:t>Colab</w:t>
      </w:r>
      <w:proofErr w:type="spellEnd"/>
      <w:r>
        <w:t xml:space="preserve"> </w:t>
      </w:r>
      <w:proofErr w:type="spellStart"/>
      <w:r>
        <w:t>Jupyter</w:t>
      </w:r>
      <w:proofErr w:type="spellEnd"/>
      <w:r>
        <w:t xml:space="preserve"> Notebook environment (Harris et al., 2020; McKinney, 2010; Virtanen et al., 2020). Cronbach’s coefficient alpha (Cronbach, 1951) was computed for each construct and for the overall instrument to evaluate internal consistency reliability. Following </w:t>
      </w:r>
      <w:proofErr w:type="spellStart"/>
      <w:r>
        <w:t>Barbera</w:t>
      </w:r>
      <w:proofErr w:type="spellEnd"/>
      <w:r>
        <w:t xml:space="preserve"> et al. (2021), reliability estimates of α ≥ 0.70 were interpreted as acceptable, while a relaxed threshold of α ≥ 0.65 was acknowledged for four-item scales (</w:t>
      </w:r>
      <w:proofErr w:type="spellStart"/>
      <w:r>
        <w:t>Bujang</w:t>
      </w:r>
      <w:proofErr w:type="spellEnd"/>
      <w:r>
        <w:t xml:space="preserve">, Omar, &amp; </w:t>
      </w:r>
      <w:proofErr w:type="spellStart"/>
      <w:r>
        <w:t>Baharum</w:t>
      </w:r>
      <w:proofErr w:type="spellEnd"/>
      <w:r>
        <w:t>, 2018). Descriptive statistics, including means and standard deviations, were calculated for all construct scores. Item-total correlations and mean inter-item correlations (MIC) were additionally examined for the BSCS-specific Industry 4.0 subscale (I4CS) to evaluate item-level consistency.</w:t>
      </w:r>
    </w:p>
    <w:p w:rsidR="0053589A" w:rsidRDefault="0053589A" w:rsidP="0053589A">
      <w:pPr>
        <w:spacing w:after="160" w:line="360" w:lineRule="auto"/>
        <w:ind w:firstLine="720"/>
        <w:jc w:val="both"/>
      </w:pPr>
      <w:r>
        <w:t>Inferential analyses were conducted to examine inter-cohort and program-level differences as well as relationships among the study constructs. One-way analysis of variance (ANOVA) was used to test differences in KPI-Driven Performance (KPI) and Overall OJT Quality (OQ) across the three sequential cohorts. Independent-samples Welch’s t-test was performed to compare BSCS and BSIT respondents on KPI scores. Pearson product-moment correlations were computed to assess bivariate relationships among the COSO ERM, Industry 4.0, KPI, and OJT Quality constructs. Effect sizes were interpreted using eta squared (η²) for ANOVA and Cohen’s d for t-tests following Cohen’s (1988) benchmarks. Statistical power for the three-group ANOVA at medium effect size (f = 0.25, α = .05) was approximately 0.50; therefore, cohort comparisons were interpreted as exploratory.</w:t>
      </w:r>
    </w:p>
    <w:p w:rsidR="0053589A" w:rsidRDefault="0053589A" w:rsidP="0053589A">
      <w:pPr>
        <w:spacing w:after="160" w:line="360" w:lineRule="auto"/>
        <w:ind w:firstLine="720"/>
        <w:jc w:val="both"/>
      </w:pPr>
      <w:r>
        <w:t xml:space="preserve">Prior to inferential testing, statistical assumptions were examined to determine the suitability of parametric procedures. Normality was assessed using the Shapiro–Wilk test, homogeneity of variance through </w:t>
      </w:r>
      <w:proofErr w:type="spellStart"/>
      <w:r>
        <w:t>Levene’s</w:t>
      </w:r>
      <w:proofErr w:type="spellEnd"/>
      <w:r>
        <w:t xml:space="preserve"> test, and multicollinearity using Variance Inflation Factor (VIF) analysis. Residual diagnostics were also examined to evaluate independence and distributional assumptions. Shapiro–Wilk results indicated no substantial deviations from </w:t>
      </w:r>
      <w:r>
        <w:lastRenderedPageBreak/>
        <w:t xml:space="preserve">normality for most constructs (p &gt; .05), while </w:t>
      </w:r>
      <w:proofErr w:type="spellStart"/>
      <w:r>
        <w:t>Levene’s</w:t>
      </w:r>
      <w:proofErr w:type="spellEnd"/>
      <w:r>
        <w:t xml:space="preserve"> test supported homogeneity of variance across cohorts (p &gt; .05). VIF values ranged from 1.12 to 2.34, indicating no severe multicollinearity concerns. Diagnostic results overall indicated no major assumption violations requiring nonparametric alternatives.</w:t>
      </w:r>
    </w:p>
    <w:p w:rsidR="0000489F" w:rsidRDefault="0053589A" w:rsidP="0053589A">
      <w:pPr>
        <w:spacing w:after="160" w:line="360" w:lineRule="auto"/>
        <w:ind w:firstLine="720"/>
        <w:jc w:val="both"/>
      </w:pPr>
      <w:r>
        <w:t>Exploratory Factor Analysis (EFA) using Principal Component Analysis with Varimax rotation was conducted to examine the preliminary construct structure of the deployment dataset and assess potential common method bias (Hair et al., 2019). Sampling adequacy was evaluated using the Kaiser–Meyer–Olkin (KMO) statistic (Kaiser, 1974) and Bartlett’s Test of Sphericity (Bartlett, 1954). Harman’s single-factor test (Harman, 1976; Podsakoff et al., 2003) was additionally employed as a diagnostic procedure for common method bias. The first unrotated factor accounted for less than 50% of the total variance, suggesting that common method bias was not a serious concern in the dataset. Because the respondent-to-item ratio remained below conventional confirmatory thresholds, the resulting factor structure was interpreted as preliminary and exploratory rather than definitive evidence of latent construct dimensionality.</w:t>
      </w:r>
    </w:p>
    <w:p w:rsidR="008146EC" w:rsidRDefault="008146EC" w:rsidP="008146EC">
      <w:pPr>
        <w:pStyle w:val="Heading2"/>
      </w:pPr>
      <w:r>
        <w:t>2.6 Qualitative Analysis</w:t>
      </w:r>
    </w:p>
    <w:p w:rsidR="008146EC" w:rsidRDefault="008146EC" w:rsidP="008146EC">
      <w:pPr>
        <w:spacing w:after="160" w:line="360" w:lineRule="auto"/>
        <w:ind w:firstLine="720"/>
        <w:jc w:val="both"/>
      </w:pPr>
      <w:r>
        <w:t>In addition to the quantitative analysis, qualitative data were collected through four open-ended questions included in the deployed instrument. A deductive thematic analysis approach (Braun &amp; Clarke, 2006) was employed, guided by the conceptual framework of the study.</w:t>
      </w:r>
    </w:p>
    <w:p w:rsidR="008146EC" w:rsidRDefault="008146EC" w:rsidP="008146EC">
      <w:pPr>
        <w:spacing w:after="160" w:line="360" w:lineRule="auto"/>
        <w:ind w:firstLine="720"/>
        <w:jc w:val="both"/>
      </w:pPr>
      <w:r>
        <w:t>Responses were coded using a framework-aligned coding scheme corresponding to the eight constructs: Control Environment, Risk Assessment, Control Activities, Information &amp; Communication, Monitoring Activities, Industry 4.0, KPI Performance, and Overall OJT Quality.</w:t>
      </w:r>
    </w:p>
    <w:p w:rsidR="008146EC" w:rsidRDefault="00971F21" w:rsidP="008146EC">
      <w:pPr>
        <w:spacing w:after="160" w:line="360" w:lineRule="auto"/>
        <w:ind w:firstLine="720"/>
        <w:jc w:val="both"/>
      </w:pPr>
      <w:r>
        <w:t>Data were analyzed in three steps</w:t>
      </w:r>
      <w:r w:rsidR="008146EC">
        <w:t>: (1) initial coding of responses into construct-aligned categories, (2) identification of recurring themes across respondents, and (3) extraction of representative statements to illustrate each theme.</w:t>
      </w:r>
    </w:p>
    <w:p w:rsidR="00F8284B" w:rsidRDefault="00845B79" w:rsidP="00C54C7A">
      <w:pPr>
        <w:spacing w:after="160" w:line="360" w:lineRule="auto"/>
        <w:ind w:firstLine="720"/>
        <w:jc w:val="both"/>
      </w:pPr>
      <w:r>
        <w:t xml:space="preserve"> </w:t>
      </w:r>
      <w:r w:rsidR="00F8284B">
        <w:t>Trustworthiness of the qualitative interpretation was strengthened through coding audit trails, iterative construct alignment, and triangulation with quantitative findings following Lincoln and Guba’s (1985) credibility framework.</w:t>
      </w:r>
      <w:r w:rsidR="0014648C">
        <w:t xml:space="preserve"> </w:t>
      </w:r>
      <w:r w:rsidR="004D1F77">
        <w:t xml:space="preserve"> </w:t>
      </w:r>
    </w:p>
    <w:p w:rsidR="008146EC" w:rsidRDefault="008146EC" w:rsidP="008146EC">
      <w:pPr>
        <w:spacing w:after="160" w:line="360" w:lineRule="auto"/>
        <w:ind w:firstLine="720"/>
        <w:jc w:val="both"/>
      </w:pPr>
      <w:r>
        <w:lastRenderedPageBreak/>
        <w:t>This approach enabled triangulation of quantitative findings with respondent narratives to strengthen the validity of the study.</w:t>
      </w:r>
    </w:p>
    <w:p w:rsidR="0015252A" w:rsidRDefault="00B4534C">
      <w:pPr>
        <w:pStyle w:val="Heading2"/>
      </w:pPr>
      <w:r>
        <w:t>2.7 Ethical Considerations</w:t>
      </w:r>
    </w:p>
    <w:p w:rsidR="0015252A" w:rsidRDefault="00B4534C">
      <w:pPr>
        <w:spacing w:after="160" w:line="360" w:lineRule="auto"/>
        <w:ind w:firstLine="720"/>
        <w:jc w:val="both"/>
      </w:pPr>
      <w:r>
        <w:t xml:space="preserve">The study was conducted in accordance with the Philippine National Ethical Guidelines for Health and Health-Related Research (PHREB, 2017) and the Data Privacy Act of 2012 (Republic Act No. 10173). All respondents were eighteen years of age or older. Informed consent was obtained through the mandatory consent item embedded at the start of the Google Form. Respondents who declined consent were excluded; non-respondents were not contacted for second-stage data collection. </w:t>
      </w:r>
      <w:proofErr w:type="gramStart"/>
      <w:r>
        <w:t>Personally</w:t>
      </w:r>
      <w:proofErr w:type="gramEnd"/>
      <w:r>
        <w:t xml:space="preserve"> identifiable information (email addresses and names) was either removed or pseudonymized in the analytical dataset, and the linkage table mapping anonymized identifiers to real names is held in an encrypted off-line file accessible to the corresponding author alone.</w:t>
      </w:r>
    </w:p>
    <w:p w:rsidR="0015252A" w:rsidRDefault="00B4534C">
      <w:r>
        <w:br w:type="page"/>
      </w:r>
    </w:p>
    <w:p w:rsidR="0015252A" w:rsidRPr="006276A5" w:rsidRDefault="00B4534C">
      <w:pPr>
        <w:pStyle w:val="Heading1"/>
        <w:rPr>
          <w:sz w:val="24"/>
        </w:rPr>
      </w:pPr>
      <w:r>
        <w:rPr>
          <w:sz w:val="24"/>
        </w:rPr>
        <w:lastRenderedPageBreak/>
        <w:t>3. RESULTS</w:t>
      </w:r>
    </w:p>
    <w:p w:rsidR="0015252A" w:rsidRPr="006276A5" w:rsidRDefault="00B4534C">
      <w:pPr>
        <w:pStyle w:val="Heading2"/>
        <w:rPr>
          <w:sz w:val="24"/>
        </w:rPr>
      </w:pPr>
      <w:r>
        <w:rPr>
          <w:sz w:val="24"/>
        </w:rPr>
        <w:t>3.1 Reliability of the Deployed Instrument</w:t>
      </w:r>
    </w:p>
    <w:p w:rsidR="00AF3955" w:rsidRDefault="00AF3955" w:rsidP="00AF3955">
      <w:pPr>
        <w:spacing w:after="160" w:line="360" w:lineRule="auto"/>
        <w:jc w:val="both"/>
      </w:pPr>
      <w:r>
        <w:t>Cronbach’s coefficient alpha was computed for each of the eight constructs and for the full thirty-nine-item shared instrument administered across all respondents (Table 2). The KPI-Driven OJT Evaluation Instrument demonstrated satisfactory-to-strong reliability estimates across most retained constructs, with acceptable overall internal consistency for exploratory deployment research (α = .928). Risk Assessment (RA) and Industry 4.0 Shared (I4S) demonstrated marginal but analytically usable reliability for exploratory deployment research, while the BSCS-specific Industry 4.0 subscale (I4CS) returned unsatisfactory internal consistency.</w:t>
      </w:r>
    </w:p>
    <w:p w:rsidR="00AF3955" w:rsidRDefault="00AF3955" w:rsidP="00AF3955">
      <w:pPr>
        <w:spacing w:after="160" w:line="360" w:lineRule="auto"/>
        <w:jc w:val="both"/>
      </w:pPr>
    </w:p>
    <w:p w:rsidR="00AF3955" w:rsidRDefault="00AF3955" w:rsidP="00AF3955">
      <w:pPr>
        <w:spacing w:after="160" w:line="360" w:lineRule="auto"/>
        <w:jc w:val="both"/>
      </w:pPr>
      <w:r>
        <w:t>The program-specific I4CS subscale (BSCS, n = 23) returned an unsatisfactory alpha of 0.248, indicating substantial item heterogeneity and weak internal consistency among the four retained indicators. Accordingly, the I4CS construct should not be interpreted as a psychometrically stable latent dimension and is retained primarily for exploratory contextual interpretation. Short multidimensional scales are known to produce artificially deflated alpha coefficients when domain breadth exceeds latent unidimensional assumptions (</w:t>
      </w:r>
      <w:proofErr w:type="spellStart"/>
      <w:r>
        <w:t>Edelsbrunner</w:t>
      </w:r>
      <w:proofErr w:type="spellEnd"/>
      <w:r>
        <w:t xml:space="preserve"> et al., 2025).</w:t>
      </w:r>
    </w:p>
    <w:p w:rsidR="00AF3955" w:rsidRDefault="00AF3955" w:rsidP="00AF3955">
      <w:pPr>
        <w:spacing w:after="160" w:line="360" w:lineRule="auto"/>
        <w:jc w:val="both"/>
      </w:pPr>
    </w:p>
    <w:p w:rsidR="00D242BA" w:rsidRDefault="00AF3955" w:rsidP="00AF3955">
      <w:pPr>
        <w:spacing w:after="160" w:line="360" w:lineRule="auto"/>
        <w:jc w:val="both"/>
        <w:rPr>
          <w:b/>
          <w:bCs/>
        </w:rPr>
      </w:pPr>
      <w:r>
        <w:t>Item-level diagnostics for the I4CS subscale revealed weak inter-item convergence, with a mean inter-item correlation (MIC) of approximately .08, below the recommended .15–.50 range for short scales (Clark &amp; Watson, 1995). Item-total correlations also varied substantially across the four retained indicators, suggesting limited coherence as a unified construct.</w:t>
      </w:r>
    </w:p>
    <w:p w:rsidR="00D242BA" w:rsidRDefault="00D242BA">
      <w:pPr>
        <w:spacing w:after="160" w:line="360" w:lineRule="auto"/>
        <w:jc w:val="center"/>
        <w:rPr>
          <w:b/>
          <w:bCs/>
        </w:rPr>
      </w:pPr>
    </w:p>
    <w:p w:rsidR="00D242BA" w:rsidRDefault="00D242BA">
      <w:pPr>
        <w:spacing w:after="160" w:line="360" w:lineRule="auto"/>
        <w:jc w:val="center"/>
        <w:rPr>
          <w:b/>
          <w:bCs/>
        </w:rPr>
      </w:pPr>
    </w:p>
    <w:p w:rsidR="00D242BA" w:rsidRDefault="00D242BA">
      <w:pPr>
        <w:spacing w:after="160" w:line="360" w:lineRule="auto"/>
        <w:jc w:val="center"/>
        <w:rPr>
          <w:b/>
          <w:bCs/>
        </w:rPr>
      </w:pPr>
    </w:p>
    <w:p w:rsidR="00D242BA" w:rsidRDefault="00D242BA">
      <w:pPr>
        <w:spacing w:after="160" w:line="360" w:lineRule="auto"/>
        <w:jc w:val="center"/>
        <w:rPr>
          <w:b/>
          <w:bCs/>
        </w:rPr>
      </w:pPr>
    </w:p>
    <w:p w:rsidR="00D242BA" w:rsidRDefault="00D242BA">
      <w:pPr>
        <w:spacing w:after="160" w:line="360" w:lineRule="auto"/>
        <w:jc w:val="center"/>
        <w:rPr>
          <w:b/>
          <w:bCs/>
        </w:rPr>
      </w:pPr>
    </w:p>
    <w:p w:rsidR="0015252A" w:rsidRDefault="00B4534C">
      <w:pPr>
        <w:spacing w:after="160" w:line="360" w:lineRule="auto"/>
        <w:jc w:val="center"/>
      </w:pPr>
      <w:r>
        <w:rPr>
          <w:b/>
          <w:bCs/>
        </w:rPr>
        <w:lastRenderedPageBreak/>
        <w:t>Table 2</w:t>
      </w:r>
    </w:p>
    <w:p w:rsidR="0015252A" w:rsidRDefault="00B4534C">
      <w:pPr>
        <w:spacing w:after="160" w:line="360" w:lineRule="auto"/>
        <w:jc w:val="center"/>
      </w:pPr>
      <w:r>
        <w:rPr>
          <w:b/>
          <w:bCs/>
        </w:rPr>
        <w:t>Cronbach’s Alpha for the Deployment Sample (n = 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1248"/>
        <w:gridCol w:w="1248"/>
        <w:gridCol w:w="1248"/>
        <w:gridCol w:w="1872"/>
      </w:tblGrid>
      <w:tr w:rsidR="0015252A" w:rsidTr="00D242BA">
        <w:trPr>
          <w:tblHeader/>
        </w:trPr>
        <w:tc>
          <w:tcPr>
            <w:tcW w:w="374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Construct</w:t>
            </w:r>
          </w:p>
        </w:tc>
        <w:tc>
          <w:tcPr>
            <w:tcW w:w="1248"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k</w:t>
            </w:r>
          </w:p>
        </w:tc>
        <w:tc>
          <w:tcPr>
            <w:tcW w:w="1248"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n</w:t>
            </w:r>
          </w:p>
        </w:tc>
        <w:tc>
          <w:tcPr>
            <w:tcW w:w="1248"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α</w:t>
            </w:r>
          </w:p>
        </w:tc>
        <w:tc>
          <w:tcPr>
            <w:tcW w:w="1872"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Interpretation</w:t>
            </w:r>
          </w:p>
        </w:tc>
      </w:tr>
      <w:tr w:rsidR="0015252A" w:rsidTr="00D242BA">
        <w:tc>
          <w:tcPr>
            <w:tcW w:w="3744" w:type="dxa"/>
            <w:tcBorders>
              <w:top w:val="single" w:sz="4" w:space="0" w:color="000000"/>
              <w:left w:val="nil"/>
              <w:bottom w:val="nil"/>
              <w:right w:val="nil"/>
            </w:tcBorders>
            <w:tcMar>
              <w:top w:w="80" w:type="dxa"/>
              <w:left w:w="120" w:type="dxa"/>
              <w:bottom w:w="80" w:type="dxa"/>
              <w:right w:w="120" w:type="dxa"/>
            </w:tcMar>
          </w:tcPr>
          <w:p w:rsidR="0015252A" w:rsidRDefault="00B4534C">
            <w:r>
              <w:t>Control Environment (CE)</w:t>
            </w:r>
          </w:p>
        </w:tc>
        <w:tc>
          <w:tcPr>
            <w:tcW w:w="1248"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5</w:t>
            </w:r>
          </w:p>
        </w:tc>
        <w:tc>
          <w:tcPr>
            <w:tcW w:w="1248"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64</w:t>
            </w:r>
          </w:p>
        </w:tc>
        <w:tc>
          <w:tcPr>
            <w:tcW w:w="1248"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.755</w:t>
            </w:r>
          </w:p>
        </w:tc>
        <w:tc>
          <w:tcPr>
            <w:tcW w:w="1872" w:type="dxa"/>
            <w:tcBorders>
              <w:top w:val="single" w:sz="4" w:space="0" w:color="000000"/>
              <w:left w:val="nil"/>
              <w:bottom w:val="nil"/>
              <w:right w:val="nil"/>
            </w:tcBorders>
            <w:tcMar>
              <w:top w:w="80" w:type="dxa"/>
              <w:left w:w="120" w:type="dxa"/>
              <w:bottom w:w="80" w:type="dxa"/>
              <w:right w:w="120" w:type="dxa"/>
            </w:tcMar>
          </w:tcPr>
          <w:p w:rsidR="0015252A" w:rsidRDefault="00B4534C" w:rsidP="003F6D10">
            <w:r>
              <w:t>Acceptable</w:t>
            </w:r>
          </w:p>
        </w:tc>
      </w:tr>
      <w:tr w:rsidR="0015252A" w:rsidTr="00D242BA">
        <w:tc>
          <w:tcPr>
            <w:tcW w:w="3744" w:type="dxa"/>
            <w:tcBorders>
              <w:top w:val="nil"/>
              <w:left w:val="nil"/>
              <w:bottom w:val="nil"/>
              <w:right w:val="nil"/>
            </w:tcBorders>
            <w:tcMar>
              <w:top w:w="80" w:type="dxa"/>
              <w:left w:w="120" w:type="dxa"/>
              <w:bottom w:w="80" w:type="dxa"/>
              <w:right w:w="120" w:type="dxa"/>
            </w:tcMar>
          </w:tcPr>
          <w:p w:rsidR="0015252A" w:rsidRDefault="00B4534C">
            <w:r>
              <w:t>Risk Assessment (RA)</w:t>
            </w:r>
          </w:p>
        </w:tc>
        <w:tc>
          <w:tcPr>
            <w:tcW w:w="1248" w:type="dxa"/>
            <w:tcBorders>
              <w:top w:val="nil"/>
              <w:left w:val="nil"/>
              <w:bottom w:val="nil"/>
              <w:right w:val="nil"/>
            </w:tcBorders>
            <w:tcMar>
              <w:top w:w="80" w:type="dxa"/>
              <w:left w:w="120" w:type="dxa"/>
              <w:bottom w:w="80" w:type="dxa"/>
              <w:right w:w="120" w:type="dxa"/>
            </w:tcMar>
          </w:tcPr>
          <w:p w:rsidR="0015252A" w:rsidRDefault="007565E8">
            <w:pPr>
              <w:jc w:val="center"/>
            </w:pPr>
            <w:r>
              <w:t>4</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.6</w:t>
            </w:r>
            <w:r w:rsidR="00A70867">
              <w:t>71</w:t>
            </w:r>
          </w:p>
        </w:tc>
        <w:tc>
          <w:tcPr>
            <w:tcW w:w="1872" w:type="dxa"/>
            <w:tcBorders>
              <w:top w:val="nil"/>
              <w:left w:val="nil"/>
              <w:bottom w:val="nil"/>
              <w:right w:val="nil"/>
            </w:tcBorders>
            <w:tcMar>
              <w:top w:w="80" w:type="dxa"/>
              <w:left w:w="120" w:type="dxa"/>
              <w:bottom w:w="80" w:type="dxa"/>
              <w:right w:w="120" w:type="dxa"/>
            </w:tcMar>
          </w:tcPr>
          <w:p w:rsidR="0015252A" w:rsidRDefault="00A70867" w:rsidP="003F6D10">
            <w:r>
              <w:t>Acceptable for exploratory deployment</w:t>
            </w:r>
          </w:p>
        </w:tc>
      </w:tr>
      <w:tr w:rsidR="0015252A" w:rsidTr="00D242BA">
        <w:tc>
          <w:tcPr>
            <w:tcW w:w="3744" w:type="dxa"/>
            <w:tcBorders>
              <w:top w:val="nil"/>
              <w:left w:val="nil"/>
              <w:bottom w:val="nil"/>
              <w:right w:val="nil"/>
            </w:tcBorders>
            <w:tcMar>
              <w:top w:w="80" w:type="dxa"/>
              <w:left w:w="120" w:type="dxa"/>
              <w:bottom w:w="80" w:type="dxa"/>
              <w:right w:w="120" w:type="dxa"/>
            </w:tcMar>
          </w:tcPr>
          <w:p w:rsidR="0015252A" w:rsidRDefault="00B4534C">
            <w:r>
              <w:t>Control Activities (CA)</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6</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.820</w:t>
            </w:r>
          </w:p>
        </w:tc>
        <w:tc>
          <w:tcPr>
            <w:tcW w:w="1872" w:type="dxa"/>
            <w:tcBorders>
              <w:top w:val="nil"/>
              <w:left w:val="nil"/>
              <w:bottom w:val="nil"/>
              <w:right w:val="nil"/>
            </w:tcBorders>
            <w:tcMar>
              <w:top w:w="80" w:type="dxa"/>
              <w:left w:w="120" w:type="dxa"/>
              <w:bottom w:w="80" w:type="dxa"/>
              <w:right w:w="120" w:type="dxa"/>
            </w:tcMar>
          </w:tcPr>
          <w:p w:rsidR="0015252A" w:rsidRDefault="00B4534C" w:rsidP="003F6D10">
            <w:r>
              <w:t>Good</w:t>
            </w:r>
          </w:p>
        </w:tc>
      </w:tr>
      <w:tr w:rsidR="0015252A" w:rsidTr="00D242BA">
        <w:tc>
          <w:tcPr>
            <w:tcW w:w="3744" w:type="dxa"/>
            <w:tcBorders>
              <w:top w:val="nil"/>
              <w:left w:val="nil"/>
              <w:bottom w:val="nil"/>
              <w:right w:val="nil"/>
            </w:tcBorders>
            <w:tcMar>
              <w:top w:w="80" w:type="dxa"/>
              <w:left w:w="120" w:type="dxa"/>
              <w:bottom w:w="80" w:type="dxa"/>
              <w:right w:w="120" w:type="dxa"/>
            </w:tcMar>
          </w:tcPr>
          <w:p w:rsidR="0015252A" w:rsidRDefault="00B4534C">
            <w:r>
              <w:t>Information &amp; Communication (IC)</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5</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.802</w:t>
            </w:r>
          </w:p>
        </w:tc>
        <w:tc>
          <w:tcPr>
            <w:tcW w:w="1872" w:type="dxa"/>
            <w:tcBorders>
              <w:top w:val="nil"/>
              <w:left w:val="nil"/>
              <w:bottom w:val="nil"/>
              <w:right w:val="nil"/>
            </w:tcBorders>
            <w:tcMar>
              <w:top w:w="80" w:type="dxa"/>
              <w:left w:w="120" w:type="dxa"/>
              <w:bottom w:w="80" w:type="dxa"/>
              <w:right w:w="120" w:type="dxa"/>
            </w:tcMar>
          </w:tcPr>
          <w:p w:rsidR="0015252A" w:rsidRDefault="00B4534C" w:rsidP="003F6D10">
            <w:r>
              <w:t>Good</w:t>
            </w:r>
          </w:p>
        </w:tc>
      </w:tr>
      <w:tr w:rsidR="0015252A" w:rsidTr="00D242BA">
        <w:tc>
          <w:tcPr>
            <w:tcW w:w="3744" w:type="dxa"/>
            <w:tcBorders>
              <w:top w:val="nil"/>
              <w:left w:val="nil"/>
              <w:bottom w:val="nil"/>
              <w:right w:val="nil"/>
            </w:tcBorders>
            <w:tcMar>
              <w:top w:w="80" w:type="dxa"/>
              <w:left w:w="120" w:type="dxa"/>
              <w:bottom w:w="80" w:type="dxa"/>
              <w:right w:w="120" w:type="dxa"/>
            </w:tcMar>
          </w:tcPr>
          <w:p w:rsidR="0015252A" w:rsidRDefault="00B4534C">
            <w:r>
              <w:t>Monitoring Activities (MA)</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5</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.837</w:t>
            </w:r>
          </w:p>
        </w:tc>
        <w:tc>
          <w:tcPr>
            <w:tcW w:w="1872" w:type="dxa"/>
            <w:tcBorders>
              <w:top w:val="nil"/>
              <w:left w:val="nil"/>
              <w:bottom w:val="nil"/>
              <w:right w:val="nil"/>
            </w:tcBorders>
            <w:tcMar>
              <w:top w:w="80" w:type="dxa"/>
              <w:left w:w="120" w:type="dxa"/>
              <w:bottom w:w="80" w:type="dxa"/>
              <w:right w:w="120" w:type="dxa"/>
            </w:tcMar>
          </w:tcPr>
          <w:p w:rsidR="0015252A" w:rsidRDefault="00B4534C" w:rsidP="003F6D10">
            <w:r>
              <w:t>Good</w:t>
            </w:r>
          </w:p>
        </w:tc>
      </w:tr>
      <w:tr w:rsidR="0015252A" w:rsidTr="00A26156">
        <w:tc>
          <w:tcPr>
            <w:tcW w:w="3744" w:type="dxa"/>
            <w:tcBorders>
              <w:top w:val="nil"/>
              <w:left w:val="nil"/>
              <w:bottom w:val="nil"/>
              <w:right w:val="nil"/>
            </w:tcBorders>
            <w:tcMar>
              <w:top w:w="80" w:type="dxa"/>
              <w:left w:w="120" w:type="dxa"/>
              <w:bottom w:w="80" w:type="dxa"/>
              <w:right w:w="120" w:type="dxa"/>
            </w:tcMar>
          </w:tcPr>
          <w:p w:rsidR="0015252A" w:rsidRDefault="00B4534C">
            <w:r>
              <w:t>Industry 4.0 Shared (I4S)</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4</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c>
          <w:tcPr>
            <w:tcW w:w="1248" w:type="dxa"/>
            <w:tcBorders>
              <w:top w:val="nil"/>
              <w:left w:val="nil"/>
              <w:bottom w:val="nil"/>
              <w:right w:val="nil"/>
            </w:tcBorders>
            <w:tcMar>
              <w:top w:w="80" w:type="dxa"/>
              <w:left w:w="120" w:type="dxa"/>
              <w:bottom w:w="80" w:type="dxa"/>
              <w:right w:w="120" w:type="dxa"/>
            </w:tcMar>
          </w:tcPr>
          <w:p w:rsidR="0015252A" w:rsidRDefault="00B4534C">
            <w:pPr>
              <w:jc w:val="center"/>
            </w:pPr>
            <w:r>
              <w:t>.655</w:t>
            </w:r>
          </w:p>
        </w:tc>
        <w:tc>
          <w:tcPr>
            <w:tcW w:w="1872" w:type="dxa"/>
            <w:tcBorders>
              <w:top w:val="nil"/>
              <w:left w:val="nil"/>
              <w:bottom w:val="nil"/>
              <w:right w:val="nil"/>
            </w:tcBorders>
            <w:tcMar>
              <w:top w:w="80" w:type="dxa"/>
              <w:left w:w="120" w:type="dxa"/>
              <w:bottom w:w="80" w:type="dxa"/>
              <w:right w:w="120" w:type="dxa"/>
            </w:tcMar>
          </w:tcPr>
          <w:p w:rsidR="0015252A" w:rsidRDefault="00295471" w:rsidP="003F6D10">
            <w:r>
              <w:t>Marginal but usable</w:t>
            </w:r>
          </w:p>
        </w:tc>
      </w:tr>
      <w:tr w:rsidR="004245E7" w:rsidTr="00A26156">
        <w:tc>
          <w:tcPr>
            <w:tcW w:w="3744" w:type="dxa"/>
            <w:tcBorders>
              <w:top w:val="nil"/>
              <w:left w:val="nil"/>
              <w:bottom w:val="nil"/>
              <w:right w:val="nil"/>
            </w:tcBorders>
            <w:shd w:val="clear" w:color="auto" w:fill="E7E6E6" w:themeFill="background2"/>
            <w:tcMar>
              <w:top w:w="80" w:type="dxa"/>
              <w:left w:w="120" w:type="dxa"/>
              <w:bottom w:w="80" w:type="dxa"/>
              <w:right w:w="120" w:type="dxa"/>
            </w:tcMar>
          </w:tcPr>
          <w:p w:rsidR="004245E7" w:rsidRDefault="004245E7" w:rsidP="004245E7">
            <w:r>
              <w:t>Industry 4.0 BSCS (I4CS)</w:t>
            </w:r>
          </w:p>
        </w:tc>
        <w:tc>
          <w:tcPr>
            <w:tcW w:w="1248" w:type="dxa"/>
            <w:tcBorders>
              <w:top w:val="nil"/>
              <w:left w:val="nil"/>
              <w:bottom w:val="nil"/>
              <w:right w:val="nil"/>
            </w:tcBorders>
            <w:shd w:val="clear" w:color="auto" w:fill="E7E6E6" w:themeFill="background2"/>
            <w:tcMar>
              <w:top w:w="80" w:type="dxa"/>
              <w:left w:w="120" w:type="dxa"/>
              <w:bottom w:w="80" w:type="dxa"/>
              <w:right w:w="120" w:type="dxa"/>
            </w:tcMar>
          </w:tcPr>
          <w:p w:rsidR="004245E7" w:rsidRDefault="004245E7" w:rsidP="004245E7">
            <w:pPr>
              <w:jc w:val="center"/>
            </w:pPr>
            <w:r>
              <w:t>4</w:t>
            </w:r>
          </w:p>
        </w:tc>
        <w:tc>
          <w:tcPr>
            <w:tcW w:w="1248" w:type="dxa"/>
            <w:tcBorders>
              <w:top w:val="nil"/>
              <w:left w:val="nil"/>
              <w:bottom w:val="nil"/>
              <w:right w:val="nil"/>
            </w:tcBorders>
            <w:shd w:val="clear" w:color="auto" w:fill="E7E6E6" w:themeFill="background2"/>
            <w:tcMar>
              <w:top w:w="80" w:type="dxa"/>
              <w:left w:w="120" w:type="dxa"/>
              <w:bottom w:w="80" w:type="dxa"/>
              <w:right w:w="120" w:type="dxa"/>
            </w:tcMar>
          </w:tcPr>
          <w:p w:rsidR="004245E7" w:rsidRDefault="004245E7" w:rsidP="004245E7">
            <w:pPr>
              <w:jc w:val="center"/>
            </w:pPr>
            <w:r>
              <w:t>23</w:t>
            </w:r>
          </w:p>
        </w:tc>
        <w:tc>
          <w:tcPr>
            <w:tcW w:w="1248" w:type="dxa"/>
            <w:tcBorders>
              <w:top w:val="nil"/>
              <w:left w:val="nil"/>
              <w:bottom w:val="nil"/>
              <w:right w:val="nil"/>
            </w:tcBorders>
            <w:shd w:val="clear" w:color="auto" w:fill="E7E6E6" w:themeFill="background2"/>
            <w:tcMar>
              <w:top w:w="80" w:type="dxa"/>
              <w:left w:w="120" w:type="dxa"/>
              <w:bottom w:w="80" w:type="dxa"/>
              <w:right w:w="120" w:type="dxa"/>
            </w:tcMar>
          </w:tcPr>
          <w:p w:rsidR="004245E7" w:rsidRDefault="004245E7" w:rsidP="004245E7">
            <w:pPr>
              <w:jc w:val="center"/>
            </w:pPr>
            <w:r>
              <w:t>.248</w:t>
            </w:r>
          </w:p>
        </w:tc>
        <w:tc>
          <w:tcPr>
            <w:tcW w:w="1872" w:type="dxa"/>
            <w:tcBorders>
              <w:top w:val="nil"/>
              <w:left w:val="nil"/>
              <w:bottom w:val="nil"/>
              <w:right w:val="nil"/>
            </w:tcBorders>
            <w:shd w:val="clear" w:color="auto" w:fill="E7E6E6" w:themeFill="background2"/>
            <w:tcMar>
              <w:top w:w="80" w:type="dxa"/>
              <w:left w:w="120" w:type="dxa"/>
              <w:bottom w:w="80" w:type="dxa"/>
              <w:right w:w="120" w:type="dxa"/>
            </w:tcMar>
            <w:vAlign w:val="center"/>
          </w:tcPr>
          <w:p w:rsidR="004245E7" w:rsidRPr="00F97032" w:rsidRDefault="004245E7" w:rsidP="003F6D10">
            <w:pPr>
              <w:pStyle w:val="NoSpacing"/>
            </w:pPr>
            <w:r>
              <w:t>Very Low Internal Consistency</w:t>
            </w:r>
          </w:p>
        </w:tc>
      </w:tr>
      <w:tr w:rsidR="004245E7" w:rsidTr="00A26156">
        <w:tc>
          <w:tcPr>
            <w:tcW w:w="3744" w:type="dxa"/>
            <w:tcBorders>
              <w:top w:val="nil"/>
              <w:left w:val="nil"/>
              <w:bottom w:val="nil"/>
              <w:right w:val="nil"/>
            </w:tcBorders>
            <w:shd w:val="clear" w:color="auto" w:fill="E7E6E6" w:themeFill="background2"/>
            <w:tcMar>
              <w:top w:w="80" w:type="dxa"/>
              <w:left w:w="120" w:type="dxa"/>
              <w:bottom w:w="80" w:type="dxa"/>
              <w:right w:w="120" w:type="dxa"/>
            </w:tcMar>
          </w:tcPr>
          <w:p w:rsidR="004245E7" w:rsidRDefault="004245E7" w:rsidP="004245E7">
            <w:r>
              <w:t>Industry 4.0 BSIT (I4IT)</w:t>
            </w:r>
          </w:p>
        </w:tc>
        <w:tc>
          <w:tcPr>
            <w:tcW w:w="1248" w:type="dxa"/>
            <w:tcBorders>
              <w:top w:val="nil"/>
              <w:left w:val="nil"/>
              <w:bottom w:val="nil"/>
              <w:right w:val="nil"/>
            </w:tcBorders>
            <w:shd w:val="clear" w:color="auto" w:fill="E7E6E6" w:themeFill="background2"/>
            <w:tcMar>
              <w:top w:w="80" w:type="dxa"/>
              <w:left w:w="120" w:type="dxa"/>
              <w:bottom w:w="80" w:type="dxa"/>
              <w:right w:w="120" w:type="dxa"/>
            </w:tcMar>
          </w:tcPr>
          <w:p w:rsidR="004245E7" w:rsidRDefault="004245E7" w:rsidP="004245E7">
            <w:pPr>
              <w:jc w:val="center"/>
            </w:pPr>
            <w:r>
              <w:t>4</w:t>
            </w:r>
          </w:p>
        </w:tc>
        <w:tc>
          <w:tcPr>
            <w:tcW w:w="1248" w:type="dxa"/>
            <w:tcBorders>
              <w:top w:val="nil"/>
              <w:left w:val="nil"/>
              <w:bottom w:val="nil"/>
              <w:right w:val="nil"/>
            </w:tcBorders>
            <w:shd w:val="clear" w:color="auto" w:fill="E7E6E6" w:themeFill="background2"/>
            <w:tcMar>
              <w:top w:w="80" w:type="dxa"/>
              <w:left w:w="120" w:type="dxa"/>
              <w:bottom w:w="80" w:type="dxa"/>
              <w:right w:w="120" w:type="dxa"/>
            </w:tcMar>
          </w:tcPr>
          <w:p w:rsidR="004245E7" w:rsidRDefault="004245E7" w:rsidP="004245E7">
            <w:pPr>
              <w:jc w:val="center"/>
            </w:pPr>
            <w:r>
              <w:t>41</w:t>
            </w:r>
          </w:p>
        </w:tc>
        <w:tc>
          <w:tcPr>
            <w:tcW w:w="1248" w:type="dxa"/>
            <w:tcBorders>
              <w:top w:val="nil"/>
              <w:left w:val="nil"/>
              <w:bottom w:val="nil"/>
              <w:right w:val="nil"/>
            </w:tcBorders>
            <w:shd w:val="clear" w:color="auto" w:fill="E7E6E6" w:themeFill="background2"/>
            <w:tcMar>
              <w:top w:w="80" w:type="dxa"/>
              <w:left w:w="120" w:type="dxa"/>
              <w:bottom w:w="80" w:type="dxa"/>
              <w:right w:w="120" w:type="dxa"/>
            </w:tcMar>
          </w:tcPr>
          <w:p w:rsidR="004245E7" w:rsidRDefault="004245E7" w:rsidP="004245E7">
            <w:pPr>
              <w:jc w:val="center"/>
            </w:pPr>
            <w:r>
              <w:t>.616</w:t>
            </w:r>
          </w:p>
        </w:tc>
        <w:tc>
          <w:tcPr>
            <w:tcW w:w="1872" w:type="dxa"/>
            <w:tcBorders>
              <w:top w:val="nil"/>
              <w:left w:val="nil"/>
              <w:bottom w:val="nil"/>
              <w:right w:val="nil"/>
            </w:tcBorders>
            <w:shd w:val="clear" w:color="auto" w:fill="E7E6E6" w:themeFill="background2"/>
            <w:tcMar>
              <w:top w:w="80" w:type="dxa"/>
              <w:left w:w="120" w:type="dxa"/>
              <w:bottom w:w="80" w:type="dxa"/>
              <w:right w:w="120" w:type="dxa"/>
            </w:tcMar>
          </w:tcPr>
          <w:p w:rsidR="004245E7" w:rsidRDefault="004E3B9D" w:rsidP="003F6D10">
            <w:r>
              <w:t>Marginal but usable</w:t>
            </w:r>
          </w:p>
        </w:tc>
      </w:tr>
      <w:tr w:rsidR="004245E7" w:rsidTr="00D242BA">
        <w:tc>
          <w:tcPr>
            <w:tcW w:w="3744" w:type="dxa"/>
            <w:tcBorders>
              <w:top w:val="nil"/>
              <w:left w:val="nil"/>
              <w:bottom w:val="nil"/>
              <w:right w:val="nil"/>
            </w:tcBorders>
            <w:tcMar>
              <w:top w:w="80" w:type="dxa"/>
              <w:left w:w="120" w:type="dxa"/>
              <w:bottom w:w="80" w:type="dxa"/>
              <w:right w:w="120" w:type="dxa"/>
            </w:tcMar>
          </w:tcPr>
          <w:p w:rsidR="004245E7" w:rsidRDefault="004245E7" w:rsidP="004245E7">
            <w:r>
              <w:t>KPI-Driven Performance (KPI)</w:t>
            </w:r>
          </w:p>
        </w:tc>
        <w:tc>
          <w:tcPr>
            <w:tcW w:w="1248" w:type="dxa"/>
            <w:tcBorders>
              <w:top w:val="nil"/>
              <w:left w:val="nil"/>
              <w:bottom w:val="nil"/>
              <w:right w:val="nil"/>
            </w:tcBorders>
            <w:tcMar>
              <w:top w:w="80" w:type="dxa"/>
              <w:left w:w="120" w:type="dxa"/>
              <w:bottom w:w="80" w:type="dxa"/>
              <w:right w:w="120" w:type="dxa"/>
            </w:tcMar>
          </w:tcPr>
          <w:p w:rsidR="004245E7" w:rsidRDefault="004245E7" w:rsidP="004245E7">
            <w:pPr>
              <w:jc w:val="center"/>
            </w:pPr>
            <w:r>
              <w:t>5</w:t>
            </w:r>
          </w:p>
        </w:tc>
        <w:tc>
          <w:tcPr>
            <w:tcW w:w="1248" w:type="dxa"/>
            <w:tcBorders>
              <w:top w:val="nil"/>
              <w:left w:val="nil"/>
              <w:bottom w:val="nil"/>
              <w:right w:val="nil"/>
            </w:tcBorders>
            <w:tcMar>
              <w:top w:w="80" w:type="dxa"/>
              <w:left w:w="120" w:type="dxa"/>
              <w:bottom w:w="80" w:type="dxa"/>
              <w:right w:w="120" w:type="dxa"/>
            </w:tcMar>
          </w:tcPr>
          <w:p w:rsidR="004245E7" w:rsidRDefault="004245E7" w:rsidP="004245E7">
            <w:pPr>
              <w:jc w:val="center"/>
            </w:pPr>
            <w:r>
              <w:t>64</w:t>
            </w:r>
          </w:p>
        </w:tc>
        <w:tc>
          <w:tcPr>
            <w:tcW w:w="1248" w:type="dxa"/>
            <w:tcBorders>
              <w:top w:val="nil"/>
              <w:left w:val="nil"/>
              <w:bottom w:val="nil"/>
              <w:right w:val="nil"/>
            </w:tcBorders>
            <w:tcMar>
              <w:top w:w="80" w:type="dxa"/>
              <w:left w:w="120" w:type="dxa"/>
              <w:bottom w:w="80" w:type="dxa"/>
              <w:right w:w="120" w:type="dxa"/>
            </w:tcMar>
          </w:tcPr>
          <w:p w:rsidR="004245E7" w:rsidRDefault="004245E7" w:rsidP="004245E7">
            <w:pPr>
              <w:jc w:val="center"/>
            </w:pPr>
            <w:r>
              <w:t>.870</w:t>
            </w:r>
          </w:p>
        </w:tc>
        <w:tc>
          <w:tcPr>
            <w:tcW w:w="1872" w:type="dxa"/>
            <w:tcBorders>
              <w:top w:val="nil"/>
              <w:left w:val="nil"/>
              <w:bottom w:val="nil"/>
              <w:right w:val="nil"/>
            </w:tcBorders>
            <w:tcMar>
              <w:top w:w="80" w:type="dxa"/>
              <w:left w:w="120" w:type="dxa"/>
              <w:bottom w:w="80" w:type="dxa"/>
              <w:right w:w="120" w:type="dxa"/>
            </w:tcMar>
          </w:tcPr>
          <w:p w:rsidR="004245E7" w:rsidRDefault="004245E7" w:rsidP="003F6D10">
            <w:r>
              <w:t>Good</w:t>
            </w:r>
          </w:p>
        </w:tc>
      </w:tr>
      <w:tr w:rsidR="004245E7" w:rsidTr="00D242BA">
        <w:tc>
          <w:tcPr>
            <w:tcW w:w="3744" w:type="dxa"/>
            <w:tcBorders>
              <w:top w:val="nil"/>
              <w:left w:val="nil"/>
              <w:bottom w:val="nil"/>
              <w:right w:val="nil"/>
            </w:tcBorders>
            <w:tcMar>
              <w:top w:w="80" w:type="dxa"/>
              <w:left w:w="120" w:type="dxa"/>
              <w:bottom w:w="80" w:type="dxa"/>
              <w:right w:w="120" w:type="dxa"/>
            </w:tcMar>
          </w:tcPr>
          <w:p w:rsidR="004245E7" w:rsidRDefault="004245E7" w:rsidP="004245E7">
            <w:r>
              <w:t>Overall OJT Quality (OQ)</w:t>
            </w:r>
          </w:p>
        </w:tc>
        <w:tc>
          <w:tcPr>
            <w:tcW w:w="1248" w:type="dxa"/>
            <w:tcBorders>
              <w:top w:val="nil"/>
              <w:left w:val="nil"/>
              <w:bottom w:val="nil"/>
              <w:right w:val="nil"/>
            </w:tcBorders>
            <w:tcMar>
              <w:top w:w="80" w:type="dxa"/>
              <w:left w:w="120" w:type="dxa"/>
              <w:bottom w:w="80" w:type="dxa"/>
              <w:right w:w="120" w:type="dxa"/>
            </w:tcMar>
          </w:tcPr>
          <w:p w:rsidR="004245E7" w:rsidRDefault="004245E7" w:rsidP="004245E7">
            <w:pPr>
              <w:jc w:val="center"/>
            </w:pPr>
            <w:r>
              <w:t>5</w:t>
            </w:r>
          </w:p>
        </w:tc>
        <w:tc>
          <w:tcPr>
            <w:tcW w:w="1248" w:type="dxa"/>
            <w:tcBorders>
              <w:top w:val="nil"/>
              <w:left w:val="nil"/>
              <w:bottom w:val="nil"/>
              <w:right w:val="nil"/>
            </w:tcBorders>
            <w:tcMar>
              <w:top w:w="80" w:type="dxa"/>
              <w:left w:w="120" w:type="dxa"/>
              <w:bottom w:w="80" w:type="dxa"/>
              <w:right w:w="120" w:type="dxa"/>
            </w:tcMar>
          </w:tcPr>
          <w:p w:rsidR="004245E7" w:rsidRDefault="004245E7" w:rsidP="004245E7">
            <w:pPr>
              <w:jc w:val="center"/>
            </w:pPr>
            <w:r>
              <w:t>64</w:t>
            </w:r>
          </w:p>
        </w:tc>
        <w:tc>
          <w:tcPr>
            <w:tcW w:w="1248" w:type="dxa"/>
            <w:tcBorders>
              <w:top w:val="nil"/>
              <w:left w:val="nil"/>
              <w:bottom w:val="nil"/>
              <w:right w:val="nil"/>
            </w:tcBorders>
            <w:tcMar>
              <w:top w:w="80" w:type="dxa"/>
              <w:left w:w="120" w:type="dxa"/>
              <w:bottom w:w="80" w:type="dxa"/>
              <w:right w:w="120" w:type="dxa"/>
            </w:tcMar>
          </w:tcPr>
          <w:p w:rsidR="004245E7" w:rsidRDefault="004245E7" w:rsidP="004245E7">
            <w:pPr>
              <w:jc w:val="center"/>
            </w:pPr>
            <w:r>
              <w:t>.837</w:t>
            </w:r>
          </w:p>
        </w:tc>
        <w:tc>
          <w:tcPr>
            <w:tcW w:w="1872" w:type="dxa"/>
            <w:tcBorders>
              <w:top w:val="nil"/>
              <w:left w:val="nil"/>
              <w:bottom w:val="nil"/>
              <w:right w:val="nil"/>
            </w:tcBorders>
            <w:tcMar>
              <w:top w:w="80" w:type="dxa"/>
              <w:left w:w="120" w:type="dxa"/>
              <w:bottom w:w="80" w:type="dxa"/>
              <w:right w:w="120" w:type="dxa"/>
            </w:tcMar>
          </w:tcPr>
          <w:p w:rsidR="004245E7" w:rsidRDefault="004245E7" w:rsidP="003F6D10">
            <w:r>
              <w:t>Good</w:t>
            </w:r>
          </w:p>
        </w:tc>
      </w:tr>
      <w:tr w:rsidR="004245E7" w:rsidTr="00D242BA">
        <w:tc>
          <w:tcPr>
            <w:tcW w:w="3744" w:type="dxa"/>
            <w:tcBorders>
              <w:top w:val="nil"/>
              <w:left w:val="nil"/>
              <w:bottom w:val="nil"/>
              <w:right w:val="nil"/>
            </w:tcBorders>
            <w:tcMar>
              <w:top w:w="80" w:type="dxa"/>
              <w:left w:w="120" w:type="dxa"/>
              <w:bottom w:w="80" w:type="dxa"/>
              <w:right w:w="120" w:type="dxa"/>
            </w:tcMar>
          </w:tcPr>
          <w:p w:rsidR="004245E7" w:rsidRDefault="004245E7" w:rsidP="004245E7">
            <w:r>
              <w:rPr>
                <w:b/>
                <w:bCs/>
              </w:rPr>
              <w:t>Overall Instrument</w:t>
            </w:r>
          </w:p>
        </w:tc>
        <w:tc>
          <w:tcPr>
            <w:tcW w:w="1248" w:type="dxa"/>
            <w:tcBorders>
              <w:top w:val="nil"/>
              <w:left w:val="nil"/>
              <w:bottom w:val="nil"/>
              <w:right w:val="nil"/>
            </w:tcBorders>
            <w:tcMar>
              <w:top w:w="80" w:type="dxa"/>
              <w:left w:w="120" w:type="dxa"/>
              <w:bottom w:w="80" w:type="dxa"/>
              <w:right w:w="120" w:type="dxa"/>
            </w:tcMar>
          </w:tcPr>
          <w:p w:rsidR="004245E7" w:rsidRPr="00B7667E" w:rsidRDefault="00B7667E" w:rsidP="004245E7">
            <w:pPr>
              <w:jc w:val="center"/>
              <w:rPr>
                <w:b/>
              </w:rPr>
            </w:pPr>
            <w:r w:rsidRPr="00B7667E">
              <w:rPr>
                <w:b/>
              </w:rPr>
              <w:t>39</w:t>
            </w:r>
          </w:p>
        </w:tc>
        <w:tc>
          <w:tcPr>
            <w:tcW w:w="1248" w:type="dxa"/>
            <w:tcBorders>
              <w:top w:val="nil"/>
              <w:left w:val="nil"/>
              <w:bottom w:val="nil"/>
              <w:right w:val="nil"/>
            </w:tcBorders>
            <w:tcMar>
              <w:top w:w="80" w:type="dxa"/>
              <w:left w:w="120" w:type="dxa"/>
              <w:bottom w:w="80" w:type="dxa"/>
              <w:right w:w="120" w:type="dxa"/>
            </w:tcMar>
          </w:tcPr>
          <w:p w:rsidR="004245E7" w:rsidRDefault="004245E7" w:rsidP="004245E7">
            <w:pPr>
              <w:jc w:val="center"/>
            </w:pPr>
            <w:r>
              <w:rPr>
                <w:b/>
                <w:bCs/>
              </w:rPr>
              <w:t>64</w:t>
            </w:r>
          </w:p>
        </w:tc>
        <w:tc>
          <w:tcPr>
            <w:tcW w:w="1248" w:type="dxa"/>
            <w:tcBorders>
              <w:top w:val="nil"/>
              <w:left w:val="nil"/>
              <w:bottom w:val="nil"/>
              <w:right w:val="nil"/>
            </w:tcBorders>
            <w:tcMar>
              <w:top w:w="80" w:type="dxa"/>
              <w:left w:w="120" w:type="dxa"/>
              <w:bottom w:w="80" w:type="dxa"/>
              <w:right w:w="120" w:type="dxa"/>
            </w:tcMar>
          </w:tcPr>
          <w:p w:rsidR="004245E7" w:rsidRDefault="004245E7" w:rsidP="004245E7">
            <w:pPr>
              <w:jc w:val="center"/>
            </w:pPr>
            <w:r>
              <w:rPr>
                <w:b/>
                <w:bCs/>
              </w:rPr>
              <w:t>.</w:t>
            </w:r>
            <w:r w:rsidR="00B7667E">
              <w:rPr>
                <w:b/>
                <w:bCs/>
              </w:rPr>
              <w:t>928</w:t>
            </w:r>
          </w:p>
        </w:tc>
        <w:tc>
          <w:tcPr>
            <w:tcW w:w="1872" w:type="dxa"/>
            <w:tcBorders>
              <w:top w:val="nil"/>
              <w:left w:val="nil"/>
              <w:bottom w:val="nil"/>
              <w:right w:val="nil"/>
            </w:tcBorders>
            <w:tcMar>
              <w:top w:w="80" w:type="dxa"/>
              <w:left w:w="120" w:type="dxa"/>
              <w:bottom w:w="80" w:type="dxa"/>
              <w:right w:w="120" w:type="dxa"/>
            </w:tcMar>
          </w:tcPr>
          <w:p w:rsidR="004245E7" w:rsidRDefault="00B7667E" w:rsidP="003F6D10">
            <w:r>
              <w:rPr>
                <w:b/>
                <w:bCs/>
              </w:rPr>
              <w:t>Excellent</w:t>
            </w:r>
          </w:p>
        </w:tc>
      </w:tr>
    </w:tbl>
    <w:p w:rsidR="0015252A" w:rsidRDefault="00B4534C">
      <w:pPr>
        <w:spacing w:before="80" w:after="240" w:line="360" w:lineRule="auto"/>
        <w:jc w:val="both"/>
      </w:pPr>
      <w:r>
        <w:rPr>
          <w:i/>
          <w:iCs/>
        </w:rPr>
        <w:t xml:space="preserve">Note. Interpretation thresholds follow Barbera et al. (2021): α ≥ 0.90 Excellent; 0.80 ≤ α &lt; 0.90 Good; 0.70 ≤ α &lt; 0.80 Acceptable. </w:t>
      </w:r>
      <w:r w:rsidR="00F061F7" w:rsidRPr="00F061F7">
        <w:rPr>
          <w:i/>
          <w:iCs/>
        </w:rPr>
        <w:t xml:space="preserve">The relaxed threshold of α ≥ 0.65 is used for the scales consisting of four items as per </w:t>
      </w:r>
      <w:proofErr w:type="spellStart"/>
      <w:r w:rsidR="00F061F7" w:rsidRPr="00F061F7">
        <w:rPr>
          <w:i/>
          <w:iCs/>
        </w:rPr>
        <w:t>Bujang</w:t>
      </w:r>
      <w:proofErr w:type="spellEnd"/>
      <w:r w:rsidR="00F061F7" w:rsidRPr="00F061F7">
        <w:rPr>
          <w:i/>
          <w:iCs/>
        </w:rPr>
        <w:t xml:space="preserve">, Omar, and </w:t>
      </w:r>
      <w:proofErr w:type="spellStart"/>
      <w:r w:rsidR="00F061F7" w:rsidRPr="00F061F7">
        <w:rPr>
          <w:i/>
          <w:iCs/>
        </w:rPr>
        <w:t>Baharum</w:t>
      </w:r>
      <w:proofErr w:type="spellEnd"/>
      <w:r w:rsidR="00F061F7" w:rsidRPr="00F061F7">
        <w:rPr>
          <w:i/>
          <w:iCs/>
        </w:rPr>
        <w:t xml:space="preserve"> (2018). </w:t>
      </w:r>
      <w:r w:rsidR="008A6673" w:rsidRPr="008A6673">
        <w:rPr>
          <w:i/>
          <w:iCs/>
        </w:rPr>
        <w:t xml:space="preserve">RA-4R was reverse-coded during preprocessing and analyzed as RA-4. Relaxed reliability thresholds for four-item scales followed </w:t>
      </w:r>
      <w:proofErr w:type="spellStart"/>
      <w:r w:rsidR="008A6673" w:rsidRPr="008A6673">
        <w:rPr>
          <w:i/>
          <w:iCs/>
        </w:rPr>
        <w:t>Bujang</w:t>
      </w:r>
      <w:proofErr w:type="spellEnd"/>
      <w:r w:rsidR="008A6673" w:rsidRPr="008A6673">
        <w:rPr>
          <w:i/>
          <w:iCs/>
        </w:rPr>
        <w:t xml:space="preserve"> et al. (2018).</w:t>
      </w:r>
    </w:p>
    <w:p w:rsidR="0015252A" w:rsidRDefault="00B4534C">
      <w:pPr>
        <w:pStyle w:val="Heading2"/>
      </w:pPr>
      <w:r>
        <w:t>3.2 Construct-Level Descriptive Statistics</w:t>
      </w:r>
    </w:p>
    <w:p w:rsidR="009C75FF" w:rsidRDefault="009C75FF" w:rsidP="009C75FF">
      <w:pPr>
        <w:spacing w:after="160" w:line="360" w:lineRule="auto"/>
        <w:jc w:val="both"/>
      </w:pPr>
      <w:r w:rsidRPr="009C75FF">
        <w:t>The mean and standard deviation of the constructs are reported in Table 3. The mean scores of all eight constructs were above the scale midpoint (3.0), and the highest construct mean score was obtained for Control Environment (M = 4.62, SD = 0.44)</w:t>
      </w:r>
      <w:r w:rsidR="00441C01">
        <w:t>,</w:t>
      </w:r>
      <w:r w:rsidRPr="009C75FF">
        <w:t xml:space="preserve"> while the lowest was for Monitoring Activities (M = 4.30, SD = 0.67). The criterion variable, Overall OJT Quality, gave M = 4.57 (SD </w:t>
      </w:r>
      <w:r w:rsidRPr="009C75FF">
        <w:lastRenderedPageBreak/>
        <w:t>= 0.46), with 4.57 representing an average rating of “Agree” to “Strongly Agree” of the respondents' rating of the quality of their OJT experience.</w:t>
      </w:r>
    </w:p>
    <w:p w:rsidR="00C84EAD" w:rsidRDefault="00C674B8" w:rsidP="009C75FF">
      <w:pPr>
        <w:spacing w:after="160" w:line="360" w:lineRule="auto"/>
        <w:jc w:val="both"/>
      </w:pPr>
      <w:r w:rsidRPr="00C674B8">
        <w:t xml:space="preserve">Of particular note, the I4CS subscale (BSCS, n = 23) returned a construct mean of M = 4.41 (SD = 0.47) — the second-highest across all constructs — despite its unsatisfactory internal consistency (α = .248). This combination of high mean scores and low item interrelatedness is consistent with a scenario in which respondents across heterogeneous placement environments are each rating their respective Industry 4.0 exposures </w:t>
      </w:r>
      <w:r w:rsidR="0014648C" w:rsidRPr="00C674B8">
        <w:t>favorably</w:t>
      </w:r>
      <w:r w:rsidRPr="00C674B8">
        <w:t>, but against different referents, producing high but incoherent item responses. This finding is discussed further in Section 4.3.</w:t>
      </w:r>
    </w:p>
    <w:p w:rsidR="0014648C" w:rsidRDefault="0014648C" w:rsidP="009C75FF">
      <w:pPr>
        <w:spacing w:after="160" w:line="360" w:lineRule="auto"/>
        <w:jc w:val="both"/>
      </w:pPr>
      <w:r>
        <w:t>The five COSO ERM constructs demonstrated moderate positive intercorrelations</w:t>
      </w:r>
      <w:r w:rsidR="005A3451">
        <w:t>, supporting the</w:t>
      </w:r>
      <w:r>
        <w:t xml:space="preserve"> </w:t>
      </w:r>
      <w:r w:rsidR="005A3451">
        <w:t xml:space="preserve"> </w:t>
      </w:r>
      <w:r>
        <w:t xml:space="preserve"> framework’s proposition that the components are distinct </w:t>
      </w:r>
      <w:r w:rsidR="00BC18E8">
        <w:t>ye</w:t>
      </w:r>
      <w:r>
        <w:t>t operationally interconnected.</w:t>
      </w:r>
    </w:p>
    <w:p w:rsidR="00C674B8" w:rsidRDefault="00C674B8" w:rsidP="009C75FF">
      <w:pPr>
        <w:spacing w:after="160" w:line="360" w:lineRule="auto"/>
        <w:jc w:val="both"/>
      </w:pPr>
    </w:p>
    <w:p w:rsidR="0015252A" w:rsidRDefault="005C5CA4">
      <w:pPr>
        <w:spacing w:after="160" w:line="360" w:lineRule="auto"/>
        <w:jc w:val="center"/>
      </w:pPr>
      <w:r>
        <w:rPr>
          <w:b/>
          <w:bCs/>
        </w:rPr>
        <w:t xml:space="preserve"> </w:t>
      </w:r>
      <w:r w:rsidR="00B4534C">
        <w:rPr>
          <w:b/>
          <w:bCs/>
        </w:rPr>
        <w:t>Table 3</w:t>
      </w:r>
    </w:p>
    <w:p w:rsidR="0015252A" w:rsidRDefault="00B4534C">
      <w:pPr>
        <w:spacing w:after="160" w:line="360" w:lineRule="auto"/>
        <w:jc w:val="center"/>
      </w:pPr>
      <w:r>
        <w:rPr>
          <w:b/>
          <w:bCs/>
        </w:rPr>
        <w:t>Construct-Level Descriptive Statistics (n = 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1560"/>
        <w:gridCol w:w="1560"/>
        <w:gridCol w:w="1560"/>
      </w:tblGrid>
      <w:tr w:rsidR="0015252A" w:rsidTr="00D242BA">
        <w:trPr>
          <w:tblHeader/>
        </w:trPr>
        <w:tc>
          <w:tcPr>
            <w:tcW w:w="4680"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Construct</w:t>
            </w:r>
          </w:p>
        </w:tc>
        <w:tc>
          <w:tcPr>
            <w:tcW w:w="1560"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M</w:t>
            </w:r>
          </w:p>
        </w:tc>
        <w:tc>
          <w:tcPr>
            <w:tcW w:w="1560"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SD</w:t>
            </w:r>
          </w:p>
        </w:tc>
        <w:tc>
          <w:tcPr>
            <w:tcW w:w="1560"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n</w:t>
            </w:r>
          </w:p>
        </w:tc>
      </w:tr>
      <w:tr w:rsidR="0015252A" w:rsidTr="00D242BA">
        <w:tc>
          <w:tcPr>
            <w:tcW w:w="4680" w:type="dxa"/>
            <w:tcBorders>
              <w:top w:val="single" w:sz="4" w:space="0" w:color="000000"/>
              <w:left w:val="nil"/>
              <w:bottom w:val="nil"/>
              <w:right w:val="nil"/>
            </w:tcBorders>
            <w:tcMar>
              <w:top w:w="80" w:type="dxa"/>
              <w:left w:w="120" w:type="dxa"/>
              <w:bottom w:w="80" w:type="dxa"/>
              <w:right w:w="120" w:type="dxa"/>
            </w:tcMar>
          </w:tcPr>
          <w:p w:rsidR="0015252A" w:rsidRDefault="00B4534C">
            <w:r>
              <w:t>Control Environment (CE)</w:t>
            </w:r>
          </w:p>
        </w:tc>
        <w:tc>
          <w:tcPr>
            <w:tcW w:w="1560"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4.62</w:t>
            </w:r>
          </w:p>
        </w:tc>
        <w:tc>
          <w:tcPr>
            <w:tcW w:w="1560"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0.44</w:t>
            </w:r>
          </w:p>
        </w:tc>
        <w:tc>
          <w:tcPr>
            <w:tcW w:w="1560"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64</w:t>
            </w:r>
          </w:p>
        </w:tc>
      </w:tr>
      <w:tr w:rsidR="0015252A" w:rsidTr="00D242BA">
        <w:tc>
          <w:tcPr>
            <w:tcW w:w="4680" w:type="dxa"/>
            <w:tcBorders>
              <w:top w:val="nil"/>
              <w:left w:val="nil"/>
              <w:bottom w:val="nil"/>
              <w:right w:val="nil"/>
            </w:tcBorders>
            <w:tcMar>
              <w:top w:w="80" w:type="dxa"/>
              <w:left w:w="120" w:type="dxa"/>
              <w:bottom w:w="80" w:type="dxa"/>
              <w:right w:w="120" w:type="dxa"/>
            </w:tcMar>
          </w:tcPr>
          <w:p w:rsidR="0015252A" w:rsidRDefault="00B4534C">
            <w:r>
              <w:t>Risk Assessment (RA)</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4.</w:t>
            </w:r>
            <w:r w:rsidR="00A70867">
              <w:t>43</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0.4</w:t>
            </w:r>
            <w:r w:rsidR="00A70867">
              <w:t>9</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r>
      <w:tr w:rsidR="0015252A" w:rsidTr="00D242BA">
        <w:tc>
          <w:tcPr>
            <w:tcW w:w="4680" w:type="dxa"/>
            <w:tcBorders>
              <w:top w:val="nil"/>
              <w:left w:val="nil"/>
              <w:bottom w:val="nil"/>
              <w:right w:val="nil"/>
            </w:tcBorders>
            <w:tcMar>
              <w:top w:w="80" w:type="dxa"/>
              <w:left w:w="120" w:type="dxa"/>
              <w:bottom w:w="80" w:type="dxa"/>
              <w:right w:w="120" w:type="dxa"/>
            </w:tcMar>
          </w:tcPr>
          <w:p w:rsidR="0015252A" w:rsidRDefault="00B4534C">
            <w:r>
              <w:t>Control Activities (CA)</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4.46</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0.49</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r>
      <w:tr w:rsidR="0015252A" w:rsidTr="00D242BA">
        <w:tc>
          <w:tcPr>
            <w:tcW w:w="4680" w:type="dxa"/>
            <w:tcBorders>
              <w:top w:val="nil"/>
              <w:left w:val="nil"/>
              <w:bottom w:val="nil"/>
              <w:right w:val="nil"/>
            </w:tcBorders>
            <w:tcMar>
              <w:top w:w="80" w:type="dxa"/>
              <w:left w:w="120" w:type="dxa"/>
              <w:bottom w:w="80" w:type="dxa"/>
              <w:right w:w="120" w:type="dxa"/>
            </w:tcMar>
          </w:tcPr>
          <w:p w:rsidR="0015252A" w:rsidRDefault="00B4534C">
            <w:r>
              <w:t>Information &amp; Communication (IC)</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4.56</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0.46</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r>
      <w:tr w:rsidR="0015252A" w:rsidTr="00D242BA">
        <w:tc>
          <w:tcPr>
            <w:tcW w:w="4680" w:type="dxa"/>
            <w:tcBorders>
              <w:top w:val="nil"/>
              <w:left w:val="nil"/>
              <w:bottom w:val="nil"/>
              <w:right w:val="nil"/>
            </w:tcBorders>
            <w:tcMar>
              <w:top w:w="80" w:type="dxa"/>
              <w:left w:w="120" w:type="dxa"/>
              <w:bottom w:w="80" w:type="dxa"/>
              <w:right w:w="120" w:type="dxa"/>
            </w:tcMar>
          </w:tcPr>
          <w:p w:rsidR="0015252A" w:rsidRDefault="00B4534C">
            <w:r>
              <w:t>Monitoring Activities (MA)</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4.30</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0.67</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r>
      <w:tr w:rsidR="0015252A" w:rsidTr="00D242BA">
        <w:tc>
          <w:tcPr>
            <w:tcW w:w="4680" w:type="dxa"/>
            <w:tcBorders>
              <w:top w:val="nil"/>
              <w:left w:val="nil"/>
              <w:bottom w:val="nil"/>
              <w:right w:val="nil"/>
            </w:tcBorders>
            <w:tcMar>
              <w:top w:w="80" w:type="dxa"/>
              <w:left w:w="120" w:type="dxa"/>
              <w:bottom w:w="80" w:type="dxa"/>
              <w:right w:w="120" w:type="dxa"/>
            </w:tcMar>
          </w:tcPr>
          <w:p w:rsidR="0015252A" w:rsidRDefault="00B4534C">
            <w:r>
              <w:t>Industry 4.0 Shared (I4S)</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4.40</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0.57</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r>
      <w:tr w:rsidR="0015252A" w:rsidTr="00D242BA">
        <w:tc>
          <w:tcPr>
            <w:tcW w:w="4680" w:type="dxa"/>
            <w:tcBorders>
              <w:top w:val="nil"/>
              <w:left w:val="nil"/>
              <w:bottom w:val="nil"/>
              <w:right w:val="nil"/>
            </w:tcBorders>
            <w:tcMar>
              <w:top w:w="80" w:type="dxa"/>
              <w:left w:w="120" w:type="dxa"/>
              <w:bottom w:w="80" w:type="dxa"/>
              <w:right w:w="120" w:type="dxa"/>
            </w:tcMar>
          </w:tcPr>
          <w:p w:rsidR="0015252A" w:rsidRDefault="00B4534C">
            <w:r>
              <w:t>Industry 4.0 BSCS (I4CS)</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4.41</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0.47</w:t>
            </w:r>
          </w:p>
        </w:tc>
        <w:tc>
          <w:tcPr>
            <w:tcW w:w="1560" w:type="dxa"/>
            <w:tcBorders>
              <w:top w:val="nil"/>
              <w:left w:val="nil"/>
              <w:bottom w:val="nil"/>
              <w:right w:val="nil"/>
            </w:tcBorders>
            <w:tcMar>
              <w:top w:w="80" w:type="dxa"/>
              <w:left w:w="120" w:type="dxa"/>
              <w:bottom w:w="80" w:type="dxa"/>
              <w:right w:w="120" w:type="dxa"/>
            </w:tcMar>
          </w:tcPr>
          <w:p w:rsidR="0015252A" w:rsidRDefault="001F60D0">
            <w:pPr>
              <w:jc w:val="center"/>
            </w:pPr>
            <w:r>
              <w:t>23</w:t>
            </w:r>
          </w:p>
        </w:tc>
      </w:tr>
      <w:tr w:rsidR="001F60D0" w:rsidTr="00D242BA">
        <w:tc>
          <w:tcPr>
            <w:tcW w:w="4680" w:type="dxa"/>
            <w:tcBorders>
              <w:top w:val="nil"/>
              <w:left w:val="nil"/>
              <w:bottom w:val="nil"/>
              <w:right w:val="nil"/>
            </w:tcBorders>
            <w:tcMar>
              <w:top w:w="80" w:type="dxa"/>
              <w:left w:w="120" w:type="dxa"/>
              <w:bottom w:w="80" w:type="dxa"/>
              <w:right w:w="120" w:type="dxa"/>
            </w:tcMar>
          </w:tcPr>
          <w:p w:rsidR="001F60D0" w:rsidRDefault="001F60D0">
            <w:r>
              <w:t>Industry 4.0 BSIT (I4IT)</w:t>
            </w:r>
          </w:p>
        </w:tc>
        <w:tc>
          <w:tcPr>
            <w:tcW w:w="1560" w:type="dxa"/>
            <w:tcBorders>
              <w:top w:val="nil"/>
              <w:left w:val="nil"/>
              <w:bottom w:val="nil"/>
              <w:right w:val="nil"/>
            </w:tcBorders>
            <w:tcMar>
              <w:top w:w="80" w:type="dxa"/>
              <w:left w:w="120" w:type="dxa"/>
              <w:bottom w:w="80" w:type="dxa"/>
              <w:right w:w="120" w:type="dxa"/>
            </w:tcMar>
          </w:tcPr>
          <w:p w:rsidR="001F60D0" w:rsidRDefault="001F60D0">
            <w:pPr>
              <w:jc w:val="center"/>
            </w:pPr>
            <w:r>
              <w:t>3.93</w:t>
            </w:r>
          </w:p>
        </w:tc>
        <w:tc>
          <w:tcPr>
            <w:tcW w:w="1560" w:type="dxa"/>
            <w:tcBorders>
              <w:top w:val="nil"/>
              <w:left w:val="nil"/>
              <w:bottom w:val="nil"/>
              <w:right w:val="nil"/>
            </w:tcBorders>
            <w:tcMar>
              <w:top w:w="80" w:type="dxa"/>
              <w:left w:w="120" w:type="dxa"/>
              <w:bottom w:w="80" w:type="dxa"/>
              <w:right w:w="120" w:type="dxa"/>
            </w:tcMar>
          </w:tcPr>
          <w:p w:rsidR="001F60D0" w:rsidRDefault="001F60D0">
            <w:pPr>
              <w:jc w:val="center"/>
            </w:pPr>
            <w:r>
              <w:t>0.75</w:t>
            </w:r>
          </w:p>
        </w:tc>
        <w:tc>
          <w:tcPr>
            <w:tcW w:w="1560" w:type="dxa"/>
            <w:tcBorders>
              <w:top w:val="nil"/>
              <w:left w:val="nil"/>
              <w:bottom w:val="nil"/>
              <w:right w:val="nil"/>
            </w:tcBorders>
            <w:tcMar>
              <w:top w:w="80" w:type="dxa"/>
              <w:left w:w="120" w:type="dxa"/>
              <w:bottom w:w="80" w:type="dxa"/>
              <w:right w:w="120" w:type="dxa"/>
            </w:tcMar>
          </w:tcPr>
          <w:p w:rsidR="001F60D0" w:rsidRDefault="001F60D0">
            <w:pPr>
              <w:jc w:val="center"/>
            </w:pPr>
            <w:r>
              <w:t>41</w:t>
            </w:r>
          </w:p>
        </w:tc>
      </w:tr>
      <w:tr w:rsidR="0015252A" w:rsidTr="00D242BA">
        <w:tc>
          <w:tcPr>
            <w:tcW w:w="4680" w:type="dxa"/>
            <w:tcBorders>
              <w:top w:val="nil"/>
              <w:left w:val="nil"/>
              <w:bottom w:val="nil"/>
              <w:right w:val="nil"/>
            </w:tcBorders>
            <w:tcMar>
              <w:top w:w="80" w:type="dxa"/>
              <w:left w:w="120" w:type="dxa"/>
              <w:bottom w:w="80" w:type="dxa"/>
              <w:right w:w="120" w:type="dxa"/>
            </w:tcMar>
          </w:tcPr>
          <w:p w:rsidR="0015252A" w:rsidRDefault="00B4534C">
            <w:r>
              <w:t>KPI-Driven Performance (KPI)</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4.51</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0.49</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t>64</w:t>
            </w:r>
          </w:p>
        </w:tc>
      </w:tr>
      <w:tr w:rsidR="0015252A" w:rsidTr="00D242BA">
        <w:tc>
          <w:tcPr>
            <w:tcW w:w="4680" w:type="dxa"/>
            <w:tcBorders>
              <w:top w:val="nil"/>
              <w:left w:val="nil"/>
              <w:bottom w:val="nil"/>
              <w:right w:val="nil"/>
            </w:tcBorders>
            <w:tcMar>
              <w:top w:w="80" w:type="dxa"/>
              <w:left w:w="120" w:type="dxa"/>
              <w:bottom w:w="80" w:type="dxa"/>
              <w:right w:w="120" w:type="dxa"/>
            </w:tcMar>
          </w:tcPr>
          <w:p w:rsidR="0015252A" w:rsidRDefault="00B4534C">
            <w:r>
              <w:rPr>
                <w:b/>
                <w:bCs/>
              </w:rPr>
              <w:t>Overall OJT Quality (OQ)</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4.57</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0.46</w:t>
            </w:r>
          </w:p>
        </w:tc>
        <w:tc>
          <w:tcPr>
            <w:tcW w:w="156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64</w:t>
            </w:r>
          </w:p>
        </w:tc>
      </w:tr>
    </w:tbl>
    <w:p w:rsidR="0015252A" w:rsidRDefault="0015252A"/>
    <w:p w:rsidR="0015252A" w:rsidRDefault="00B4534C">
      <w:pPr>
        <w:pStyle w:val="Heading2"/>
      </w:pPr>
      <w:r>
        <w:t>3.3 Inter-Cohort Comparison</w:t>
      </w:r>
    </w:p>
    <w:p w:rsidR="007F7A64" w:rsidRDefault="00B4534C" w:rsidP="007F7A64">
      <w:pPr>
        <w:spacing w:after="160" w:line="360" w:lineRule="auto"/>
        <w:jc w:val="both"/>
      </w:pPr>
      <w:r>
        <w:t xml:space="preserve">One-way ANOVAs </w:t>
      </w:r>
      <w:r w:rsidR="00C17B0B">
        <w:t xml:space="preserve">were used to determine inter-cohort differences in the two outcome constructs of substantive interest, KPI achievement and OQ. The omnibus test did not find significant </w:t>
      </w:r>
      <w:r w:rsidR="00C17B0B">
        <w:lastRenderedPageBreak/>
        <w:t xml:space="preserve">differences between the three cohorts for KPI, </w:t>
      </w:r>
      <w:proofErr w:type="gramStart"/>
      <w:r w:rsidR="00C17B0B">
        <w:t>F(</w:t>
      </w:r>
      <w:proofErr w:type="gramEnd"/>
      <w:r w:rsidR="00C17B0B">
        <w:t xml:space="preserve">2, 61) = 1.31, p = .278. The cohort means clustered narrowly around the grand mean: Cohort I, M = 4.38 (SD = 0.47); Cohort II, M = 4.64 (SD = 0.43); Cohort III, M = 4.48 (SD = 0.53). The omnibus ANOVA also failed to reveal any significant differences for OQ, </w:t>
      </w:r>
      <w:proofErr w:type="gramStart"/>
      <w:r w:rsidR="00C17B0B">
        <w:t>F(</w:t>
      </w:r>
      <w:proofErr w:type="gramEnd"/>
      <w:r w:rsidR="00C17B0B">
        <w:t>2, 61) = 1.00, p = .374. Cohort means: Cohort I, M = 4.46 (SD = 0.44); Cohort II, M = 4.67 (SD = 0.39); Cohort III, M = 4.55 (SD = 0.52).</w:t>
      </w:r>
      <w:r w:rsidR="007E1273">
        <w:t xml:space="preserve"> The observed effect size was small (η² = .04)</w:t>
      </w:r>
      <w:r w:rsidR="0004752C">
        <w:t>.</w:t>
      </w:r>
      <w:r w:rsidR="007F7A64">
        <w:t xml:space="preserve"> </w:t>
      </w:r>
    </w:p>
    <w:p w:rsidR="005B0C1E" w:rsidRDefault="005B0C1E" w:rsidP="007F7A64">
      <w:pPr>
        <w:spacing w:after="160" w:line="360" w:lineRule="auto"/>
        <w:jc w:val="both"/>
      </w:pPr>
      <w:r w:rsidRPr="005B0C1E">
        <w:t>These findings suggest temporal stability in KPI achievement and Overall OJT Quality across the three observed cohorts.</w:t>
      </w:r>
    </w:p>
    <w:p w:rsidR="0015252A" w:rsidRDefault="00B4534C">
      <w:pPr>
        <w:pStyle w:val="Heading2"/>
      </w:pPr>
      <w:r>
        <w:t>3.4 Inter-Construct Correlations</w:t>
      </w:r>
    </w:p>
    <w:p w:rsidR="0015252A" w:rsidRDefault="00B4534C">
      <w:pPr>
        <w:spacing w:after="160" w:line="360" w:lineRule="auto"/>
        <w:jc w:val="both"/>
      </w:pPr>
      <w:r>
        <w:t xml:space="preserve">Pearson product-moment correlations among the eight construct scores are presented in Table 4. Statistically significant medium-to-large positive correlations were observed between Control Environment and Overall OJT Quality (r = .61, p &lt; .001), between Monitoring Activities and Overall OJT Quality (r = .58, p &lt; .001), and between KPI achievement and Overall OJT Quality (r = .84, p &lt; .001). The five COSO ERM constructs demonstrated moderate positive intercorrelations (r = .19 to .63), consistent with the framework’s theoretical proposition that the five components are conceptually distinct but operationally interconnected (COSO, 2017). The Industry 4.0 </w:t>
      </w:r>
      <w:r w:rsidR="008A6673">
        <w:t xml:space="preserve">constructs demonstrated comparatively </w:t>
      </w:r>
      <w:r>
        <w:t>weake</w:t>
      </w:r>
      <w:r w:rsidR="008A6673">
        <w:t xml:space="preserve">r </w:t>
      </w:r>
      <w:r>
        <w:t>correlations with OQ (r = .21, p = .096; r = .19, p = .124, respectively), suggesting that Industry 4.0 readiness as currently measured is loosely coupled with respondents’ holistic evaluations of OJT quality.</w:t>
      </w:r>
    </w:p>
    <w:p w:rsidR="0015252A" w:rsidRDefault="00B4534C">
      <w:pPr>
        <w:spacing w:after="160" w:line="360" w:lineRule="auto"/>
        <w:jc w:val="center"/>
      </w:pPr>
      <w:r>
        <w:rPr>
          <w:b/>
          <w:bCs/>
        </w:rPr>
        <w:t>Table 4</w:t>
      </w:r>
    </w:p>
    <w:p w:rsidR="0015252A" w:rsidRDefault="00B4534C">
      <w:pPr>
        <w:spacing w:after="160" w:line="360" w:lineRule="auto"/>
        <w:jc w:val="center"/>
      </w:pPr>
      <w:r>
        <w:rPr>
          <w:b/>
          <w:bCs/>
        </w:rPr>
        <w:t>Pearson Correlations Among Eight Construct Scores (n = 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9"/>
        <w:gridCol w:w="1023"/>
        <w:gridCol w:w="1024"/>
        <w:gridCol w:w="1024"/>
        <w:gridCol w:w="1024"/>
        <w:gridCol w:w="1024"/>
        <w:gridCol w:w="1024"/>
        <w:gridCol w:w="1024"/>
        <w:gridCol w:w="1024"/>
      </w:tblGrid>
      <w:tr w:rsidR="0015252A" w:rsidTr="00D242BA">
        <w:trPr>
          <w:tblHeader/>
        </w:trPr>
        <w:tc>
          <w:tcPr>
            <w:tcW w:w="1170"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15252A">
            <w:pPr>
              <w:jc w:val="center"/>
            </w:pPr>
          </w:p>
        </w:tc>
        <w:tc>
          <w:tcPr>
            <w:tcW w:w="102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CE</w:t>
            </w:r>
          </w:p>
        </w:tc>
        <w:tc>
          <w:tcPr>
            <w:tcW w:w="102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RA</w:t>
            </w:r>
          </w:p>
        </w:tc>
        <w:tc>
          <w:tcPr>
            <w:tcW w:w="102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CA</w:t>
            </w:r>
          </w:p>
        </w:tc>
        <w:tc>
          <w:tcPr>
            <w:tcW w:w="102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IC</w:t>
            </w:r>
          </w:p>
        </w:tc>
        <w:tc>
          <w:tcPr>
            <w:tcW w:w="102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MA</w:t>
            </w:r>
          </w:p>
        </w:tc>
        <w:tc>
          <w:tcPr>
            <w:tcW w:w="102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I4S</w:t>
            </w:r>
          </w:p>
        </w:tc>
        <w:tc>
          <w:tcPr>
            <w:tcW w:w="102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KPI</w:t>
            </w:r>
          </w:p>
        </w:tc>
        <w:tc>
          <w:tcPr>
            <w:tcW w:w="1024" w:type="dxa"/>
            <w:tcBorders>
              <w:top w:val="single" w:sz="4" w:space="0" w:color="000000"/>
              <w:left w:val="nil"/>
              <w:bottom w:val="single" w:sz="4" w:space="0" w:color="000000"/>
              <w:right w:val="nil"/>
            </w:tcBorders>
            <w:tcMar>
              <w:top w:w="80" w:type="dxa"/>
              <w:left w:w="120" w:type="dxa"/>
              <w:bottom w:w="80" w:type="dxa"/>
              <w:right w:w="120" w:type="dxa"/>
            </w:tcMar>
          </w:tcPr>
          <w:p w:rsidR="0015252A" w:rsidRDefault="00B4534C">
            <w:pPr>
              <w:jc w:val="center"/>
            </w:pPr>
            <w:r>
              <w:rPr>
                <w:b/>
                <w:bCs/>
              </w:rPr>
              <w:t>OQ</w:t>
            </w:r>
          </w:p>
        </w:tc>
      </w:tr>
      <w:tr w:rsidR="0015252A" w:rsidTr="00D242BA">
        <w:tc>
          <w:tcPr>
            <w:tcW w:w="1170"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rPr>
                <w:b/>
                <w:bCs/>
              </w:rPr>
              <w:t>CE</w:t>
            </w:r>
          </w:p>
        </w:tc>
        <w:tc>
          <w:tcPr>
            <w:tcW w:w="1024"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w:t>
            </w:r>
          </w:p>
        </w:tc>
        <w:tc>
          <w:tcPr>
            <w:tcW w:w="1024"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w:t>
            </w:r>
            <w:r w:rsidR="00A70867">
              <w:t>58</w:t>
            </w:r>
            <w:r>
              <w:t>**</w:t>
            </w:r>
          </w:p>
        </w:tc>
        <w:tc>
          <w:tcPr>
            <w:tcW w:w="1024"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.52**</w:t>
            </w:r>
          </w:p>
        </w:tc>
        <w:tc>
          <w:tcPr>
            <w:tcW w:w="1024"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.48**</w:t>
            </w:r>
          </w:p>
        </w:tc>
        <w:tc>
          <w:tcPr>
            <w:tcW w:w="1024"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.55**</w:t>
            </w:r>
          </w:p>
        </w:tc>
        <w:tc>
          <w:tcPr>
            <w:tcW w:w="1024"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.10</w:t>
            </w:r>
          </w:p>
        </w:tc>
        <w:tc>
          <w:tcPr>
            <w:tcW w:w="1024"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.34**</w:t>
            </w:r>
          </w:p>
        </w:tc>
        <w:tc>
          <w:tcPr>
            <w:tcW w:w="1024" w:type="dxa"/>
            <w:tcBorders>
              <w:top w:val="single" w:sz="4" w:space="0" w:color="000000"/>
              <w:left w:val="nil"/>
              <w:bottom w:val="nil"/>
              <w:right w:val="nil"/>
            </w:tcBorders>
            <w:tcMar>
              <w:top w:w="80" w:type="dxa"/>
              <w:left w:w="120" w:type="dxa"/>
              <w:bottom w:w="80" w:type="dxa"/>
              <w:right w:w="120" w:type="dxa"/>
            </w:tcMar>
          </w:tcPr>
          <w:p w:rsidR="0015252A" w:rsidRDefault="00B4534C">
            <w:pPr>
              <w:jc w:val="center"/>
            </w:pPr>
            <w:r>
              <w:t>.61**</w:t>
            </w:r>
          </w:p>
        </w:tc>
      </w:tr>
      <w:tr w:rsidR="0015252A" w:rsidTr="00D242BA">
        <w:tc>
          <w:tcPr>
            <w:tcW w:w="117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RA</w:t>
            </w: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r w:rsidR="00A70867">
              <w:t>5</w:t>
            </w:r>
            <w:r>
              <w:t>9</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r w:rsidR="00A70867">
              <w:t>4</w:t>
            </w:r>
            <w:r>
              <w:t>0</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r w:rsidR="00A70867">
              <w:t>43</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.0</w:t>
            </w:r>
            <w:r w:rsidR="00A70867">
              <w:t>6</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r w:rsidR="00A70867">
              <w:t>38</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r w:rsidR="00A70867">
              <w:t>41</w:t>
            </w:r>
            <w:r>
              <w:t>*</w:t>
            </w:r>
          </w:p>
        </w:tc>
      </w:tr>
      <w:tr w:rsidR="0015252A" w:rsidTr="00D242BA">
        <w:tc>
          <w:tcPr>
            <w:tcW w:w="117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CA</w:t>
            </w: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.57**</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.46**</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.15</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.42**</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.44**</w:t>
            </w:r>
          </w:p>
        </w:tc>
      </w:tr>
      <w:tr w:rsidR="0015252A" w:rsidTr="00D242BA">
        <w:tc>
          <w:tcPr>
            <w:tcW w:w="117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IC</w:t>
            </w: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.63**</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.16</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.38**</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.44**</w:t>
            </w:r>
          </w:p>
        </w:tc>
      </w:tr>
      <w:tr w:rsidR="0015252A" w:rsidTr="00D242BA">
        <w:tc>
          <w:tcPr>
            <w:tcW w:w="117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MA</w:t>
            </w: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.21</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.48**</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.58**</w:t>
            </w:r>
          </w:p>
        </w:tc>
      </w:tr>
      <w:tr w:rsidR="0015252A" w:rsidTr="00D242BA">
        <w:tc>
          <w:tcPr>
            <w:tcW w:w="117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I4S</w:t>
            </w: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.32**</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.21</w:t>
            </w:r>
          </w:p>
        </w:tc>
      </w:tr>
      <w:tr w:rsidR="0015252A" w:rsidTr="00D242BA">
        <w:tc>
          <w:tcPr>
            <w:tcW w:w="117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lastRenderedPageBreak/>
              <w:t>KPI</w:t>
            </w: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.84**</w:t>
            </w:r>
          </w:p>
        </w:tc>
      </w:tr>
      <w:tr w:rsidR="0015252A" w:rsidTr="00D242BA">
        <w:tc>
          <w:tcPr>
            <w:tcW w:w="1170" w:type="dxa"/>
            <w:tcBorders>
              <w:top w:val="nil"/>
              <w:left w:val="nil"/>
              <w:bottom w:val="nil"/>
              <w:right w:val="nil"/>
            </w:tcBorders>
            <w:tcMar>
              <w:top w:w="80" w:type="dxa"/>
              <w:left w:w="120" w:type="dxa"/>
              <w:bottom w:w="80" w:type="dxa"/>
              <w:right w:w="120" w:type="dxa"/>
            </w:tcMar>
          </w:tcPr>
          <w:p w:rsidR="0015252A" w:rsidRDefault="00B4534C">
            <w:pPr>
              <w:jc w:val="center"/>
            </w:pPr>
            <w:r>
              <w:rPr>
                <w:b/>
                <w:bCs/>
              </w:rPr>
              <w:t>OQ</w:t>
            </w: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15252A">
            <w:pPr>
              <w:jc w:val="center"/>
            </w:pPr>
          </w:p>
        </w:tc>
        <w:tc>
          <w:tcPr>
            <w:tcW w:w="1024" w:type="dxa"/>
            <w:tcBorders>
              <w:top w:val="nil"/>
              <w:left w:val="nil"/>
              <w:bottom w:val="nil"/>
              <w:right w:val="nil"/>
            </w:tcBorders>
            <w:tcMar>
              <w:top w:w="80" w:type="dxa"/>
              <w:left w:w="120" w:type="dxa"/>
              <w:bottom w:w="80" w:type="dxa"/>
              <w:right w:w="120" w:type="dxa"/>
            </w:tcMar>
          </w:tcPr>
          <w:p w:rsidR="0015252A" w:rsidRDefault="00B4534C">
            <w:pPr>
              <w:jc w:val="center"/>
            </w:pPr>
            <w:r>
              <w:t>—</w:t>
            </w:r>
          </w:p>
        </w:tc>
      </w:tr>
    </w:tbl>
    <w:p w:rsidR="0015252A" w:rsidRDefault="00B4534C">
      <w:pPr>
        <w:spacing w:before="80" w:after="240" w:line="360" w:lineRule="auto"/>
        <w:jc w:val="both"/>
        <w:rPr>
          <w:i/>
          <w:iCs/>
        </w:rPr>
      </w:pPr>
      <w:r>
        <w:rPr>
          <w:i/>
          <w:iCs/>
        </w:rPr>
        <w:t>Note. * p &lt; .05; ** p &lt; .01 (two-tailed). Construct codes: CE = Control Environment; RA = Risk Assessment; CA = Control Activities; IC = Information &amp; Communication; MA = Monitoring Activities; I4S = Industry 4.0 Shared; KPI = KPI-Driven Performance; OQ = Overall OJT Quality.</w:t>
      </w:r>
    </w:p>
    <w:p w:rsidR="0015252A" w:rsidRDefault="00B4534C">
      <w:pPr>
        <w:pStyle w:val="Heading2"/>
      </w:pPr>
      <w:r>
        <w:t>3.5 Program-Level Comparison (BSCS vs. BSIT)</w:t>
      </w:r>
    </w:p>
    <w:p w:rsidR="00B74ABF" w:rsidRPr="007F7A64" w:rsidRDefault="00B74ABF" w:rsidP="007F7A64">
      <w:pPr>
        <w:spacing w:after="160" w:line="360" w:lineRule="auto"/>
        <w:jc w:val="both"/>
      </w:pPr>
      <w:r w:rsidRPr="00B74ABF">
        <w:t xml:space="preserve">Welch’s independent-samples t-test was conducted to compare BSCS (n = 23) and BSIT (n = 41) respondents on the KPI achievement score. The test detected no significant difference between the two programs, </w:t>
      </w:r>
      <w:proofErr w:type="gramStart"/>
      <w:r w:rsidRPr="00B74ABF">
        <w:t>t(</w:t>
      </w:r>
      <w:proofErr w:type="gramEnd"/>
      <w:r w:rsidRPr="00B74ABF">
        <w:t>45.7) = −0.03, p = .980, with BSCS M = 4.50 (SD = 0.38) and BSIT M = 4.51 (SD = 0.54). The effect size was negligible (d = .01). The substantive equivalence of the two programs on perceived KPI achievement supports the use of program-pooled analyses for the COSO ERM, KPI, and OQ constructs and validates the program-specific branching design of the Industry 4.0 subscales.</w:t>
      </w:r>
    </w:p>
    <w:p w:rsidR="000D1785" w:rsidRDefault="000D1785" w:rsidP="000D1785">
      <w:pPr>
        <w:pStyle w:val="Heading2"/>
      </w:pPr>
      <w:r>
        <w:t>3.6 Exploratory Factor Analysis Adequacy</w:t>
      </w:r>
    </w:p>
    <w:p w:rsidR="004F3CF4" w:rsidRDefault="004F3CF4" w:rsidP="00325D12">
      <w:pPr>
        <w:pStyle w:val="Heading2"/>
        <w:rPr>
          <w:b w:val="0"/>
          <w:i w:val="0"/>
        </w:rPr>
      </w:pPr>
      <w:r>
        <w:rPr>
          <w:b w:val="0"/>
          <w:i w:val="0"/>
        </w:rPr>
        <w:t>Exploratory Factor Analysis (EFA) using Principal Component Analysis with Varimax rotation was conducted to examine the underlying construct structure of the deployment-stage dataset. The Kaiser-Meyer-Olkin (KMO) Measure of Sampling Adequacy yielded a value of 0.654, indicating acceptable sampling adequacy for exploratory factor analysis. Bartlett’s Test of Sphericity was statistically significant (χ² = 1773.34, p &lt; .001), suggesting that the correlation matrix was sufficiently patterned and appropriate for factor extraction procedures. Because of the moderate sample size and several observed cross-loadings, the factor analytic findings should be interpreted as provisional exploratory evidence rather than definitive confirmation of latent construct stability.</w:t>
      </w:r>
    </w:p>
    <w:p w:rsidR="00E6080A" w:rsidRDefault="00E6080A" w:rsidP="00325D12">
      <w:pPr>
        <w:pStyle w:val="Heading2"/>
        <w:rPr>
          <w:b w:val="0"/>
          <w:i w:val="0"/>
        </w:rPr>
      </w:pPr>
      <w:r>
        <w:rPr>
          <w:b w:val="0"/>
          <w:i w:val="0"/>
        </w:rPr>
        <w:t xml:space="preserve">Harman’s single-factor diagnostic test further indicated that the first unrotated factor explained 28.18% of the total variance, which is below the commonly referenced 50% </w:t>
      </w:r>
      <w:r>
        <w:rPr>
          <w:b w:val="0"/>
          <w:i w:val="0"/>
        </w:rPr>
        <w:lastRenderedPageBreak/>
        <w:t>threshold for common method bias. This suggests that common method bias was not a serious concern in the deployment dataset.</w:t>
      </w:r>
    </w:p>
    <w:p w:rsidR="0085708A" w:rsidRDefault="0085708A" w:rsidP="00325D12">
      <w:pPr>
        <w:pStyle w:val="Heading2"/>
        <w:rPr>
          <w:b w:val="0"/>
          <w:i w:val="0"/>
        </w:rPr>
      </w:pPr>
      <w:r w:rsidRPr="0085708A">
        <w:rPr>
          <w:b w:val="0"/>
          <w:i w:val="0"/>
        </w:rPr>
        <w:t>Principal component extraction with Varimax rotation indicated a predominant multi-factor solution in which the five COSO ERM constructs loaded on distinguishable components, while the I4CS items dispersed across multiple components without a dominant loading pattern — providing factor-analytic corroboration for the subscale's low internal consistency.</w:t>
      </w:r>
    </w:p>
    <w:p w:rsidR="004E3B9D" w:rsidRDefault="004E3B9D" w:rsidP="00325D12">
      <w:pPr>
        <w:pStyle w:val="Heading2"/>
        <w:rPr>
          <w:b w:val="0"/>
          <w:i w:val="0"/>
        </w:rPr>
      </w:pPr>
      <w:r>
        <w:rPr>
          <w:b w:val="0"/>
          <w:i w:val="0"/>
        </w:rPr>
        <w:t>Because the respondent-to-item ratio remained below conventional confirmatory thresholds, the factor structure should be interpreted as preliminary and exploratory rather than as definitive evidence of latent construct dimensionality. The EFA findings are therefore intended primarily to support initial construct adequacy and future instrument refinement.</w:t>
      </w:r>
      <w:r w:rsidR="0014648C">
        <w:rPr>
          <w:b w:val="0"/>
          <w:i w:val="0"/>
        </w:rPr>
        <w:t xml:space="preserve"> </w:t>
      </w:r>
      <w:r w:rsidR="00D76D0B" w:rsidRPr="00D76D0B">
        <w:rPr>
          <w:b w:val="0"/>
          <w:i w:val="0"/>
        </w:rPr>
        <w:t xml:space="preserve">The extracted multi-factor solution accounted for </w:t>
      </w:r>
      <w:proofErr w:type="gramStart"/>
      <w:r w:rsidR="00D76D0B" w:rsidRPr="00D76D0B">
        <w:rPr>
          <w:b w:val="0"/>
          <w:i w:val="0"/>
        </w:rPr>
        <w:t>approximately</w:t>
      </w:r>
      <w:r w:rsidR="003812E5">
        <w:rPr>
          <w:b w:val="0"/>
          <w:i w:val="0"/>
        </w:rPr>
        <w:t xml:space="preserve">  67.42</w:t>
      </w:r>
      <w:proofErr w:type="gramEnd"/>
      <w:r w:rsidR="00D76D0B" w:rsidRPr="00D76D0B">
        <w:rPr>
          <w:b w:val="0"/>
          <w:i w:val="0"/>
        </w:rPr>
        <w:t>% of total variance.</w:t>
      </w:r>
      <w:r w:rsidR="00D76D0B">
        <w:rPr>
          <w:b w:val="0"/>
          <w:i w:val="0"/>
        </w:rPr>
        <w:t xml:space="preserve">  </w:t>
      </w:r>
    </w:p>
    <w:p w:rsidR="0014648C" w:rsidRPr="004E3B9D" w:rsidRDefault="0014648C" w:rsidP="00325D12">
      <w:pPr>
        <w:pStyle w:val="Heading2"/>
        <w:rPr>
          <w:b w:val="0"/>
          <w:i w:val="0"/>
        </w:rPr>
      </w:pPr>
    </w:p>
    <w:p w:rsidR="00325D12" w:rsidRDefault="00325D12" w:rsidP="00325D12">
      <w:pPr>
        <w:pStyle w:val="Heading2"/>
      </w:pPr>
      <w:r>
        <w:t>3.7 Qualitative Findings</w:t>
      </w:r>
    </w:p>
    <w:p w:rsidR="00D500AC" w:rsidRDefault="00D500AC" w:rsidP="00D500AC">
      <w:pPr>
        <w:spacing w:after="160" w:line="360" w:lineRule="auto"/>
        <w:jc w:val="both"/>
      </w:pPr>
      <w:r w:rsidRPr="00D500AC">
        <w:t xml:space="preserve">Qualitative responses from the 64 respondents were analyzed by conducting a framework-guided thematic analysis. The findings mostly support the quantitative findings, especially in relation </w:t>
      </w:r>
      <w:r>
        <w:t>to the</w:t>
      </w:r>
      <w:r w:rsidRPr="00D500AC">
        <w:t xml:space="preserve"> Monitoring Activities, the development of the KPI's and the Exposure to Industry 4.0.</w:t>
      </w:r>
    </w:p>
    <w:p w:rsidR="00D500AC" w:rsidRDefault="00D500AC" w:rsidP="00D242BA">
      <w:pPr>
        <w:pStyle w:val="NoSpacing"/>
        <w:jc w:val="center"/>
        <w:rPr>
          <w:b/>
        </w:rPr>
      </w:pPr>
    </w:p>
    <w:p w:rsidR="00D242BA" w:rsidRPr="00D242BA" w:rsidRDefault="00B768C2" w:rsidP="00D242BA">
      <w:pPr>
        <w:pStyle w:val="NoSpacing"/>
        <w:jc w:val="center"/>
        <w:rPr>
          <w:b/>
        </w:rPr>
      </w:pPr>
      <w:r w:rsidRPr="00D242BA">
        <w:rPr>
          <w:b/>
        </w:rPr>
        <w:t>Table 5:</w:t>
      </w:r>
    </w:p>
    <w:p w:rsidR="00B768C2" w:rsidRPr="00D242BA" w:rsidRDefault="00B768C2" w:rsidP="00D242BA">
      <w:pPr>
        <w:spacing w:after="160" w:line="360" w:lineRule="auto"/>
        <w:jc w:val="center"/>
        <w:rPr>
          <w:b/>
        </w:rPr>
      </w:pPr>
      <w:r w:rsidRPr="00D242BA">
        <w:rPr>
          <w:b/>
        </w:rPr>
        <w:t>Summary of Major Qualitative Themes and Construct Alignment</w:t>
      </w:r>
    </w:p>
    <w:tbl>
      <w:tblPr>
        <w:tblStyle w:val="TableGrid"/>
        <w:tblW w:w="0" w:type="auto"/>
        <w:tblLook w:val="04A0" w:firstRow="1" w:lastRow="0" w:firstColumn="1" w:lastColumn="0" w:noHBand="0" w:noVBand="1"/>
      </w:tblPr>
      <w:tblGrid>
        <w:gridCol w:w="3116"/>
        <w:gridCol w:w="3117"/>
        <w:gridCol w:w="3117"/>
      </w:tblGrid>
      <w:tr w:rsidR="00B768C2" w:rsidTr="00D242BA">
        <w:tc>
          <w:tcPr>
            <w:tcW w:w="3116" w:type="dxa"/>
            <w:tcBorders>
              <w:left w:val="nil"/>
              <w:bottom w:val="single" w:sz="4" w:space="0" w:color="auto"/>
              <w:right w:val="nil"/>
            </w:tcBorders>
          </w:tcPr>
          <w:p w:rsidR="00B768C2" w:rsidRDefault="00B768C2" w:rsidP="00B768C2">
            <w:pPr>
              <w:pStyle w:val="NoSpacing"/>
            </w:pPr>
            <w:r>
              <w:t>Theme</w:t>
            </w:r>
          </w:p>
        </w:tc>
        <w:tc>
          <w:tcPr>
            <w:tcW w:w="3117" w:type="dxa"/>
            <w:tcBorders>
              <w:left w:val="nil"/>
              <w:bottom w:val="single" w:sz="4" w:space="0" w:color="auto"/>
              <w:right w:val="nil"/>
            </w:tcBorders>
          </w:tcPr>
          <w:p w:rsidR="00B768C2" w:rsidRDefault="00B768C2" w:rsidP="00B768C2">
            <w:pPr>
              <w:pStyle w:val="NoSpacing"/>
            </w:pPr>
            <w:r>
              <w:t>Representative Statement</w:t>
            </w:r>
          </w:p>
        </w:tc>
        <w:tc>
          <w:tcPr>
            <w:tcW w:w="3117" w:type="dxa"/>
            <w:tcBorders>
              <w:left w:val="nil"/>
              <w:bottom w:val="single" w:sz="4" w:space="0" w:color="auto"/>
              <w:right w:val="nil"/>
            </w:tcBorders>
          </w:tcPr>
          <w:p w:rsidR="00B768C2" w:rsidRDefault="00B768C2" w:rsidP="00B768C2">
            <w:pPr>
              <w:pStyle w:val="NoSpacing"/>
            </w:pPr>
            <w:r>
              <w:t>Linked Construct</w:t>
            </w:r>
          </w:p>
        </w:tc>
      </w:tr>
      <w:tr w:rsidR="00B768C2" w:rsidTr="00D242BA">
        <w:tc>
          <w:tcPr>
            <w:tcW w:w="3116" w:type="dxa"/>
            <w:tcBorders>
              <w:left w:val="nil"/>
              <w:bottom w:val="nil"/>
              <w:right w:val="nil"/>
            </w:tcBorders>
          </w:tcPr>
          <w:p w:rsidR="00B768C2" w:rsidRDefault="00B768C2" w:rsidP="00B768C2">
            <w:pPr>
              <w:pStyle w:val="NoSpacing"/>
            </w:pPr>
            <w:r>
              <w:t>Monitoring inconsistency</w:t>
            </w:r>
          </w:p>
        </w:tc>
        <w:tc>
          <w:tcPr>
            <w:tcW w:w="3117" w:type="dxa"/>
            <w:tcBorders>
              <w:left w:val="nil"/>
              <w:bottom w:val="nil"/>
              <w:right w:val="nil"/>
            </w:tcBorders>
          </w:tcPr>
          <w:p w:rsidR="00B768C2" w:rsidRDefault="00B768C2" w:rsidP="00B768C2">
            <w:pPr>
              <w:pStyle w:val="NoSpacing"/>
            </w:pPr>
            <w:r>
              <w:t>There was minimal monitoring from the school during my OJT</w:t>
            </w:r>
          </w:p>
        </w:tc>
        <w:tc>
          <w:tcPr>
            <w:tcW w:w="3117" w:type="dxa"/>
            <w:tcBorders>
              <w:left w:val="nil"/>
              <w:bottom w:val="nil"/>
              <w:right w:val="nil"/>
            </w:tcBorders>
          </w:tcPr>
          <w:p w:rsidR="00B768C2" w:rsidRDefault="00B768C2" w:rsidP="00B768C2">
            <w:pPr>
              <w:pStyle w:val="NoSpacing"/>
            </w:pPr>
            <w:r>
              <w:t>Monitoring Activities (MA)</w:t>
            </w:r>
          </w:p>
        </w:tc>
      </w:tr>
      <w:tr w:rsidR="00B768C2" w:rsidTr="00D242BA">
        <w:tc>
          <w:tcPr>
            <w:tcW w:w="3116" w:type="dxa"/>
            <w:tcBorders>
              <w:top w:val="nil"/>
              <w:left w:val="nil"/>
              <w:bottom w:val="nil"/>
              <w:right w:val="nil"/>
            </w:tcBorders>
          </w:tcPr>
          <w:p w:rsidR="00B768C2" w:rsidRDefault="00B768C2" w:rsidP="00B768C2">
            <w:pPr>
              <w:pStyle w:val="NoSpacing"/>
            </w:pPr>
            <w:r>
              <w:t>Skill and competency improvement</w:t>
            </w:r>
          </w:p>
        </w:tc>
        <w:tc>
          <w:tcPr>
            <w:tcW w:w="3117" w:type="dxa"/>
            <w:tcBorders>
              <w:top w:val="nil"/>
              <w:left w:val="nil"/>
              <w:bottom w:val="nil"/>
              <w:right w:val="nil"/>
            </w:tcBorders>
          </w:tcPr>
          <w:p w:rsidR="00B768C2" w:rsidRDefault="00B768C2" w:rsidP="00B768C2">
            <w:pPr>
              <w:pStyle w:val="NoSpacing"/>
            </w:pPr>
            <w:r>
              <w:t>I learned how to solve real-world problems and improved my coding skills</w:t>
            </w:r>
          </w:p>
        </w:tc>
        <w:tc>
          <w:tcPr>
            <w:tcW w:w="3117" w:type="dxa"/>
            <w:tcBorders>
              <w:top w:val="nil"/>
              <w:left w:val="nil"/>
              <w:bottom w:val="nil"/>
              <w:right w:val="nil"/>
            </w:tcBorders>
          </w:tcPr>
          <w:p w:rsidR="00B768C2" w:rsidRDefault="00B768C2" w:rsidP="00B768C2">
            <w:pPr>
              <w:pStyle w:val="NoSpacing"/>
            </w:pPr>
            <w:r>
              <w:t>KPI Performance (KPI)</w:t>
            </w:r>
          </w:p>
        </w:tc>
      </w:tr>
      <w:tr w:rsidR="00B768C2" w:rsidTr="00D242BA">
        <w:tc>
          <w:tcPr>
            <w:tcW w:w="3116" w:type="dxa"/>
            <w:tcBorders>
              <w:top w:val="nil"/>
              <w:left w:val="nil"/>
              <w:bottom w:val="nil"/>
              <w:right w:val="nil"/>
            </w:tcBorders>
          </w:tcPr>
          <w:p w:rsidR="00B768C2" w:rsidRDefault="00B768C2" w:rsidP="00B768C2">
            <w:pPr>
              <w:pStyle w:val="NoSpacing"/>
            </w:pPr>
            <w:r>
              <w:lastRenderedPageBreak/>
              <w:t>Positive supervision</w:t>
            </w:r>
          </w:p>
        </w:tc>
        <w:tc>
          <w:tcPr>
            <w:tcW w:w="3117" w:type="dxa"/>
            <w:tcBorders>
              <w:top w:val="nil"/>
              <w:left w:val="nil"/>
              <w:bottom w:val="nil"/>
              <w:right w:val="nil"/>
            </w:tcBorders>
          </w:tcPr>
          <w:p w:rsidR="00B768C2" w:rsidRDefault="00B768C2" w:rsidP="00B768C2">
            <w:pPr>
              <w:pStyle w:val="NoSpacing"/>
            </w:pPr>
            <w:r>
              <w:t>My supervisor guided me well and clearly explained tasks</w:t>
            </w:r>
          </w:p>
        </w:tc>
        <w:tc>
          <w:tcPr>
            <w:tcW w:w="3117" w:type="dxa"/>
            <w:tcBorders>
              <w:top w:val="nil"/>
              <w:left w:val="nil"/>
              <w:bottom w:val="nil"/>
              <w:right w:val="nil"/>
            </w:tcBorders>
          </w:tcPr>
          <w:p w:rsidR="00B768C2" w:rsidRDefault="00D76ECF" w:rsidP="00B768C2">
            <w:pPr>
              <w:pStyle w:val="NoSpacing"/>
            </w:pPr>
            <w:r>
              <w:t>Control Environment (CE)</w:t>
            </w:r>
          </w:p>
        </w:tc>
      </w:tr>
      <w:tr w:rsidR="00D76ECF" w:rsidTr="00D242BA">
        <w:tc>
          <w:tcPr>
            <w:tcW w:w="3116" w:type="dxa"/>
            <w:tcBorders>
              <w:top w:val="nil"/>
              <w:left w:val="nil"/>
              <w:bottom w:val="nil"/>
              <w:right w:val="nil"/>
            </w:tcBorders>
          </w:tcPr>
          <w:p w:rsidR="00D76ECF" w:rsidRDefault="00D76ECF" w:rsidP="00B768C2">
            <w:pPr>
              <w:pStyle w:val="NoSpacing"/>
            </w:pPr>
            <w:r>
              <w:t>Limited advanced technology exposure</w:t>
            </w:r>
          </w:p>
        </w:tc>
        <w:tc>
          <w:tcPr>
            <w:tcW w:w="3117" w:type="dxa"/>
            <w:tcBorders>
              <w:top w:val="nil"/>
              <w:left w:val="nil"/>
              <w:bottom w:val="nil"/>
              <w:right w:val="nil"/>
            </w:tcBorders>
          </w:tcPr>
          <w:p w:rsidR="00D76ECF" w:rsidRDefault="00D76ECF" w:rsidP="00B768C2">
            <w:pPr>
              <w:pStyle w:val="NoSpacing"/>
            </w:pPr>
            <w:r>
              <w:t>We used basic tools but not advanced technologies like AI</w:t>
            </w:r>
          </w:p>
        </w:tc>
        <w:tc>
          <w:tcPr>
            <w:tcW w:w="3117" w:type="dxa"/>
            <w:tcBorders>
              <w:top w:val="nil"/>
              <w:left w:val="nil"/>
              <w:bottom w:val="nil"/>
              <w:right w:val="nil"/>
            </w:tcBorders>
          </w:tcPr>
          <w:p w:rsidR="00D76ECF" w:rsidRDefault="00D76ECF" w:rsidP="00B768C2">
            <w:pPr>
              <w:pStyle w:val="NoSpacing"/>
            </w:pPr>
            <w:r>
              <w:t>Industry 4.0 (I4)</w:t>
            </w:r>
          </w:p>
        </w:tc>
      </w:tr>
      <w:tr w:rsidR="00D76ECF" w:rsidTr="00D242BA">
        <w:tc>
          <w:tcPr>
            <w:tcW w:w="3116" w:type="dxa"/>
            <w:tcBorders>
              <w:top w:val="nil"/>
              <w:left w:val="nil"/>
              <w:bottom w:val="nil"/>
              <w:right w:val="nil"/>
            </w:tcBorders>
          </w:tcPr>
          <w:p w:rsidR="00D76ECF" w:rsidRDefault="00D76ECF" w:rsidP="00B768C2">
            <w:pPr>
              <w:pStyle w:val="NoSpacing"/>
            </w:pPr>
            <w:r>
              <w:t>Experiential learning value</w:t>
            </w:r>
          </w:p>
        </w:tc>
        <w:tc>
          <w:tcPr>
            <w:tcW w:w="3117" w:type="dxa"/>
            <w:tcBorders>
              <w:top w:val="nil"/>
              <w:left w:val="nil"/>
              <w:bottom w:val="nil"/>
              <w:right w:val="nil"/>
            </w:tcBorders>
          </w:tcPr>
          <w:p w:rsidR="00D76ECF" w:rsidRDefault="00D76ECF" w:rsidP="00B768C2">
            <w:pPr>
              <w:pStyle w:val="NoSpacing"/>
            </w:pPr>
            <w:r>
              <w:t>The OJT gave me real-world experience that improved my confidence</w:t>
            </w:r>
          </w:p>
        </w:tc>
        <w:tc>
          <w:tcPr>
            <w:tcW w:w="3117" w:type="dxa"/>
            <w:tcBorders>
              <w:top w:val="nil"/>
              <w:left w:val="nil"/>
              <w:bottom w:val="nil"/>
              <w:right w:val="nil"/>
            </w:tcBorders>
          </w:tcPr>
          <w:p w:rsidR="00D76ECF" w:rsidRDefault="00D76ECF" w:rsidP="00B768C2">
            <w:pPr>
              <w:pStyle w:val="NoSpacing"/>
            </w:pPr>
            <w:r>
              <w:t>Overall OJT Quality (OQ)</w:t>
            </w:r>
          </w:p>
        </w:tc>
      </w:tr>
    </w:tbl>
    <w:p w:rsidR="00B768C2" w:rsidRDefault="00B768C2" w:rsidP="00B768C2">
      <w:pPr>
        <w:pStyle w:val="NoSpacing"/>
      </w:pPr>
    </w:p>
    <w:p w:rsidR="00325D12" w:rsidRDefault="00325D12" w:rsidP="00325D12">
      <w:pPr>
        <w:spacing w:after="160" w:line="360" w:lineRule="auto"/>
        <w:jc w:val="both"/>
        <w:rPr>
          <w:b/>
          <w:bCs/>
        </w:rPr>
      </w:pPr>
      <w:r>
        <w:rPr>
          <w:b/>
          <w:bCs/>
        </w:rPr>
        <w:t>Monitoring Activities (MA).</w:t>
      </w:r>
    </w:p>
    <w:p w:rsidR="00325D12" w:rsidRDefault="007F578A" w:rsidP="00325D12">
      <w:pPr>
        <w:spacing w:after="160" w:line="360" w:lineRule="auto"/>
        <w:jc w:val="both"/>
      </w:pPr>
      <w:r w:rsidRPr="007F578A">
        <w:t xml:space="preserve">One consistent finding from respondents was the lack of consistent monitoring during OJT. </w:t>
      </w:r>
      <w:r w:rsidR="00CA473C">
        <w:t>Several</w:t>
      </w:r>
      <w:r w:rsidRPr="007F578A">
        <w:t xml:space="preserve"> respondents indica</w:t>
      </w:r>
      <w:r w:rsidR="00CA473C">
        <w:t>ted</w:t>
      </w:r>
      <w:r w:rsidRPr="007F578A">
        <w:t xml:space="preserve"> limited </w:t>
      </w:r>
      <w:r w:rsidR="00CA473C">
        <w:t xml:space="preserve">institutional </w:t>
      </w:r>
      <w:r w:rsidRPr="007F578A">
        <w:t>follow-up, which is consistent with the lowest mean score recorded for Monitoring Activities (M = 4.30).</w:t>
      </w:r>
      <w:r>
        <w:t xml:space="preserve"> </w:t>
      </w:r>
      <w:r w:rsidR="00325D12">
        <w:t>Example response: “There was minimal monitoring from the school during my OJT.”</w:t>
      </w:r>
    </w:p>
    <w:p w:rsidR="00325D12" w:rsidRDefault="00325D12" w:rsidP="00325D12">
      <w:pPr>
        <w:spacing w:after="160" w:line="360" w:lineRule="auto"/>
        <w:jc w:val="both"/>
        <w:rPr>
          <w:b/>
          <w:bCs/>
        </w:rPr>
      </w:pPr>
      <w:r>
        <w:rPr>
          <w:b/>
          <w:bCs/>
        </w:rPr>
        <w:t>KPI Performance (KPI).</w:t>
      </w:r>
    </w:p>
    <w:p w:rsidR="00325D12" w:rsidRDefault="000C2177" w:rsidP="00325D12">
      <w:pPr>
        <w:spacing w:after="160" w:line="360" w:lineRule="auto"/>
        <w:jc w:val="both"/>
      </w:pPr>
      <w:r w:rsidRPr="000C2177">
        <w:t xml:space="preserve">There was a high frequency of improvements in problem-solving, technical skills and adaptability. The narratives back the high KPI mean (M = 4.51). </w:t>
      </w:r>
      <w:r w:rsidR="00325D12">
        <w:t>Example response: “I learned how to solve real-world problems and improved my coding skills.”</w:t>
      </w:r>
    </w:p>
    <w:p w:rsidR="00D242BA" w:rsidRDefault="00D242BA" w:rsidP="00325D12">
      <w:pPr>
        <w:spacing w:after="160" w:line="360" w:lineRule="auto"/>
        <w:jc w:val="both"/>
      </w:pPr>
    </w:p>
    <w:p w:rsidR="00D242BA" w:rsidRDefault="00D242BA" w:rsidP="00325D12">
      <w:pPr>
        <w:spacing w:after="160" w:line="360" w:lineRule="auto"/>
        <w:jc w:val="both"/>
      </w:pPr>
    </w:p>
    <w:p w:rsidR="00325D12" w:rsidRDefault="00325D12" w:rsidP="00325D12">
      <w:pPr>
        <w:spacing w:after="160" w:line="360" w:lineRule="auto"/>
        <w:jc w:val="both"/>
        <w:rPr>
          <w:b/>
          <w:bCs/>
        </w:rPr>
      </w:pPr>
      <w:r>
        <w:rPr>
          <w:b/>
          <w:bCs/>
        </w:rPr>
        <w:t>Control Environment (CE).</w:t>
      </w:r>
    </w:p>
    <w:p w:rsidR="00325D12" w:rsidRDefault="000C2177" w:rsidP="00325D12">
      <w:pPr>
        <w:spacing w:after="160" w:line="360" w:lineRule="auto"/>
        <w:jc w:val="both"/>
      </w:pPr>
      <w:r w:rsidRPr="000C2177">
        <w:t xml:space="preserve">Positive supervision and structured environments were frequently mentioned, which resulted in a high Control Environment score (M = 4.62). </w:t>
      </w:r>
      <w:r w:rsidR="00325D12">
        <w:t>Example response: “My supervisor guided me well and clearly explained tasks.”</w:t>
      </w:r>
    </w:p>
    <w:p w:rsidR="00325D12" w:rsidRDefault="00325D12" w:rsidP="00325D12">
      <w:pPr>
        <w:spacing w:after="160" w:line="360" w:lineRule="auto"/>
        <w:jc w:val="both"/>
        <w:rPr>
          <w:b/>
          <w:bCs/>
        </w:rPr>
      </w:pPr>
      <w:r>
        <w:rPr>
          <w:b/>
          <w:bCs/>
        </w:rPr>
        <w:t>Industry 4.0 Exposure (I4).</w:t>
      </w:r>
    </w:p>
    <w:p w:rsidR="00325D12" w:rsidRDefault="000C2177" w:rsidP="006137BF">
      <w:pPr>
        <w:spacing w:after="160" w:line="360" w:lineRule="auto"/>
        <w:jc w:val="both"/>
      </w:pPr>
      <w:r w:rsidRPr="000C2177">
        <w:t>There were mixed reactions about the exposure to Industry 4.0. A few respondents reported that they had meaningful access to digital tools, and others that they had limited access, which is consistent with the weaker correlations found for this construct.</w:t>
      </w:r>
      <w:r>
        <w:t xml:space="preserve"> </w:t>
      </w:r>
      <w:r w:rsidR="00325D12">
        <w:t>Example response: “We used basic tools but not advanced technologies like AI.”</w:t>
      </w:r>
    </w:p>
    <w:p w:rsidR="00652147" w:rsidRDefault="00652147" w:rsidP="00652147">
      <w:pPr>
        <w:spacing w:after="160" w:line="360" w:lineRule="auto"/>
        <w:jc w:val="both"/>
      </w:pPr>
      <w:r>
        <w:lastRenderedPageBreak/>
        <w:t>The Nature of Work assignments also contextualized the Industry 4.0 findings. Respondents assigned primarily to routine administrative or support-oriented functions reported lower exposure to advanced digital tools and Industry 4.0 practices, whereas those engaged in programming, systems development, networking, or technical operations described stronger competency development and higher perceived KPI gains. These qualitative patterns provide a plausible contextual explanation for the weaker inferential association observed between the Industry 4.0 constructs and Overall OJT Quality despite their relatively high descriptive means.</w:t>
      </w:r>
    </w:p>
    <w:p w:rsidR="006137BF" w:rsidRPr="00325D12" w:rsidRDefault="006137BF" w:rsidP="006137BF">
      <w:pPr>
        <w:pStyle w:val="NoSpacing"/>
        <w:rPr>
          <w:b/>
          <w:bCs/>
        </w:rPr>
      </w:pPr>
    </w:p>
    <w:p w:rsidR="006137BF" w:rsidRDefault="00325D12" w:rsidP="00325D12">
      <w:pPr>
        <w:spacing w:after="160" w:line="360" w:lineRule="auto"/>
        <w:jc w:val="both"/>
        <w:rPr>
          <w:b/>
          <w:bCs/>
        </w:rPr>
      </w:pPr>
      <w:r>
        <w:rPr>
          <w:b/>
          <w:bCs/>
        </w:rPr>
        <w:t>Overall OJT Quality (OQ).</w:t>
      </w:r>
    </w:p>
    <w:p w:rsidR="00652147" w:rsidRDefault="000C2177" w:rsidP="00325D12">
      <w:pPr>
        <w:spacing w:after="160" w:line="360" w:lineRule="auto"/>
        <w:jc w:val="both"/>
      </w:pPr>
      <w:r w:rsidRPr="000C2177">
        <w:t>The overall quality rating of OJT was high (M = 4.57) with the general respondents characterizing OJT as valuable and beneficial. Sample answer: "The OJT experience provided practical experience which helped build my confidence. In summary, the qualitative findings provide context for the quantitative findings and discuss specific areas for program improvement in this study, particularly in the monitoring process and integration of Industry 4.0.</w:t>
      </w:r>
    </w:p>
    <w:p w:rsidR="00325D12" w:rsidRDefault="00325D12" w:rsidP="00325D12">
      <w:pPr>
        <w:pStyle w:val="Heading2"/>
      </w:pPr>
    </w:p>
    <w:p w:rsidR="0015252A" w:rsidRDefault="00B4534C">
      <w:r>
        <w:br w:type="page"/>
      </w:r>
    </w:p>
    <w:p w:rsidR="0015252A" w:rsidRDefault="00B4534C">
      <w:pPr>
        <w:pStyle w:val="Heading1"/>
      </w:pPr>
      <w:r>
        <w:lastRenderedPageBreak/>
        <w:t>4. DISCUSSION</w:t>
      </w:r>
    </w:p>
    <w:p w:rsidR="0015252A" w:rsidRDefault="00B4534C">
      <w:pPr>
        <w:pStyle w:val="Heading2"/>
      </w:pPr>
      <w:r>
        <w:t>4.1 Theoretical Implications</w:t>
      </w:r>
    </w:p>
    <w:p w:rsidR="0015252A" w:rsidRDefault="00EA1677">
      <w:pPr>
        <w:spacing w:after="160" w:line="360" w:lineRule="auto"/>
        <w:ind w:firstLine="720"/>
        <w:jc w:val="both"/>
      </w:pPr>
      <w:r w:rsidRPr="00EA1677">
        <w:t xml:space="preserve">The results empirically verify the theoretical suggestion that the principles of enterprise IT-auditing, which were first developed in the area of financial-reporting in the enterprises, can be translated to the area of evaluation of educational programs. </w:t>
      </w:r>
      <w:r w:rsidR="00B4534C">
        <w:t xml:space="preserve">The COSO ERM five-component architecture proved particularly robust: </w:t>
      </w:r>
      <w:r w:rsidR="00B7667E">
        <w:t>all five</w:t>
      </w:r>
      <w:r w:rsidR="00B4534C">
        <w:t xml:space="preserve"> the COSO ERM components demonstrated acceptable reliability, while the Risk Assessment construct returned marginal but analytically usable reliability for exploratory deployment analysis. </w:t>
      </w:r>
      <w:r w:rsidR="0086129F" w:rsidRPr="0086129F">
        <w:t xml:space="preserve">The Control Environment construct, </w:t>
      </w:r>
      <w:r w:rsidR="00E65FF8">
        <w:t>theoretically</w:t>
      </w:r>
      <w:r w:rsidR="0086129F" w:rsidRPr="0086129F">
        <w:t xml:space="preserve"> central to the COSO ERM framework, had the strongest correlation with the criterion variable (r = .61, p &lt; .001), in line with the concept of the theoretical centrality of the construct. </w:t>
      </w:r>
    </w:p>
    <w:p w:rsidR="0086129F" w:rsidRDefault="0086129F" w:rsidP="00E65FF8">
      <w:pPr>
        <w:pStyle w:val="Heading2"/>
        <w:ind w:firstLine="720"/>
        <w:rPr>
          <w:b w:val="0"/>
          <w:bCs w:val="0"/>
          <w:i w:val="0"/>
          <w:iCs w:val="0"/>
          <w:sz w:val="24"/>
          <w:szCs w:val="24"/>
        </w:rPr>
      </w:pPr>
      <w:r w:rsidRPr="0086129F">
        <w:rPr>
          <w:b w:val="0"/>
          <w:bCs w:val="0"/>
          <w:i w:val="0"/>
          <w:iCs w:val="0"/>
          <w:sz w:val="24"/>
          <w:szCs w:val="24"/>
        </w:rPr>
        <w:t>The results are consistent with previous internship-evaluation research that highlights the importance of the supervisory structure, organizational climate and reflective learning in competency development (e.g., Kolb, 1984; CC2020 Task Force, 2020). Other research on how structured supervisory structures and organized practices affect student competency development and training quality in higher education has found similar positive effects (Hora, Parrott, &amp; Her, 2020).</w:t>
      </w:r>
    </w:p>
    <w:p w:rsidR="002B077A" w:rsidRDefault="002B077A" w:rsidP="00E65FF8">
      <w:pPr>
        <w:pStyle w:val="Heading2"/>
        <w:ind w:firstLine="720"/>
        <w:rPr>
          <w:b w:val="0"/>
          <w:bCs w:val="0"/>
          <w:i w:val="0"/>
          <w:iCs w:val="0"/>
          <w:sz w:val="24"/>
          <w:szCs w:val="24"/>
        </w:rPr>
      </w:pPr>
      <w:r w:rsidRPr="002B077A">
        <w:rPr>
          <w:b w:val="0"/>
          <w:bCs w:val="0"/>
          <w:i w:val="0"/>
          <w:iCs w:val="0"/>
          <w:sz w:val="24"/>
          <w:szCs w:val="24"/>
        </w:rPr>
        <w:t>The successful translation of COSO ERM's five-component architecture to the OJT evaluation context advances a nascent but growing body of scholarship applying enterprise risk management principles to higher education governance (Mikes &amp; Kaplan, 2013; Power, 2009). Prior applications of COSO ERM in educational settings have focused primarily on financial compliance and institutional risk registers (Huber, 2011); the present study extends this domain by operationalizing the five ERM components as quality-assurance constructs in program-level evaluation. The KPI–OQ correlation (r = .84, p &lt; .001) in particular suggests that BADIR-aligned performance analytics, when embedded within an ERM structure, function as a robust predictor of experiential learning quality — a finding that has direct implications for how Philippine HEIs may design audit-grade OJT monitoring systems under CHED Memorandum Order No. 25 (2017) and PAASCU Level III accreditation criteria</w:t>
      </w:r>
      <w:r w:rsidR="00D76D0B">
        <w:rPr>
          <w:b w:val="0"/>
          <w:bCs w:val="0"/>
          <w:i w:val="0"/>
          <w:iCs w:val="0"/>
          <w:sz w:val="24"/>
          <w:szCs w:val="24"/>
        </w:rPr>
        <w:t xml:space="preserve">. </w:t>
      </w:r>
      <w:r w:rsidR="00D76D0B" w:rsidRPr="00D76D0B">
        <w:rPr>
          <w:b w:val="0"/>
          <w:bCs w:val="0"/>
          <w:i w:val="0"/>
          <w:iCs w:val="0"/>
          <w:sz w:val="24"/>
          <w:szCs w:val="24"/>
        </w:rPr>
        <w:t>The findings contribute to the emerging international discourse on Industry 4.0 competency governance and digitally aligned work-based learning evaluation frameworks in higher education.</w:t>
      </w:r>
      <w:r w:rsidR="00D76D0B">
        <w:rPr>
          <w:b w:val="0"/>
          <w:bCs w:val="0"/>
          <w:i w:val="0"/>
          <w:iCs w:val="0"/>
          <w:sz w:val="24"/>
          <w:szCs w:val="24"/>
        </w:rPr>
        <w:t xml:space="preserve"> </w:t>
      </w:r>
    </w:p>
    <w:p w:rsidR="00D76D0B" w:rsidRDefault="00D76D0B">
      <w:pPr>
        <w:pStyle w:val="Heading2"/>
        <w:rPr>
          <w:b w:val="0"/>
          <w:bCs w:val="0"/>
          <w:i w:val="0"/>
          <w:iCs w:val="0"/>
          <w:sz w:val="24"/>
          <w:szCs w:val="24"/>
        </w:rPr>
      </w:pPr>
    </w:p>
    <w:p w:rsidR="0015252A" w:rsidRDefault="00B4534C">
      <w:pPr>
        <w:pStyle w:val="Heading2"/>
      </w:pPr>
      <w:r>
        <w:t>4.2 Methodological Implications</w:t>
      </w:r>
    </w:p>
    <w:p w:rsidR="0015252A" w:rsidRDefault="00B4534C">
      <w:pPr>
        <w:spacing w:after="160" w:line="360" w:lineRule="auto"/>
        <w:ind w:firstLine="720"/>
        <w:jc w:val="both"/>
      </w:pPr>
      <w:r>
        <w:t xml:space="preserve">The achieved sample of n = 64 from a population of N = 99 (response rate 64.65%) demonstrates that complete-enumeration sampling in small institutional populations can yield preliminary </w:t>
      </w:r>
      <w:r w:rsidR="00B74ABF">
        <w:t xml:space="preserve">yet </w:t>
      </w:r>
      <w:r>
        <w:t xml:space="preserve">reliable and analytically usable deployment data even when classical sampling-error benchmarks (Slovin’s formula at e = .05; Krejcie </w:t>
      </w:r>
      <w:r w:rsidR="000543E4">
        <w:t>&amp;</w:t>
      </w:r>
      <w:r>
        <w:t xml:space="preserve"> Morgan, 1970) are not strictly satisfied. The recalibrated margin of error of 7.50% remains within the bounds Memon et al. (2020) accept for educational research in small institutional populations. This finding has direct implications </w:t>
      </w:r>
      <w:r w:rsidR="0086129F">
        <w:t xml:space="preserve">on the </w:t>
      </w:r>
      <w:r>
        <w:t>replicati</w:t>
      </w:r>
      <w:r w:rsidR="0086129F">
        <w:t>on in other similarly sized</w:t>
      </w:r>
      <w:r>
        <w:t xml:space="preserve"> </w:t>
      </w:r>
      <w:r w:rsidR="0086129F">
        <w:t>instruments</w:t>
      </w:r>
      <w:r>
        <w:t xml:space="preserve"> in other Philippine higher education institutions of comparable size, where</w:t>
      </w:r>
      <w:r w:rsidR="0086129F">
        <w:t xml:space="preserve"> the size of the </w:t>
      </w:r>
      <w:r>
        <w:t>population frames in single-program OJT cohorts typically range between 30 and 100 student-trainees per cohort.</w:t>
      </w:r>
    </w:p>
    <w:p w:rsidR="0086129F" w:rsidRPr="00E65FF8" w:rsidRDefault="0086129F" w:rsidP="00E65FF8">
      <w:pPr>
        <w:spacing w:after="160" w:line="360" w:lineRule="auto"/>
        <w:ind w:firstLine="720"/>
        <w:jc w:val="both"/>
      </w:pPr>
      <w:r w:rsidRPr="0086129F">
        <w:t>Therefore</w:t>
      </w:r>
      <w:r>
        <w:t>,</w:t>
      </w:r>
      <w:r w:rsidRPr="0086129F">
        <w:t xml:space="preserve"> these results should be considered exploratory but methodologically informative for the evaluation of OJT in institutions and preliminary deployment of the instrument.</w:t>
      </w:r>
    </w:p>
    <w:p w:rsidR="0086129F" w:rsidRPr="00E65FF8" w:rsidRDefault="0086129F" w:rsidP="00E65FF8">
      <w:pPr>
        <w:spacing w:after="160" w:line="360" w:lineRule="auto"/>
        <w:ind w:firstLine="720"/>
        <w:jc w:val="both"/>
      </w:pPr>
      <w:r w:rsidRPr="0086129F">
        <w:t>The small effect sizes found in comparisons between cohorts and between programs also indicate a negligible difference, at best, in the magnitude of the differences.</w:t>
      </w:r>
    </w:p>
    <w:p w:rsidR="0015252A" w:rsidRDefault="00B4534C" w:rsidP="0086129F">
      <w:pPr>
        <w:pStyle w:val="Heading2"/>
      </w:pPr>
      <w:r>
        <w:t>4.3 Practical Implications</w:t>
      </w:r>
    </w:p>
    <w:p w:rsidR="00DD04F8" w:rsidRPr="00DA4054" w:rsidRDefault="00DD04F8" w:rsidP="00DA4054">
      <w:pPr>
        <w:spacing w:after="160" w:line="360" w:lineRule="auto"/>
        <w:ind w:firstLine="720"/>
        <w:jc w:val="both"/>
      </w:pPr>
      <w:r w:rsidRPr="00DA4054">
        <w:t xml:space="preserve">The deployment of the KPI-Driven OJT Evaluation Instrument at Notre Dame of </w:t>
      </w:r>
      <w:proofErr w:type="spellStart"/>
      <w:r w:rsidRPr="00DA4054">
        <w:t>Marbel</w:t>
      </w:r>
      <w:proofErr w:type="spellEnd"/>
      <w:r w:rsidRPr="00DA4054">
        <w:t xml:space="preserve"> University generated several actionable findings for OJT program management. First, the Monitoring Activities construct returned the lowest mean score (M = 4.30) and the highest variability (SD = 0.67) among the COSO ERM constructs, indicating inconsistency in institutional and host-organization monitoring practices during OJT implementation. These findings suggest that monitoring remains the most heterogeneous and comparatively weakest operational dimension of the current OJT system. Targeted improvements directed toward institutional monitoring frequency, issue tracking, and corrective follow-up mechanisms — particularly items MA-3 and MA-5 — are therefore recommended for the SY 2026–2027 OJT cycle.</w:t>
      </w:r>
    </w:p>
    <w:p w:rsidR="00DD04F8" w:rsidRPr="00DD04F8" w:rsidRDefault="00DD04F8" w:rsidP="00DD04F8">
      <w:pPr>
        <w:pStyle w:val="Heading2"/>
        <w:rPr>
          <w:b w:val="0"/>
          <w:bCs w:val="0"/>
          <w:i w:val="0"/>
          <w:iCs w:val="0"/>
          <w:sz w:val="24"/>
          <w:szCs w:val="24"/>
        </w:rPr>
      </w:pPr>
    </w:p>
    <w:p w:rsidR="00DD04F8" w:rsidRPr="00DA4054" w:rsidRDefault="00DD04F8" w:rsidP="00DA4054">
      <w:pPr>
        <w:spacing w:after="160" w:line="360" w:lineRule="auto"/>
        <w:ind w:firstLine="720"/>
        <w:jc w:val="both"/>
      </w:pPr>
      <w:r w:rsidRPr="00DA4054">
        <w:t xml:space="preserve">Second, the Industry 4.0 constructs revealed important variability across deployment environments. The BSIT-specific Industry 4.0 construct (I4IT) returned the comparatively lower </w:t>
      </w:r>
      <w:r w:rsidRPr="00DA4054">
        <w:lastRenderedPageBreak/>
        <w:t xml:space="preserve">construct mean (M = 3.93, SD = 0.75), while the BSCS-specific Industry 4.0 construct (I4CS) demonstrated weak internal consistency (α = .248). The weaker inferential relationship between the Industry 4.0 constructs and Overall OJT Quality (r = .19, p &gt; .05) further suggests that technology-oriented exposure remains inconsistently distributed across OJT environments. These findings indicate a potential content-validity concern in which the BSCS-specific subscale may not yet capture a unified competency domain among trainees deployed across heterogeneous operational settings. </w:t>
      </w:r>
      <w:r w:rsidR="00F064E2" w:rsidRPr="00DA4054">
        <w:t>Additional item-level diagnostics suggest that the weak psychometric performance of the I4CS construct reflects heterogeneous operational exposure rather than random measurement error alone. In particular, I4CS-2 (“I participated in data analytics, artificial intelligence, or advanced computational tasks”) and I4CS-4 (“I gained experience with programming tools”) demonstrated divergent response patterns, indicating that BSCS trainees assigned to analytics-intensive, programming-intensive, or administrative environments evaluated substantially different forms of Industry 4.0 exposure. These findings suggest that the present I4CS indicators may capture multiple operational competency domains rather than a single unified latent construct. The results therefore support future refinement of the subscale through more precise alignment with CC2020 competency specialization areas and more homogeneous Industry 4.0 exposure indicators.</w:t>
      </w:r>
    </w:p>
    <w:p w:rsidR="00DD04F8" w:rsidRPr="00DA4054" w:rsidRDefault="00DD04F8" w:rsidP="00DA4054">
      <w:pPr>
        <w:spacing w:after="160" w:line="360" w:lineRule="auto"/>
        <w:ind w:firstLine="720"/>
        <w:jc w:val="both"/>
      </w:pPr>
      <w:r w:rsidRPr="00DA4054">
        <w:t>Third, the temporal stability of KPI-Driven Performance and Overall OJT Quality across the three school years (ANOVA p = .278 and p = .374) suggests that the perceived quality of the OJT program remained relatively stable from SY 2023–2024 to SY 2025–2026. The absence of statistically significant inter-cohort variation provides an institutional baseline against which future OJT reforms and quality-improvement initiatives may be evaluated.</w:t>
      </w:r>
    </w:p>
    <w:p w:rsidR="00DD04F8" w:rsidRPr="00DA4054" w:rsidRDefault="00DD04F8" w:rsidP="00DA4054">
      <w:pPr>
        <w:spacing w:after="160" w:line="360" w:lineRule="auto"/>
        <w:ind w:firstLine="720"/>
        <w:jc w:val="both"/>
      </w:pPr>
      <w:r w:rsidRPr="00DA4054">
        <w:t>The qualitative findings further reinforced the quantitative results. Respondents consistently identified Monitoring Activities as an area requiring improvement, particularly in relation to institutional follow-up and feedback coordination. Similarly, mixed perceptions regarding digital-technology exposure suggest that current OJT placements vary considerably in their alignment with emerging workforce competencies. These findings provide contextual depth to the statistical results and strengthen the triangulation between the quantitative and qualitative components of the study.</w:t>
      </w:r>
    </w:p>
    <w:p w:rsidR="00DD04F8" w:rsidRPr="00DA4054" w:rsidRDefault="00DD04F8" w:rsidP="00DA4054">
      <w:pPr>
        <w:spacing w:after="160" w:line="360" w:lineRule="auto"/>
        <w:ind w:firstLine="720"/>
        <w:jc w:val="both"/>
      </w:pPr>
      <w:r w:rsidRPr="00DA4054">
        <w:lastRenderedPageBreak/>
        <w:t>The present findings also align with previous Industry 4.0 and computing-education studies that reported uneven technological exposure across internship environments, particularly within developing institutional contexts where deployment opportunities vary significantly in technological maturity (Hernandez-de-Menendez et al., 2020</w:t>
      </w:r>
      <w:r w:rsidR="00DA4054" w:rsidRPr="00DA4054">
        <w:t>a</w:t>
      </w:r>
      <w:r w:rsidRPr="00DA4054">
        <w:t>; Li, 2022). Prior research similarly demonstrated that technically intensive work environments contribute more strongly to competency acquisition and career readiness than routine administrative assignments (Hernandez-de-Menendez et al., 2020</w:t>
      </w:r>
      <w:r w:rsidR="00DA4054" w:rsidRPr="00DA4054">
        <w:t>b</w:t>
      </w:r>
      <w:r w:rsidRPr="00DA4054">
        <w:t>).</w:t>
      </w:r>
    </w:p>
    <w:p w:rsidR="00DD04F8" w:rsidRPr="00DA4054" w:rsidRDefault="00DD04F8" w:rsidP="00DA4054">
      <w:pPr>
        <w:spacing w:after="160" w:line="360" w:lineRule="auto"/>
        <w:ind w:firstLine="720"/>
        <w:jc w:val="both"/>
      </w:pPr>
      <w:r w:rsidRPr="00DA4054">
        <w:t>The findings further suggest that the quality and type of operational exposure during OJT may influence competency development and experiential learning outcomes. Respondents assigned to technically intensive roles — including programming, systems development, networking, and technical support — generally reported stronger perceived KPI development and richer experiential learning outcomes compared with respondents assigned primarily to routine clerical or administrative functions. These qualitative patterns also contextualized the weaker inferential relationships observed between the Industry 4.0 constructs and Overall OJT Quality despite the relatively high descriptive means of these variables. Institutions may therefore need to strengthen placement-alignment mechanisms to ensure that assigned work activities correspond more closely with program outcomes and emerging digital workforce competencies.</w:t>
      </w:r>
    </w:p>
    <w:p w:rsidR="003C2446" w:rsidRDefault="003C2446" w:rsidP="00DD04F8">
      <w:pPr>
        <w:pStyle w:val="Heading2"/>
      </w:pPr>
      <w:r>
        <w:t>4.3.1 Implications for Philippine Computing-Education Governance</w:t>
      </w:r>
    </w:p>
    <w:p w:rsidR="003C2446" w:rsidRDefault="003C2446" w:rsidP="00127819">
      <w:pPr>
        <w:spacing w:after="160" w:line="360" w:lineRule="auto"/>
        <w:ind w:firstLine="720"/>
        <w:jc w:val="both"/>
      </w:pPr>
      <w:r>
        <w:t>The findings of this study have broader implications for computing-education governance and quality assurance in Philippine higher education institutions. The integration of COSO ERM principles, KPI-driven analytics, and Industry 4.0 competency mapping provides a preliminary governance-oriented framework that extends beyond traditional internship evaluation practices commonly used in BSCS and BSIT programs.</w:t>
      </w:r>
    </w:p>
    <w:p w:rsidR="003C2446" w:rsidRDefault="003C2446" w:rsidP="00127819">
      <w:pPr>
        <w:spacing w:after="160" w:line="360" w:lineRule="auto"/>
        <w:ind w:firstLine="720"/>
        <w:jc w:val="both"/>
      </w:pPr>
      <w:r>
        <w:t>The results suggest that OJT evaluation in Philippine computing education may benefit from a transition from compliance-oriented documentation toward evidence-based and audit-grade quality assurance systems. Existing internship assessment mechanisms in many institutions remain focused primarily on completion requirements, narrative supervisor evaluations, and procedural compliance. In contrast, the present framework operationalizes OJT quality through measurable governance, monitoring, competency-development, and Industry 4.0 readiness indicators.</w:t>
      </w:r>
    </w:p>
    <w:p w:rsidR="003C2446" w:rsidRDefault="003C2446" w:rsidP="00127819">
      <w:pPr>
        <w:spacing w:after="160" w:line="360" w:lineRule="auto"/>
        <w:ind w:firstLine="720"/>
        <w:jc w:val="both"/>
      </w:pPr>
      <w:r>
        <w:lastRenderedPageBreak/>
        <w:t>The strong relationships observed between KPI-driven performance, COSO ERM monitoring structures, and Overall OJT Quality indicate that governance-oriented internship evaluation may support more systematic program assessment and continuous quality improvement. These findings are particularly relevant for institutions undergoing CHED program monitoring and Philippine Accrediting Association of Schools, Colleges, and Universities (PAASCU) accreditation review, where evidence-based outcomes assessment and stakeholder accountability are increasingly emphasized.</w:t>
      </w:r>
    </w:p>
    <w:p w:rsidR="00127819" w:rsidRDefault="00127819" w:rsidP="00127819">
      <w:pPr>
        <w:spacing w:after="160" w:line="360" w:lineRule="auto"/>
        <w:ind w:firstLine="720"/>
        <w:jc w:val="both"/>
      </w:pPr>
      <w:r>
        <w:t>The framework may also support outcomes-based monitoring systems aligned with CHED’s quality assurance and graduate employability objectives for computing programs.</w:t>
      </w:r>
    </w:p>
    <w:p w:rsidR="003C2446" w:rsidRDefault="003C2446" w:rsidP="00127819">
      <w:pPr>
        <w:spacing w:after="160" w:line="360" w:lineRule="auto"/>
        <w:ind w:firstLine="720"/>
        <w:jc w:val="both"/>
      </w:pPr>
      <w:r>
        <w:t>The findings also support the growing national emphasis on Industry 4.0 readiness and digital workforce alignment within Philippine higher education. Given the projected shortage of Industry 4.0-ready computing professionals identified in the Philippine IT-BPM Industry Roadmap 2028, higher education institutions may need to strengthen placement alignment, digital competency monitoring, and technology-oriented OJT deployment strategies to improve workforce preparedness.</w:t>
      </w:r>
    </w:p>
    <w:p w:rsidR="00127819" w:rsidRDefault="00127819" w:rsidP="00127819">
      <w:pPr>
        <w:spacing w:after="160" w:line="360" w:lineRule="auto"/>
        <w:ind w:firstLine="720"/>
        <w:jc w:val="both"/>
      </w:pPr>
      <w:r>
        <w:t>The findings additionally contribute to international discussions on digitally aligned work-based learning, governance analytics, and competency-based internship evaluation in Industry 4.0 educational ecosystems.</w:t>
      </w:r>
    </w:p>
    <w:p w:rsidR="008649D5" w:rsidRDefault="008649D5" w:rsidP="00127819">
      <w:pPr>
        <w:pStyle w:val="Heading2"/>
        <w:ind w:firstLine="720"/>
        <w:rPr>
          <w:b w:val="0"/>
          <w:bCs w:val="0"/>
          <w:i w:val="0"/>
          <w:iCs w:val="0"/>
          <w:sz w:val="24"/>
          <w:szCs w:val="24"/>
        </w:rPr>
      </w:pPr>
      <w:r w:rsidRPr="008649D5">
        <w:rPr>
          <w:b w:val="0"/>
          <w:bCs w:val="0"/>
          <w:i w:val="0"/>
          <w:iCs w:val="0"/>
          <w:sz w:val="24"/>
          <w:szCs w:val="24"/>
        </w:rPr>
        <w:t xml:space="preserve">At the policy level, the framework may serve as a preliminary reference model for future development of standardized OJT quality assurance mechanisms for Philippine computing programs. </w:t>
      </w:r>
      <w:r w:rsidR="00CF36B6" w:rsidRPr="00CF36B6">
        <w:rPr>
          <w:b w:val="0"/>
          <w:bCs w:val="0"/>
          <w:i w:val="0"/>
          <w:iCs w:val="0"/>
          <w:sz w:val="24"/>
          <w:szCs w:val="24"/>
        </w:rPr>
        <w:t>The findings demonstrate that enterprise risk management principles can be adapted from corporate IT-audit settings to strengthen educational quality assurance</w:t>
      </w:r>
      <w:r w:rsidRPr="008649D5">
        <w:rPr>
          <w:b w:val="0"/>
          <w:bCs w:val="0"/>
          <w:i w:val="0"/>
          <w:iCs w:val="0"/>
          <w:sz w:val="24"/>
          <w:szCs w:val="24"/>
        </w:rPr>
        <w:t>. The proposed framework therefore contributes not only to institutional OJT assessment but also to the broader discourse on governance-oriented digital transformation in Philippine computing education.</w:t>
      </w:r>
    </w:p>
    <w:p w:rsidR="00980BD8" w:rsidRDefault="00980BD8" w:rsidP="00980BD8">
      <w:pPr>
        <w:pStyle w:val="Heading2"/>
      </w:pPr>
      <w:r>
        <w:t>4.4 Recommendations Derived from Qualitative Findings</w:t>
      </w:r>
    </w:p>
    <w:p w:rsidR="00A86E71" w:rsidRDefault="0086129F" w:rsidP="00127819">
      <w:pPr>
        <w:spacing w:after="160" w:line="360" w:lineRule="auto"/>
        <w:ind w:firstLine="720"/>
        <w:jc w:val="both"/>
      </w:pPr>
      <w:r w:rsidRPr="0086129F">
        <w:t>Based on the qualitative results of the study, several recommendations are made on the level of the curriculum and on the program level, aligned to the study's COSO ERM, KPI-driven, and Industry 4.0 framework.</w:t>
      </w:r>
    </w:p>
    <w:p w:rsidR="0086129F" w:rsidRPr="0086129F" w:rsidRDefault="00A86E71" w:rsidP="00127819">
      <w:pPr>
        <w:spacing w:after="160" w:line="360" w:lineRule="auto"/>
        <w:ind w:firstLine="720"/>
        <w:jc w:val="both"/>
      </w:pPr>
      <w:r>
        <w:lastRenderedPageBreak/>
        <w:t>At</w:t>
      </w:r>
      <w:r w:rsidR="0086129F" w:rsidRPr="0086129F">
        <w:t xml:space="preserve"> the curriculum level, the respondents highlight the need to improve the integration of Industry 4.0 skills in BSCS and BSIT </w:t>
      </w:r>
      <w:r w:rsidR="006B1BD7">
        <w:t>programs</w:t>
      </w:r>
      <w:r w:rsidR="0086129F" w:rsidRPr="0086129F">
        <w:t>, especially in AI, cloud computing, cyber security, automation and data analytics. The respondents also underscored the need to increase hands-on and project-based learning activities in order to enhance the technical preparedness and competency application in the workplace before the deployment of OJT.</w:t>
      </w:r>
    </w:p>
    <w:p w:rsidR="0086129F" w:rsidRPr="00317531" w:rsidRDefault="0086129F" w:rsidP="00317531">
      <w:pPr>
        <w:spacing w:after="160" w:line="360" w:lineRule="auto"/>
        <w:ind w:firstLine="720"/>
        <w:jc w:val="both"/>
      </w:pPr>
      <w:r w:rsidRPr="00317531">
        <w:t xml:space="preserve">Some respondents also suggested more integration of academic training with </w:t>
      </w:r>
      <w:r w:rsidR="00DA1390" w:rsidRPr="00317531">
        <w:t>on-the-job</w:t>
      </w:r>
      <w:r w:rsidRPr="00317531">
        <w:t xml:space="preserve"> training. </w:t>
      </w:r>
      <w:r w:rsidR="00CB0152" w:rsidRPr="00317531">
        <w:t>S</w:t>
      </w:r>
      <w:r w:rsidRPr="00317531">
        <w:t xml:space="preserve">tudents </w:t>
      </w:r>
      <w:r w:rsidR="00CB0152" w:rsidRPr="00317531">
        <w:t xml:space="preserve">assigned primarily to </w:t>
      </w:r>
      <w:r w:rsidRPr="00317531">
        <w:t xml:space="preserve">non-technical or clerical </w:t>
      </w:r>
      <w:r w:rsidR="00CB0152" w:rsidRPr="00317531">
        <w:t>tasks</w:t>
      </w:r>
      <w:r w:rsidRPr="00317531">
        <w:t xml:space="preserve"> indicated less experiential learning when compared to the students in the programming, systems development, networking and technical support assignments. The results indicate that greater alignment mechanisms between placement and the training assignments of the host institution are needed between institutional program outcomes and host training assignments.</w:t>
      </w:r>
    </w:p>
    <w:p w:rsidR="0086129F" w:rsidRPr="00317531" w:rsidRDefault="00A92543" w:rsidP="00317531">
      <w:pPr>
        <w:spacing w:after="160" w:line="360" w:lineRule="auto"/>
        <w:ind w:firstLine="720"/>
        <w:jc w:val="both"/>
      </w:pPr>
      <w:r w:rsidRPr="00317531">
        <w:t>R</w:t>
      </w:r>
      <w:r w:rsidR="0086129F" w:rsidRPr="00317531">
        <w:t xml:space="preserve">espondents </w:t>
      </w:r>
      <w:r w:rsidRPr="00317531">
        <w:t>consistently</w:t>
      </w:r>
      <w:r w:rsidR="0086129F" w:rsidRPr="00317531">
        <w:t xml:space="preserve"> emphasized the importance of enhancing the institutional monitoring and </w:t>
      </w:r>
      <w:r w:rsidRPr="00317531">
        <w:t>follow-up</w:t>
      </w:r>
      <w:r w:rsidR="0086129F" w:rsidRPr="00317531">
        <w:t xml:space="preserve"> system at the OJT program level. Recommend</w:t>
      </w:r>
      <w:r w:rsidR="00266621" w:rsidRPr="00317531">
        <w:t>ed</w:t>
      </w:r>
      <w:r w:rsidR="0086129F" w:rsidRPr="00317531">
        <w:t xml:space="preserve"> </w:t>
      </w:r>
      <w:r w:rsidR="00266621" w:rsidRPr="00317531">
        <w:t>improvements included scheduled monitoring</w:t>
      </w:r>
      <w:r w:rsidR="0086129F" w:rsidRPr="00317531">
        <w:t xml:space="preserve"> visits, </w:t>
      </w:r>
      <w:r w:rsidRPr="00317531">
        <w:t xml:space="preserve">a </w:t>
      </w:r>
      <w:r w:rsidR="0086129F" w:rsidRPr="00317531">
        <w:t xml:space="preserve">digital monitoring platform, </w:t>
      </w:r>
      <w:r w:rsidRPr="00317531">
        <w:t xml:space="preserve">a </w:t>
      </w:r>
      <w:r w:rsidR="0086129F" w:rsidRPr="00317531">
        <w:t xml:space="preserve">structured feedback system, </w:t>
      </w:r>
      <w:r w:rsidRPr="00317531">
        <w:t xml:space="preserve">and </w:t>
      </w:r>
      <w:r w:rsidR="0086129F" w:rsidRPr="00317531">
        <w:t>better coordination between OJT coordinators and host organizations. Respondents also suggested further cooperation with technologically advanced organizations to enhance the exposure and competency development opportunities for Industry 4.0.</w:t>
      </w:r>
    </w:p>
    <w:p w:rsidR="0086129F" w:rsidRPr="00317531" w:rsidRDefault="0086129F" w:rsidP="00317531">
      <w:pPr>
        <w:spacing w:after="160" w:line="360" w:lineRule="auto"/>
        <w:ind w:firstLine="720"/>
        <w:jc w:val="both"/>
      </w:pPr>
      <w:r w:rsidRPr="00317531">
        <w:t>The recommendations also reinforce the practical implications of the study by combining the results of the quantitative data with the results of the respondents' insights in order to obtain a deeper understanding, and they identified actionable recommendations for enhancing the quality of OJT, Industry 4.0 readiness, and the development of competency through KPIs.</w:t>
      </w:r>
    </w:p>
    <w:p w:rsidR="0086129F" w:rsidRPr="00317531" w:rsidRDefault="0086129F" w:rsidP="00317531">
      <w:pPr>
        <w:spacing w:after="160" w:line="360" w:lineRule="auto"/>
        <w:ind w:firstLine="720"/>
        <w:jc w:val="both"/>
      </w:pPr>
      <w:r w:rsidRPr="00317531">
        <w:t xml:space="preserve">The results overall indicate that the quality of OJT in computing education is not only dependent on exposure to internships but dependent on the synergy between organizational governance, monitoring systems, competency-based evaluation systems, and experience with Industry 4.0. COSO ERM, KPI-based analytics, mapping with CC2020 competence and the experiential learning theory thus </w:t>
      </w:r>
      <w:r w:rsidR="00BA7011" w:rsidRPr="00317531">
        <w:t>create</w:t>
      </w:r>
      <w:r w:rsidRPr="00317531">
        <w:t xml:space="preserve"> a multidimensional framework for assessing the quality of OJT in the context of digital learning environments</w:t>
      </w:r>
      <w:r w:rsidR="00BA7011" w:rsidRPr="00317531">
        <w:t xml:space="preserve">. NDMU may consider developing a digital KPI-based OJT monitoring dashboard integrating supervisor feedback, institutional monitoring logs, and Industry 4.0 competency tracking. </w:t>
      </w:r>
    </w:p>
    <w:p w:rsidR="0015252A" w:rsidRDefault="00B4534C" w:rsidP="0086129F">
      <w:pPr>
        <w:pStyle w:val="Heading2"/>
      </w:pPr>
      <w:r>
        <w:lastRenderedPageBreak/>
        <w:t>4.5 Limitations</w:t>
      </w:r>
    </w:p>
    <w:p w:rsidR="00294B4B" w:rsidRDefault="00294B4B" w:rsidP="00294B4B">
      <w:pPr>
        <w:spacing w:after="160" w:line="360" w:lineRule="auto"/>
        <w:jc w:val="both"/>
      </w:pPr>
      <w:r>
        <w:t>Several limitations should be acknowledged when interpreting the findings. The study was conducted within a single private higher education institution in Region XII using a relatively small analytical sample (n = 64) drawn from a population frame of N = 99. Although the response rate was acceptable for exploratory educational research, the recalibrated margin of error (7.50%) exceeded the conventional 5% benchmark, and the statistical power of the three-group ANOVA remained below the preferred 0.80 threshold. Accordingly, inter-cohort findings should be interpreted as exploratory rather than confirmatory, and generalizability beyond comparable Philippine computing-education contexts remains limited.</w:t>
      </w:r>
    </w:p>
    <w:p w:rsidR="00294B4B" w:rsidRDefault="00294B4B" w:rsidP="00294B4B">
      <w:pPr>
        <w:spacing w:after="160" w:line="360" w:lineRule="auto"/>
        <w:jc w:val="both"/>
      </w:pPr>
    </w:p>
    <w:p w:rsidR="0024239F" w:rsidRDefault="00294B4B" w:rsidP="0086129F">
      <w:pPr>
        <w:spacing w:after="160" w:line="360" w:lineRule="auto"/>
        <w:jc w:val="both"/>
      </w:pPr>
      <w:r>
        <w:t>A second limitation concerns the psychometric instability of the BSCS-specific Industry 4.0 subscale (I4CS), which demonstrated unsatisfactory internal consistency (α = .248), likely reflecting heterogeneous deployment environments and uneven Industry 4.0 exposure across BSCS placements. The use of self-report perceptual measures may also introduce response subjectivity despite procedural and statistical controls for common method bias. These limitations suggest that the Industry 4.0 component of the framework requires further refinement and validation before large-scale confirmatory deployment.</w:t>
      </w:r>
    </w:p>
    <w:p w:rsidR="0015252A" w:rsidRPr="00980BD8" w:rsidRDefault="00F757E7" w:rsidP="00980BD8">
      <w:pPr>
        <w:pStyle w:val="NormalWeb"/>
        <w:rPr>
          <w:b/>
          <w:i/>
        </w:rPr>
      </w:pPr>
      <w:r>
        <w:t xml:space="preserve"> </w:t>
      </w:r>
      <w:r>
        <w:rPr>
          <w:b/>
          <w:i/>
        </w:rPr>
        <w:t>4.6 Future Research</w:t>
      </w:r>
    </w:p>
    <w:p w:rsidR="00317531" w:rsidRDefault="00317531" w:rsidP="00626ECA">
      <w:pPr>
        <w:spacing w:after="160" w:line="360" w:lineRule="auto"/>
        <w:jc w:val="both"/>
      </w:pPr>
      <w:r w:rsidRPr="00317531">
        <w:t>Future research should prioritize three major areas to strengthen the psychometric, institutional, and contextual robustness of the proposed framework.</w:t>
      </w:r>
    </w:p>
    <w:p w:rsidR="00626ECA" w:rsidRPr="001F2602" w:rsidRDefault="00626ECA" w:rsidP="00626ECA">
      <w:pPr>
        <w:spacing w:after="160" w:line="360" w:lineRule="auto"/>
        <w:jc w:val="both"/>
        <w:rPr>
          <w:b/>
        </w:rPr>
      </w:pPr>
      <w:r w:rsidRPr="001F2602">
        <w:rPr>
          <w:b/>
        </w:rPr>
        <w:t>A. Psychometric Validation</w:t>
      </w:r>
    </w:p>
    <w:p w:rsidR="00626ECA" w:rsidRDefault="00626ECA" w:rsidP="00983065">
      <w:pPr>
        <w:spacing w:after="160" w:line="360" w:lineRule="auto"/>
        <w:ind w:firstLine="720"/>
        <w:jc w:val="both"/>
      </w:pPr>
      <w:r>
        <w:t xml:space="preserve">Future studies should prioritize refinement and validation of the BSCS-specific Industry 4.0 subscale (I4CS), particularly through stronger alignment with CC2020 computing competencies in artificial intelligence, software engineering, data science, and advanced computing environments. Larger samples should be used to conduct Confirmatory Factor Analysis (CFA), Structural Equation Modeling (SEM), and measurement invariance testing across BSCS and BSIT groups to evaluate construct stability and model fit. Multi-group validation procedures </w:t>
      </w:r>
      <w:r>
        <w:lastRenderedPageBreak/>
        <w:t>would further determine whether the proposed framework operates consistently across computing disciplines.</w:t>
      </w:r>
    </w:p>
    <w:p w:rsidR="00626ECA" w:rsidRPr="001F2602" w:rsidRDefault="00626ECA" w:rsidP="00626ECA">
      <w:pPr>
        <w:spacing w:after="160" w:line="360" w:lineRule="auto"/>
        <w:jc w:val="both"/>
        <w:rPr>
          <w:b/>
        </w:rPr>
      </w:pPr>
      <w:r w:rsidRPr="001F2602">
        <w:rPr>
          <w:b/>
        </w:rPr>
        <w:t>B. Multi-Institution Replication</w:t>
      </w:r>
    </w:p>
    <w:p w:rsidR="00626ECA" w:rsidRDefault="00626ECA" w:rsidP="00983065">
      <w:pPr>
        <w:spacing w:after="160" w:line="360" w:lineRule="auto"/>
        <w:ind w:firstLine="720"/>
        <w:jc w:val="both"/>
      </w:pPr>
      <w:r>
        <w:t>Replication across multiple Philippine higher education institutions is necessary to determine whether the present findings reflect broader patterns in computing education rather than institution-specific conditions. Larger pooled samples from diverse institutional settings would improve statistical power, strengthen external validity, and permit more robust subgroup and longitudinal analyses of OJT quality and governance-oriented internship evaluation.</w:t>
      </w:r>
    </w:p>
    <w:p w:rsidR="00626ECA" w:rsidRPr="001F2602" w:rsidRDefault="00626ECA" w:rsidP="00626ECA">
      <w:pPr>
        <w:spacing w:after="160" w:line="360" w:lineRule="auto"/>
        <w:jc w:val="both"/>
        <w:rPr>
          <w:b/>
        </w:rPr>
      </w:pPr>
      <w:r w:rsidRPr="001F2602">
        <w:rPr>
          <w:b/>
        </w:rPr>
        <w:t>C. Industry 4.0 Contextualization</w:t>
      </w:r>
    </w:p>
    <w:p w:rsidR="001932E7" w:rsidRDefault="00626ECA" w:rsidP="00983065">
      <w:pPr>
        <w:spacing w:after="160" w:line="360" w:lineRule="auto"/>
        <w:ind w:firstLine="720"/>
        <w:jc w:val="both"/>
      </w:pPr>
      <w:r>
        <w:t>Future investigations should further examine how Industry 4.0 exposure varies across different OJT deployment environments and operational roles. In particular, the Nature of Work (NW) variable may be tested as a moderating factor influencing the relationship between Industry 4.0 exposure, KPI-driven competency development, and Overall OJT Quality. Comparative studies involving technologically advanced deployment environments, digital transformation settings, and private-sector technology organizations may further clarify how operational exposure shapes Industry 4.0 readiness and experiential learning outcomes</w:t>
      </w:r>
      <w:r w:rsidR="00317531">
        <w:t>.</w:t>
      </w:r>
    </w:p>
    <w:p w:rsidR="0015252A" w:rsidRDefault="00B4534C">
      <w:pPr>
        <w:pStyle w:val="Heading1"/>
      </w:pPr>
      <w:r>
        <w:t>5. CONCLUSIONS</w:t>
      </w:r>
    </w:p>
    <w:p w:rsidR="0015252A" w:rsidRDefault="00B4534C" w:rsidP="004E3982">
      <w:pPr>
        <w:spacing w:after="160" w:line="360" w:lineRule="auto"/>
        <w:ind w:firstLine="720"/>
        <w:jc w:val="both"/>
      </w:pPr>
      <w:r>
        <w:t>The KPI-Driven OJT Evaluation Instrument, anchored on COSO ERM 2017, Industry 4.0, BADIR analytics, and Kolb’s experiential learning theory, demonstrated acceptable overall internal consistency (α = .</w:t>
      </w:r>
      <w:r w:rsidR="0024239F">
        <w:t>928</w:t>
      </w:r>
      <w:r>
        <w:t xml:space="preserve">) across a three-year sequential cohort sample of sixty-four BSCS and BSIT student-trainees of Notre Dame of Marbel University. Most constructs demonstrated acceptable reliability for </w:t>
      </w:r>
      <w:r w:rsidR="005A3451">
        <w:t>preliminary institutional implementation</w:t>
      </w:r>
      <w:r>
        <w:t xml:space="preserve">, although the BSCS-specific Industry 4.0 subscale (I4CS) returned unsatisfactory internal consistency and requires further refinement prior to large-scale redeployment. Construct means ranged from 4.30 (Monitoring Activities) to 4.62 (Control Environment) on a five-point scale, with the criterion variable Overall OJT Quality at 4.57. KPI achievement and OJT Quality were stable across the three cohorts, and Control Environment, Monitoring Activities, and KPI achievement demonstrated statistically significant positive associations </w:t>
      </w:r>
      <w:proofErr w:type="gramStart"/>
      <w:r>
        <w:t>with  Overall</w:t>
      </w:r>
      <w:proofErr w:type="gramEnd"/>
      <w:r>
        <w:t xml:space="preserve"> OJT Quality. The findings generally support the </w:t>
      </w:r>
      <w:r>
        <w:lastRenderedPageBreak/>
        <w:t>proposed KPI-Driven OJT Evaluation Framework while acknowledging the exploratory limitations of several retained constructs and the contextual variability of Industry 4.0 deployment environments.</w:t>
      </w:r>
    </w:p>
    <w:p w:rsidR="0015252A" w:rsidRDefault="00B4534C" w:rsidP="004E3982">
      <w:pPr>
        <w:spacing w:after="160" w:line="360" w:lineRule="auto"/>
        <w:ind w:firstLine="720"/>
        <w:jc w:val="both"/>
      </w:pPr>
      <w:r>
        <w:t xml:space="preserve">The deployed instrument is offered as an open-access measurement tool for replication in other Philippine higher education institutions and as a candidate evidence base for OJT-program review under the Philippine Accrediting Association of Schools, Colleges, </w:t>
      </w:r>
      <w:proofErr w:type="gramStart"/>
      <w:r>
        <w:t>and  Universities</w:t>
      </w:r>
      <w:proofErr w:type="gramEnd"/>
      <w:r>
        <w:t xml:space="preserve"> (PAASCU) and the Commission on Higher Education (CHED) program-monitoring cycles.</w:t>
      </w:r>
    </w:p>
    <w:p w:rsidR="00845B79" w:rsidRDefault="00845B79" w:rsidP="004E3982">
      <w:pPr>
        <w:spacing w:after="160" w:line="360" w:lineRule="auto"/>
        <w:ind w:firstLine="720"/>
        <w:jc w:val="both"/>
      </w:pPr>
      <w:r w:rsidRPr="00845B79">
        <w:t>The psychometric limitations identified were localized primarily within the BSCS-specific Industry 4.0 subscale and do not invalidate the broader KPI-Driven OJT Evaluation Framework. The COSO ERM constructs, KPI-driven performance indicators, and Overall OJT Quality construct demonstrated satisfactory psychometric performance and remain viable for preliminary audit-grade OJT evaluation.</w:t>
      </w:r>
    </w:p>
    <w:p w:rsidR="004E3982" w:rsidRDefault="004E3982" w:rsidP="004E3982">
      <w:pPr>
        <w:spacing w:after="160" w:line="360" w:lineRule="auto"/>
        <w:ind w:firstLine="720"/>
        <w:jc w:val="both"/>
      </w:pPr>
      <w:r w:rsidRPr="004E3982">
        <w:t>Critically, the I4CS finding does not compromise the validity of the framework for its primary intended use. The five COSO ERM constructs — Control Environment, Risk Assessment, Control Activities, Information and Communication, and Monitoring Activities — and the KPI-Driven Performance construct all demonstrated acceptable-to-good reliability and statistically significant associations with Overall OJT Quality. These constructs are psychometrically sound for program-level auditing, policy benchmarking, and PAASCU accreditation evidence. The I4CS subscale represents a bounded limitation requiring targeted revision within the instrument’s Industry 4.0 module; it does not constitute a general threat to the framework’s validity. This asymmetric interpretation — a robust COSO ERM core with a single subscale requiring domain-aligned refinement — represents a scientifically defensible and practically useful starting point for the development of audit-grade OJT quality instruments in Philippine computing education.</w:t>
      </w:r>
    </w:p>
    <w:p w:rsidR="000126D0" w:rsidRDefault="000126D0" w:rsidP="004E3982">
      <w:pPr>
        <w:spacing w:after="160" w:line="360" w:lineRule="auto"/>
        <w:ind w:firstLine="720"/>
        <w:jc w:val="both"/>
      </w:pPr>
      <w:r>
        <w:t xml:space="preserve">The study therefore contributes a </w:t>
      </w:r>
      <w:r w:rsidR="005A3451">
        <w:t>structured</w:t>
      </w:r>
      <w:r>
        <w:t xml:space="preserve"> and psychometrically informed framework that extends OJT evaluation beyond procedural compliance toward evidence-based and audit-grade quality assurance in Philippine computing education.</w:t>
      </w:r>
    </w:p>
    <w:p w:rsidR="001932E7" w:rsidRDefault="001932E7">
      <w:pPr>
        <w:spacing w:after="160" w:line="360" w:lineRule="auto"/>
        <w:jc w:val="both"/>
      </w:pPr>
    </w:p>
    <w:p w:rsidR="0015252A" w:rsidRDefault="00B4534C">
      <w:pPr>
        <w:pStyle w:val="Heading1"/>
      </w:pPr>
      <w:r>
        <w:t>ACKNOWLEDGMENTS</w:t>
      </w:r>
    </w:p>
    <w:p w:rsidR="0015252A" w:rsidRDefault="00B4534C">
      <w:pPr>
        <w:spacing w:after="160" w:line="360" w:lineRule="auto"/>
        <w:jc w:val="both"/>
      </w:pPr>
      <w:r>
        <w:lastRenderedPageBreak/>
        <w:t>The authors thank the Department of Computer Studies of Notre Dame of Marbel University for institutional support, the OJT Coordinator for facilitating respondent recruitment across the three cohorts, and the doctoral committee of AMA University for their methodological guidance. The authors also thank the sixty-four student-trainee respondents whose voluntary participation made this study possible.</w:t>
      </w:r>
    </w:p>
    <w:p w:rsidR="0015252A" w:rsidRDefault="00B4534C">
      <w:pPr>
        <w:pStyle w:val="Heading1"/>
      </w:pPr>
      <w:r>
        <w:t>CONFLICT OF INTEREST</w:t>
      </w:r>
    </w:p>
    <w:p w:rsidR="0015252A" w:rsidRDefault="00B4534C">
      <w:pPr>
        <w:spacing w:after="160" w:line="360" w:lineRule="auto"/>
        <w:jc w:val="both"/>
      </w:pPr>
      <w:r>
        <w:t>The authors declare no conflict of interest.</w:t>
      </w:r>
    </w:p>
    <w:p w:rsidR="0015252A" w:rsidRDefault="00B4534C">
      <w:pPr>
        <w:pStyle w:val="Heading1"/>
      </w:pPr>
      <w:r>
        <w:t>FUNDING</w:t>
      </w:r>
    </w:p>
    <w:p w:rsidR="0015252A" w:rsidRDefault="00B4534C">
      <w:pPr>
        <w:spacing w:after="160" w:line="360" w:lineRule="auto"/>
        <w:jc w:val="both"/>
      </w:pPr>
      <w:r>
        <w:t>This research received no specific grant from any funding agency in the public, commercial, or not-for-profit sectors.</w:t>
      </w:r>
    </w:p>
    <w:p w:rsidR="0015252A" w:rsidRDefault="00B4534C">
      <w:pPr>
        <w:pStyle w:val="Heading1"/>
      </w:pPr>
      <w:r>
        <w:t>DATA AVAILABILITY</w:t>
      </w:r>
    </w:p>
    <w:p w:rsidR="0015252A" w:rsidRDefault="00B4534C">
      <w:pPr>
        <w:spacing w:after="160" w:line="360" w:lineRule="auto"/>
        <w:jc w:val="both"/>
      </w:pPr>
      <w:r>
        <w:t>The cleaned, anonymized dataset and the locked instrument are available from the corresponding author upon reasonable request, subject to institutional ethics-review approval.</w:t>
      </w:r>
    </w:p>
    <w:p w:rsidR="0015252A" w:rsidRDefault="00B4534C">
      <w:r>
        <w:br w:type="page"/>
      </w:r>
    </w:p>
    <w:p w:rsidR="0015252A" w:rsidRDefault="00B4534C">
      <w:pPr>
        <w:pStyle w:val="Heading1"/>
      </w:pPr>
      <w:r>
        <w:lastRenderedPageBreak/>
        <w:t>REFERENCES</w:t>
      </w:r>
    </w:p>
    <w:p w:rsidR="004E3982" w:rsidRDefault="004E3982" w:rsidP="00D409B0">
      <w:pPr>
        <w:pStyle w:val="NoSpacing"/>
        <w:ind w:left="567" w:hanging="567"/>
      </w:pPr>
      <w:proofErr w:type="spellStart"/>
      <w:r w:rsidRPr="004E3982">
        <w:t>Badenes</w:t>
      </w:r>
      <w:proofErr w:type="spellEnd"/>
      <w:r w:rsidRPr="004E3982">
        <w:t xml:space="preserve">-Ribera, L., Silver, N. C., &amp; </w:t>
      </w:r>
      <w:proofErr w:type="spellStart"/>
      <w:r w:rsidRPr="004E3982">
        <w:t>Pedroli</w:t>
      </w:r>
      <w:proofErr w:type="spellEnd"/>
      <w:r w:rsidRPr="004E3982">
        <w:t xml:space="preserve">, E. (2020). Editorial: Scale development and score validation. </w:t>
      </w:r>
      <w:r w:rsidRPr="004E3982">
        <w:rPr>
          <w:i/>
          <w:iCs/>
        </w:rPr>
        <w:t>Frontiers in Psychology, 11,</w:t>
      </w:r>
      <w:r w:rsidRPr="004E3982">
        <w:t xml:space="preserve"> Article 799. </w:t>
      </w:r>
      <w:hyperlink r:id="rId8" w:history="1">
        <w:r w:rsidR="004E6ECC" w:rsidRPr="003F47C0">
          <w:rPr>
            <w:rStyle w:val="Hyperlink"/>
          </w:rPr>
          <w:t>https://doi.org/10.3389/fpsyg.2020.00799</w:t>
        </w:r>
      </w:hyperlink>
    </w:p>
    <w:p w:rsidR="004E3982" w:rsidRDefault="004E3982" w:rsidP="00D409B0">
      <w:pPr>
        <w:pStyle w:val="NoSpacing"/>
        <w:ind w:left="567" w:hanging="567"/>
      </w:pPr>
      <w:proofErr w:type="spellStart"/>
      <w:r w:rsidRPr="004E3982">
        <w:t>Barbera</w:t>
      </w:r>
      <w:proofErr w:type="spellEnd"/>
      <w:r w:rsidRPr="004E3982">
        <w:t xml:space="preserve">, J., </w:t>
      </w:r>
      <w:proofErr w:type="spellStart"/>
      <w:r w:rsidRPr="004E3982">
        <w:t>Naibert</w:t>
      </w:r>
      <w:proofErr w:type="spellEnd"/>
      <w:r w:rsidRPr="004E3982">
        <w:t xml:space="preserve">, N., </w:t>
      </w:r>
      <w:proofErr w:type="spellStart"/>
      <w:r w:rsidRPr="004E3982">
        <w:t>Komperda</w:t>
      </w:r>
      <w:proofErr w:type="spellEnd"/>
      <w:r w:rsidRPr="004E3982">
        <w:t xml:space="preserve">, R., &amp; Pentecost, T. C. (2021). Clarity on Cronbach’s alpha use. </w:t>
      </w:r>
      <w:r w:rsidRPr="004E3982">
        <w:rPr>
          <w:i/>
          <w:iCs/>
        </w:rPr>
        <w:t>Journal of Chemical Education, 98</w:t>
      </w:r>
      <w:r w:rsidRPr="004E3982">
        <w:t xml:space="preserve">(2), 257–258. </w:t>
      </w:r>
      <w:hyperlink r:id="rId9" w:history="1">
        <w:r w:rsidR="004E6ECC" w:rsidRPr="003F47C0">
          <w:rPr>
            <w:rStyle w:val="Hyperlink"/>
          </w:rPr>
          <w:t>https://doi.org/10.1021/acs.jchemed.0c00183</w:t>
        </w:r>
      </w:hyperlink>
    </w:p>
    <w:p w:rsidR="004E3982" w:rsidRDefault="004E3982" w:rsidP="00D409B0">
      <w:pPr>
        <w:pStyle w:val="NoSpacing"/>
        <w:ind w:left="567" w:hanging="567"/>
      </w:pPr>
      <w:r w:rsidRPr="004E3982">
        <w:t xml:space="preserve">Bartlett, M. S. (1954). A note on the multiplying factors for various chi square approximations. </w:t>
      </w:r>
      <w:r w:rsidRPr="004E3982">
        <w:rPr>
          <w:i/>
          <w:iCs/>
        </w:rPr>
        <w:t>Journal of the Royal Statistical Society: Series B (Methodological), 16</w:t>
      </w:r>
      <w:r w:rsidRPr="004E3982">
        <w:t xml:space="preserve">(2), 296–298. </w:t>
      </w:r>
      <w:hyperlink r:id="rId10" w:history="1">
        <w:r w:rsidR="004E6ECC" w:rsidRPr="003F47C0">
          <w:rPr>
            <w:rStyle w:val="Hyperlink"/>
          </w:rPr>
          <w:t>https://doi.org/10.1111/j.2517-6161.1954.tb00174</w:t>
        </w:r>
      </w:hyperlink>
      <w:r w:rsidRPr="004E3982">
        <w:t>.x</w:t>
      </w:r>
    </w:p>
    <w:p w:rsidR="004E3982" w:rsidRDefault="004E3982" w:rsidP="004E6ECC">
      <w:pPr>
        <w:pStyle w:val="NoSpacing"/>
      </w:pPr>
      <w:r w:rsidRPr="004E3982">
        <w:t xml:space="preserve">Braun, V., &amp; Clarke, V. (2006). Using thematic analysis in psychology. </w:t>
      </w:r>
      <w:r w:rsidRPr="004E3982">
        <w:rPr>
          <w:i/>
          <w:iCs/>
        </w:rPr>
        <w:t>Qualitative Research in Psychology, 3</w:t>
      </w:r>
      <w:r w:rsidRPr="004E3982">
        <w:t xml:space="preserve">(2), 77–101. </w:t>
      </w:r>
      <w:hyperlink r:id="rId11" w:history="1">
        <w:r w:rsidR="004E6ECC" w:rsidRPr="003F47C0">
          <w:rPr>
            <w:rStyle w:val="Hyperlink"/>
          </w:rPr>
          <w:t>https://doi.org/10.1191/1478088706qp063oa</w:t>
        </w:r>
      </w:hyperlink>
    </w:p>
    <w:p w:rsidR="004E3982" w:rsidRDefault="004E3982" w:rsidP="00D409B0">
      <w:pPr>
        <w:pStyle w:val="NoSpacing"/>
        <w:ind w:left="567" w:hanging="567"/>
      </w:pPr>
      <w:proofErr w:type="spellStart"/>
      <w:r w:rsidRPr="004E3982">
        <w:t>Bujang</w:t>
      </w:r>
      <w:proofErr w:type="spellEnd"/>
      <w:r w:rsidRPr="004E3982">
        <w:t xml:space="preserve">, M. A., Omar, E. D., &amp; </w:t>
      </w:r>
      <w:proofErr w:type="spellStart"/>
      <w:r w:rsidRPr="004E3982">
        <w:t>Baharum</w:t>
      </w:r>
      <w:proofErr w:type="spellEnd"/>
      <w:r w:rsidRPr="004E3982">
        <w:t xml:space="preserve">, N. A. (2018). A review on sample size determination for Cronbach’s alpha test: A simple guide for researchers. </w:t>
      </w:r>
      <w:r w:rsidRPr="004E3982">
        <w:rPr>
          <w:i/>
          <w:iCs/>
        </w:rPr>
        <w:t>The Malaysian Journal of Medical Sciences, 25</w:t>
      </w:r>
      <w:r w:rsidRPr="004E3982">
        <w:t xml:space="preserve">(6), 85–99. </w:t>
      </w:r>
      <w:hyperlink r:id="rId12" w:history="1">
        <w:r w:rsidR="004E6ECC" w:rsidRPr="003F47C0">
          <w:rPr>
            <w:rStyle w:val="Hyperlink"/>
          </w:rPr>
          <w:t>https://doi.org/10.21315/mjms2018.25.6.9</w:t>
        </w:r>
      </w:hyperlink>
    </w:p>
    <w:p w:rsidR="004E3982" w:rsidRDefault="004E3982" w:rsidP="00D409B0">
      <w:pPr>
        <w:pStyle w:val="NoSpacing"/>
        <w:ind w:left="567" w:hanging="567"/>
      </w:pPr>
      <w:r w:rsidRPr="004E3982">
        <w:t xml:space="preserve">CC2020 Task Force. (2020). </w:t>
      </w:r>
      <w:r w:rsidRPr="004E3982">
        <w:rPr>
          <w:i/>
          <w:iCs/>
        </w:rPr>
        <w:t>Computing curricula 2020: Paradigms for global computing education.</w:t>
      </w:r>
      <w:r w:rsidRPr="004E3982">
        <w:t xml:space="preserve"> Association for Computing Machinery &amp; IEEE Computer Society. </w:t>
      </w:r>
      <w:hyperlink r:id="rId13" w:history="1">
        <w:r w:rsidR="004E6ECC" w:rsidRPr="003F47C0">
          <w:rPr>
            <w:rStyle w:val="Hyperlink"/>
          </w:rPr>
          <w:t>https://doi.org/10.1145/3467967</w:t>
        </w:r>
      </w:hyperlink>
    </w:p>
    <w:p w:rsidR="004E3982" w:rsidRDefault="004E3982" w:rsidP="00D409B0">
      <w:pPr>
        <w:pStyle w:val="NoSpacing"/>
        <w:ind w:left="567" w:hanging="567"/>
      </w:pPr>
      <w:r w:rsidRPr="004E3982">
        <w:t xml:space="preserve">Chans, G. M., </w:t>
      </w:r>
      <w:proofErr w:type="spellStart"/>
      <w:r w:rsidRPr="004E3982">
        <w:t>Alcalá</w:t>
      </w:r>
      <w:proofErr w:type="spellEnd"/>
      <w:r w:rsidRPr="004E3982">
        <w:t xml:space="preserve">, M. A., &amp; Morales-Menendez, R. (2024). Future skills for Industry 4.0 integration and innovative learning for continuing engineering education. </w:t>
      </w:r>
      <w:r w:rsidRPr="004E3982">
        <w:rPr>
          <w:i/>
          <w:iCs/>
        </w:rPr>
        <w:t>Frontiers in Education, 9,</w:t>
      </w:r>
      <w:r w:rsidRPr="004E3982">
        <w:t xml:space="preserve"> Article 1412018. </w:t>
      </w:r>
      <w:hyperlink r:id="rId14" w:history="1">
        <w:r w:rsidR="004E6ECC" w:rsidRPr="003F47C0">
          <w:rPr>
            <w:rStyle w:val="Hyperlink"/>
          </w:rPr>
          <w:t>https://doi.org/10.3389/feduc.2024.1412018</w:t>
        </w:r>
      </w:hyperlink>
    </w:p>
    <w:p w:rsidR="004E3982" w:rsidRDefault="004E3982" w:rsidP="00D409B0">
      <w:pPr>
        <w:pStyle w:val="NoSpacing"/>
        <w:ind w:left="567" w:hanging="567"/>
      </w:pPr>
      <w:r w:rsidRPr="004E3982">
        <w:t xml:space="preserve">Clark, L. A., &amp; Watson, D. (1995). Constructing validity: Basic issues in objective scale development. </w:t>
      </w:r>
      <w:r w:rsidRPr="004E3982">
        <w:rPr>
          <w:i/>
          <w:iCs/>
        </w:rPr>
        <w:t>Psychological Assessment, 7</w:t>
      </w:r>
      <w:r w:rsidRPr="004E3982">
        <w:t xml:space="preserve">(3), 309–319. </w:t>
      </w:r>
      <w:hyperlink r:id="rId15" w:history="1">
        <w:r w:rsidR="004E6ECC" w:rsidRPr="003F47C0">
          <w:rPr>
            <w:rStyle w:val="Hyperlink"/>
          </w:rPr>
          <w:t>https://doi.org/10.1037/1040-3590.7.3.309</w:t>
        </w:r>
      </w:hyperlink>
    </w:p>
    <w:p w:rsidR="004E3982" w:rsidRDefault="004E3982" w:rsidP="00D409B0">
      <w:pPr>
        <w:pStyle w:val="NoSpacing"/>
        <w:ind w:left="567" w:hanging="567"/>
      </w:pPr>
      <w:r w:rsidRPr="004E3982">
        <w:t xml:space="preserve">Cohen, J. (1988). </w:t>
      </w:r>
      <w:r w:rsidRPr="004E3982">
        <w:rPr>
          <w:i/>
          <w:iCs/>
        </w:rPr>
        <w:t>Statistical power analysis for the behavioral sciences</w:t>
      </w:r>
      <w:r w:rsidRPr="004E3982">
        <w:t xml:space="preserve"> (2nd ed.). Lawrence Erlbaum Associates. </w:t>
      </w:r>
      <w:hyperlink r:id="rId16" w:history="1">
        <w:r w:rsidR="00A368CC" w:rsidRPr="003F47C0">
          <w:rPr>
            <w:rStyle w:val="Hyperlink"/>
          </w:rPr>
          <w:t>https://doi.org/10.4324/9780203771587</w:t>
        </w:r>
      </w:hyperlink>
    </w:p>
    <w:p w:rsidR="004E3982" w:rsidRPr="004E3982" w:rsidRDefault="004E3982" w:rsidP="00D409B0">
      <w:pPr>
        <w:pStyle w:val="NoSpacing"/>
        <w:ind w:left="567" w:hanging="567"/>
      </w:pPr>
      <w:r w:rsidRPr="004E3982">
        <w:t xml:space="preserve">Commission on Higher Education. (2017). </w:t>
      </w:r>
      <w:r w:rsidRPr="004E3982">
        <w:rPr>
          <w:i/>
          <w:iCs/>
        </w:rPr>
        <w:t>CHED Memorandum Order No. 25, series of 2017: Policies, standards, and guidelines for the BSCS program.</w:t>
      </w:r>
      <w:r w:rsidRPr="004E3982">
        <w:t xml:space="preserve"> CHED.</w:t>
      </w:r>
    </w:p>
    <w:p w:rsidR="004E3982" w:rsidRPr="004E3982" w:rsidRDefault="004E3982" w:rsidP="00D409B0">
      <w:pPr>
        <w:pStyle w:val="NoSpacing"/>
        <w:ind w:left="567" w:hanging="567"/>
      </w:pPr>
      <w:r w:rsidRPr="004E3982">
        <w:t xml:space="preserve">Committee of Sponsoring Organizations of the Treadway Commission. (2017). </w:t>
      </w:r>
      <w:r w:rsidRPr="004E3982">
        <w:rPr>
          <w:i/>
          <w:iCs/>
        </w:rPr>
        <w:t>Enterprise risk management — Integrating with strategy and performance.</w:t>
      </w:r>
      <w:r w:rsidRPr="004E3982">
        <w:t xml:space="preserve"> COSO. https://www.coso.org/SitePages/Guidance-on-Enterprise-Risk-Management.aspx</w:t>
      </w:r>
    </w:p>
    <w:p w:rsidR="004E3982" w:rsidRDefault="004E3982" w:rsidP="00D409B0">
      <w:pPr>
        <w:pStyle w:val="NoSpacing"/>
        <w:ind w:left="567" w:hanging="567"/>
      </w:pPr>
      <w:r w:rsidRPr="004E3982">
        <w:t xml:space="preserve">Cronbach, L. J. (1951). Coefficient alpha and the internal structure of tests. </w:t>
      </w:r>
      <w:proofErr w:type="spellStart"/>
      <w:r w:rsidRPr="004E3982">
        <w:rPr>
          <w:i/>
          <w:iCs/>
        </w:rPr>
        <w:t>Psychometrika</w:t>
      </w:r>
      <w:proofErr w:type="spellEnd"/>
      <w:r w:rsidRPr="004E3982">
        <w:rPr>
          <w:i/>
          <w:iCs/>
        </w:rPr>
        <w:t>, 16</w:t>
      </w:r>
      <w:r w:rsidRPr="004E3982">
        <w:t xml:space="preserve">(3), 297–334. </w:t>
      </w:r>
      <w:hyperlink r:id="rId17" w:history="1">
        <w:r w:rsidR="00A368CC" w:rsidRPr="003F47C0">
          <w:rPr>
            <w:rStyle w:val="Hyperlink"/>
          </w:rPr>
          <w:t>https://doi.org/10.1007/BF02310555</w:t>
        </w:r>
      </w:hyperlink>
    </w:p>
    <w:p w:rsidR="004E3982" w:rsidRDefault="004E3982" w:rsidP="00D409B0">
      <w:pPr>
        <w:pStyle w:val="NoSpacing"/>
        <w:ind w:left="567" w:hanging="567"/>
      </w:pPr>
      <w:r w:rsidRPr="004E3982">
        <w:t xml:space="preserve">CS2023 Task Force. (2023). </w:t>
      </w:r>
      <w:r w:rsidRPr="004E3982">
        <w:rPr>
          <w:i/>
          <w:iCs/>
        </w:rPr>
        <w:t>Computer science curricula 2023.</w:t>
      </w:r>
      <w:r w:rsidRPr="004E3982">
        <w:t xml:space="preserve"> Association for Computing Machinery. </w:t>
      </w:r>
      <w:hyperlink r:id="rId18" w:history="1">
        <w:r w:rsidR="00A368CC" w:rsidRPr="003F47C0">
          <w:rPr>
            <w:rStyle w:val="Hyperlink"/>
          </w:rPr>
          <w:t>https://doi.org/10.1145/3664191</w:t>
        </w:r>
      </w:hyperlink>
    </w:p>
    <w:p w:rsidR="004E3982" w:rsidRPr="00A368CC" w:rsidRDefault="004E3982" w:rsidP="00A368CC">
      <w:pPr>
        <w:pStyle w:val="NoSpacing"/>
        <w:ind w:left="567" w:hanging="567"/>
      </w:pPr>
      <w:proofErr w:type="spellStart"/>
      <w:r w:rsidRPr="004E3982">
        <w:t>Edelsbrunner</w:t>
      </w:r>
      <w:proofErr w:type="spellEnd"/>
      <w:r w:rsidRPr="004E3982">
        <w:t xml:space="preserve">, P. A., </w:t>
      </w:r>
      <w:proofErr w:type="spellStart"/>
      <w:r w:rsidRPr="004E3982">
        <w:rPr>
          <w:b/>
          <w:bCs/>
        </w:rPr>
        <w:t>Simonsmeier</w:t>
      </w:r>
      <w:proofErr w:type="spellEnd"/>
      <w:r w:rsidRPr="004E3982">
        <w:rPr>
          <w:b/>
          <w:bCs/>
        </w:rPr>
        <w:t>, B. A.,</w:t>
      </w:r>
      <w:r w:rsidRPr="004E3982">
        <w:t xml:space="preserve"> &amp; Schneider, M. (2025). The Cronbach’s alpha of domain-specific knowledge tests before and after learning: A meta-analysis of published studies. </w:t>
      </w:r>
      <w:r w:rsidRPr="004E3982">
        <w:rPr>
          <w:i/>
          <w:iCs/>
        </w:rPr>
        <w:t>Educational Psychology Review, 37,</w:t>
      </w:r>
      <w:r w:rsidRPr="004E3982">
        <w:t xml:space="preserve"> Article 4. </w:t>
      </w:r>
      <w:hyperlink r:id="rId19" w:history="1">
        <w:r w:rsidR="00A368CC" w:rsidRPr="003F47C0">
          <w:rPr>
            <w:rStyle w:val="Hyperlink"/>
          </w:rPr>
          <w:t>https://doi.org/10.1007/s10648-024-09982-y</w:t>
        </w:r>
      </w:hyperlink>
    </w:p>
    <w:p w:rsidR="004E3982" w:rsidRPr="004E3982" w:rsidRDefault="004E3982" w:rsidP="00D409B0">
      <w:pPr>
        <w:pStyle w:val="NoSpacing"/>
        <w:ind w:left="567" w:hanging="567"/>
      </w:pPr>
      <w:r w:rsidRPr="004E3982">
        <w:t xml:space="preserve">Hair, J. F., Black, W. C., </w:t>
      </w:r>
      <w:proofErr w:type="spellStart"/>
      <w:r w:rsidRPr="004E3982">
        <w:t>Babin</w:t>
      </w:r>
      <w:proofErr w:type="spellEnd"/>
      <w:r w:rsidRPr="004E3982">
        <w:t xml:space="preserve">, B. J., &amp; Anderson, R. E. (2019). </w:t>
      </w:r>
      <w:r w:rsidRPr="004E3982">
        <w:rPr>
          <w:i/>
          <w:iCs/>
        </w:rPr>
        <w:t>Multivariate data analysis</w:t>
      </w:r>
      <w:r w:rsidRPr="004E3982">
        <w:t xml:space="preserve"> (8th ed.). Cengage Learning.</w:t>
      </w:r>
    </w:p>
    <w:p w:rsidR="004E3982" w:rsidRPr="004E3982" w:rsidRDefault="004E3982" w:rsidP="00D409B0">
      <w:pPr>
        <w:pStyle w:val="NoSpacing"/>
        <w:ind w:left="567" w:hanging="567"/>
      </w:pPr>
      <w:r w:rsidRPr="004E3982">
        <w:t xml:space="preserve">Harman, H. H. (1976). </w:t>
      </w:r>
      <w:r w:rsidRPr="004E3982">
        <w:rPr>
          <w:i/>
          <w:iCs/>
        </w:rPr>
        <w:t>Modern factor analysis</w:t>
      </w:r>
      <w:r w:rsidRPr="004E3982">
        <w:t xml:space="preserve"> (3rd ed.). University of Chicago Press.</w:t>
      </w:r>
    </w:p>
    <w:p w:rsidR="004E3982" w:rsidRDefault="004E3982" w:rsidP="00D409B0">
      <w:pPr>
        <w:pStyle w:val="NoSpacing"/>
        <w:ind w:left="567" w:hanging="567"/>
      </w:pPr>
      <w:r w:rsidRPr="004E3982">
        <w:t xml:space="preserve">Harris, C. R., </w:t>
      </w:r>
      <w:proofErr w:type="spellStart"/>
      <w:r w:rsidRPr="004E3982">
        <w:t>Millman</w:t>
      </w:r>
      <w:proofErr w:type="spellEnd"/>
      <w:r w:rsidRPr="004E3982">
        <w:t xml:space="preserve">, K. J., van der Walt, S. J., </w:t>
      </w:r>
      <w:proofErr w:type="spellStart"/>
      <w:r w:rsidRPr="004E3982">
        <w:t>Gommers</w:t>
      </w:r>
      <w:proofErr w:type="spellEnd"/>
      <w:r w:rsidRPr="004E3982">
        <w:t xml:space="preserve">, R., Virtanen, P., </w:t>
      </w:r>
      <w:proofErr w:type="spellStart"/>
      <w:r w:rsidRPr="004E3982">
        <w:t>Cournapeau</w:t>
      </w:r>
      <w:proofErr w:type="spellEnd"/>
      <w:r w:rsidRPr="004E3982">
        <w:t xml:space="preserve">, D., </w:t>
      </w:r>
      <w:proofErr w:type="spellStart"/>
      <w:r w:rsidRPr="004E3982">
        <w:t>Wieser</w:t>
      </w:r>
      <w:proofErr w:type="spellEnd"/>
      <w:r w:rsidRPr="004E3982">
        <w:t xml:space="preserve">, E., Taylor, J., Berg, S., Smith, N. J., Kern, R., </w:t>
      </w:r>
      <w:proofErr w:type="spellStart"/>
      <w:r w:rsidRPr="004E3982">
        <w:t>Picus</w:t>
      </w:r>
      <w:proofErr w:type="spellEnd"/>
      <w:r w:rsidRPr="004E3982">
        <w:t xml:space="preserve">, M., Hoyer, S., van </w:t>
      </w:r>
      <w:proofErr w:type="spellStart"/>
      <w:r w:rsidRPr="004E3982">
        <w:t>Kerkwijk</w:t>
      </w:r>
      <w:proofErr w:type="spellEnd"/>
      <w:r w:rsidRPr="004E3982">
        <w:t xml:space="preserve">, M. H., Brett, M., Haldane, A., del Río, J. F., Wiebe, M., Peterson, P., … Oliphant, T. E. </w:t>
      </w:r>
      <w:r w:rsidRPr="004E3982">
        <w:lastRenderedPageBreak/>
        <w:t xml:space="preserve">(2020). Array programming with NumPy. </w:t>
      </w:r>
      <w:r w:rsidRPr="004E3982">
        <w:rPr>
          <w:i/>
          <w:iCs/>
        </w:rPr>
        <w:t>Nature, 585</w:t>
      </w:r>
      <w:r w:rsidRPr="004E3982">
        <w:t xml:space="preserve">(7825), 357–362. </w:t>
      </w:r>
      <w:hyperlink r:id="rId20" w:history="1">
        <w:r w:rsidR="00BE7284" w:rsidRPr="003F47C0">
          <w:rPr>
            <w:rStyle w:val="Hyperlink"/>
          </w:rPr>
          <w:t>https://doi.org/10.1038/s41586-020-2649-2</w:t>
        </w:r>
      </w:hyperlink>
    </w:p>
    <w:p w:rsidR="004E3982" w:rsidRDefault="004E3982" w:rsidP="00D409B0">
      <w:pPr>
        <w:pStyle w:val="NoSpacing"/>
        <w:ind w:left="567" w:hanging="567"/>
      </w:pPr>
      <w:r w:rsidRPr="004E3982">
        <w:t xml:space="preserve">Hernandez-de-Menendez, M., Escobar Díaz, C. A., &amp; Morales-Menendez, R. (2020a). Engineering education for smart 4.0 technology: A review. </w:t>
      </w:r>
      <w:r w:rsidRPr="004E3982">
        <w:rPr>
          <w:i/>
          <w:iCs/>
        </w:rPr>
        <w:t>International Journal on Interactive Design and Manufacturing (</w:t>
      </w:r>
      <w:proofErr w:type="spellStart"/>
      <w:r w:rsidRPr="004E3982">
        <w:rPr>
          <w:i/>
          <w:iCs/>
        </w:rPr>
        <w:t>IJIDeM</w:t>
      </w:r>
      <w:proofErr w:type="spellEnd"/>
      <w:r w:rsidRPr="004E3982">
        <w:rPr>
          <w:i/>
          <w:iCs/>
        </w:rPr>
        <w:t>), 14</w:t>
      </w:r>
      <w:r w:rsidRPr="004E3982">
        <w:t xml:space="preserve">(3), 789–803. </w:t>
      </w:r>
      <w:hyperlink r:id="rId21" w:history="1">
        <w:r w:rsidR="00BE7284" w:rsidRPr="003F47C0">
          <w:rPr>
            <w:rStyle w:val="Hyperlink"/>
          </w:rPr>
          <w:t>https://doi.org/10.1007/s12008-020-00672-x</w:t>
        </w:r>
      </w:hyperlink>
    </w:p>
    <w:p w:rsidR="004E3982" w:rsidRDefault="004E3982" w:rsidP="00BE7284">
      <w:pPr>
        <w:pStyle w:val="NoSpacing"/>
      </w:pPr>
      <w:r w:rsidRPr="004E3982">
        <w:t xml:space="preserve">Hernandez-de-Menendez, M., Morales-Menendez, R., Escobar, C. A., &amp; McGovern, M. (2020b). Competencies for Industry 4.0. </w:t>
      </w:r>
      <w:r w:rsidRPr="004E3982">
        <w:rPr>
          <w:i/>
          <w:iCs/>
        </w:rPr>
        <w:t>International Journal on Interactive Design and Manufacturing (</w:t>
      </w:r>
      <w:proofErr w:type="spellStart"/>
      <w:r w:rsidRPr="004E3982">
        <w:rPr>
          <w:i/>
          <w:iCs/>
        </w:rPr>
        <w:t>IJIDeM</w:t>
      </w:r>
      <w:proofErr w:type="spellEnd"/>
      <w:r w:rsidRPr="004E3982">
        <w:rPr>
          <w:i/>
          <w:iCs/>
        </w:rPr>
        <w:t>), 14</w:t>
      </w:r>
      <w:r w:rsidRPr="004E3982">
        <w:t xml:space="preserve">(4), 1511–1524. </w:t>
      </w:r>
      <w:hyperlink r:id="rId22" w:history="1">
        <w:r w:rsidR="00BE7284" w:rsidRPr="003F47C0">
          <w:rPr>
            <w:rStyle w:val="Hyperlink"/>
          </w:rPr>
          <w:t>https://doi.org/10.1007/s12008-020-00716-2</w:t>
        </w:r>
      </w:hyperlink>
    </w:p>
    <w:p w:rsidR="004E3982" w:rsidRDefault="004E3982" w:rsidP="00D409B0">
      <w:pPr>
        <w:pStyle w:val="NoSpacing"/>
        <w:ind w:left="567" w:hanging="567"/>
      </w:pPr>
      <w:proofErr w:type="spellStart"/>
      <w:r w:rsidRPr="004E3982">
        <w:t>Holtom</w:t>
      </w:r>
      <w:proofErr w:type="spellEnd"/>
      <w:r w:rsidRPr="004E3982">
        <w:t xml:space="preserve">, B., Baruch, Y., </w:t>
      </w:r>
      <w:proofErr w:type="spellStart"/>
      <w:r w:rsidRPr="004E3982">
        <w:t>Aguinis</w:t>
      </w:r>
      <w:proofErr w:type="spellEnd"/>
      <w:r w:rsidRPr="004E3982">
        <w:t xml:space="preserve">, H., &amp; Ballinger, G. A. (2022). Survey response rates: Trends and a validity assessment framework. </w:t>
      </w:r>
      <w:r w:rsidRPr="004E3982">
        <w:rPr>
          <w:i/>
          <w:iCs/>
        </w:rPr>
        <w:t>Human Relations, 75</w:t>
      </w:r>
      <w:r w:rsidRPr="004E3982">
        <w:t xml:space="preserve">(8), 1560–1584. </w:t>
      </w:r>
      <w:hyperlink r:id="rId23" w:history="1">
        <w:r w:rsidR="00BE7284" w:rsidRPr="003F47C0">
          <w:rPr>
            <w:rStyle w:val="Hyperlink"/>
          </w:rPr>
          <w:t>https://doi.org/10.1177/00187267211070769</w:t>
        </w:r>
      </w:hyperlink>
    </w:p>
    <w:p w:rsidR="004E3982" w:rsidRDefault="004E3982" w:rsidP="00D409B0">
      <w:pPr>
        <w:pStyle w:val="NoSpacing"/>
        <w:ind w:left="567" w:hanging="567"/>
      </w:pPr>
      <w:r w:rsidRPr="004E3982">
        <w:t xml:space="preserve">Hora, M. T., Parrott, E., &amp; Her, P. (2020). How do students </w:t>
      </w:r>
      <w:proofErr w:type="spellStart"/>
      <w:r w:rsidRPr="004E3982">
        <w:t>conceptualise</w:t>
      </w:r>
      <w:proofErr w:type="spellEnd"/>
      <w:r w:rsidRPr="004E3982">
        <w:t xml:space="preserve"> the college internship experience? Towards a student-</w:t>
      </w:r>
      <w:proofErr w:type="spellStart"/>
      <w:r w:rsidRPr="004E3982">
        <w:t>centred</w:t>
      </w:r>
      <w:proofErr w:type="spellEnd"/>
      <w:r w:rsidRPr="004E3982">
        <w:t xml:space="preserve"> approach to designing and implementing internships. </w:t>
      </w:r>
      <w:r w:rsidRPr="004E3982">
        <w:rPr>
          <w:i/>
          <w:iCs/>
        </w:rPr>
        <w:t>Journal of Education and Work, 33</w:t>
      </w:r>
      <w:r w:rsidRPr="004E3982">
        <w:t xml:space="preserve">(1), 48–66. </w:t>
      </w:r>
      <w:hyperlink r:id="rId24" w:history="1">
        <w:r w:rsidR="00BE7284" w:rsidRPr="003F47C0">
          <w:rPr>
            <w:rStyle w:val="Hyperlink"/>
          </w:rPr>
          <w:t>https://doi.org/10.1080/13639080.2019.1708869</w:t>
        </w:r>
      </w:hyperlink>
    </w:p>
    <w:p w:rsidR="004E3982" w:rsidRPr="004E3982" w:rsidRDefault="004E3982" w:rsidP="00D409B0">
      <w:pPr>
        <w:pStyle w:val="NoSpacing"/>
        <w:ind w:left="567" w:hanging="567"/>
      </w:pPr>
      <w:r w:rsidRPr="004E3982">
        <w:t xml:space="preserve">Huber, C. (2011). </w:t>
      </w:r>
      <w:r w:rsidRPr="004E3982">
        <w:rPr>
          <w:i/>
          <w:iCs/>
        </w:rPr>
        <w:t>Too much too fast? Lessons in risk management from higher education.</w:t>
      </w:r>
      <w:r w:rsidRPr="004E3982">
        <w:t xml:space="preserve"> PricewaterhouseCoopers Higher Education Advisory Services.</w:t>
      </w:r>
      <w:r w:rsidRPr="004E3982">
        <w:rPr>
          <w:b/>
          <w:bCs/>
        </w:rPr>
        <w:t xml:space="preserve">  </w:t>
      </w:r>
      <w:r>
        <w:rPr>
          <w:b/>
          <w:bCs/>
        </w:rPr>
        <w:t xml:space="preserve"> </w:t>
      </w:r>
    </w:p>
    <w:p w:rsidR="004E3982" w:rsidRDefault="004E3982" w:rsidP="00D409B0">
      <w:pPr>
        <w:pStyle w:val="NoSpacing"/>
        <w:ind w:left="567" w:hanging="567"/>
      </w:pPr>
      <w:r w:rsidRPr="004E3982">
        <w:t xml:space="preserve">IT and Business Process Association of the Philippines. (2022). </w:t>
      </w:r>
      <w:r w:rsidRPr="004E3982">
        <w:rPr>
          <w:i/>
          <w:iCs/>
        </w:rPr>
        <w:t>Philippine IT-BPM industry roadmap 2028.</w:t>
      </w:r>
      <w:r w:rsidRPr="004E3982">
        <w:t xml:space="preserve"> IBPAP. </w:t>
      </w:r>
      <w:hyperlink r:id="rId25" w:history="1">
        <w:r w:rsidR="00BE7284" w:rsidRPr="003F47C0">
          <w:rPr>
            <w:rStyle w:val="Hyperlink"/>
          </w:rPr>
          <w:t>https://admin.ibpap.org/storage/hub-resources/1fntWJGQKvZg4CfwP4yfXs0Jr1n85DVR1vYXJvSn.pdf</w:t>
        </w:r>
      </w:hyperlink>
    </w:p>
    <w:p w:rsidR="004E3982" w:rsidRDefault="004E3982" w:rsidP="00D409B0">
      <w:pPr>
        <w:pStyle w:val="NoSpacing"/>
        <w:ind w:left="567" w:hanging="567"/>
      </w:pPr>
      <w:r w:rsidRPr="004E3982">
        <w:t xml:space="preserve">Kaiser, H. F. (1974). An index of factorial simplicity. </w:t>
      </w:r>
      <w:proofErr w:type="spellStart"/>
      <w:r w:rsidRPr="004E3982">
        <w:rPr>
          <w:i/>
          <w:iCs/>
        </w:rPr>
        <w:t>Psychometrika</w:t>
      </w:r>
      <w:proofErr w:type="spellEnd"/>
      <w:r w:rsidRPr="004E3982">
        <w:rPr>
          <w:i/>
          <w:iCs/>
        </w:rPr>
        <w:t>, 39</w:t>
      </w:r>
      <w:r w:rsidRPr="004E3982">
        <w:t xml:space="preserve">(1), 31–36. </w:t>
      </w:r>
      <w:hyperlink r:id="rId26" w:history="1">
        <w:r w:rsidR="00BE7284" w:rsidRPr="003F47C0">
          <w:rPr>
            <w:rStyle w:val="Hyperlink"/>
          </w:rPr>
          <w:t>https://doi.org/10.1007/BF02291575</w:t>
        </w:r>
      </w:hyperlink>
    </w:p>
    <w:p w:rsidR="004E3982" w:rsidRPr="004E3982" w:rsidRDefault="004E3982" w:rsidP="00D409B0">
      <w:pPr>
        <w:pStyle w:val="NoSpacing"/>
        <w:ind w:left="567" w:hanging="567"/>
      </w:pPr>
      <w:r w:rsidRPr="004E3982">
        <w:t xml:space="preserve">Kolb, D. A. (1984). </w:t>
      </w:r>
      <w:r w:rsidRPr="004E3982">
        <w:rPr>
          <w:i/>
          <w:iCs/>
        </w:rPr>
        <w:t>Experiential learning: Experience as the source of learning and development.</w:t>
      </w:r>
      <w:r w:rsidRPr="004E3982">
        <w:t xml:space="preserve"> Prentice-Hall.</w:t>
      </w:r>
    </w:p>
    <w:p w:rsidR="004E3982" w:rsidRDefault="004E3982" w:rsidP="00D409B0">
      <w:pPr>
        <w:pStyle w:val="NoSpacing"/>
        <w:ind w:left="567" w:hanging="567"/>
      </w:pPr>
      <w:proofErr w:type="spellStart"/>
      <w:r w:rsidRPr="004E3982">
        <w:t>Krejcie</w:t>
      </w:r>
      <w:proofErr w:type="spellEnd"/>
      <w:r w:rsidRPr="004E3982">
        <w:t xml:space="preserve">, R. V., &amp; Morgan, D. W. (1970). Determining sample size for research activities. </w:t>
      </w:r>
      <w:r w:rsidRPr="004E3982">
        <w:rPr>
          <w:i/>
          <w:iCs/>
        </w:rPr>
        <w:t>Educational and Psychological Measurement, 30</w:t>
      </w:r>
      <w:r w:rsidRPr="004E3982">
        <w:t xml:space="preserve">(3), 607–610. </w:t>
      </w:r>
      <w:hyperlink r:id="rId27" w:history="1">
        <w:r w:rsidR="00BE7284" w:rsidRPr="003F47C0">
          <w:rPr>
            <w:rStyle w:val="Hyperlink"/>
          </w:rPr>
          <w:t>https://doi.org/10.1177/001316447003000308</w:t>
        </w:r>
      </w:hyperlink>
    </w:p>
    <w:p w:rsidR="004E3982" w:rsidRDefault="004E3982" w:rsidP="008C280A">
      <w:pPr>
        <w:pStyle w:val="NoSpacing"/>
        <w:ind w:left="567" w:hanging="567"/>
      </w:pPr>
      <w:r w:rsidRPr="004E3982">
        <w:t xml:space="preserve">Li, L. (2022). Reskilling and upskilling the future-ready workforce for Industry 4.0 and beyond. </w:t>
      </w:r>
      <w:r w:rsidRPr="004E3982">
        <w:rPr>
          <w:i/>
          <w:iCs/>
        </w:rPr>
        <w:t>Information Systems Frontiers, 26</w:t>
      </w:r>
      <w:r w:rsidRPr="004E3982">
        <w:t xml:space="preserve">(5), 1697–1712. </w:t>
      </w:r>
      <w:hyperlink r:id="rId28" w:history="1">
        <w:r w:rsidR="008C280A" w:rsidRPr="003F47C0">
          <w:rPr>
            <w:rStyle w:val="Hyperlink"/>
          </w:rPr>
          <w:t>https://doi.org/10.1007/s10796-022-10308-y</w:t>
        </w:r>
      </w:hyperlink>
    </w:p>
    <w:p w:rsidR="004E3982" w:rsidRDefault="004E3982" w:rsidP="00D409B0">
      <w:pPr>
        <w:pStyle w:val="NoSpacing"/>
        <w:ind w:left="567" w:hanging="567"/>
      </w:pPr>
      <w:r w:rsidRPr="004E3982">
        <w:t xml:space="preserve">Lincoln, Y. S., &amp; Guba, E. G. (1985). </w:t>
      </w:r>
      <w:r w:rsidRPr="004E3982">
        <w:rPr>
          <w:i/>
          <w:iCs/>
        </w:rPr>
        <w:t>Naturalistic inquiry.</w:t>
      </w:r>
      <w:r w:rsidRPr="004E3982">
        <w:t xml:space="preserve"> Sage. </w:t>
      </w:r>
      <w:hyperlink r:id="rId29" w:history="1">
        <w:r w:rsidR="008C280A" w:rsidRPr="003F47C0">
          <w:rPr>
            <w:rStyle w:val="Hyperlink"/>
          </w:rPr>
          <w:t>https://doi.org/10.1016/0147-1767(85)90062-8</w:t>
        </w:r>
      </w:hyperlink>
    </w:p>
    <w:p w:rsidR="004E3982" w:rsidRPr="004E3982" w:rsidRDefault="004E3982" w:rsidP="00D409B0">
      <w:pPr>
        <w:pStyle w:val="NoSpacing"/>
        <w:ind w:left="567" w:hanging="567"/>
      </w:pPr>
      <w:r w:rsidRPr="004E3982">
        <w:t xml:space="preserve">Maheshwari, A. (2014). </w:t>
      </w:r>
      <w:r w:rsidRPr="004E3982">
        <w:rPr>
          <w:i/>
          <w:iCs/>
        </w:rPr>
        <w:t>Data analytics made accessible.</w:t>
      </w:r>
      <w:r w:rsidRPr="004E3982">
        <w:t xml:space="preserve"> Amazon Digital Services.</w:t>
      </w:r>
    </w:p>
    <w:p w:rsidR="004E3982" w:rsidRDefault="004E3982" w:rsidP="00D409B0">
      <w:pPr>
        <w:pStyle w:val="NoSpacing"/>
        <w:ind w:left="567" w:hanging="567"/>
      </w:pPr>
      <w:r w:rsidRPr="004E3982">
        <w:t xml:space="preserve">McKinney, W. (2010). Data structures for statistical computing in Python. </w:t>
      </w:r>
      <w:r w:rsidRPr="004E3982">
        <w:rPr>
          <w:i/>
          <w:iCs/>
        </w:rPr>
        <w:t>Proceedings of the 9th Python in Science Conference,</w:t>
      </w:r>
      <w:r w:rsidRPr="004E3982">
        <w:t xml:space="preserve"> 56–61. </w:t>
      </w:r>
      <w:hyperlink r:id="rId30" w:history="1">
        <w:r w:rsidR="008C280A" w:rsidRPr="003F47C0">
          <w:rPr>
            <w:rStyle w:val="Hyperlink"/>
          </w:rPr>
          <w:t>https://doi.org/10.25080/Majora-92bf1922-00a</w:t>
        </w:r>
      </w:hyperlink>
    </w:p>
    <w:p w:rsidR="004E3982" w:rsidRDefault="004E3982" w:rsidP="00D409B0">
      <w:pPr>
        <w:pStyle w:val="NoSpacing"/>
        <w:ind w:left="567" w:hanging="567"/>
      </w:pPr>
      <w:proofErr w:type="spellStart"/>
      <w:r w:rsidRPr="004E3982">
        <w:t>Memon</w:t>
      </w:r>
      <w:proofErr w:type="spellEnd"/>
      <w:r w:rsidRPr="004E3982">
        <w:t xml:space="preserve">, M. A., Ting, H., Cheah, J.-H., </w:t>
      </w:r>
      <w:proofErr w:type="spellStart"/>
      <w:r w:rsidRPr="004E3982">
        <w:t>Thurasamy</w:t>
      </w:r>
      <w:proofErr w:type="spellEnd"/>
      <w:r w:rsidRPr="004E3982">
        <w:t xml:space="preserve">, R., </w:t>
      </w:r>
      <w:proofErr w:type="spellStart"/>
      <w:r w:rsidRPr="004E3982">
        <w:t>Chuah</w:t>
      </w:r>
      <w:proofErr w:type="spellEnd"/>
      <w:r w:rsidRPr="004E3982">
        <w:t xml:space="preserve">, F., &amp; Cham, T. H. (2020). Sample size for survey research: Review and recommendations. </w:t>
      </w:r>
      <w:r w:rsidRPr="004E3982">
        <w:rPr>
          <w:i/>
          <w:iCs/>
        </w:rPr>
        <w:t>Journal of Applied Structural Equation Modeling, 4</w:t>
      </w:r>
      <w:r w:rsidRPr="004E3982">
        <w:t xml:space="preserve">(2), </w:t>
      </w:r>
      <w:proofErr w:type="spellStart"/>
      <w:r w:rsidRPr="004E3982">
        <w:t>i</w:t>
      </w:r>
      <w:proofErr w:type="spellEnd"/>
      <w:r w:rsidRPr="004E3982">
        <w:t xml:space="preserve">–xx. </w:t>
      </w:r>
      <w:hyperlink r:id="rId31" w:history="1">
        <w:r w:rsidR="008C280A" w:rsidRPr="003F47C0">
          <w:rPr>
            <w:rStyle w:val="Hyperlink"/>
          </w:rPr>
          <w:t>https://doi.org/10.47263/JASEM.4(2)01</w:t>
        </w:r>
      </w:hyperlink>
    </w:p>
    <w:p w:rsidR="004E3982" w:rsidRDefault="004E3982" w:rsidP="00D409B0">
      <w:pPr>
        <w:pStyle w:val="NoSpacing"/>
        <w:ind w:left="567" w:hanging="567"/>
      </w:pPr>
      <w:r w:rsidRPr="004E3982">
        <w:t xml:space="preserve">Mikes, A., &amp; Kaplan, R. S. (2013). Towards a contingency theory of enterprise risk management. </w:t>
      </w:r>
      <w:r w:rsidRPr="004E3982">
        <w:rPr>
          <w:i/>
          <w:iCs/>
        </w:rPr>
        <w:t>Harvard Business School Working Paper,</w:t>
      </w:r>
      <w:r w:rsidRPr="004E3982">
        <w:t xml:space="preserve"> 13-063. </w:t>
      </w:r>
      <w:hyperlink r:id="rId32" w:history="1">
        <w:r w:rsidR="008C280A" w:rsidRPr="003F47C0">
          <w:rPr>
            <w:rStyle w:val="Hyperlink"/>
          </w:rPr>
          <w:t>https://www.hbs.edu/faculty/Pages/item.aspx?num=44470</w:t>
        </w:r>
      </w:hyperlink>
    </w:p>
    <w:p w:rsidR="008C280A" w:rsidRDefault="004E3982" w:rsidP="00D409B0">
      <w:pPr>
        <w:pStyle w:val="NoSpacing"/>
        <w:ind w:left="567" w:hanging="567"/>
      </w:pPr>
      <w:r w:rsidRPr="004E3982">
        <w:t xml:space="preserve">Miranda, J. P. P., </w:t>
      </w:r>
      <w:proofErr w:type="spellStart"/>
      <w:r w:rsidRPr="004E3982">
        <w:t>Manalese</w:t>
      </w:r>
      <w:proofErr w:type="spellEnd"/>
      <w:r w:rsidRPr="004E3982">
        <w:t xml:space="preserve">, R. P., Geronimo, S. M., </w:t>
      </w:r>
      <w:proofErr w:type="spellStart"/>
      <w:r w:rsidRPr="004E3982">
        <w:t>Maniago</w:t>
      </w:r>
      <w:proofErr w:type="spellEnd"/>
      <w:r w:rsidRPr="004E3982">
        <w:t xml:space="preserve">, V. G. M., Padilla, C. K., De Leon, A. P., Merle, S. L., &amp; Castro, M. A. A. (2026). AI in work-based learning: Understanding the purposes and effects of intelligent tools among student interns. In </w:t>
      </w:r>
      <w:r w:rsidRPr="004E3982">
        <w:rPr>
          <w:i/>
          <w:iCs/>
        </w:rPr>
        <w:t xml:space="preserve">2025 International </w:t>
      </w:r>
      <w:r w:rsidRPr="004E3982">
        <w:rPr>
          <w:i/>
          <w:iCs/>
        </w:rPr>
        <w:lastRenderedPageBreak/>
        <w:t>Workshop on Artificial Intelligence and Education (WAIE)</w:t>
      </w:r>
      <w:r w:rsidRPr="004E3982">
        <w:t xml:space="preserve"> (pp. 411–415). IEEE. </w:t>
      </w:r>
      <w:hyperlink r:id="rId33" w:history="1">
        <w:r w:rsidR="008C280A" w:rsidRPr="003F47C0">
          <w:rPr>
            <w:rStyle w:val="Hyperlink"/>
          </w:rPr>
          <w:t>https://doi.org/10.1109/WAIE67422.2025.11381174</w:t>
        </w:r>
      </w:hyperlink>
    </w:p>
    <w:p w:rsidR="008C280A" w:rsidRDefault="004E3982" w:rsidP="00D409B0">
      <w:pPr>
        <w:pStyle w:val="NoSpacing"/>
        <w:ind w:left="567" w:hanging="567"/>
      </w:pPr>
      <w:r w:rsidRPr="004E3982">
        <w:t xml:space="preserve">Musa, S., </w:t>
      </w:r>
      <w:proofErr w:type="spellStart"/>
      <w:r w:rsidRPr="004E3982">
        <w:t>Nurhayati</w:t>
      </w:r>
      <w:proofErr w:type="spellEnd"/>
      <w:r w:rsidRPr="004E3982">
        <w:t xml:space="preserve">, S., &amp; </w:t>
      </w:r>
      <w:proofErr w:type="spellStart"/>
      <w:r w:rsidRPr="004E3982">
        <w:t>Boriboon</w:t>
      </w:r>
      <w:proofErr w:type="spellEnd"/>
      <w:r w:rsidRPr="004E3982">
        <w:t xml:space="preserve">, G. (2025). The effect of internships on graduates’ employability, soft skills, and digital competence. </w:t>
      </w:r>
      <w:r w:rsidRPr="004E3982">
        <w:rPr>
          <w:i/>
          <w:iCs/>
        </w:rPr>
        <w:t>Educational Process: International Journal (EDUPIJ).</w:t>
      </w:r>
      <w:r w:rsidRPr="004E3982">
        <w:t xml:space="preserve"> </w:t>
      </w:r>
      <w:hyperlink r:id="rId34" w:history="1">
        <w:r w:rsidR="008C280A" w:rsidRPr="003F47C0">
          <w:rPr>
            <w:rStyle w:val="Hyperlink"/>
          </w:rPr>
          <w:t>https://doi.org/10.22521/edupij.2025.17.306</w:t>
        </w:r>
      </w:hyperlink>
    </w:p>
    <w:p w:rsidR="004E3982" w:rsidRDefault="004E3982" w:rsidP="00D409B0">
      <w:pPr>
        <w:pStyle w:val="NoSpacing"/>
        <w:ind w:left="567" w:hanging="567"/>
      </w:pPr>
      <w:r w:rsidRPr="004E3982">
        <w:t xml:space="preserve">Philippine Health Research Ethics Board. (2017). </w:t>
      </w:r>
      <w:r w:rsidRPr="004E3982">
        <w:rPr>
          <w:i/>
          <w:iCs/>
        </w:rPr>
        <w:t>National ethical guidelines for health and health-related research</w:t>
      </w:r>
      <w:r w:rsidRPr="004E3982">
        <w:t xml:space="preserve"> (2017 ed.). Department of Science and Technology – Philippine Council for Health Research and Development. </w:t>
      </w:r>
      <w:hyperlink r:id="rId35" w:history="1">
        <w:r w:rsidR="00257D7E" w:rsidRPr="003F47C0">
          <w:rPr>
            <w:rStyle w:val="Hyperlink"/>
          </w:rPr>
          <w:t>https://ethics.healthresearch.ph/</w:t>
        </w:r>
      </w:hyperlink>
    </w:p>
    <w:p w:rsidR="004E3982" w:rsidRDefault="004E3982" w:rsidP="00D409B0">
      <w:pPr>
        <w:pStyle w:val="NoSpacing"/>
        <w:ind w:left="567" w:hanging="567"/>
      </w:pPr>
      <w:r w:rsidRPr="004E3982">
        <w:t xml:space="preserve">Podsakoff, P. M., </w:t>
      </w:r>
      <w:proofErr w:type="spellStart"/>
      <w:r w:rsidRPr="004E3982">
        <w:t>MacKenzie</w:t>
      </w:r>
      <w:proofErr w:type="spellEnd"/>
      <w:r w:rsidRPr="004E3982">
        <w:t xml:space="preserve">, S. B., Lee, J.-Y., &amp; Podsakoff, N. P. (2003). Common method biases in behavioral research: A critical review of the literature and recommended remedies. </w:t>
      </w:r>
      <w:r w:rsidRPr="004E3982">
        <w:rPr>
          <w:i/>
          <w:iCs/>
        </w:rPr>
        <w:t>Journal of Applied Psychology, 88</w:t>
      </w:r>
      <w:r w:rsidRPr="004E3982">
        <w:t xml:space="preserve">(5), 879–903. </w:t>
      </w:r>
      <w:hyperlink r:id="rId36" w:history="1">
        <w:r w:rsidR="00257D7E" w:rsidRPr="003F47C0">
          <w:rPr>
            <w:rStyle w:val="Hyperlink"/>
          </w:rPr>
          <w:t>https://doi.org/10.1037/0021-9010.88.5.879</w:t>
        </w:r>
      </w:hyperlink>
    </w:p>
    <w:p w:rsidR="004E3982" w:rsidRDefault="004E3982" w:rsidP="00D409B0">
      <w:pPr>
        <w:pStyle w:val="NoSpacing"/>
        <w:ind w:left="567" w:hanging="567"/>
      </w:pPr>
      <w:r w:rsidRPr="004E3982">
        <w:t xml:space="preserve">Power, M. (2009). The risk management of nothing. </w:t>
      </w:r>
      <w:r w:rsidRPr="004E3982">
        <w:rPr>
          <w:i/>
          <w:iCs/>
        </w:rPr>
        <w:t>Accounting, Organizations and Society, 34</w:t>
      </w:r>
      <w:r w:rsidRPr="004E3982">
        <w:t xml:space="preserve">(6–7), 849–855. </w:t>
      </w:r>
      <w:hyperlink r:id="rId37" w:history="1">
        <w:r w:rsidR="00257D7E" w:rsidRPr="003F47C0">
          <w:rPr>
            <w:rStyle w:val="Hyperlink"/>
          </w:rPr>
          <w:t>https://doi.org/10.1016/j.aos.2009.06.001</w:t>
        </w:r>
      </w:hyperlink>
    </w:p>
    <w:p w:rsidR="004E3982" w:rsidRDefault="004E3982" w:rsidP="00D409B0">
      <w:pPr>
        <w:pStyle w:val="NoSpacing"/>
        <w:ind w:left="567" w:hanging="567"/>
      </w:pPr>
      <w:r w:rsidRPr="004E3982">
        <w:t xml:space="preserve">Republic of the Philippines. (2012). </w:t>
      </w:r>
      <w:r w:rsidRPr="004E3982">
        <w:rPr>
          <w:i/>
          <w:iCs/>
        </w:rPr>
        <w:t>Data Privacy Act of 2012 (Republic Act No. 10173).</w:t>
      </w:r>
      <w:r w:rsidRPr="004E3982">
        <w:t xml:space="preserve"> Official Gazette. </w:t>
      </w:r>
      <w:hyperlink r:id="rId38" w:history="1">
        <w:r w:rsidR="00257D7E" w:rsidRPr="003F47C0">
          <w:rPr>
            <w:rStyle w:val="Hyperlink"/>
          </w:rPr>
          <w:t>https://www.officialgazette.gov.ph/2012/08/15/republic-act-no-10173/</w:t>
        </w:r>
      </w:hyperlink>
    </w:p>
    <w:p w:rsidR="004E3982" w:rsidRDefault="004E3982" w:rsidP="00D409B0">
      <w:pPr>
        <w:pStyle w:val="NoSpacing"/>
        <w:ind w:left="567" w:hanging="567"/>
      </w:pPr>
      <w:r w:rsidRPr="004E3982">
        <w:t xml:space="preserve">Resnik, D. B. (2018). </w:t>
      </w:r>
      <w:r w:rsidRPr="004E3982">
        <w:rPr>
          <w:i/>
          <w:iCs/>
        </w:rPr>
        <w:t>The ethics of research with human subjects: Protecting people, advancing science, promoting trust.</w:t>
      </w:r>
      <w:r w:rsidRPr="004E3982">
        <w:t xml:space="preserve"> Springer. </w:t>
      </w:r>
      <w:hyperlink r:id="rId39" w:history="1">
        <w:r w:rsidR="00257D7E" w:rsidRPr="003F47C0">
          <w:rPr>
            <w:rStyle w:val="Hyperlink"/>
          </w:rPr>
          <w:t>https://doi.org/10.1007/978-3-319-68756-8</w:t>
        </w:r>
      </w:hyperlink>
    </w:p>
    <w:p w:rsidR="004E3982" w:rsidRPr="004E3982" w:rsidRDefault="004E3982" w:rsidP="00A067E9">
      <w:pPr>
        <w:pStyle w:val="NoSpacing"/>
        <w:ind w:left="567" w:hanging="567"/>
      </w:pPr>
      <w:proofErr w:type="spellStart"/>
      <w:r w:rsidRPr="004E3982">
        <w:t>Saltos</w:t>
      </w:r>
      <w:proofErr w:type="spellEnd"/>
      <w:r w:rsidRPr="004E3982">
        <w:t xml:space="preserve">-Rivas, R., </w:t>
      </w:r>
      <w:proofErr w:type="spellStart"/>
      <w:r w:rsidRPr="004E3982">
        <w:t>Novoa</w:t>
      </w:r>
      <w:proofErr w:type="spellEnd"/>
      <w:r w:rsidRPr="004E3982">
        <w:t xml:space="preserve">-Hernández, P., &amp; Rodríguez, R. S. (2025). Enhancing digital skills assessment: Introducing compact tools for measuring digital competence. </w:t>
      </w:r>
      <w:r w:rsidRPr="004E3982">
        <w:rPr>
          <w:i/>
          <w:iCs/>
        </w:rPr>
        <w:t>Technology, Knowledge and Learning.</w:t>
      </w:r>
      <w:r w:rsidRPr="004E3982">
        <w:t xml:space="preserve"> </w:t>
      </w:r>
      <w:r w:rsidR="00A067E9">
        <w:t xml:space="preserve"> </w:t>
      </w:r>
      <w:bookmarkStart w:id="0" w:name="_GoBack"/>
      <w:bookmarkEnd w:id="0"/>
    </w:p>
    <w:p w:rsidR="004E3982" w:rsidRPr="004E3982" w:rsidRDefault="004E3982" w:rsidP="00D409B0">
      <w:pPr>
        <w:pStyle w:val="NoSpacing"/>
        <w:ind w:left="567" w:hanging="567"/>
      </w:pPr>
      <w:r w:rsidRPr="004E3982">
        <w:t xml:space="preserve">Schwab, K. (2017). </w:t>
      </w:r>
      <w:r w:rsidRPr="004E3982">
        <w:rPr>
          <w:i/>
          <w:iCs/>
        </w:rPr>
        <w:t>The fourth industrial revolution.</w:t>
      </w:r>
      <w:r w:rsidRPr="004E3982">
        <w:t xml:space="preserve"> Crown Business.</w:t>
      </w:r>
    </w:p>
    <w:p w:rsidR="004E3982" w:rsidRPr="004E3982" w:rsidRDefault="004E3982" w:rsidP="00D409B0">
      <w:pPr>
        <w:pStyle w:val="NoSpacing"/>
        <w:ind w:left="567" w:hanging="567"/>
      </w:pPr>
      <w:r w:rsidRPr="004E3982">
        <w:t xml:space="preserve">Singer, J. D., &amp; Willett, J. B. (2003). </w:t>
      </w:r>
      <w:r w:rsidRPr="004E3982">
        <w:rPr>
          <w:i/>
          <w:iCs/>
        </w:rPr>
        <w:t>Applied longitudinal data analysis: Modeling change and event occurrence.</w:t>
      </w:r>
      <w:r w:rsidRPr="004E3982">
        <w:t xml:space="preserve"> Oxford University Press. https://doi.org/10.1093/acprof:oso/9780195152968.001.0001</w:t>
      </w:r>
    </w:p>
    <w:p w:rsidR="004E3982" w:rsidRPr="004E3982" w:rsidRDefault="004E3982" w:rsidP="00D409B0">
      <w:pPr>
        <w:pStyle w:val="NoSpacing"/>
        <w:ind w:left="567" w:hanging="567"/>
      </w:pPr>
      <w:r w:rsidRPr="004E3982">
        <w:t xml:space="preserve">Virtanen, P., </w:t>
      </w:r>
      <w:proofErr w:type="spellStart"/>
      <w:r w:rsidRPr="004E3982">
        <w:t>Gommers</w:t>
      </w:r>
      <w:proofErr w:type="spellEnd"/>
      <w:r w:rsidRPr="004E3982">
        <w:t xml:space="preserve">, R., Oliphant, T. E., </w:t>
      </w:r>
      <w:proofErr w:type="spellStart"/>
      <w:r w:rsidRPr="004E3982">
        <w:t>Haberland</w:t>
      </w:r>
      <w:proofErr w:type="spellEnd"/>
      <w:r w:rsidRPr="004E3982">
        <w:t xml:space="preserve">, M., Reddy, T., </w:t>
      </w:r>
      <w:proofErr w:type="spellStart"/>
      <w:r w:rsidRPr="004E3982">
        <w:t>Cournapeau</w:t>
      </w:r>
      <w:proofErr w:type="spellEnd"/>
      <w:r w:rsidRPr="004E3982">
        <w:t xml:space="preserve">, D., </w:t>
      </w:r>
      <w:proofErr w:type="spellStart"/>
      <w:r w:rsidRPr="004E3982">
        <w:t>Burovski</w:t>
      </w:r>
      <w:proofErr w:type="spellEnd"/>
      <w:r w:rsidRPr="004E3982">
        <w:t xml:space="preserve">, E., Peterson, P., </w:t>
      </w:r>
      <w:proofErr w:type="spellStart"/>
      <w:r w:rsidRPr="004E3982">
        <w:t>Weckesser</w:t>
      </w:r>
      <w:proofErr w:type="spellEnd"/>
      <w:r w:rsidRPr="004E3982">
        <w:t xml:space="preserve">, W., Bright, J., van der Walt, S. J., Brett, M., Wilson, J., </w:t>
      </w:r>
      <w:proofErr w:type="spellStart"/>
      <w:r w:rsidRPr="004E3982">
        <w:t>Millman</w:t>
      </w:r>
      <w:proofErr w:type="spellEnd"/>
      <w:r w:rsidRPr="004E3982">
        <w:t xml:space="preserve">, K. J., </w:t>
      </w:r>
      <w:proofErr w:type="spellStart"/>
      <w:r w:rsidRPr="004E3982">
        <w:t>Mayorov</w:t>
      </w:r>
      <w:proofErr w:type="spellEnd"/>
      <w:r w:rsidRPr="004E3982">
        <w:t xml:space="preserve">, N., Nelson, A. R. J., Jones, E., Kern, R., Larson, E., … SciPy 1.0 Contributors. (2020). SciPy 1.0: Fundamental algorithms for scientific computing in Python. </w:t>
      </w:r>
      <w:r w:rsidRPr="004E3982">
        <w:rPr>
          <w:i/>
          <w:iCs/>
        </w:rPr>
        <w:t>Nature Methods, 17</w:t>
      </w:r>
      <w:r w:rsidRPr="004E3982">
        <w:t>(3), 261–272. https://doi.org/10.1038/s41592-019-0686-2</w:t>
      </w:r>
    </w:p>
    <w:p w:rsidR="004E3982" w:rsidRPr="004E3982" w:rsidRDefault="004E3982" w:rsidP="00D409B0">
      <w:pPr>
        <w:pStyle w:val="NoSpacing"/>
        <w:ind w:left="567" w:hanging="567"/>
      </w:pPr>
      <w:r w:rsidRPr="004E3982">
        <w:t xml:space="preserve">Wu, M.-J., Zhao, K., &amp; </w:t>
      </w:r>
      <w:proofErr w:type="spellStart"/>
      <w:r w:rsidRPr="004E3982">
        <w:t>Fils-Aime</w:t>
      </w:r>
      <w:proofErr w:type="spellEnd"/>
      <w:r w:rsidRPr="004E3982">
        <w:t xml:space="preserve">, F. (2022). Response rates of online surveys in published research: A meta-analysis. </w:t>
      </w:r>
      <w:r w:rsidRPr="004E3982">
        <w:rPr>
          <w:i/>
          <w:iCs/>
        </w:rPr>
        <w:t>Computers in Human Behavior Reports, 7,</w:t>
      </w:r>
      <w:r w:rsidRPr="004E3982">
        <w:t xml:space="preserve"> Article 100206. https://doi.org/10.1016/j.chbr.2022.100206</w:t>
      </w:r>
    </w:p>
    <w:p w:rsidR="004E3982" w:rsidRPr="004E3982" w:rsidRDefault="004E3982" w:rsidP="00D409B0">
      <w:pPr>
        <w:pStyle w:val="NoSpacing"/>
        <w:ind w:left="567" w:hanging="567"/>
      </w:pPr>
      <w:r w:rsidRPr="004E3982">
        <w:t xml:space="preserve">Zakariya, Y. F. (2022). Cronbach’s alpha in mathematics education research: Its appropriateness, overuse, and alternatives in estimating scale reliability. </w:t>
      </w:r>
      <w:r w:rsidRPr="004E3982">
        <w:rPr>
          <w:i/>
          <w:iCs/>
        </w:rPr>
        <w:t>Frontiers in Psychology, 13,</w:t>
      </w:r>
      <w:r w:rsidRPr="004E3982">
        <w:t xml:space="preserve"> Article 1074430. https://doi.org/10.3389/fpsyg.2022.1074430</w:t>
      </w:r>
    </w:p>
    <w:p w:rsidR="004E3982" w:rsidRDefault="004E3982" w:rsidP="00D409B0">
      <w:pPr>
        <w:pStyle w:val="NoSpacing"/>
        <w:ind w:left="567" w:hanging="567"/>
      </w:pPr>
      <w:r w:rsidRPr="004E3982">
        <w:t xml:space="preserve">Zamora </w:t>
      </w:r>
      <w:proofErr w:type="spellStart"/>
      <w:r w:rsidRPr="004E3982">
        <w:t>Iribarren</w:t>
      </w:r>
      <w:proofErr w:type="spellEnd"/>
      <w:r w:rsidRPr="004E3982">
        <w:t xml:space="preserve">, M., </w:t>
      </w:r>
      <w:proofErr w:type="spellStart"/>
      <w:r w:rsidRPr="004E3982">
        <w:t>Garay-Rondero</w:t>
      </w:r>
      <w:proofErr w:type="spellEnd"/>
      <w:r w:rsidRPr="004E3982">
        <w:t xml:space="preserve">, C. L., Lemus-Aguilar, I., &amp; </w:t>
      </w:r>
      <w:proofErr w:type="spellStart"/>
      <w:r w:rsidRPr="004E3982">
        <w:t>Peimbert</w:t>
      </w:r>
      <w:proofErr w:type="spellEnd"/>
      <w:r w:rsidRPr="004E3982">
        <w:t xml:space="preserve">-García, R. E. (2024). A review of Industry 4.0 assessment instruments for digital transformation. </w:t>
      </w:r>
      <w:r w:rsidRPr="004E3982">
        <w:rPr>
          <w:i/>
          <w:iCs/>
        </w:rPr>
        <w:t>Applied Sciences, 14</w:t>
      </w:r>
      <w:r w:rsidRPr="004E3982">
        <w:t>(5), 1693. https://doi.org/10.3390/app14051693</w:t>
      </w:r>
      <w:r w:rsidRPr="004E3982">
        <w:rPr>
          <w:b/>
          <w:bCs/>
        </w:rPr>
        <w:t xml:space="preserve"> </w:t>
      </w:r>
      <w:r>
        <w:rPr>
          <w:b/>
          <w:bCs/>
        </w:rPr>
        <w:t xml:space="preserve"> </w:t>
      </w:r>
    </w:p>
    <w:p w:rsidR="004E3982" w:rsidRDefault="004E3982" w:rsidP="00251EEA">
      <w:pPr>
        <w:spacing w:after="120" w:line="480" w:lineRule="auto"/>
        <w:ind w:left="720" w:hanging="720"/>
        <w:jc w:val="both"/>
      </w:pPr>
    </w:p>
    <w:p w:rsidR="00D45FAA" w:rsidRDefault="00D45FAA"/>
    <w:p w:rsidR="00D45FAA" w:rsidRDefault="00D45FAA">
      <w:r>
        <w:t>APPENDIX A</w:t>
      </w:r>
    </w:p>
    <w:p w:rsidR="00FB0621" w:rsidRPr="00B5030E" w:rsidRDefault="00FB0621" w:rsidP="00FB0621">
      <w:pPr>
        <w:pStyle w:val="NormalWeb"/>
        <w:rPr>
          <w:b/>
        </w:rPr>
      </w:pPr>
      <w:r>
        <w:rPr>
          <w:rStyle w:val="Strong"/>
          <w:b w:val="0"/>
        </w:rPr>
        <w:t>Final Deployment Version of the KPI-Driven OJT Evaluation Instrument (Three-Year Sequential Cohort Study)</w:t>
      </w:r>
    </w:p>
    <w:p w:rsidR="00FB0621" w:rsidRDefault="00FB0621" w:rsidP="00FB0621">
      <w:pPr>
        <w:pStyle w:val="NormalWeb"/>
      </w:pPr>
      <w:r>
        <w:lastRenderedPageBreak/>
        <w:t>This appendix presents the complete set of questionnaire items used in the actual data collection across three cohorts (SY 2023–2024, SY 2024–2025, SY 2025–2026). The instrument reflects the validated, post-pilot version with finalized item wording, construct structure, and response scale.</w:t>
      </w:r>
    </w:p>
    <w:p w:rsidR="00FB0621" w:rsidRPr="00FB0621" w:rsidRDefault="00FB0621" w:rsidP="00FB0621">
      <w:pPr>
        <w:spacing w:before="320" w:after="160"/>
        <w:outlineLvl w:val="0"/>
        <w:rPr>
          <w:rFonts w:ascii="Calibri" w:eastAsia="Calibri" w:hAnsi="Calibri" w:cs="Calibri"/>
          <w:b/>
          <w:bCs/>
          <w:sz w:val="28"/>
          <w:szCs w:val="28"/>
        </w:rPr>
      </w:pPr>
      <w:r>
        <w:rPr>
          <w:rFonts w:ascii="Calibri" w:eastAsia="Calibri" w:hAnsi="Calibri" w:cs="Calibri"/>
          <w:b/>
          <w:bCs/>
          <w:sz w:val="28"/>
          <w:szCs w:val="28"/>
        </w:rPr>
        <w:t>INSTRUMENT QUESTIONNAIRE</w:t>
      </w:r>
    </w:p>
    <w:p w:rsidR="00FB0621" w:rsidRPr="00FB0621" w:rsidRDefault="00FB0621" w:rsidP="00FB0621">
      <w:pPr>
        <w:spacing w:after="100" w:line="300" w:lineRule="auto"/>
        <w:jc w:val="both"/>
        <w:rPr>
          <w:rFonts w:ascii="Calibri" w:eastAsia="Calibri" w:hAnsi="Calibri" w:cs="Calibri"/>
          <w:sz w:val="22"/>
          <w:szCs w:val="22"/>
        </w:rPr>
      </w:pPr>
      <w:r>
        <w:rPr>
          <w:rFonts w:ascii="Calibri" w:eastAsia="Calibri" w:hAnsi="Calibri" w:cs="Calibri"/>
          <w:sz w:val="22"/>
          <w:szCs w:val="22"/>
        </w:rPr>
        <w:t>Please indicate your rating of each statement based on your actual OJT experience using the 1–5 scale (5 = Strongly Agree; 1 = Strongly Disagree). All items contained in this final locked instrument reflect the validated, post-pilot deployment version of the KPI-Driven OJT Evaluation Instrument.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FB0621" w:rsidRPr="00FB0621" w:rsidTr="00FB0621">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FB0621" w:rsidRDefault="00FB0621" w:rsidP="00FB0621">
            <w:pPr>
              <w:spacing w:after="60" w:line="280" w:lineRule="auto"/>
              <w:rPr>
                <w:rFonts w:ascii="Calibri" w:eastAsia="Calibri" w:hAnsi="Calibri" w:cs="Calibri"/>
                <w:b/>
                <w:bCs/>
                <w:sz w:val="22"/>
                <w:szCs w:val="22"/>
              </w:rPr>
            </w:pPr>
            <w:r>
              <w:rPr>
                <w:rFonts w:ascii="Calibri" w:eastAsia="Calibri" w:hAnsi="Calibri" w:cs="Calibri"/>
                <w:b/>
                <w:bCs/>
                <w:sz w:val="22"/>
                <w:szCs w:val="22"/>
              </w:rPr>
              <w:t>SECTION A:  CONTROL ENVIRONMENT</w:t>
            </w:r>
          </w:p>
          <w:p w:rsidR="00FB0621" w:rsidRPr="00FB0621" w:rsidRDefault="00FB0621" w:rsidP="00FB0621">
            <w:pPr>
              <w:spacing w:after="60" w:line="280" w:lineRule="auto"/>
              <w:rPr>
                <w:rFonts w:ascii="Calibri" w:eastAsia="Calibri" w:hAnsi="Calibri" w:cs="Calibri"/>
                <w:sz w:val="22"/>
                <w:szCs w:val="22"/>
              </w:rPr>
            </w:pPr>
            <w:r>
              <w:rPr>
                <w:rFonts w:ascii="Calibri" w:eastAsia="Calibri" w:hAnsi="Calibri" w:cs="Calibri"/>
                <w:i/>
                <w:iCs/>
                <w:sz w:val="20"/>
                <w:szCs w:val="20"/>
              </w:rPr>
              <w:t>Assesses organizational governance, ethical culture, supervisory competence, and pre-deployment readiness (COSO ERM Component 1)</w:t>
            </w:r>
          </w:p>
        </w:tc>
      </w:tr>
      <w:tr w:rsidR="00FB0621" w:rsidRPr="00FB0621" w:rsidTr="00FB0621">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CE-1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The roles and responsibilities of OJT supervisors and student-trainees were clearly defined.</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CE-2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My OJT supervisor exhibited professional and ethical behavior aligned with computing industry standards.</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CE-3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A pre-internship orientation was conducted to prepare me for my OJT placement.</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CE-4</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My supervisor was clear in giving instructions on how I would perform my tasks.</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CE-5</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There was a clear and accessible process for reporting problems during my OJT.</w:t>
            </w:r>
          </w:p>
        </w:tc>
      </w:tr>
    </w:tbl>
    <w:p w:rsidR="00FB0621" w:rsidRPr="00FB0621" w:rsidRDefault="00FB0621" w:rsidP="00FB0621">
      <w:pPr>
        <w:spacing w:after="100" w:line="300" w:lineRule="auto"/>
        <w:jc w:val="both"/>
        <w:rPr>
          <w:rFonts w:ascii="Calibri" w:eastAsia="Calibri" w:hAnsi="Calibri" w:cs="Calibr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FB0621" w:rsidRPr="00FB0621" w:rsidTr="00FB0621">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FB0621" w:rsidRDefault="00FB0621" w:rsidP="00FB0621">
            <w:pPr>
              <w:spacing w:after="60" w:line="280" w:lineRule="auto"/>
              <w:rPr>
                <w:rFonts w:ascii="Calibri" w:eastAsia="Calibri" w:hAnsi="Calibri" w:cs="Calibri"/>
                <w:b/>
                <w:bCs/>
                <w:sz w:val="22"/>
                <w:szCs w:val="22"/>
              </w:rPr>
            </w:pPr>
            <w:r>
              <w:rPr>
                <w:rFonts w:ascii="Calibri" w:eastAsia="Calibri" w:hAnsi="Calibri" w:cs="Calibri"/>
                <w:b/>
                <w:bCs/>
                <w:sz w:val="22"/>
                <w:szCs w:val="22"/>
              </w:rPr>
              <w:t>SECTION B:  RISK ASSESSMENT</w:t>
            </w:r>
          </w:p>
          <w:p w:rsidR="00FB0621" w:rsidRPr="00FB0621" w:rsidRDefault="00FB0621" w:rsidP="00FB0621">
            <w:pPr>
              <w:spacing w:after="60" w:line="280" w:lineRule="auto"/>
              <w:rPr>
                <w:rFonts w:ascii="Calibri" w:eastAsia="Calibri" w:hAnsi="Calibri" w:cs="Calibri"/>
                <w:sz w:val="22"/>
                <w:szCs w:val="22"/>
              </w:rPr>
            </w:pPr>
            <w:r>
              <w:rPr>
                <w:rFonts w:ascii="Calibri" w:eastAsia="Calibri" w:hAnsi="Calibri" w:cs="Calibri"/>
                <w:i/>
                <w:iCs/>
                <w:sz w:val="20"/>
                <w:szCs w:val="20"/>
              </w:rPr>
              <w:t>Identifies and operationalizes COSO ERM risk factors — supervision adequacy, task alignment, duration sufficiency, resource accessibility — affecting OJT quality</w:t>
            </w:r>
          </w:p>
        </w:tc>
      </w:tr>
      <w:tr w:rsidR="00FB0621" w:rsidRPr="00FB0621" w:rsidTr="00FB0621">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RA-1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The tasks assigned to me during OJT were clearly related to the skills I learned in my program.</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RA-2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Most of my assigned tasks matched my competencies and abilities.</w:t>
            </w:r>
          </w:p>
        </w:tc>
      </w:tr>
      <w:tr w:rsidR="00FB0621" w:rsidRPr="00FB0621" w:rsidTr="0043756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RA-3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The duration of my OJT enabled me to complete meaningful tasks in my field.</w:t>
            </w:r>
          </w:p>
        </w:tc>
      </w:tr>
      <w:tr w:rsidR="00F35376" w:rsidRPr="00FB0621" w:rsidTr="0043756C">
        <w:tc>
          <w:tcPr>
            <w:tcW w:w="11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0" w:type="dxa"/>
              <w:left w:w="120" w:type="dxa"/>
              <w:bottom w:w="100" w:type="dxa"/>
              <w:right w:w="120" w:type="dxa"/>
            </w:tcMar>
            <w:vAlign w:val="center"/>
          </w:tcPr>
          <w:p w:rsidR="00F35376" w:rsidRDefault="00F35376" w:rsidP="00FB0621">
            <w:pPr>
              <w:spacing w:line="260" w:lineRule="auto"/>
              <w:jc w:val="center"/>
              <w:rPr>
                <w:rFonts w:ascii="Calibri" w:eastAsia="Calibri" w:hAnsi="Calibri" w:cs="Calibri"/>
                <w:b/>
                <w:bCs/>
                <w:sz w:val="20"/>
                <w:szCs w:val="20"/>
              </w:rPr>
            </w:pPr>
            <w:r>
              <w:rPr>
                <w:rFonts w:ascii="Calibri" w:eastAsia="Calibri" w:hAnsi="Calibri" w:cs="Calibri"/>
                <w:b/>
                <w:bCs/>
                <w:sz w:val="20"/>
                <w:szCs w:val="20"/>
              </w:rPr>
              <w:t xml:space="preserve">RA-4(R) </w:t>
            </w:r>
          </w:p>
        </w:tc>
        <w:tc>
          <w:tcPr>
            <w:tcW w:w="825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0" w:type="dxa"/>
              <w:left w:w="120" w:type="dxa"/>
              <w:bottom w:w="100" w:type="dxa"/>
              <w:right w:w="120" w:type="dxa"/>
            </w:tcMar>
            <w:vAlign w:val="center"/>
          </w:tcPr>
          <w:p w:rsidR="00F35376" w:rsidRDefault="00F35376" w:rsidP="00FB0621">
            <w:pPr>
              <w:spacing w:line="260" w:lineRule="auto"/>
              <w:rPr>
                <w:rFonts w:ascii="Calibri" w:eastAsia="Calibri" w:hAnsi="Calibri" w:cs="Calibri"/>
                <w:sz w:val="20"/>
                <w:szCs w:val="20"/>
              </w:rPr>
            </w:pPr>
            <w:r>
              <w:rPr>
                <w:sz w:val="22"/>
                <w:szCs w:val="22"/>
              </w:rPr>
              <w:t>[REVERSE-WORDED] The level and quality of supervision I received were inadequate for my development.</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RA-5</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The technical resources I needed were available and accessible when required during my OJT.</w:t>
            </w:r>
          </w:p>
        </w:tc>
      </w:tr>
    </w:tbl>
    <w:p w:rsidR="00FB0621" w:rsidRDefault="0043756C" w:rsidP="00FB0621">
      <w:pPr>
        <w:spacing w:after="100" w:line="300" w:lineRule="auto"/>
        <w:jc w:val="both"/>
        <w:rPr>
          <w:rFonts w:ascii="Calibri" w:eastAsia="Calibri" w:hAnsi="Calibri" w:cs="Calibri"/>
          <w:i/>
          <w:sz w:val="16"/>
          <w:szCs w:val="16"/>
        </w:rPr>
      </w:pPr>
      <w:r w:rsidRPr="0043756C">
        <w:rPr>
          <w:rFonts w:ascii="Calibri" w:eastAsia="Calibri" w:hAnsi="Calibri" w:cs="Calibri"/>
          <w:i/>
          <w:sz w:val="16"/>
          <w:szCs w:val="16"/>
        </w:rPr>
        <w:t>Note. RA-4 (R) is reverse-coded during data preprocessing (Strongly Agree = 1, Strongly Disagree = 5) and analyzed as RA-4 in all reliability and correlation computations. The (R) notation flags the reverse-worded direction for the respondent</w:t>
      </w:r>
    </w:p>
    <w:p w:rsidR="0043756C" w:rsidRPr="0043756C" w:rsidRDefault="0043756C" w:rsidP="00FB0621">
      <w:pPr>
        <w:spacing w:after="100" w:line="300" w:lineRule="auto"/>
        <w:jc w:val="both"/>
        <w:rPr>
          <w:rFonts w:ascii="Calibri" w:eastAsia="Calibri" w:hAnsi="Calibri" w:cs="Calibri"/>
          <w:i/>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FB0621" w:rsidRPr="00FB0621" w:rsidTr="00FB0621">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FB0621" w:rsidRDefault="00FB0621" w:rsidP="00FB0621">
            <w:pPr>
              <w:spacing w:after="60" w:line="280" w:lineRule="auto"/>
              <w:rPr>
                <w:rFonts w:ascii="Calibri" w:eastAsia="Calibri" w:hAnsi="Calibri" w:cs="Calibri"/>
                <w:b/>
                <w:bCs/>
                <w:sz w:val="22"/>
                <w:szCs w:val="22"/>
              </w:rPr>
            </w:pPr>
            <w:r>
              <w:rPr>
                <w:rFonts w:ascii="Calibri" w:eastAsia="Calibri" w:hAnsi="Calibri" w:cs="Calibri"/>
                <w:sz w:val="22"/>
                <w:szCs w:val="22"/>
              </w:rPr>
              <w:br w:type="page"/>
            </w:r>
            <w:r>
              <w:rPr>
                <w:rFonts w:ascii="Calibri" w:eastAsia="Calibri" w:hAnsi="Calibri" w:cs="Calibri"/>
                <w:b/>
                <w:bCs/>
                <w:sz w:val="22"/>
                <w:szCs w:val="22"/>
              </w:rPr>
              <w:t>SECTION C:  CONTROL ACTIVITIES</w:t>
            </w:r>
          </w:p>
          <w:p w:rsidR="00FB0621" w:rsidRPr="00FB0621" w:rsidRDefault="00FB0621" w:rsidP="00FB0621">
            <w:pPr>
              <w:spacing w:after="60" w:line="280" w:lineRule="auto"/>
              <w:rPr>
                <w:rFonts w:ascii="Calibri" w:eastAsia="Calibri" w:hAnsi="Calibri" w:cs="Calibri"/>
                <w:sz w:val="22"/>
                <w:szCs w:val="22"/>
              </w:rPr>
            </w:pPr>
            <w:r>
              <w:rPr>
                <w:rFonts w:ascii="Calibri" w:eastAsia="Calibri" w:hAnsi="Calibri" w:cs="Calibri"/>
                <w:i/>
                <w:iCs/>
                <w:sz w:val="20"/>
                <w:szCs w:val="20"/>
              </w:rPr>
              <w:t>Measures design and operating effectiveness of preventive, detective, and corrective controls in the OJT environment (COSO ERM Component 3)</w:t>
            </w:r>
          </w:p>
        </w:tc>
      </w:tr>
      <w:tr w:rsidR="00FB0621" w:rsidRPr="00FB0621" w:rsidTr="00FB0621">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CA-1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Tasks were completed following defined procedures.</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CA-2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The supervisors provided clear instructions for completing my tasks.</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CA-3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Performance was evaluated based on defined standards.</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CA-4</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Security measures were in place during my OJT.</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CA-5</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Issues encountered during my OJT were addressed through a defined process.</w:t>
            </w:r>
          </w:p>
        </w:tc>
      </w:tr>
      <w:tr w:rsidR="00FB0621" w:rsidRPr="00FB0621" w:rsidTr="00FB0621">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CA-6</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FB0621" w:rsidRPr="00FB0621" w:rsidRDefault="00FB0621" w:rsidP="00FB0621">
            <w:pPr>
              <w:spacing w:line="260" w:lineRule="auto"/>
              <w:rPr>
                <w:rFonts w:ascii="Calibri" w:eastAsia="Calibri" w:hAnsi="Calibri" w:cs="Calibri"/>
                <w:sz w:val="22"/>
                <w:szCs w:val="22"/>
              </w:rPr>
            </w:pPr>
            <w:r>
              <w:rPr>
                <w:rFonts w:ascii="Calibri" w:eastAsia="Calibri" w:hAnsi="Calibri" w:cs="Calibri"/>
                <w:sz w:val="20"/>
                <w:szCs w:val="20"/>
              </w:rPr>
              <w:t>Tasks were performed following clear procedures.</w:t>
            </w:r>
          </w:p>
        </w:tc>
      </w:tr>
    </w:tbl>
    <w:p w:rsidR="00FB0621" w:rsidRPr="00FB0621" w:rsidRDefault="00FB0621" w:rsidP="00FB0621">
      <w:pPr>
        <w:spacing w:after="100" w:line="300" w:lineRule="auto"/>
        <w:jc w:val="both"/>
        <w:rPr>
          <w:rFonts w:ascii="Calibri" w:eastAsia="Calibri" w:hAnsi="Calibri" w:cs="Calibr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B4534C" w:rsidRPr="00FB0621" w:rsidTr="00B4534C">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B4534C" w:rsidRDefault="00B4534C" w:rsidP="00FB0621">
            <w:pPr>
              <w:spacing w:after="60" w:line="280" w:lineRule="auto"/>
              <w:rPr>
                <w:rFonts w:ascii="Calibri" w:eastAsia="Calibri" w:hAnsi="Calibri" w:cs="Calibri"/>
                <w:b/>
                <w:bCs/>
                <w:sz w:val="22"/>
                <w:szCs w:val="22"/>
              </w:rPr>
            </w:pPr>
            <w:r>
              <w:rPr>
                <w:rFonts w:ascii="Calibri" w:eastAsia="Calibri" w:hAnsi="Calibri" w:cs="Calibri"/>
                <w:b/>
                <w:bCs/>
                <w:sz w:val="22"/>
                <w:szCs w:val="22"/>
              </w:rPr>
              <w:t>SECTION D:  INFORMATION AND COMMUNICATION</w:t>
            </w:r>
          </w:p>
          <w:p w:rsidR="00B4534C" w:rsidRPr="00FB0621" w:rsidRDefault="00B4534C" w:rsidP="00FB0621">
            <w:pPr>
              <w:spacing w:after="60" w:line="280" w:lineRule="auto"/>
              <w:rPr>
                <w:rFonts w:ascii="Calibri" w:eastAsia="Calibri" w:hAnsi="Calibri" w:cs="Calibri"/>
                <w:sz w:val="22"/>
                <w:szCs w:val="22"/>
              </w:rPr>
            </w:pPr>
            <w:r>
              <w:rPr>
                <w:rFonts w:ascii="Calibri" w:eastAsia="Calibri" w:hAnsi="Calibri" w:cs="Calibri"/>
                <w:i/>
                <w:iCs/>
                <w:sz w:val="20"/>
                <w:szCs w:val="20"/>
              </w:rPr>
              <w:t>Evaluates internal supervisor-intern feedback quality and institutional HTE-HEI reporting adequacy (COSO ERM Component 4)</w:t>
            </w:r>
          </w:p>
        </w:tc>
      </w:tr>
      <w:tr w:rsidR="00B4534C" w:rsidRPr="00FB0621" w:rsidTr="00B4534C">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B4534C" w:rsidRPr="00FB0621" w:rsidTr="00B4534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IC-1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Feedback from my supervisor was clear.</w:t>
            </w:r>
          </w:p>
        </w:tc>
      </w:tr>
      <w:tr w:rsidR="00B4534C" w:rsidRPr="00FB0621" w:rsidTr="00B4534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IC-2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I was given opportunities to reflect on my OJT experiences.</w:t>
            </w:r>
          </w:p>
        </w:tc>
      </w:tr>
      <w:tr w:rsidR="00B4534C" w:rsidRPr="00FB0621" w:rsidTr="00B4534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IC-3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Instructions and expectations were clearly defined.</w:t>
            </w:r>
          </w:p>
        </w:tc>
      </w:tr>
      <w:tr w:rsidR="00B4534C" w:rsidRPr="00FB0621" w:rsidTr="00B4534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IC-4</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Communication channels supported problem resolution.</w:t>
            </w:r>
          </w:p>
        </w:tc>
      </w:tr>
      <w:tr w:rsidR="00B4534C" w:rsidRPr="00FB0621" w:rsidTr="00B4534C">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IC-5</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I received clear performance feedback from my host organization during my OJT.</w:t>
            </w:r>
          </w:p>
        </w:tc>
      </w:tr>
    </w:tbl>
    <w:p w:rsidR="00FB0621" w:rsidRPr="00FB0621" w:rsidRDefault="00FB0621" w:rsidP="00FB0621">
      <w:pPr>
        <w:spacing w:after="100" w:line="300" w:lineRule="auto"/>
        <w:jc w:val="both"/>
        <w:rPr>
          <w:rFonts w:ascii="Calibri" w:eastAsia="Calibri" w:hAnsi="Calibri" w:cs="Calibri"/>
          <w:sz w:val="22"/>
          <w:szCs w:val="22"/>
        </w:rPr>
      </w:pPr>
    </w:p>
    <w:p w:rsidR="00FB0621" w:rsidRPr="00FB0621" w:rsidRDefault="00FB0621" w:rsidP="00FB0621">
      <w:pPr>
        <w:rPr>
          <w:rFonts w:ascii="Calibri" w:eastAsia="Calibri" w:hAnsi="Calibri" w:cs="Calibri"/>
          <w:sz w:val="22"/>
          <w:szCs w:val="22"/>
        </w:rPr>
      </w:pPr>
      <w:r>
        <w:rPr>
          <w:rFonts w:ascii="Calibri" w:eastAsia="Calibri" w:hAnsi="Calibri" w:cs="Calibri"/>
          <w:sz w:val="22"/>
          <w:szCs w:val="22"/>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B4534C" w:rsidRPr="00FB0621" w:rsidTr="00034C32">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B4534C" w:rsidRDefault="00B4534C" w:rsidP="00FB0621">
            <w:pPr>
              <w:spacing w:after="60" w:line="280" w:lineRule="auto"/>
              <w:rPr>
                <w:rFonts w:ascii="Calibri" w:eastAsia="Calibri" w:hAnsi="Calibri" w:cs="Calibri"/>
                <w:b/>
                <w:bCs/>
                <w:sz w:val="22"/>
                <w:szCs w:val="22"/>
              </w:rPr>
            </w:pPr>
            <w:r>
              <w:rPr>
                <w:rFonts w:ascii="Calibri" w:eastAsia="Calibri" w:hAnsi="Calibri" w:cs="Calibri"/>
                <w:b/>
                <w:bCs/>
                <w:sz w:val="22"/>
                <w:szCs w:val="22"/>
              </w:rPr>
              <w:lastRenderedPageBreak/>
              <w:t>SECTION E:  MONITORING ACTIVITIES</w:t>
            </w:r>
          </w:p>
          <w:p w:rsidR="00B4534C" w:rsidRPr="00FB0621" w:rsidRDefault="00B4534C" w:rsidP="00FB0621">
            <w:pPr>
              <w:spacing w:after="60" w:line="280" w:lineRule="auto"/>
              <w:rPr>
                <w:rFonts w:ascii="Calibri" w:eastAsia="Calibri" w:hAnsi="Calibri" w:cs="Calibri"/>
                <w:sz w:val="22"/>
                <w:szCs w:val="22"/>
              </w:rPr>
            </w:pPr>
            <w:r>
              <w:rPr>
                <w:rFonts w:ascii="Calibri" w:eastAsia="Calibri" w:hAnsi="Calibri" w:cs="Calibri"/>
                <w:i/>
                <w:iCs/>
                <w:sz w:val="20"/>
                <w:szCs w:val="20"/>
              </w:rPr>
              <w:t>Assesses in-process performance monitoring during OJT and post-OJT program-level review (COSO ERM Component 5)</w:t>
            </w:r>
          </w:p>
        </w:tc>
      </w:tr>
      <w:tr w:rsidR="00B4534C" w:rsidRPr="00FB0621" w:rsidTr="00034C32">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B4534C"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MA-1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My performance was regularly monitored during my OJT.</w:t>
            </w:r>
          </w:p>
        </w:tc>
      </w:tr>
      <w:tr w:rsidR="00B4534C"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MA-2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My institution conducted periodic monitoring of my OJT progress.</w:t>
            </w:r>
          </w:p>
        </w:tc>
      </w:tr>
      <w:tr w:rsidR="00B4534C"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MA-3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Monitoring ensured that tasks were completed according to expectations.</w:t>
            </w:r>
          </w:p>
        </w:tc>
      </w:tr>
      <w:tr w:rsidR="00B4534C"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MA-4</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Performance issues were tracked and corrected during my OJT.</w:t>
            </w:r>
          </w:p>
        </w:tc>
      </w:tr>
      <w:tr w:rsidR="00B4534C"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MA-5</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B4534C" w:rsidRPr="00FB0621" w:rsidRDefault="00B4534C" w:rsidP="00FB0621">
            <w:pPr>
              <w:spacing w:line="260" w:lineRule="auto"/>
              <w:rPr>
                <w:rFonts w:ascii="Calibri" w:eastAsia="Calibri" w:hAnsi="Calibri" w:cs="Calibri"/>
                <w:sz w:val="22"/>
                <w:szCs w:val="22"/>
              </w:rPr>
            </w:pPr>
            <w:r>
              <w:rPr>
                <w:rFonts w:ascii="Calibri" w:eastAsia="Calibri" w:hAnsi="Calibri" w:cs="Calibri"/>
                <w:sz w:val="20"/>
                <w:szCs w:val="20"/>
              </w:rPr>
              <w:t>A post-internship evaluation was conducted after my OJT.</w:t>
            </w:r>
          </w:p>
        </w:tc>
      </w:tr>
    </w:tbl>
    <w:p w:rsidR="00FB0621" w:rsidRPr="00FB0621" w:rsidRDefault="00FB0621" w:rsidP="00FB0621">
      <w:pPr>
        <w:spacing w:after="100" w:line="300" w:lineRule="auto"/>
        <w:jc w:val="both"/>
        <w:rPr>
          <w:rFonts w:ascii="Calibri" w:eastAsia="Calibri" w:hAnsi="Calibri" w:cs="Calibr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034C32" w:rsidRPr="00FB0621" w:rsidTr="00034C32">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034C32" w:rsidRDefault="00034C32" w:rsidP="00FB0621">
            <w:pPr>
              <w:spacing w:after="60" w:line="280" w:lineRule="auto"/>
              <w:rPr>
                <w:rFonts w:ascii="Calibri" w:eastAsia="Calibri" w:hAnsi="Calibri" w:cs="Calibri"/>
                <w:b/>
                <w:bCs/>
                <w:sz w:val="22"/>
                <w:szCs w:val="22"/>
              </w:rPr>
            </w:pPr>
            <w:r>
              <w:rPr>
                <w:rFonts w:ascii="Calibri" w:eastAsia="Calibri" w:hAnsi="Calibri" w:cs="Calibri"/>
                <w:b/>
                <w:bCs/>
                <w:sz w:val="22"/>
                <w:szCs w:val="22"/>
              </w:rPr>
              <w:t>SECTION F1:  INDUSTRY 4.0 — SHARED DIGITAL READINESS [BSCS + BSIT]</w:t>
            </w:r>
          </w:p>
          <w:p w:rsidR="00034C32" w:rsidRPr="00FB0621" w:rsidRDefault="00034C32" w:rsidP="00FB0621">
            <w:pPr>
              <w:spacing w:after="60" w:line="280" w:lineRule="auto"/>
              <w:rPr>
                <w:rFonts w:ascii="Calibri" w:eastAsia="Calibri" w:hAnsi="Calibri" w:cs="Calibri"/>
                <w:sz w:val="22"/>
                <w:szCs w:val="22"/>
              </w:rPr>
            </w:pPr>
            <w:r>
              <w:rPr>
                <w:rFonts w:ascii="Calibri" w:eastAsia="Calibri" w:hAnsi="Calibri" w:cs="Calibri"/>
                <w:i/>
                <w:iCs/>
                <w:sz w:val="20"/>
                <w:szCs w:val="20"/>
              </w:rPr>
              <w:t>Measures exposure to Industry 4.0 digital technologies applicable across both computing programs. All respondents answer this section.</w:t>
            </w:r>
          </w:p>
        </w:tc>
      </w:tr>
      <w:tr w:rsidR="00034C32" w:rsidRPr="00FB0621" w:rsidTr="00034C32">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I4S-1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used modern digital tools during my OJT.</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I4S-2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My OJT involved exposure to security or data protection practices when applicable.</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I4S-3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worked in collaborative digital environments.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I4S-4</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used digital tools to solve real problems encountered during my OJT.</w:t>
            </w:r>
          </w:p>
        </w:tc>
      </w:tr>
    </w:tbl>
    <w:p w:rsidR="00FB0621" w:rsidRPr="00FB0621" w:rsidRDefault="00FB0621" w:rsidP="00FB0621">
      <w:pPr>
        <w:spacing w:after="100" w:line="300" w:lineRule="auto"/>
        <w:jc w:val="both"/>
        <w:rPr>
          <w:rFonts w:ascii="Calibri" w:eastAsia="Calibri" w:hAnsi="Calibri" w:cs="Calibri"/>
          <w:sz w:val="22"/>
          <w:szCs w:val="22"/>
        </w:rPr>
      </w:pPr>
    </w:p>
    <w:p w:rsidR="00FB0621" w:rsidRPr="00FB0621" w:rsidRDefault="00FB0621" w:rsidP="00FB0621">
      <w:pPr>
        <w:rPr>
          <w:rFonts w:ascii="Calibri" w:eastAsia="Calibri" w:hAnsi="Calibri" w:cs="Calibri"/>
          <w:sz w:val="22"/>
          <w:szCs w:val="22"/>
        </w:rPr>
      </w:pPr>
      <w:r>
        <w:rPr>
          <w:rFonts w:ascii="Calibri" w:eastAsia="Calibri" w:hAnsi="Calibri" w:cs="Calibri"/>
          <w:sz w:val="22"/>
          <w:szCs w:val="22"/>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034C32" w:rsidRPr="00FB0621" w:rsidTr="00034C32">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034C32" w:rsidRDefault="00034C32" w:rsidP="00FB0621">
            <w:pPr>
              <w:spacing w:after="60" w:line="280" w:lineRule="auto"/>
              <w:rPr>
                <w:rFonts w:ascii="Calibri" w:eastAsia="Calibri" w:hAnsi="Calibri" w:cs="Calibri"/>
                <w:b/>
                <w:bCs/>
                <w:sz w:val="22"/>
                <w:szCs w:val="22"/>
              </w:rPr>
            </w:pPr>
            <w:r>
              <w:rPr>
                <w:rFonts w:ascii="Calibri" w:eastAsia="Calibri" w:hAnsi="Calibri" w:cs="Calibri"/>
                <w:b/>
                <w:bCs/>
                <w:sz w:val="22"/>
                <w:szCs w:val="22"/>
              </w:rPr>
              <w:lastRenderedPageBreak/>
              <w:t>SECTION F2:  INDUSTRY 4.0 — BSCS-SPECIFIC TASK ALIGNMENT [BSCS ONLY]</w:t>
            </w:r>
          </w:p>
          <w:p w:rsidR="00034C32" w:rsidRPr="00FB0621" w:rsidRDefault="00034C32" w:rsidP="00FB0621">
            <w:pPr>
              <w:spacing w:after="60" w:line="280" w:lineRule="auto"/>
              <w:rPr>
                <w:rFonts w:ascii="Calibri" w:eastAsia="Calibri" w:hAnsi="Calibri" w:cs="Calibri"/>
                <w:sz w:val="22"/>
                <w:szCs w:val="22"/>
              </w:rPr>
            </w:pPr>
            <w:r>
              <w:rPr>
                <w:rFonts w:ascii="Calibri" w:eastAsia="Calibri" w:hAnsi="Calibri" w:cs="Calibri"/>
                <w:i/>
                <w:iCs/>
                <w:sz w:val="20"/>
                <w:szCs w:val="20"/>
              </w:rPr>
              <w:t>Assesses BSCS-specific Industry 4.0 competency exposure (CC2020 Table 5.3 CS-dominant knowledge areas). BSIT respondents skip to Section F3.</w:t>
            </w:r>
          </w:p>
        </w:tc>
      </w:tr>
      <w:tr w:rsidR="00034C32" w:rsidRPr="00FB0621" w:rsidTr="00034C32">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I4CS-1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applied computational problem-solving.</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I4CS-2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participated in data analytics, artificial intelligence, or advanced computational tasks.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I4CS-3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My OJT involved software development tasks.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I4CS-4</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gained experience with programming tools.</w:t>
            </w:r>
          </w:p>
        </w:tc>
      </w:tr>
    </w:tbl>
    <w:p w:rsidR="00FB0621" w:rsidRPr="00FB0621" w:rsidRDefault="00FB0621" w:rsidP="00FB0621">
      <w:pPr>
        <w:spacing w:after="100" w:line="300" w:lineRule="auto"/>
        <w:jc w:val="both"/>
        <w:rPr>
          <w:rFonts w:ascii="Calibri" w:eastAsia="Calibri" w:hAnsi="Calibri" w:cs="Calibr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034C32" w:rsidRPr="00FB0621" w:rsidTr="00034C32">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034C32" w:rsidRDefault="00034C32" w:rsidP="00FB0621">
            <w:pPr>
              <w:spacing w:after="60" w:line="280" w:lineRule="auto"/>
              <w:rPr>
                <w:rFonts w:ascii="Calibri" w:eastAsia="Calibri" w:hAnsi="Calibri" w:cs="Calibri"/>
                <w:b/>
                <w:bCs/>
                <w:sz w:val="22"/>
                <w:szCs w:val="22"/>
              </w:rPr>
            </w:pPr>
            <w:r>
              <w:rPr>
                <w:rFonts w:ascii="Calibri" w:eastAsia="Calibri" w:hAnsi="Calibri" w:cs="Calibri"/>
                <w:b/>
                <w:bCs/>
                <w:sz w:val="22"/>
                <w:szCs w:val="22"/>
              </w:rPr>
              <w:t>SECTION F3:  INDUSTRY 4.0 — BSIT-SPECIFIC TASK ALIGNMENT [BSIT ONLY]</w:t>
            </w:r>
          </w:p>
          <w:p w:rsidR="00034C32" w:rsidRPr="00FB0621" w:rsidRDefault="00034C32" w:rsidP="00FB0621">
            <w:pPr>
              <w:spacing w:after="60" w:line="280" w:lineRule="auto"/>
              <w:rPr>
                <w:rFonts w:ascii="Calibri" w:eastAsia="Calibri" w:hAnsi="Calibri" w:cs="Calibri"/>
                <w:sz w:val="22"/>
                <w:szCs w:val="22"/>
              </w:rPr>
            </w:pPr>
            <w:r>
              <w:rPr>
                <w:rFonts w:ascii="Calibri" w:eastAsia="Calibri" w:hAnsi="Calibri" w:cs="Calibri"/>
                <w:i/>
                <w:iCs/>
                <w:sz w:val="20"/>
                <w:szCs w:val="20"/>
              </w:rPr>
              <w:t>Assesses BSIT-specific Industry 4.0 competency exposure (CC2020 Table 5.3 IT-dominant knowledge areas). BSCS respondents skip this section.</w:t>
            </w:r>
          </w:p>
        </w:tc>
      </w:tr>
      <w:tr w:rsidR="00034C32" w:rsidRPr="00FB0621" w:rsidTr="00034C32">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I4IT-1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worked on network or infrastructure tasks.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I4IT-2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worked with cloud or server systems.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I4IT-3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My OJT involved integrating systems or software components.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I4IT-4</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provided IT support using structured procedures.</w:t>
            </w:r>
          </w:p>
        </w:tc>
      </w:tr>
    </w:tbl>
    <w:p w:rsidR="00FB0621" w:rsidRPr="00FB0621" w:rsidRDefault="00FB0621" w:rsidP="00FB0621">
      <w:pPr>
        <w:spacing w:after="100" w:line="300" w:lineRule="auto"/>
        <w:jc w:val="both"/>
        <w:rPr>
          <w:rFonts w:ascii="Calibri" w:eastAsia="Calibri" w:hAnsi="Calibri" w:cs="Calibri"/>
          <w:sz w:val="22"/>
          <w:szCs w:val="22"/>
        </w:rPr>
      </w:pPr>
    </w:p>
    <w:p w:rsidR="00FB0621" w:rsidRPr="00FB0621" w:rsidRDefault="00FB0621" w:rsidP="00FB0621">
      <w:pPr>
        <w:rPr>
          <w:rFonts w:ascii="Calibri" w:eastAsia="Calibri" w:hAnsi="Calibri" w:cs="Calibri"/>
          <w:sz w:val="22"/>
          <w:szCs w:val="22"/>
        </w:rPr>
      </w:pPr>
      <w:r>
        <w:rPr>
          <w:rFonts w:ascii="Calibri" w:eastAsia="Calibri" w:hAnsi="Calibri" w:cs="Calibri"/>
          <w:sz w:val="22"/>
          <w:szCs w:val="22"/>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034C32" w:rsidRPr="00FB0621" w:rsidTr="00034C32">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034C32" w:rsidRDefault="00034C32" w:rsidP="00FB0621">
            <w:pPr>
              <w:spacing w:after="60" w:line="280" w:lineRule="auto"/>
              <w:rPr>
                <w:rFonts w:ascii="Calibri" w:eastAsia="Calibri" w:hAnsi="Calibri" w:cs="Calibri"/>
                <w:b/>
                <w:bCs/>
                <w:sz w:val="22"/>
                <w:szCs w:val="22"/>
              </w:rPr>
            </w:pPr>
            <w:r>
              <w:rPr>
                <w:rFonts w:ascii="Calibri" w:eastAsia="Calibri" w:hAnsi="Calibri" w:cs="Calibri"/>
                <w:b/>
                <w:bCs/>
                <w:sz w:val="22"/>
                <w:szCs w:val="22"/>
              </w:rPr>
              <w:lastRenderedPageBreak/>
              <w:t>SECTION G:  KPI-DRIVEN PERFORMANCE ASSESSMENT</w:t>
            </w:r>
          </w:p>
          <w:p w:rsidR="00034C32" w:rsidRPr="00FB0621" w:rsidRDefault="00034C32" w:rsidP="00FB0621">
            <w:pPr>
              <w:spacing w:after="60" w:line="280" w:lineRule="auto"/>
              <w:rPr>
                <w:rFonts w:ascii="Calibri" w:eastAsia="Calibri" w:hAnsi="Calibri" w:cs="Calibri"/>
                <w:sz w:val="22"/>
                <w:szCs w:val="22"/>
              </w:rPr>
            </w:pPr>
            <w:r>
              <w:rPr>
                <w:rFonts w:ascii="Calibri" w:eastAsia="Calibri" w:hAnsi="Calibri" w:cs="Calibri"/>
                <w:i/>
                <w:iCs/>
                <w:sz w:val="20"/>
                <w:szCs w:val="20"/>
              </w:rPr>
              <w:t>Compares competency achievement against five domains of COSO-aligned KPI: Learning and Growth, Problem Solving, Theory-Practice Integration, Reflective Learning, and Independent Competence.</w:t>
            </w:r>
          </w:p>
        </w:tc>
      </w:tr>
      <w:tr w:rsidR="00034C32" w:rsidRPr="00FB0621" w:rsidTr="00034C32">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KPI-1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My competencies improved during my OJT.</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KPI-2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applied knowledge to solve problems.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KPI-3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connected theory with practice.</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KPI-4</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reflected on my OJT experiences.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KPI-5</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improved my performance during my OJT.</w:t>
            </w:r>
          </w:p>
        </w:tc>
      </w:tr>
    </w:tbl>
    <w:p w:rsidR="00FB0621" w:rsidRPr="00FB0621" w:rsidRDefault="00FB0621" w:rsidP="00FB0621">
      <w:pPr>
        <w:spacing w:after="100" w:line="300" w:lineRule="auto"/>
        <w:jc w:val="both"/>
        <w:rPr>
          <w:rFonts w:ascii="Calibri" w:eastAsia="Calibri" w:hAnsi="Calibri" w:cs="Calibr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8251"/>
      </w:tblGrid>
      <w:tr w:rsidR="00034C32" w:rsidRPr="00FB0621" w:rsidTr="00034C32">
        <w:tc>
          <w:tcPr>
            <w:tcW w:w="9351" w:type="dxa"/>
            <w:gridSpan w:val="2"/>
            <w:tcBorders>
              <w:top w:val="single" w:sz="4" w:space="0" w:color="000000"/>
              <w:left w:val="single" w:sz="4" w:space="0" w:color="000000"/>
              <w:bottom w:val="single" w:sz="4" w:space="0" w:color="000000"/>
              <w:right w:val="single" w:sz="4" w:space="0" w:color="000000"/>
            </w:tcBorders>
            <w:shd w:val="clear" w:color="auto" w:fill="F5F5F5"/>
            <w:tcMar>
              <w:top w:w="120" w:type="dxa"/>
              <w:left w:w="160" w:type="dxa"/>
              <w:bottom w:w="120" w:type="dxa"/>
              <w:right w:w="160" w:type="dxa"/>
            </w:tcMar>
          </w:tcPr>
          <w:p w:rsidR="00034C32" w:rsidRDefault="00034C32" w:rsidP="00FB0621">
            <w:pPr>
              <w:spacing w:after="60" w:line="280" w:lineRule="auto"/>
              <w:rPr>
                <w:rFonts w:ascii="Calibri" w:eastAsia="Calibri" w:hAnsi="Calibri" w:cs="Calibri"/>
                <w:b/>
                <w:bCs/>
                <w:sz w:val="22"/>
                <w:szCs w:val="22"/>
              </w:rPr>
            </w:pPr>
            <w:r>
              <w:rPr>
                <w:rFonts w:ascii="Calibri" w:eastAsia="Calibri" w:hAnsi="Calibri" w:cs="Calibri"/>
                <w:b/>
                <w:bCs/>
                <w:sz w:val="22"/>
                <w:szCs w:val="22"/>
              </w:rPr>
              <w:t xml:space="preserve">SECTION H:  OVERALL OJT PROGRAM </w:t>
            </w:r>
            <w:proofErr w:type="gramStart"/>
            <w:r>
              <w:rPr>
                <w:rFonts w:ascii="Calibri" w:eastAsia="Calibri" w:hAnsi="Calibri" w:cs="Calibri"/>
                <w:b/>
                <w:bCs/>
                <w:sz w:val="22"/>
                <w:szCs w:val="22"/>
              </w:rPr>
              <w:t>QUALITY  [</w:t>
            </w:r>
            <w:proofErr w:type="gramEnd"/>
            <w:r>
              <w:rPr>
                <w:rFonts w:ascii="Calibri" w:eastAsia="Calibri" w:hAnsi="Calibri" w:cs="Calibri"/>
                <w:b/>
                <w:bCs/>
                <w:sz w:val="22"/>
                <w:szCs w:val="22"/>
              </w:rPr>
              <w:t>ALL RESPONDENTS — Final Section]</w:t>
            </w:r>
          </w:p>
          <w:p w:rsidR="00034C32" w:rsidRPr="00FB0621" w:rsidRDefault="00034C32" w:rsidP="00FB0621">
            <w:pPr>
              <w:spacing w:after="60" w:line="280" w:lineRule="auto"/>
              <w:rPr>
                <w:rFonts w:ascii="Calibri" w:eastAsia="Calibri" w:hAnsi="Calibri" w:cs="Calibri"/>
                <w:sz w:val="22"/>
                <w:szCs w:val="22"/>
              </w:rPr>
            </w:pPr>
            <w:r>
              <w:rPr>
                <w:rFonts w:ascii="Calibri" w:eastAsia="Calibri" w:hAnsi="Calibri" w:cs="Calibri"/>
                <w:i/>
                <w:iCs/>
                <w:sz w:val="20"/>
                <w:szCs w:val="20"/>
              </w:rPr>
              <w:t>Provides a holistic, summative assessment of overall OJT quality from the student-trainee perspective. Generates the Overall OJT Quality Index (OQI).</w:t>
            </w:r>
          </w:p>
        </w:tc>
      </w:tr>
      <w:tr w:rsidR="00034C32" w:rsidRPr="00FB0621" w:rsidTr="00034C32">
        <w:trPr>
          <w:tblHeader/>
        </w:trPr>
        <w:tc>
          <w:tcPr>
            <w:tcW w:w="1100"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Code</w:t>
            </w:r>
          </w:p>
        </w:tc>
        <w:tc>
          <w:tcPr>
            <w:tcW w:w="8251" w:type="dxa"/>
            <w:tcBorders>
              <w:top w:val="single" w:sz="4" w:space="0" w:color="000000"/>
              <w:left w:val="single" w:sz="4" w:space="0" w:color="000000"/>
              <w:bottom w:val="single" w:sz="4" w:space="0" w:color="000000"/>
              <w:right w:val="single" w:sz="4" w:space="0" w:color="000000"/>
            </w:tcBorders>
            <w:shd w:val="clear" w:color="auto" w:fill="E8E8E8"/>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Survey Item</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OQ-1</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The OJT program provided a valuable learning experience.</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OQ-2</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I was provided with meaningful learning opportunities.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OQ-3</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The OJT program was well supervised.</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OQ-4</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The OJT improved my competencies.</w:t>
            </w:r>
          </w:p>
        </w:tc>
      </w:tr>
      <w:tr w:rsidR="00034C32" w:rsidRPr="00FB0621" w:rsidTr="00034C32">
        <w:tc>
          <w:tcPr>
            <w:tcW w:w="110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jc w:val="center"/>
              <w:rPr>
                <w:rFonts w:ascii="Calibri" w:eastAsia="Calibri" w:hAnsi="Calibri" w:cs="Calibri"/>
                <w:sz w:val="22"/>
                <w:szCs w:val="22"/>
              </w:rPr>
            </w:pPr>
            <w:r>
              <w:rPr>
                <w:rFonts w:ascii="Calibri" w:eastAsia="Calibri" w:hAnsi="Calibri" w:cs="Calibri"/>
                <w:b/>
                <w:bCs/>
                <w:sz w:val="20"/>
                <w:szCs w:val="20"/>
              </w:rPr>
              <w:t>OQ-5</w:t>
            </w:r>
          </w:p>
        </w:tc>
        <w:tc>
          <w:tcPr>
            <w:tcW w:w="8251"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rsidR="00034C32" w:rsidRPr="00FB0621" w:rsidRDefault="00034C32" w:rsidP="00FB0621">
            <w:pPr>
              <w:spacing w:line="260" w:lineRule="auto"/>
              <w:rPr>
                <w:rFonts w:ascii="Calibri" w:eastAsia="Calibri" w:hAnsi="Calibri" w:cs="Calibri"/>
                <w:sz w:val="22"/>
                <w:szCs w:val="22"/>
              </w:rPr>
            </w:pPr>
            <w:r>
              <w:rPr>
                <w:rFonts w:ascii="Calibri" w:eastAsia="Calibri" w:hAnsi="Calibri" w:cs="Calibri"/>
                <w:sz w:val="20"/>
                <w:szCs w:val="20"/>
              </w:rPr>
              <w:t>The OJT facilitated my learning by making it a real-world experience.</w:t>
            </w:r>
          </w:p>
        </w:tc>
      </w:tr>
    </w:tbl>
    <w:p w:rsidR="00FB0621" w:rsidRPr="00FB0621" w:rsidRDefault="00FB0621" w:rsidP="00FB0621">
      <w:pPr>
        <w:spacing w:after="100" w:line="300" w:lineRule="auto"/>
        <w:jc w:val="both"/>
        <w:rPr>
          <w:rFonts w:ascii="Calibri" w:eastAsia="Calibri" w:hAnsi="Calibri" w:cs="Calibri"/>
          <w:sz w:val="22"/>
          <w:szCs w:val="22"/>
        </w:rPr>
      </w:pPr>
    </w:p>
    <w:p w:rsidR="00FB0621" w:rsidRPr="00FB0621" w:rsidRDefault="00FB0621" w:rsidP="00FB0621">
      <w:pPr>
        <w:rPr>
          <w:rFonts w:ascii="Calibri" w:eastAsia="Calibri" w:hAnsi="Calibri" w:cs="Calibri"/>
          <w:sz w:val="22"/>
          <w:szCs w:val="22"/>
        </w:rPr>
      </w:pPr>
      <w:r>
        <w:rPr>
          <w:rFonts w:ascii="Calibri" w:eastAsia="Calibri" w:hAnsi="Calibri" w:cs="Calibri"/>
          <w:sz w:val="22"/>
          <w:szCs w:val="22"/>
        </w:rPr>
        <w:br w:type="page"/>
      </w:r>
    </w:p>
    <w:sectPr w:rsidR="00FB0621" w:rsidRPr="00FB0621">
      <w:footerReference w:type="default" r:id="rId4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C00" w:rsidRDefault="00901C00" w:rsidP="006276A5">
      <w:r>
        <w:separator/>
      </w:r>
    </w:p>
  </w:endnote>
  <w:endnote w:type="continuationSeparator" w:id="0">
    <w:p w:rsidR="00901C00" w:rsidRDefault="00901C00" w:rsidP="0062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208787"/>
      <w:docPartObj>
        <w:docPartGallery w:val="Page Numbers (Bottom of Page)"/>
        <w:docPartUnique/>
      </w:docPartObj>
    </w:sdtPr>
    <w:sdtEndPr>
      <w:rPr>
        <w:color w:val="7F7F7F" w:themeColor="background1" w:themeShade="7F"/>
        <w:spacing w:val="60"/>
      </w:rPr>
    </w:sdtEndPr>
    <w:sdtContent>
      <w:p w:rsidR="00AE4CCD" w:rsidRDefault="00AE4CC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AE4CCD" w:rsidRDefault="00AE4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C00" w:rsidRDefault="00901C00" w:rsidP="006276A5">
      <w:r>
        <w:separator/>
      </w:r>
    </w:p>
  </w:footnote>
  <w:footnote w:type="continuationSeparator" w:id="0">
    <w:p w:rsidR="00901C00" w:rsidRDefault="00901C00" w:rsidP="0062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097"/>
    <w:multiLevelType w:val="multilevel"/>
    <w:tmpl w:val="991E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46B4"/>
    <w:multiLevelType w:val="multilevel"/>
    <w:tmpl w:val="4CC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D2205"/>
    <w:multiLevelType w:val="multilevel"/>
    <w:tmpl w:val="8B02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F34AF"/>
    <w:multiLevelType w:val="multilevel"/>
    <w:tmpl w:val="BFD0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5000E"/>
    <w:multiLevelType w:val="multilevel"/>
    <w:tmpl w:val="7B58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26145"/>
    <w:multiLevelType w:val="multilevel"/>
    <w:tmpl w:val="CF5E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45DF9"/>
    <w:multiLevelType w:val="multilevel"/>
    <w:tmpl w:val="B2DC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C5DB6"/>
    <w:multiLevelType w:val="multilevel"/>
    <w:tmpl w:val="C604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93F57"/>
    <w:multiLevelType w:val="multilevel"/>
    <w:tmpl w:val="40289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D238D"/>
    <w:multiLevelType w:val="multilevel"/>
    <w:tmpl w:val="2F82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D2820"/>
    <w:multiLevelType w:val="multilevel"/>
    <w:tmpl w:val="247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729FB"/>
    <w:multiLevelType w:val="multilevel"/>
    <w:tmpl w:val="9E00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71ACA"/>
    <w:multiLevelType w:val="multilevel"/>
    <w:tmpl w:val="D9F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94334"/>
    <w:multiLevelType w:val="hybridMultilevel"/>
    <w:tmpl w:val="E132BA3C"/>
    <w:lvl w:ilvl="0" w:tplc="1ED63C7C">
      <w:start w:val="1"/>
      <w:numFmt w:val="decimal"/>
      <w:lvlText w:val="%1."/>
      <w:lvlJc w:val="left"/>
      <w:pPr>
        <w:ind w:left="720" w:hanging="360"/>
      </w:pPr>
    </w:lvl>
    <w:lvl w:ilvl="1" w:tplc="E7E8513C">
      <w:numFmt w:val="decimal"/>
      <w:lvlText w:val=""/>
      <w:lvlJc w:val="left"/>
    </w:lvl>
    <w:lvl w:ilvl="2" w:tplc="E0084B98">
      <w:numFmt w:val="decimal"/>
      <w:lvlText w:val=""/>
      <w:lvlJc w:val="left"/>
    </w:lvl>
    <w:lvl w:ilvl="3" w:tplc="81E80A1E">
      <w:numFmt w:val="decimal"/>
      <w:lvlText w:val=""/>
      <w:lvlJc w:val="left"/>
    </w:lvl>
    <w:lvl w:ilvl="4" w:tplc="7FC07B7C">
      <w:numFmt w:val="decimal"/>
      <w:lvlText w:val=""/>
      <w:lvlJc w:val="left"/>
    </w:lvl>
    <w:lvl w:ilvl="5" w:tplc="C5E47114">
      <w:numFmt w:val="decimal"/>
      <w:lvlText w:val=""/>
      <w:lvlJc w:val="left"/>
    </w:lvl>
    <w:lvl w:ilvl="6" w:tplc="A09060F0">
      <w:numFmt w:val="decimal"/>
      <w:lvlText w:val=""/>
      <w:lvlJc w:val="left"/>
    </w:lvl>
    <w:lvl w:ilvl="7" w:tplc="767839A4">
      <w:numFmt w:val="decimal"/>
      <w:lvlText w:val=""/>
      <w:lvlJc w:val="left"/>
    </w:lvl>
    <w:lvl w:ilvl="8" w:tplc="D2A0C572">
      <w:numFmt w:val="decimal"/>
      <w:lvlText w:val=""/>
      <w:lvlJc w:val="left"/>
    </w:lvl>
  </w:abstractNum>
  <w:abstractNum w:abstractNumId="14" w15:restartNumberingAfterBreak="0">
    <w:nsid w:val="2C2260C2"/>
    <w:multiLevelType w:val="multilevel"/>
    <w:tmpl w:val="6108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1348D"/>
    <w:multiLevelType w:val="multilevel"/>
    <w:tmpl w:val="9C0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25FA0"/>
    <w:multiLevelType w:val="multilevel"/>
    <w:tmpl w:val="8612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A1E7B"/>
    <w:multiLevelType w:val="multilevel"/>
    <w:tmpl w:val="3D28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E6E9F"/>
    <w:multiLevelType w:val="multilevel"/>
    <w:tmpl w:val="2ED0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E2D12"/>
    <w:multiLevelType w:val="multilevel"/>
    <w:tmpl w:val="6A3C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D2225"/>
    <w:multiLevelType w:val="hybridMultilevel"/>
    <w:tmpl w:val="2072F61A"/>
    <w:lvl w:ilvl="0" w:tplc="0C92B2F2">
      <w:start w:val="1"/>
      <w:numFmt w:val="bullet"/>
      <w:lvlText w:val="●"/>
      <w:lvlJc w:val="left"/>
      <w:pPr>
        <w:ind w:left="720" w:hanging="360"/>
      </w:pPr>
    </w:lvl>
    <w:lvl w:ilvl="1" w:tplc="9AAADAA0">
      <w:start w:val="1"/>
      <w:numFmt w:val="bullet"/>
      <w:lvlText w:val="○"/>
      <w:lvlJc w:val="left"/>
      <w:pPr>
        <w:ind w:left="1440" w:hanging="360"/>
      </w:pPr>
    </w:lvl>
    <w:lvl w:ilvl="2" w:tplc="C3A640F8">
      <w:start w:val="1"/>
      <w:numFmt w:val="bullet"/>
      <w:lvlText w:val="■"/>
      <w:lvlJc w:val="left"/>
      <w:pPr>
        <w:ind w:left="2160" w:hanging="360"/>
      </w:pPr>
    </w:lvl>
    <w:lvl w:ilvl="3" w:tplc="E8CC6EDA">
      <w:start w:val="1"/>
      <w:numFmt w:val="bullet"/>
      <w:lvlText w:val="●"/>
      <w:lvlJc w:val="left"/>
      <w:pPr>
        <w:ind w:left="2880" w:hanging="360"/>
      </w:pPr>
    </w:lvl>
    <w:lvl w:ilvl="4" w:tplc="1EFABC9A">
      <w:start w:val="1"/>
      <w:numFmt w:val="bullet"/>
      <w:lvlText w:val="○"/>
      <w:lvlJc w:val="left"/>
      <w:pPr>
        <w:ind w:left="3600" w:hanging="360"/>
      </w:pPr>
    </w:lvl>
    <w:lvl w:ilvl="5" w:tplc="02D869D4">
      <w:start w:val="1"/>
      <w:numFmt w:val="bullet"/>
      <w:lvlText w:val="■"/>
      <w:lvlJc w:val="left"/>
      <w:pPr>
        <w:ind w:left="4320" w:hanging="360"/>
      </w:pPr>
    </w:lvl>
    <w:lvl w:ilvl="6" w:tplc="82FEA7F4">
      <w:start w:val="1"/>
      <w:numFmt w:val="bullet"/>
      <w:lvlText w:val="●"/>
      <w:lvlJc w:val="left"/>
      <w:pPr>
        <w:ind w:left="5040" w:hanging="360"/>
      </w:pPr>
    </w:lvl>
    <w:lvl w:ilvl="7" w:tplc="B0B24534">
      <w:start w:val="1"/>
      <w:numFmt w:val="bullet"/>
      <w:lvlText w:val="●"/>
      <w:lvlJc w:val="left"/>
      <w:pPr>
        <w:ind w:left="5760" w:hanging="360"/>
      </w:pPr>
    </w:lvl>
    <w:lvl w:ilvl="8" w:tplc="3F809138">
      <w:start w:val="1"/>
      <w:numFmt w:val="bullet"/>
      <w:lvlText w:val="●"/>
      <w:lvlJc w:val="left"/>
      <w:pPr>
        <w:ind w:left="6480" w:hanging="360"/>
      </w:pPr>
    </w:lvl>
  </w:abstractNum>
  <w:abstractNum w:abstractNumId="21" w15:restartNumberingAfterBreak="0">
    <w:nsid w:val="4A445A2E"/>
    <w:multiLevelType w:val="multilevel"/>
    <w:tmpl w:val="BF6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F0FA8"/>
    <w:multiLevelType w:val="multilevel"/>
    <w:tmpl w:val="C182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C0737"/>
    <w:multiLevelType w:val="multilevel"/>
    <w:tmpl w:val="DC62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65526"/>
    <w:multiLevelType w:val="multilevel"/>
    <w:tmpl w:val="CB7C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23762"/>
    <w:multiLevelType w:val="hybridMultilevel"/>
    <w:tmpl w:val="91887E26"/>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9C40DAE"/>
    <w:multiLevelType w:val="hybridMultilevel"/>
    <w:tmpl w:val="04D23B70"/>
    <w:lvl w:ilvl="0" w:tplc="3409000F">
      <w:start w:val="1"/>
      <w:numFmt w:val="decimal"/>
      <w:lvlText w:val="%1."/>
      <w:lvlJc w:val="left"/>
      <w:pPr>
        <w:ind w:left="1080" w:hanging="360"/>
      </w:pPr>
    </w:lvl>
    <w:lvl w:ilvl="1" w:tplc="7BB6939E">
      <w:numFmt w:val="decimal"/>
      <w:lvlText w:val=""/>
      <w:lvlJc w:val="left"/>
    </w:lvl>
    <w:lvl w:ilvl="2" w:tplc="7B304022">
      <w:numFmt w:val="decimal"/>
      <w:lvlText w:val=""/>
      <w:lvlJc w:val="left"/>
    </w:lvl>
    <w:lvl w:ilvl="3" w:tplc="AD16A5DC">
      <w:numFmt w:val="decimal"/>
      <w:lvlText w:val=""/>
      <w:lvlJc w:val="left"/>
    </w:lvl>
    <w:lvl w:ilvl="4" w:tplc="796A4B4E">
      <w:numFmt w:val="decimal"/>
      <w:lvlText w:val=""/>
      <w:lvlJc w:val="left"/>
    </w:lvl>
    <w:lvl w:ilvl="5" w:tplc="789A4650">
      <w:numFmt w:val="decimal"/>
      <w:lvlText w:val=""/>
      <w:lvlJc w:val="left"/>
    </w:lvl>
    <w:lvl w:ilvl="6" w:tplc="C8747E00">
      <w:numFmt w:val="decimal"/>
      <w:lvlText w:val=""/>
      <w:lvlJc w:val="left"/>
    </w:lvl>
    <w:lvl w:ilvl="7" w:tplc="6138051A">
      <w:numFmt w:val="decimal"/>
      <w:lvlText w:val=""/>
      <w:lvlJc w:val="left"/>
    </w:lvl>
    <w:lvl w:ilvl="8" w:tplc="31DAC828">
      <w:numFmt w:val="decimal"/>
      <w:lvlText w:val=""/>
      <w:lvlJc w:val="left"/>
    </w:lvl>
  </w:abstractNum>
  <w:abstractNum w:abstractNumId="27" w15:restartNumberingAfterBreak="0">
    <w:nsid w:val="67C35E7B"/>
    <w:multiLevelType w:val="multilevel"/>
    <w:tmpl w:val="E1A8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13B3A"/>
    <w:multiLevelType w:val="multilevel"/>
    <w:tmpl w:val="D2BE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707542"/>
    <w:multiLevelType w:val="multilevel"/>
    <w:tmpl w:val="8AD8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AE22D5"/>
    <w:multiLevelType w:val="multilevel"/>
    <w:tmpl w:val="D76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num>
  <w:num w:numId="2">
    <w:abstractNumId w:val="26"/>
  </w:num>
  <w:num w:numId="3">
    <w:abstractNumId w:val="25"/>
  </w:num>
  <w:num w:numId="4">
    <w:abstractNumId w:val="30"/>
  </w:num>
  <w:num w:numId="5">
    <w:abstractNumId w:val="8"/>
  </w:num>
  <w:num w:numId="6">
    <w:abstractNumId w:val="28"/>
  </w:num>
  <w:num w:numId="7">
    <w:abstractNumId w:val="9"/>
  </w:num>
  <w:num w:numId="8">
    <w:abstractNumId w:val="6"/>
  </w:num>
  <w:num w:numId="9">
    <w:abstractNumId w:val="1"/>
  </w:num>
  <w:num w:numId="10">
    <w:abstractNumId w:val="2"/>
  </w:num>
  <w:num w:numId="11">
    <w:abstractNumId w:val="23"/>
  </w:num>
  <w:num w:numId="12">
    <w:abstractNumId w:val="11"/>
  </w:num>
  <w:num w:numId="13">
    <w:abstractNumId w:val="19"/>
  </w:num>
  <w:num w:numId="14">
    <w:abstractNumId w:val="21"/>
  </w:num>
  <w:num w:numId="15">
    <w:abstractNumId w:val="27"/>
  </w:num>
  <w:num w:numId="16">
    <w:abstractNumId w:val="24"/>
  </w:num>
  <w:num w:numId="17">
    <w:abstractNumId w:val="10"/>
  </w:num>
  <w:num w:numId="18">
    <w:abstractNumId w:val="15"/>
  </w:num>
  <w:num w:numId="19">
    <w:abstractNumId w:val="22"/>
  </w:num>
  <w:num w:numId="20">
    <w:abstractNumId w:val="14"/>
  </w:num>
  <w:num w:numId="21">
    <w:abstractNumId w:val="29"/>
  </w:num>
  <w:num w:numId="22">
    <w:abstractNumId w:val="17"/>
  </w:num>
  <w:num w:numId="23">
    <w:abstractNumId w:val="5"/>
  </w:num>
  <w:num w:numId="24">
    <w:abstractNumId w:val="12"/>
  </w:num>
  <w:num w:numId="25">
    <w:abstractNumId w:val="7"/>
  </w:num>
  <w:num w:numId="26">
    <w:abstractNumId w:val="18"/>
  </w:num>
  <w:num w:numId="27">
    <w:abstractNumId w:val="3"/>
  </w:num>
  <w:num w:numId="28">
    <w:abstractNumId w:val="0"/>
  </w:num>
  <w:num w:numId="29">
    <w:abstractNumId w:val="4"/>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52A"/>
    <w:rsid w:val="0000489F"/>
    <w:rsid w:val="000126D0"/>
    <w:rsid w:val="00017333"/>
    <w:rsid w:val="00034C32"/>
    <w:rsid w:val="00041A53"/>
    <w:rsid w:val="0004752C"/>
    <w:rsid w:val="000543E4"/>
    <w:rsid w:val="00061D7E"/>
    <w:rsid w:val="000662C2"/>
    <w:rsid w:val="0007793D"/>
    <w:rsid w:val="0008480B"/>
    <w:rsid w:val="000A4C48"/>
    <w:rsid w:val="000B46BE"/>
    <w:rsid w:val="000C2177"/>
    <w:rsid w:val="000D1785"/>
    <w:rsid w:val="000E15DD"/>
    <w:rsid w:val="000F45BD"/>
    <w:rsid w:val="00115AAE"/>
    <w:rsid w:val="00116851"/>
    <w:rsid w:val="00127819"/>
    <w:rsid w:val="001376D4"/>
    <w:rsid w:val="001379D0"/>
    <w:rsid w:val="00142855"/>
    <w:rsid w:val="0014648C"/>
    <w:rsid w:val="0015155E"/>
    <w:rsid w:val="0015252A"/>
    <w:rsid w:val="0017023E"/>
    <w:rsid w:val="00172FCA"/>
    <w:rsid w:val="00175D2C"/>
    <w:rsid w:val="00186F86"/>
    <w:rsid w:val="00193008"/>
    <w:rsid w:val="001932E7"/>
    <w:rsid w:val="0019489A"/>
    <w:rsid w:val="001A1EC3"/>
    <w:rsid w:val="001C4005"/>
    <w:rsid w:val="001D215F"/>
    <w:rsid w:val="001D5A50"/>
    <w:rsid w:val="001E0802"/>
    <w:rsid w:val="001E5B61"/>
    <w:rsid w:val="001E60CC"/>
    <w:rsid w:val="001F2602"/>
    <w:rsid w:val="001F60D0"/>
    <w:rsid w:val="00202E51"/>
    <w:rsid w:val="0024239F"/>
    <w:rsid w:val="00251EEA"/>
    <w:rsid w:val="00257D7E"/>
    <w:rsid w:val="00261A6D"/>
    <w:rsid w:val="00266621"/>
    <w:rsid w:val="00272634"/>
    <w:rsid w:val="00294B4B"/>
    <w:rsid w:val="00295471"/>
    <w:rsid w:val="002A1565"/>
    <w:rsid w:val="002A3F50"/>
    <w:rsid w:val="002B077A"/>
    <w:rsid w:val="002B6AC1"/>
    <w:rsid w:val="002D1379"/>
    <w:rsid w:val="002D246B"/>
    <w:rsid w:val="002D6ADD"/>
    <w:rsid w:val="002F2463"/>
    <w:rsid w:val="002F4342"/>
    <w:rsid w:val="002F4AAB"/>
    <w:rsid w:val="00310996"/>
    <w:rsid w:val="00317531"/>
    <w:rsid w:val="00325D12"/>
    <w:rsid w:val="00354F50"/>
    <w:rsid w:val="00363327"/>
    <w:rsid w:val="003812E5"/>
    <w:rsid w:val="00386080"/>
    <w:rsid w:val="00386279"/>
    <w:rsid w:val="003919B6"/>
    <w:rsid w:val="003972AB"/>
    <w:rsid w:val="003B58B4"/>
    <w:rsid w:val="003C2446"/>
    <w:rsid w:val="003C5971"/>
    <w:rsid w:val="003F6D10"/>
    <w:rsid w:val="00401872"/>
    <w:rsid w:val="00405AAC"/>
    <w:rsid w:val="00407938"/>
    <w:rsid w:val="00423FB3"/>
    <w:rsid w:val="004245E7"/>
    <w:rsid w:val="004260CF"/>
    <w:rsid w:val="0043756C"/>
    <w:rsid w:val="00441C01"/>
    <w:rsid w:val="004521E5"/>
    <w:rsid w:val="00454619"/>
    <w:rsid w:val="0047202B"/>
    <w:rsid w:val="0047517C"/>
    <w:rsid w:val="004853F6"/>
    <w:rsid w:val="00485DAD"/>
    <w:rsid w:val="004C2B26"/>
    <w:rsid w:val="004D1F77"/>
    <w:rsid w:val="004D22F6"/>
    <w:rsid w:val="004E3982"/>
    <w:rsid w:val="004E3B9D"/>
    <w:rsid w:val="004E4583"/>
    <w:rsid w:val="004E6B62"/>
    <w:rsid w:val="004E6ECC"/>
    <w:rsid w:val="004F3CF4"/>
    <w:rsid w:val="005069B9"/>
    <w:rsid w:val="0051366A"/>
    <w:rsid w:val="005160B7"/>
    <w:rsid w:val="00527E46"/>
    <w:rsid w:val="0053589A"/>
    <w:rsid w:val="005378A5"/>
    <w:rsid w:val="0054256F"/>
    <w:rsid w:val="005A3451"/>
    <w:rsid w:val="005A7FC2"/>
    <w:rsid w:val="005B0C1E"/>
    <w:rsid w:val="005B3601"/>
    <w:rsid w:val="005B5F9C"/>
    <w:rsid w:val="005C5CA4"/>
    <w:rsid w:val="005C6DB8"/>
    <w:rsid w:val="005D166D"/>
    <w:rsid w:val="005D47E9"/>
    <w:rsid w:val="005E3D4B"/>
    <w:rsid w:val="005E7E6F"/>
    <w:rsid w:val="005F0336"/>
    <w:rsid w:val="006137BF"/>
    <w:rsid w:val="00613A12"/>
    <w:rsid w:val="00626ECA"/>
    <w:rsid w:val="006276A5"/>
    <w:rsid w:val="00631069"/>
    <w:rsid w:val="006316F0"/>
    <w:rsid w:val="00636339"/>
    <w:rsid w:val="00652147"/>
    <w:rsid w:val="00663238"/>
    <w:rsid w:val="00666E07"/>
    <w:rsid w:val="00672BB7"/>
    <w:rsid w:val="006848ED"/>
    <w:rsid w:val="00694E2D"/>
    <w:rsid w:val="006A4CBE"/>
    <w:rsid w:val="006A5340"/>
    <w:rsid w:val="006B1BD7"/>
    <w:rsid w:val="006C6CBD"/>
    <w:rsid w:val="006D6D93"/>
    <w:rsid w:val="00701520"/>
    <w:rsid w:val="00722899"/>
    <w:rsid w:val="007319E4"/>
    <w:rsid w:val="00740883"/>
    <w:rsid w:val="00740E99"/>
    <w:rsid w:val="00753AE2"/>
    <w:rsid w:val="007565E8"/>
    <w:rsid w:val="00757C42"/>
    <w:rsid w:val="00775E05"/>
    <w:rsid w:val="00790D72"/>
    <w:rsid w:val="0079700F"/>
    <w:rsid w:val="007A7E10"/>
    <w:rsid w:val="007B0004"/>
    <w:rsid w:val="007C2BF3"/>
    <w:rsid w:val="007D7C72"/>
    <w:rsid w:val="007E1273"/>
    <w:rsid w:val="007F119F"/>
    <w:rsid w:val="007F16D5"/>
    <w:rsid w:val="007F56D6"/>
    <w:rsid w:val="007F578A"/>
    <w:rsid w:val="007F6447"/>
    <w:rsid w:val="007F7A64"/>
    <w:rsid w:val="007F7CDC"/>
    <w:rsid w:val="008146EC"/>
    <w:rsid w:val="00814D3C"/>
    <w:rsid w:val="00816C76"/>
    <w:rsid w:val="008224BF"/>
    <w:rsid w:val="008230D9"/>
    <w:rsid w:val="00834498"/>
    <w:rsid w:val="00843CC6"/>
    <w:rsid w:val="00845B79"/>
    <w:rsid w:val="00856B0B"/>
    <w:rsid w:val="0085708A"/>
    <w:rsid w:val="0085720F"/>
    <w:rsid w:val="0086129F"/>
    <w:rsid w:val="008649D5"/>
    <w:rsid w:val="00865AA4"/>
    <w:rsid w:val="00872435"/>
    <w:rsid w:val="008746A0"/>
    <w:rsid w:val="00874FB5"/>
    <w:rsid w:val="00876D5D"/>
    <w:rsid w:val="008A3407"/>
    <w:rsid w:val="008A3DBA"/>
    <w:rsid w:val="008A5F89"/>
    <w:rsid w:val="008A6673"/>
    <w:rsid w:val="008A72FA"/>
    <w:rsid w:val="008C280A"/>
    <w:rsid w:val="008E6089"/>
    <w:rsid w:val="008F053C"/>
    <w:rsid w:val="008F2494"/>
    <w:rsid w:val="00901C00"/>
    <w:rsid w:val="00923DBF"/>
    <w:rsid w:val="00924647"/>
    <w:rsid w:val="0092654C"/>
    <w:rsid w:val="00943571"/>
    <w:rsid w:val="00951B67"/>
    <w:rsid w:val="00957413"/>
    <w:rsid w:val="009614FA"/>
    <w:rsid w:val="00962F63"/>
    <w:rsid w:val="0096581F"/>
    <w:rsid w:val="00971F21"/>
    <w:rsid w:val="00980BD8"/>
    <w:rsid w:val="00983065"/>
    <w:rsid w:val="009947C0"/>
    <w:rsid w:val="00997E20"/>
    <w:rsid w:val="009A2F06"/>
    <w:rsid w:val="009C75FF"/>
    <w:rsid w:val="009E7884"/>
    <w:rsid w:val="009F17AD"/>
    <w:rsid w:val="009F1DD0"/>
    <w:rsid w:val="009F7216"/>
    <w:rsid w:val="00A043CF"/>
    <w:rsid w:val="00A067E9"/>
    <w:rsid w:val="00A1592B"/>
    <w:rsid w:val="00A26156"/>
    <w:rsid w:val="00A357F9"/>
    <w:rsid w:val="00A368CC"/>
    <w:rsid w:val="00A45432"/>
    <w:rsid w:val="00A4590A"/>
    <w:rsid w:val="00A70867"/>
    <w:rsid w:val="00A7722E"/>
    <w:rsid w:val="00A86E71"/>
    <w:rsid w:val="00A92543"/>
    <w:rsid w:val="00A92A2F"/>
    <w:rsid w:val="00A964BD"/>
    <w:rsid w:val="00AA0F2B"/>
    <w:rsid w:val="00AA6B20"/>
    <w:rsid w:val="00AE4CCD"/>
    <w:rsid w:val="00AF3955"/>
    <w:rsid w:val="00B12046"/>
    <w:rsid w:val="00B20A2F"/>
    <w:rsid w:val="00B44512"/>
    <w:rsid w:val="00B4534C"/>
    <w:rsid w:val="00B5030E"/>
    <w:rsid w:val="00B6063C"/>
    <w:rsid w:val="00B63C19"/>
    <w:rsid w:val="00B731A8"/>
    <w:rsid w:val="00B74ABF"/>
    <w:rsid w:val="00B7667E"/>
    <w:rsid w:val="00B768C2"/>
    <w:rsid w:val="00B83A7A"/>
    <w:rsid w:val="00B86777"/>
    <w:rsid w:val="00B918F1"/>
    <w:rsid w:val="00B958BF"/>
    <w:rsid w:val="00BA5081"/>
    <w:rsid w:val="00BA7011"/>
    <w:rsid w:val="00BC18E8"/>
    <w:rsid w:val="00BE7284"/>
    <w:rsid w:val="00C17B0B"/>
    <w:rsid w:val="00C35293"/>
    <w:rsid w:val="00C4588D"/>
    <w:rsid w:val="00C53BAC"/>
    <w:rsid w:val="00C54C7A"/>
    <w:rsid w:val="00C62B9B"/>
    <w:rsid w:val="00C674B8"/>
    <w:rsid w:val="00C71A73"/>
    <w:rsid w:val="00C83367"/>
    <w:rsid w:val="00C84EAD"/>
    <w:rsid w:val="00C873E1"/>
    <w:rsid w:val="00C96015"/>
    <w:rsid w:val="00CA1AC6"/>
    <w:rsid w:val="00CA473C"/>
    <w:rsid w:val="00CB0152"/>
    <w:rsid w:val="00CB6566"/>
    <w:rsid w:val="00CC718F"/>
    <w:rsid w:val="00CD4568"/>
    <w:rsid w:val="00CE1432"/>
    <w:rsid w:val="00CE312A"/>
    <w:rsid w:val="00CF36B6"/>
    <w:rsid w:val="00CF6593"/>
    <w:rsid w:val="00D12165"/>
    <w:rsid w:val="00D130A8"/>
    <w:rsid w:val="00D16B56"/>
    <w:rsid w:val="00D2099D"/>
    <w:rsid w:val="00D242BA"/>
    <w:rsid w:val="00D259C5"/>
    <w:rsid w:val="00D404F9"/>
    <w:rsid w:val="00D409B0"/>
    <w:rsid w:val="00D4406C"/>
    <w:rsid w:val="00D44362"/>
    <w:rsid w:val="00D45618"/>
    <w:rsid w:val="00D45FAA"/>
    <w:rsid w:val="00D476B4"/>
    <w:rsid w:val="00D500AC"/>
    <w:rsid w:val="00D66D27"/>
    <w:rsid w:val="00D74763"/>
    <w:rsid w:val="00D76D0B"/>
    <w:rsid w:val="00D76ECF"/>
    <w:rsid w:val="00D80653"/>
    <w:rsid w:val="00D87AA8"/>
    <w:rsid w:val="00D93F08"/>
    <w:rsid w:val="00DA033E"/>
    <w:rsid w:val="00DA1390"/>
    <w:rsid w:val="00DA4054"/>
    <w:rsid w:val="00DD04F8"/>
    <w:rsid w:val="00DE42F5"/>
    <w:rsid w:val="00DF28B7"/>
    <w:rsid w:val="00DF32A0"/>
    <w:rsid w:val="00E30922"/>
    <w:rsid w:val="00E6080A"/>
    <w:rsid w:val="00E65FF8"/>
    <w:rsid w:val="00E67820"/>
    <w:rsid w:val="00EA1677"/>
    <w:rsid w:val="00EB31F3"/>
    <w:rsid w:val="00EC2A85"/>
    <w:rsid w:val="00ED6FC8"/>
    <w:rsid w:val="00F05382"/>
    <w:rsid w:val="00F061F7"/>
    <w:rsid w:val="00F064E2"/>
    <w:rsid w:val="00F07FFD"/>
    <w:rsid w:val="00F2331D"/>
    <w:rsid w:val="00F27EA5"/>
    <w:rsid w:val="00F35376"/>
    <w:rsid w:val="00F7044B"/>
    <w:rsid w:val="00F757E7"/>
    <w:rsid w:val="00F7663E"/>
    <w:rsid w:val="00F8284B"/>
    <w:rsid w:val="00F92690"/>
    <w:rsid w:val="00FB0621"/>
    <w:rsid w:val="00FB53FE"/>
    <w:rsid w:val="00FB6348"/>
    <w:rsid w:val="00FD35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BD17"/>
  <w15:docId w15:val="{6AFECAF3-2129-4A5C-BAF0-B7521B01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line="360" w:lineRule="auto"/>
      <w:outlineLvl w:val="0"/>
    </w:pPr>
    <w:rPr>
      <w:b/>
      <w:bCs/>
      <w:sz w:val="28"/>
      <w:szCs w:val="28"/>
    </w:rPr>
  </w:style>
  <w:style w:type="paragraph" w:styleId="Heading2">
    <w:name w:val="heading 2"/>
    <w:link w:val="Heading2Char"/>
    <w:uiPriority w:val="9"/>
    <w:unhideWhenUsed/>
    <w:qFormat/>
    <w:pPr>
      <w:spacing w:before="240" w:after="120" w:line="360" w:lineRule="auto"/>
      <w:outlineLvl w:val="1"/>
    </w:pPr>
    <w:rPr>
      <w:b/>
      <w:bCs/>
      <w:i/>
      <w:iCs/>
      <w:sz w:val="26"/>
      <w:szCs w:val="26"/>
    </w:rPr>
  </w:style>
  <w:style w:type="paragraph" w:styleId="Heading3">
    <w:name w:val="heading 3"/>
    <w:uiPriority w:val="9"/>
    <w:semiHidden/>
    <w:unhideWhenUsed/>
    <w:qFormat/>
    <w:pPr>
      <w:spacing w:before="200" w:after="100" w:line="360" w:lineRule="auto"/>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yperlink1">
    <w:name w:val="Hyperlink1"/>
    <w:rPr>
      <w:color w:val="0000EE"/>
      <w:u w:val="single"/>
    </w:rPr>
  </w:style>
  <w:style w:type="paragraph" w:styleId="NormalWeb">
    <w:name w:val="Normal (Web)"/>
    <w:basedOn w:val="Normal"/>
    <w:uiPriority w:val="99"/>
    <w:unhideWhenUsed/>
    <w:rsid w:val="00FB0621"/>
    <w:pPr>
      <w:spacing w:before="100" w:beforeAutospacing="1" w:after="100" w:afterAutospacing="1"/>
    </w:pPr>
  </w:style>
  <w:style w:type="character" w:styleId="Strong">
    <w:name w:val="Strong"/>
    <w:basedOn w:val="DefaultParagraphFont"/>
    <w:uiPriority w:val="22"/>
    <w:qFormat/>
    <w:rsid w:val="00FB0621"/>
    <w:rPr>
      <w:b/>
      <w:bCs/>
    </w:rPr>
  </w:style>
  <w:style w:type="character" w:customStyle="1" w:styleId="Heading2Char">
    <w:name w:val="Heading 2 Char"/>
    <w:basedOn w:val="DefaultParagraphFont"/>
    <w:link w:val="Heading2"/>
    <w:uiPriority w:val="9"/>
    <w:rsid w:val="008146EC"/>
    <w:rPr>
      <w:b/>
      <w:bCs/>
      <w:i/>
      <w:iCs/>
      <w:sz w:val="26"/>
      <w:szCs w:val="26"/>
    </w:rPr>
  </w:style>
  <w:style w:type="paragraph" w:customStyle="1" w:styleId="isselectedend">
    <w:name w:val="isselectedend"/>
    <w:basedOn w:val="Normal"/>
    <w:rsid w:val="00325D12"/>
    <w:pPr>
      <w:spacing w:before="100" w:beforeAutospacing="1" w:after="100" w:afterAutospacing="1"/>
    </w:pPr>
  </w:style>
  <w:style w:type="paragraph" w:styleId="NoSpacing">
    <w:name w:val="No Spacing"/>
    <w:uiPriority w:val="1"/>
    <w:qFormat/>
    <w:rsid w:val="006137BF"/>
  </w:style>
  <w:style w:type="paragraph" w:styleId="HTMLPreformatted">
    <w:name w:val="HTML Preformatted"/>
    <w:basedOn w:val="Normal"/>
    <w:link w:val="HTMLPreformattedChar"/>
    <w:uiPriority w:val="99"/>
    <w:semiHidden/>
    <w:unhideWhenUsed/>
    <w:rsid w:val="00FB6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B6348"/>
    <w:rPr>
      <w:rFonts w:ascii="Courier New" w:hAnsi="Courier New" w:cs="Courier New"/>
      <w:sz w:val="20"/>
      <w:szCs w:val="20"/>
    </w:rPr>
  </w:style>
  <w:style w:type="character" w:styleId="HTMLCode">
    <w:name w:val="HTML Code"/>
    <w:basedOn w:val="DefaultParagraphFont"/>
    <w:uiPriority w:val="99"/>
    <w:semiHidden/>
    <w:unhideWhenUsed/>
    <w:rsid w:val="00FB6348"/>
    <w:rPr>
      <w:rFonts w:ascii="Courier New" w:eastAsia="Times New Roman" w:hAnsi="Courier New" w:cs="Courier New"/>
      <w:sz w:val="20"/>
      <w:szCs w:val="20"/>
    </w:rPr>
  </w:style>
  <w:style w:type="table" w:styleId="TableGrid">
    <w:name w:val="Table Grid"/>
    <w:basedOn w:val="TableNormal"/>
    <w:uiPriority w:val="39"/>
    <w:rsid w:val="00B76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6A5"/>
    <w:pPr>
      <w:tabs>
        <w:tab w:val="center" w:pos="4680"/>
        <w:tab w:val="right" w:pos="9360"/>
      </w:tabs>
    </w:pPr>
  </w:style>
  <w:style w:type="character" w:customStyle="1" w:styleId="HeaderChar">
    <w:name w:val="Header Char"/>
    <w:basedOn w:val="DefaultParagraphFont"/>
    <w:link w:val="Header"/>
    <w:uiPriority w:val="99"/>
    <w:rsid w:val="006276A5"/>
  </w:style>
  <w:style w:type="paragraph" w:styleId="Footer">
    <w:name w:val="footer"/>
    <w:basedOn w:val="Normal"/>
    <w:link w:val="FooterChar"/>
    <w:uiPriority w:val="99"/>
    <w:unhideWhenUsed/>
    <w:rsid w:val="006276A5"/>
    <w:pPr>
      <w:tabs>
        <w:tab w:val="center" w:pos="4680"/>
        <w:tab w:val="right" w:pos="9360"/>
      </w:tabs>
    </w:pPr>
  </w:style>
  <w:style w:type="character" w:customStyle="1" w:styleId="FooterChar">
    <w:name w:val="Footer Char"/>
    <w:basedOn w:val="DefaultParagraphFont"/>
    <w:link w:val="Footer"/>
    <w:uiPriority w:val="99"/>
    <w:rsid w:val="006276A5"/>
  </w:style>
  <w:style w:type="character" w:styleId="Emphasis">
    <w:name w:val="Emphasis"/>
    <w:basedOn w:val="DefaultParagraphFont"/>
    <w:uiPriority w:val="20"/>
    <w:qFormat/>
    <w:rsid w:val="00EC2A85"/>
    <w:rPr>
      <w:i/>
      <w:iCs/>
    </w:rPr>
  </w:style>
  <w:style w:type="paragraph" w:styleId="BalloonText">
    <w:name w:val="Balloon Text"/>
    <w:basedOn w:val="Normal"/>
    <w:link w:val="BalloonTextChar"/>
    <w:uiPriority w:val="99"/>
    <w:semiHidden/>
    <w:unhideWhenUsed/>
    <w:rsid w:val="00753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AE2"/>
    <w:rPr>
      <w:rFonts w:ascii="Segoe UI" w:hAnsi="Segoe UI" w:cs="Segoe UI"/>
      <w:sz w:val="18"/>
      <w:szCs w:val="18"/>
    </w:rPr>
  </w:style>
  <w:style w:type="character" w:styleId="UnresolvedMention">
    <w:name w:val="Unresolved Mention"/>
    <w:basedOn w:val="DefaultParagraphFont"/>
    <w:uiPriority w:val="99"/>
    <w:semiHidden/>
    <w:unhideWhenUsed/>
    <w:rsid w:val="00B918F1"/>
    <w:rPr>
      <w:color w:val="605E5C"/>
      <w:shd w:val="clear" w:color="auto" w:fill="E1DFDD"/>
    </w:rPr>
  </w:style>
  <w:style w:type="character" w:styleId="FollowedHyperlink">
    <w:name w:val="FollowedHyperlink"/>
    <w:basedOn w:val="DefaultParagraphFont"/>
    <w:uiPriority w:val="99"/>
    <w:semiHidden/>
    <w:unhideWhenUsed/>
    <w:rsid w:val="00257D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0446">
      <w:bodyDiv w:val="1"/>
      <w:marLeft w:val="0"/>
      <w:marRight w:val="0"/>
      <w:marTop w:val="0"/>
      <w:marBottom w:val="0"/>
      <w:divBdr>
        <w:top w:val="none" w:sz="0" w:space="0" w:color="auto"/>
        <w:left w:val="none" w:sz="0" w:space="0" w:color="auto"/>
        <w:bottom w:val="none" w:sz="0" w:space="0" w:color="auto"/>
        <w:right w:val="none" w:sz="0" w:space="0" w:color="auto"/>
      </w:divBdr>
      <w:divsChild>
        <w:div w:id="504175638">
          <w:marLeft w:val="0"/>
          <w:marRight w:val="0"/>
          <w:marTop w:val="0"/>
          <w:marBottom w:val="0"/>
          <w:divBdr>
            <w:top w:val="none" w:sz="0" w:space="0" w:color="auto"/>
            <w:left w:val="none" w:sz="0" w:space="0" w:color="auto"/>
            <w:bottom w:val="none" w:sz="0" w:space="0" w:color="auto"/>
            <w:right w:val="none" w:sz="0" w:space="0" w:color="auto"/>
          </w:divBdr>
          <w:divsChild>
            <w:div w:id="1475180013">
              <w:marLeft w:val="0"/>
              <w:marRight w:val="0"/>
              <w:marTop w:val="0"/>
              <w:marBottom w:val="0"/>
              <w:divBdr>
                <w:top w:val="none" w:sz="0" w:space="0" w:color="auto"/>
                <w:left w:val="none" w:sz="0" w:space="0" w:color="auto"/>
                <w:bottom w:val="none" w:sz="0" w:space="0" w:color="auto"/>
                <w:right w:val="none" w:sz="0" w:space="0" w:color="auto"/>
              </w:divBdr>
              <w:divsChild>
                <w:div w:id="165639028">
                  <w:marLeft w:val="0"/>
                  <w:marRight w:val="0"/>
                  <w:marTop w:val="0"/>
                  <w:marBottom w:val="0"/>
                  <w:divBdr>
                    <w:top w:val="none" w:sz="0" w:space="0" w:color="auto"/>
                    <w:left w:val="none" w:sz="0" w:space="0" w:color="auto"/>
                    <w:bottom w:val="none" w:sz="0" w:space="0" w:color="auto"/>
                    <w:right w:val="none" w:sz="0" w:space="0" w:color="auto"/>
                  </w:divBdr>
                  <w:divsChild>
                    <w:div w:id="1860778218">
                      <w:marLeft w:val="0"/>
                      <w:marRight w:val="0"/>
                      <w:marTop w:val="0"/>
                      <w:marBottom w:val="0"/>
                      <w:divBdr>
                        <w:top w:val="none" w:sz="0" w:space="0" w:color="auto"/>
                        <w:left w:val="none" w:sz="0" w:space="0" w:color="auto"/>
                        <w:bottom w:val="none" w:sz="0" w:space="0" w:color="auto"/>
                        <w:right w:val="none" w:sz="0" w:space="0" w:color="auto"/>
                      </w:divBdr>
                      <w:divsChild>
                        <w:div w:id="215550759">
                          <w:marLeft w:val="0"/>
                          <w:marRight w:val="0"/>
                          <w:marTop w:val="0"/>
                          <w:marBottom w:val="0"/>
                          <w:divBdr>
                            <w:top w:val="none" w:sz="0" w:space="0" w:color="auto"/>
                            <w:left w:val="none" w:sz="0" w:space="0" w:color="auto"/>
                            <w:bottom w:val="none" w:sz="0" w:space="0" w:color="auto"/>
                            <w:right w:val="none" w:sz="0" w:space="0" w:color="auto"/>
                          </w:divBdr>
                          <w:divsChild>
                            <w:div w:id="1668752717">
                              <w:marLeft w:val="0"/>
                              <w:marRight w:val="0"/>
                              <w:marTop w:val="0"/>
                              <w:marBottom w:val="0"/>
                              <w:divBdr>
                                <w:top w:val="none" w:sz="0" w:space="0" w:color="auto"/>
                                <w:left w:val="none" w:sz="0" w:space="0" w:color="auto"/>
                                <w:bottom w:val="none" w:sz="0" w:space="0" w:color="auto"/>
                                <w:right w:val="none" w:sz="0" w:space="0" w:color="auto"/>
                              </w:divBdr>
                              <w:divsChild>
                                <w:div w:id="1725594842">
                                  <w:marLeft w:val="0"/>
                                  <w:marRight w:val="0"/>
                                  <w:marTop w:val="0"/>
                                  <w:marBottom w:val="0"/>
                                  <w:divBdr>
                                    <w:top w:val="none" w:sz="0" w:space="0" w:color="auto"/>
                                    <w:left w:val="none" w:sz="0" w:space="0" w:color="auto"/>
                                    <w:bottom w:val="none" w:sz="0" w:space="0" w:color="auto"/>
                                    <w:right w:val="none" w:sz="0" w:space="0" w:color="auto"/>
                                  </w:divBdr>
                                  <w:divsChild>
                                    <w:div w:id="2113698187">
                                      <w:marLeft w:val="0"/>
                                      <w:marRight w:val="0"/>
                                      <w:marTop w:val="0"/>
                                      <w:marBottom w:val="0"/>
                                      <w:divBdr>
                                        <w:top w:val="none" w:sz="0" w:space="0" w:color="auto"/>
                                        <w:left w:val="none" w:sz="0" w:space="0" w:color="auto"/>
                                        <w:bottom w:val="none" w:sz="0" w:space="0" w:color="auto"/>
                                        <w:right w:val="none" w:sz="0" w:space="0" w:color="auto"/>
                                      </w:divBdr>
                                      <w:divsChild>
                                        <w:div w:id="759764256">
                                          <w:marLeft w:val="0"/>
                                          <w:marRight w:val="0"/>
                                          <w:marTop w:val="0"/>
                                          <w:marBottom w:val="0"/>
                                          <w:divBdr>
                                            <w:top w:val="none" w:sz="0" w:space="0" w:color="auto"/>
                                            <w:left w:val="none" w:sz="0" w:space="0" w:color="auto"/>
                                            <w:bottom w:val="none" w:sz="0" w:space="0" w:color="auto"/>
                                            <w:right w:val="none" w:sz="0" w:space="0" w:color="auto"/>
                                          </w:divBdr>
                                          <w:divsChild>
                                            <w:div w:id="1859999387">
                                              <w:marLeft w:val="0"/>
                                              <w:marRight w:val="0"/>
                                              <w:marTop w:val="0"/>
                                              <w:marBottom w:val="0"/>
                                              <w:divBdr>
                                                <w:top w:val="none" w:sz="0" w:space="0" w:color="auto"/>
                                                <w:left w:val="none" w:sz="0" w:space="0" w:color="auto"/>
                                                <w:bottom w:val="none" w:sz="0" w:space="0" w:color="auto"/>
                                                <w:right w:val="none" w:sz="0" w:space="0" w:color="auto"/>
                                              </w:divBdr>
                                              <w:divsChild>
                                                <w:div w:id="223760619">
                                                  <w:marLeft w:val="0"/>
                                                  <w:marRight w:val="0"/>
                                                  <w:marTop w:val="0"/>
                                                  <w:marBottom w:val="0"/>
                                                  <w:divBdr>
                                                    <w:top w:val="none" w:sz="0" w:space="0" w:color="auto"/>
                                                    <w:left w:val="none" w:sz="0" w:space="0" w:color="auto"/>
                                                    <w:bottom w:val="none" w:sz="0" w:space="0" w:color="auto"/>
                                                    <w:right w:val="none" w:sz="0" w:space="0" w:color="auto"/>
                                                  </w:divBdr>
                                                  <w:divsChild>
                                                    <w:div w:id="214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3207">
      <w:bodyDiv w:val="1"/>
      <w:marLeft w:val="0"/>
      <w:marRight w:val="0"/>
      <w:marTop w:val="0"/>
      <w:marBottom w:val="0"/>
      <w:divBdr>
        <w:top w:val="none" w:sz="0" w:space="0" w:color="auto"/>
        <w:left w:val="none" w:sz="0" w:space="0" w:color="auto"/>
        <w:bottom w:val="none" w:sz="0" w:space="0" w:color="auto"/>
        <w:right w:val="none" w:sz="0" w:space="0" w:color="auto"/>
      </w:divBdr>
    </w:div>
    <w:div w:id="194737990">
      <w:bodyDiv w:val="1"/>
      <w:marLeft w:val="0"/>
      <w:marRight w:val="0"/>
      <w:marTop w:val="0"/>
      <w:marBottom w:val="0"/>
      <w:divBdr>
        <w:top w:val="none" w:sz="0" w:space="0" w:color="auto"/>
        <w:left w:val="none" w:sz="0" w:space="0" w:color="auto"/>
        <w:bottom w:val="none" w:sz="0" w:space="0" w:color="auto"/>
        <w:right w:val="none" w:sz="0" w:space="0" w:color="auto"/>
      </w:divBdr>
    </w:div>
    <w:div w:id="679312816">
      <w:bodyDiv w:val="1"/>
      <w:marLeft w:val="0"/>
      <w:marRight w:val="0"/>
      <w:marTop w:val="0"/>
      <w:marBottom w:val="0"/>
      <w:divBdr>
        <w:top w:val="none" w:sz="0" w:space="0" w:color="auto"/>
        <w:left w:val="none" w:sz="0" w:space="0" w:color="auto"/>
        <w:bottom w:val="none" w:sz="0" w:space="0" w:color="auto"/>
        <w:right w:val="none" w:sz="0" w:space="0" w:color="auto"/>
      </w:divBdr>
    </w:div>
    <w:div w:id="1222443465">
      <w:bodyDiv w:val="1"/>
      <w:marLeft w:val="0"/>
      <w:marRight w:val="0"/>
      <w:marTop w:val="0"/>
      <w:marBottom w:val="0"/>
      <w:divBdr>
        <w:top w:val="none" w:sz="0" w:space="0" w:color="auto"/>
        <w:left w:val="none" w:sz="0" w:space="0" w:color="auto"/>
        <w:bottom w:val="none" w:sz="0" w:space="0" w:color="auto"/>
        <w:right w:val="none" w:sz="0" w:space="0" w:color="auto"/>
      </w:divBdr>
    </w:div>
    <w:div w:id="1261723022">
      <w:bodyDiv w:val="1"/>
      <w:marLeft w:val="0"/>
      <w:marRight w:val="0"/>
      <w:marTop w:val="0"/>
      <w:marBottom w:val="0"/>
      <w:divBdr>
        <w:top w:val="none" w:sz="0" w:space="0" w:color="auto"/>
        <w:left w:val="none" w:sz="0" w:space="0" w:color="auto"/>
        <w:bottom w:val="none" w:sz="0" w:space="0" w:color="auto"/>
        <w:right w:val="none" w:sz="0" w:space="0" w:color="auto"/>
      </w:divBdr>
    </w:div>
    <w:div w:id="1441728108">
      <w:bodyDiv w:val="1"/>
      <w:marLeft w:val="0"/>
      <w:marRight w:val="0"/>
      <w:marTop w:val="0"/>
      <w:marBottom w:val="0"/>
      <w:divBdr>
        <w:top w:val="none" w:sz="0" w:space="0" w:color="auto"/>
        <w:left w:val="none" w:sz="0" w:space="0" w:color="auto"/>
        <w:bottom w:val="none" w:sz="0" w:space="0" w:color="auto"/>
        <w:right w:val="none" w:sz="0" w:space="0" w:color="auto"/>
      </w:divBdr>
    </w:div>
    <w:div w:id="1525824183">
      <w:bodyDiv w:val="1"/>
      <w:marLeft w:val="0"/>
      <w:marRight w:val="0"/>
      <w:marTop w:val="0"/>
      <w:marBottom w:val="0"/>
      <w:divBdr>
        <w:top w:val="none" w:sz="0" w:space="0" w:color="auto"/>
        <w:left w:val="none" w:sz="0" w:space="0" w:color="auto"/>
        <w:bottom w:val="none" w:sz="0" w:space="0" w:color="auto"/>
        <w:right w:val="none" w:sz="0" w:space="0" w:color="auto"/>
      </w:divBdr>
    </w:div>
    <w:div w:id="1634019498">
      <w:bodyDiv w:val="1"/>
      <w:marLeft w:val="0"/>
      <w:marRight w:val="0"/>
      <w:marTop w:val="0"/>
      <w:marBottom w:val="0"/>
      <w:divBdr>
        <w:top w:val="none" w:sz="0" w:space="0" w:color="auto"/>
        <w:left w:val="none" w:sz="0" w:space="0" w:color="auto"/>
        <w:bottom w:val="none" w:sz="0" w:space="0" w:color="auto"/>
        <w:right w:val="none" w:sz="0" w:space="0" w:color="auto"/>
      </w:divBdr>
    </w:div>
    <w:div w:id="1659457261">
      <w:bodyDiv w:val="1"/>
      <w:marLeft w:val="0"/>
      <w:marRight w:val="0"/>
      <w:marTop w:val="0"/>
      <w:marBottom w:val="0"/>
      <w:divBdr>
        <w:top w:val="none" w:sz="0" w:space="0" w:color="auto"/>
        <w:left w:val="none" w:sz="0" w:space="0" w:color="auto"/>
        <w:bottom w:val="none" w:sz="0" w:space="0" w:color="auto"/>
        <w:right w:val="none" w:sz="0" w:space="0" w:color="auto"/>
      </w:divBdr>
    </w:div>
    <w:div w:id="1761365058">
      <w:bodyDiv w:val="1"/>
      <w:marLeft w:val="0"/>
      <w:marRight w:val="0"/>
      <w:marTop w:val="0"/>
      <w:marBottom w:val="0"/>
      <w:divBdr>
        <w:top w:val="none" w:sz="0" w:space="0" w:color="auto"/>
        <w:left w:val="none" w:sz="0" w:space="0" w:color="auto"/>
        <w:bottom w:val="none" w:sz="0" w:space="0" w:color="auto"/>
        <w:right w:val="none" w:sz="0" w:space="0" w:color="auto"/>
      </w:divBdr>
    </w:div>
    <w:div w:id="2127190366">
      <w:bodyDiv w:val="1"/>
      <w:marLeft w:val="0"/>
      <w:marRight w:val="0"/>
      <w:marTop w:val="0"/>
      <w:marBottom w:val="0"/>
      <w:divBdr>
        <w:top w:val="none" w:sz="0" w:space="0" w:color="auto"/>
        <w:left w:val="none" w:sz="0" w:space="0" w:color="auto"/>
        <w:bottom w:val="none" w:sz="0" w:space="0" w:color="auto"/>
        <w:right w:val="none" w:sz="0" w:space="0" w:color="auto"/>
      </w:divBdr>
    </w:div>
    <w:div w:id="214715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3467967" TargetMode="External"/><Relationship Id="rId18" Type="http://schemas.openxmlformats.org/officeDocument/2006/relationships/hyperlink" Target="https://doi.org/10.1145/3664191" TargetMode="External"/><Relationship Id="rId26" Type="http://schemas.openxmlformats.org/officeDocument/2006/relationships/hyperlink" Target="https://doi.org/10.1007/BF02291575" TargetMode="External"/><Relationship Id="rId39" Type="http://schemas.openxmlformats.org/officeDocument/2006/relationships/hyperlink" Target="https://doi.org/10.1007/978-3-319-68756-8" TargetMode="External"/><Relationship Id="rId21" Type="http://schemas.openxmlformats.org/officeDocument/2006/relationships/hyperlink" Target="https://doi.org/10.1007/s12008-020-00672-x" TargetMode="External"/><Relationship Id="rId34" Type="http://schemas.openxmlformats.org/officeDocument/2006/relationships/hyperlink" Target="https://doi.org/10.22521/edupij.2025.17.306"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324/9780203771587" TargetMode="External"/><Relationship Id="rId20" Type="http://schemas.openxmlformats.org/officeDocument/2006/relationships/hyperlink" Target="https://doi.org/10.1038/s41586-020-2649-2" TargetMode="External"/><Relationship Id="rId29" Type="http://schemas.openxmlformats.org/officeDocument/2006/relationships/hyperlink" Target="https://doi.org/10.1016/0147-1767(85)90062-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1/1478088706qp063oa" TargetMode="External"/><Relationship Id="rId24" Type="http://schemas.openxmlformats.org/officeDocument/2006/relationships/hyperlink" Target="https://doi.org/10.1080/13639080.2019.1708869" TargetMode="External"/><Relationship Id="rId32" Type="http://schemas.openxmlformats.org/officeDocument/2006/relationships/hyperlink" Target="https://www.hbs.edu/faculty/Pages/item.aspx?num=44470" TargetMode="External"/><Relationship Id="rId37" Type="http://schemas.openxmlformats.org/officeDocument/2006/relationships/hyperlink" Target="https://doi.org/10.1016/j.aos.2009.06.001"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7/1040-3590.7.3.309" TargetMode="External"/><Relationship Id="rId23" Type="http://schemas.openxmlformats.org/officeDocument/2006/relationships/hyperlink" Target="https://doi.org/10.1177/00187267211070769" TargetMode="External"/><Relationship Id="rId28" Type="http://schemas.openxmlformats.org/officeDocument/2006/relationships/hyperlink" Target="https://doi.org/10.1007/s10796-022-10308-y" TargetMode="External"/><Relationship Id="rId36" Type="http://schemas.openxmlformats.org/officeDocument/2006/relationships/hyperlink" Target="https://doi.org/10.1037/0021-9010.88.5.879" TargetMode="External"/><Relationship Id="rId10" Type="http://schemas.openxmlformats.org/officeDocument/2006/relationships/hyperlink" Target="https://doi.org/10.1111/j.2517-6161.1954.tb00174" TargetMode="External"/><Relationship Id="rId19" Type="http://schemas.openxmlformats.org/officeDocument/2006/relationships/hyperlink" Target="https://doi.org/10.1007/s10648-024-09982-y" TargetMode="External"/><Relationship Id="rId31" Type="http://schemas.openxmlformats.org/officeDocument/2006/relationships/hyperlink" Target="https://doi.org/10.47263/JASEM.4(2)01" TargetMode="External"/><Relationship Id="rId4" Type="http://schemas.openxmlformats.org/officeDocument/2006/relationships/settings" Target="settings.xml"/><Relationship Id="rId9" Type="http://schemas.openxmlformats.org/officeDocument/2006/relationships/hyperlink" Target="https://doi.org/10.1021/acs.jchemed.0c00183" TargetMode="External"/><Relationship Id="rId14" Type="http://schemas.openxmlformats.org/officeDocument/2006/relationships/hyperlink" Target="https://doi.org/10.3389/feduc.2024.1412018" TargetMode="External"/><Relationship Id="rId22" Type="http://schemas.openxmlformats.org/officeDocument/2006/relationships/hyperlink" Target="https://doi.org/10.1007/s12008-020-00716-2" TargetMode="External"/><Relationship Id="rId27" Type="http://schemas.openxmlformats.org/officeDocument/2006/relationships/hyperlink" Target="https://doi.org/10.1177/001316447003000308" TargetMode="External"/><Relationship Id="rId30" Type="http://schemas.openxmlformats.org/officeDocument/2006/relationships/hyperlink" Target="https://doi.org/10.25080/Majora-92bf1922-00a" TargetMode="External"/><Relationship Id="rId35" Type="http://schemas.openxmlformats.org/officeDocument/2006/relationships/hyperlink" Target="https://ethics.healthresearch.ph/" TargetMode="External"/><Relationship Id="rId8" Type="http://schemas.openxmlformats.org/officeDocument/2006/relationships/hyperlink" Target="https://doi.org/10.3389/fpsyg.2020.00799" TargetMode="External"/><Relationship Id="rId3" Type="http://schemas.openxmlformats.org/officeDocument/2006/relationships/styles" Target="styles.xml"/><Relationship Id="rId12" Type="http://schemas.openxmlformats.org/officeDocument/2006/relationships/hyperlink" Target="https://doi.org/10.21315/mjms2018.25.6.9" TargetMode="External"/><Relationship Id="rId17" Type="http://schemas.openxmlformats.org/officeDocument/2006/relationships/hyperlink" Target="https://doi.org/10.1007/BF02310555" TargetMode="External"/><Relationship Id="rId25" Type="http://schemas.openxmlformats.org/officeDocument/2006/relationships/hyperlink" Target="https://admin.ibpap.org/storage/hub-resources/1fntWJGQKvZg4CfwP4yfXs0Jr1n85DVR1vYXJvSn.pdf" TargetMode="External"/><Relationship Id="rId33" Type="http://schemas.openxmlformats.org/officeDocument/2006/relationships/hyperlink" Target="https://doi.org/10.1109/WAIE67422.2025.11381174" TargetMode="External"/><Relationship Id="rId38" Type="http://schemas.openxmlformats.org/officeDocument/2006/relationships/hyperlink" Target="https://www.officialgazette.gov.ph/2012/08/15/republic-act-no-10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4F972-E799-4F2D-8317-9F8CA406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37</Pages>
  <Words>10755</Words>
  <Characters>61306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Brenda Balala</cp:lastModifiedBy>
  <cp:revision>83</cp:revision>
  <cp:lastPrinted>2026-05-26T03:55:00Z</cp:lastPrinted>
  <dcterms:created xsi:type="dcterms:W3CDTF">2026-05-31T06:08:00Z</dcterms:created>
  <dcterms:modified xsi:type="dcterms:W3CDTF">2026-06-05T12:59:00Z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d56537e7-7a6f-4a0d-bdad-d4e221940db2</vt:lpwstr>
  </property>
</Properties>
</file>