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6D0" w:rsidRPr="00C7698F" w:rsidRDefault="00032BFE" w:rsidP="002362BB">
      <w:pPr>
        <w:pStyle w:val="NormalWeb"/>
        <w:tabs>
          <w:tab w:val="left" w:pos="8460"/>
        </w:tabs>
        <w:spacing w:before="0" w:beforeAutospacing="0" w:after="0" w:afterAutospacing="0"/>
        <w:ind w:left="90" w:right="720"/>
        <w:jc w:val="center"/>
        <w:rPr>
          <w:rStyle w:val="Emphasis"/>
          <w:rFonts w:eastAsiaTheme="majorEastAsia"/>
          <w:b/>
          <w:i w:val="0"/>
          <w:sz w:val="32"/>
          <w:szCs w:val="32"/>
        </w:rPr>
      </w:pPr>
      <w:bookmarkStart w:id="0" w:name="_Toc204901490"/>
      <w:bookmarkStart w:id="1" w:name="_Toc321671"/>
      <w:bookmarkStart w:id="2" w:name="_Toc188946598"/>
      <w:bookmarkStart w:id="3" w:name="_Toc321674"/>
      <w:bookmarkStart w:id="4" w:name="_Toc527106514"/>
      <w:bookmarkStart w:id="5" w:name="_Toc527106518"/>
      <w:r w:rsidRPr="00C7698F">
        <w:rPr>
          <w:rStyle w:val="Emphasis"/>
          <w:rFonts w:eastAsiaTheme="majorEastAsia"/>
          <w:b/>
          <w:i w:val="0"/>
          <w:sz w:val="32"/>
          <w:szCs w:val="32"/>
        </w:rPr>
        <w:t>Towards Reconceptualizi</w:t>
      </w:r>
      <w:r w:rsidR="002362BB">
        <w:rPr>
          <w:rStyle w:val="Emphasis"/>
          <w:rFonts w:eastAsiaTheme="majorEastAsia"/>
          <w:b/>
          <w:i w:val="0"/>
          <w:sz w:val="32"/>
          <w:szCs w:val="32"/>
        </w:rPr>
        <w:t>ng Science Instruction</w:t>
      </w:r>
      <w:r w:rsidR="007F364C">
        <w:rPr>
          <w:rStyle w:val="Emphasis"/>
          <w:rFonts w:eastAsiaTheme="majorEastAsia"/>
          <w:b/>
          <w:i w:val="0"/>
          <w:sz w:val="32"/>
          <w:szCs w:val="32"/>
        </w:rPr>
        <w:t xml:space="preserve"> in Africa</w:t>
      </w:r>
      <w:r w:rsidRPr="00C7698F">
        <w:rPr>
          <w:rStyle w:val="Emphasis"/>
          <w:rFonts w:eastAsiaTheme="majorEastAsia"/>
          <w:b/>
          <w:i w:val="0"/>
          <w:sz w:val="32"/>
          <w:szCs w:val="32"/>
        </w:rPr>
        <w:t>: A M</w:t>
      </w:r>
      <w:r w:rsidR="007F364C">
        <w:rPr>
          <w:rStyle w:val="Emphasis"/>
          <w:rFonts w:eastAsiaTheme="majorEastAsia"/>
          <w:b/>
          <w:i w:val="0"/>
          <w:sz w:val="32"/>
          <w:szCs w:val="32"/>
        </w:rPr>
        <w:t>odel for Process Skills Acquisition</w:t>
      </w:r>
      <w:r w:rsidR="007F364C" w:rsidRPr="00C7698F">
        <w:rPr>
          <w:rStyle w:val="Emphasis"/>
          <w:rFonts w:eastAsiaTheme="majorEastAsia"/>
          <w:b/>
          <w:i w:val="0"/>
          <w:sz w:val="32"/>
          <w:szCs w:val="32"/>
        </w:rPr>
        <w:t xml:space="preserve"> </w:t>
      </w:r>
      <w:r w:rsidRPr="00C7698F">
        <w:rPr>
          <w:rStyle w:val="Emphasis"/>
          <w:rFonts w:eastAsiaTheme="majorEastAsia"/>
          <w:b/>
          <w:i w:val="0"/>
          <w:sz w:val="32"/>
          <w:szCs w:val="32"/>
        </w:rPr>
        <w:t xml:space="preserve">in </w:t>
      </w:r>
      <w:r w:rsidR="000E348D" w:rsidRPr="00C7698F">
        <w:rPr>
          <w:rStyle w:val="Emphasis"/>
          <w:rFonts w:eastAsiaTheme="majorEastAsia"/>
          <w:b/>
          <w:i w:val="0"/>
          <w:sz w:val="32"/>
          <w:szCs w:val="32"/>
        </w:rPr>
        <w:t>Culturally Relevant</w:t>
      </w:r>
      <w:r w:rsidRPr="00C7698F">
        <w:rPr>
          <w:rStyle w:val="Emphasis"/>
          <w:rFonts w:eastAsiaTheme="majorEastAsia"/>
          <w:b/>
          <w:i w:val="0"/>
          <w:sz w:val="32"/>
          <w:szCs w:val="32"/>
        </w:rPr>
        <w:t xml:space="preserve"> </w:t>
      </w:r>
      <w:r w:rsidR="007F364C">
        <w:rPr>
          <w:rStyle w:val="Emphasis"/>
          <w:rFonts w:eastAsiaTheme="majorEastAsia"/>
          <w:b/>
          <w:i w:val="0"/>
          <w:sz w:val="32"/>
          <w:szCs w:val="32"/>
        </w:rPr>
        <w:t xml:space="preserve">Biology </w:t>
      </w:r>
      <w:r w:rsidR="0017117F" w:rsidRPr="00C7698F">
        <w:rPr>
          <w:rStyle w:val="Emphasis"/>
          <w:rFonts w:eastAsiaTheme="majorEastAsia"/>
          <w:b/>
          <w:i w:val="0"/>
          <w:sz w:val="32"/>
          <w:szCs w:val="32"/>
        </w:rPr>
        <w:t>Classrooms</w:t>
      </w:r>
    </w:p>
    <w:p w:rsidR="00AB606F" w:rsidRDefault="00AB606F" w:rsidP="00021251">
      <w:pPr>
        <w:pStyle w:val="NormalWeb"/>
        <w:tabs>
          <w:tab w:val="left" w:pos="8460"/>
        </w:tabs>
        <w:spacing w:before="0" w:beforeAutospacing="0" w:after="0" w:afterAutospacing="0"/>
        <w:ind w:left="90" w:right="720"/>
        <w:jc w:val="center"/>
        <w:rPr>
          <w:rStyle w:val="Emphasis"/>
          <w:rFonts w:eastAsiaTheme="majorEastAsia"/>
          <w:b/>
          <w:i w:val="0"/>
          <w:sz w:val="28"/>
          <w:szCs w:val="28"/>
        </w:rPr>
      </w:pPr>
    </w:p>
    <w:p w:rsidR="002723AA" w:rsidRDefault="002723AA" w:rsidP="00021251">
      <w:pPr>
        <w:pStyle w:val="NormalWeb"/>
        <w:tabs>
          <w:tab w:val="left" w:pos="8460"/>
        </w:tabs>
        <w:ind w:left="90" w:right="720"/>
        <w:jc w:val="center"/>
        <w:rPr>
          <w:rStyle w:val="Emphasis"/>
          <w:rFonts w:eastAsiaTheme="majorEastAsia"/>
          <w:b/>
          <w:i w:val="0"/>
          <w:sz w:val="28"/>
          <w:szCs w:val="28"/>
        </w:rPr>
      </w:pPr>
    </w:p>
    <w:p w:rsidR="004A0E06" w:rsidRDefault="004A0E06" w:rsidP="00C7698F">
      <w:pPr>
        <w:pStyle w:val="NormalWeb"/>
        <w:tabs>
          <w:tab w:val="left" w:pos="8460"/>
        </w:tabs>
        <w:ind w:left="90" w:right="720"/>
        <w:jc w:val="center"/>
        <w:rPr>
          <w:rStyle w:val="Emphasis"/>
          <w:rFonts w:eastAsiaTheme="majorEastAsia"/>
          <w:b/>
          <w:i w:val="0"/>
          <w:sz w:val="28"/>
          <w:szCs w:val="28"/>
        </w:rPr>
      </w:pPr>
    </w:p>
    <w:p w:rsidR="004A0E06" w:rsidRDefault="00A60370" w:rsidP="00C7698F">
      <w:pPr>
        <w:tabs>
          <w:tab w:val="left" w:pos="8460"/>
        </w:tabs>
        <w:spacing w:line="240" w:lineRule="auto"/>
        <w:ind w:left="90" w:right="720"/>
        <w:jc w:val="center"/>
        <w:rPr>
          <w:rFonts w:ascii="Times New Roman" w:hAnsi="Times New Roman" w:cs="Times New Roman"/>
          <w:b/>
          <w:sz w:val="24"/>
          <w:szCs w:val="24"/>
          <w:vertAlign w:val="superscript"/>
          <w:lang w:val="en-GB"/>
        </w:rPr>
      </w:pPr>
      <w:r>
        <w:rPr>
          <w:rFonts w:ascii="Times New Roman" w:hAnsi="Times New Roman" w:cs="Times New Roman"/>
          <w:b/>
          <w:sz w:val="24"/>
          <w:szCs w:val="24"/>
          <w:lang w:val="en-GB"/>
        </w:rPr>
        <w:t>Hakeem Akintoye</w:t>
      </w:r>
      <w:r w:rsidRPr="00A60370">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 xml:space="preserve">, </w:t>
      </w:r>
      <w:r w:rsidR="00C559A8">
        <w:rPr>
          <w:rFonts w:ascii="Times New Roman" w:hAnsi="Times New Roman" w:cs="Times New Roman"/>
          <w:b/>
          <w:sz w:val="24"/>
          <w:szCs w:val="24"/>
          <w:lang w:val="en-GB"/>
        </w:rPr>
        <w:t>A</w:t>
      </w:r>
      <w:r w:rsidR="00BA32D7">
        <w:rPr>
          <w:rFonts w:ascii="Times New Roman" w:hAnsi="Times New Roman" w:cs="Times New Roman"/>
          <w:b/>
          <w:sz w:val="24"/>
          <w:szCs w:val="24"/>
          <w:lang w:val="en-GB"/>
        </w:rPr>
        <w:t xml:space="preserve">yodeji </w:t>
      </w:r>
      <w:r w:rsidR="00C559A8">
        <w:rPr>
          <w:rFonts w:ascii="Times New Roman" w:hAnsi="Times New Roman" w:cs="Times New Roman"/>
          <w:b/>
          <w:sz w:val="24"/>
          <w:szCs w:val="24"/>
          <w:lang w:val="en-GB"/>
        </w:rPr>
        <w:t>Ogundowole</w:t>
      </w:r>
      <w:r>
        <w:rPr>
          <w:rFonts w:ascii="Times New Roman" w:hAnsi="Times New Roman" w:cs="Times New Roman"/>
          <w:b/>
          <w:sz w:val="24"/>
          <w:szCs w:val="24"/>
          <w:vertAlign w:val="superscript"/>
          <w:lang w:val="en-GB"/>
        </w:rPr>
        <w:t>2</w:t>
      </w:r>
      <w:r w:rsidR="007B5AE7">
        <w:rPr>
          <w:rFonts w:ascii="Times New Roman" w:hAnsi="Times New Roman" w:cs="Times New Roman"/>
          <w:b/>
          <w:sz w:val="24"/>
          <w:szCs w:val="24"/>
          <w:lang w:val="en-GB"/>
        </w:rPr>
        <w:t>,</w:t>
      </w:r>
      <w:r w:rsidRPr="00A60370">
        <w:rPr>
          <w:rFonts w:ascii="Times New Roman" w:hAnsi="Times New Roman" w:cs="Times New Roman"/>
          <w:b/>
          <w:sz w:val="24"/>
          <w:szCs w:val="24"/>
          <w:lang w:val="en-GB"/>
        </w:rPr>
        <w:t xml:space="preserve"> </w:t>
      </w:r>
      <w:r>
        <w:rPr>
          <w:rFonts w:ascii="Times New Roman" w:hAnsi="Times New Roman" w:cs="Times New Roman"/>
          <w:b/>
          <w:sz w:val="24"/>
          <w:szCs w:val="24"/>
          <w:lang w:val="en-GB"/>
        </w:rPr>
        <w:t>Tunde Owolabi</w:t>
      </w:r>
      <w:r>
        <w:rPr>
          <w:rFonts w:ascii="Times New Roman" w:hAnsi="Times New Roman" w:cs="Times New Roman"/>
          <w:b/>
          <w:sz w:val="24"/>
          <w:szCs w:val="24"/>
          <w:vertAlign w:val="superscript"/>
          <w:lang w:val="en-GB"/>
        </w:rPr>
        <w:t>3</w:t>
      </w:r>
      <w:r>
        <w:rPr>
          <w:rFonts w:ascii="Times New Roman" w:hAnsi="Times New Roman" w:cs="Times New Roman"/>
          <w:b/>
          <w:sz w:val="24"/>
          <w:szCs w:val="24"/>
          <w:lang w:val="en-GB"/>
        </w:rPr>
        <w:t xml:space="preserve">, </w:t>
      </w:r>
      <w:r w:rsidR="00F07527">
        <w:rPr>
          <w:rFonts w:ascii="Times New Roman" w:hAnsi="Times New Roman" w:cs="Times New Roman"/>
          <w:b/>
          <w:sz w:val="24"/>
          <w:szCs w:val="24"/>
          <w:lang w:val="en-GB"/>
        </w:rPr>
        <w:t>Soladoy</w:t>
      </w:r>
      <w:r w:rsidR="00AB60C5">
        <w:rPr>
          <w:rFonts w:ascii="Times New Roman" w:hAnsi="Times New Roman" w:cs="Times New Roman"/>
          <w:b/>
          <w:sz w:val="24"/>
          <w:szCs w:val="24"/>
          <w:lang w:val="en-GB"/>
        </w:rPr>
        <w:t>e Lameed</w:t>
      </w:r>
      <w:r w:rsidR="00C7698F" w:rsidRPr="00C7698F">
        <w:rPr>
          <w:rFonts w:ascii="Times New Roman" w:hAnsi="Times New Roman" w:cs="Times New Roman"/>
          <w:b/>
          <w:sz w:val="24"/>
          <w:szCs w:val="24"/>
          <w:vertAlign w:val="superscript"/>
          <w:lang w:val="en-GB"/>
        </w:rPr>
        <w:t>4</w:t>
      </w:r>
      <w:r w:rsidR="00C7698F">
        <w:rPr>
          <w:rFonts w:ascii="Times New Roman" w:hAnsi="Times New Roman" w:cs="Times New Roman"/>
          <w:b/>
          <w:sz w:val="24"/>
          <w:szCs w:val="24"/>
          <w:lang w:val="en-GB"/>
        </w:rPr>
        <w:t>, Sakibu Olajide Saib</w:t>
      </w:r>
      <w:r w:rsidR="007F364C">
        <w:rPr>
          <w:rFonts w:ascii="Times New Roman" w:hAnsi="Times New Roman" w:cs="Times New Roman"/>
          <w:b/>
          <w:sz w:val="24"/>
          <w:szCs w:val="24"/>
          <w:lang w:val="en-GB"/>
        </w:rPr>
        <w:t>u</w:t>
      </w:r>
      <w:r w:rsidR="007F364C" w:rsidRPr="00C7698F">
        <w:rPr>
          <w:rFonts w:ascii="Times New Roman" w:hAnsi="Times New Roman" w:cs="Times New Roman"/>
          <w:b/>
          <w:sz w:val="24"/>
          <w:szCs w:val="24"/>
          <w:vertAlign w:val="superscript"/>
          <w:lang w:val="en-GB"/>
        </w:rPr>
        <w:t>5</w:t>
      </w:r>
      <w:r w:rsidR="007F364C">
        <w:rPr>
          <w:rFonts w:ascii="Times New Roman" w:hAnsi="Times New Roman" w:cs="Times New Roman"/>
          <w:b/>
          <w:sz w:val="24"/>
          <w:szCs w:val="24"/>
          <w:lang w:val="en-GB"/>
        </w:rPr>
        <w:t>, Abiodun Gafar Mustapha</w:t>
      </w:r>
      <w:r w:rsidR="007F364C">
        <w:rPr>
          <w:rFonts w:ascii="Times New Roman" w:hAnsi="Times New Roman" w:cs="Times New Roman"/>
          <w:b/>
          <w:sz w:val="24"/>
          <w:szCs w:val="24"/>
          <w:vertAlign w:val="superscript"/>
          <w:lang w:val="en-GB"/>
        </w:rPr>
        <w:t>6</w:t>
      </w:r>
      <w:r>
        <w:rPr>
          <w:rFonts w:ascii="Times New Roman" w:hAnsi="Times New Roman" w:cs="Times New Roman"/>
          <w:b/>
          <w:sz w:val="24"/>
          <w:szCs w:val="24"/>
          <w:lang w:val="en-GB"/>
        </w:rPr>
        <w:t>,</w:t>
      </w:r>
      <w:r w:rsidR="00146957">
        <w:rPr>
          <w:rFonts w:ascii="Times New Roman" w:hAnsi="Times New Roman" w:cs="Times New Roman"/>
          <w:b/>
          <w:sz w:val="24"/>
          <w:szCs w:val="24"/>
          <w:lang w:val="en-GB"/>
        </w:rPr>
        <w:t xml:space="preserve"> Toyin Joy Abolaji</w:t>
      </w:r>
      <w:r w:rsidR="00146957" w:rsidRPr="00146957">
        <w:rPr>
          <w:rFonts w:ascii="Times New Roman" w:hAnsi="Times New Roman" w:cs="Times New Roman"/>
          <w:b/>
          <w:sz w:val="24"/>
          <w:szCs w:val="24"/>
          <w:vertAlign w:val="superscript"/>
          <w:lang w:val="en-GB"/>
        </w:rPr>
        <w:t>7</w:t>
      </w:r>
      <w:r>
        <w:rPr>
          <w:rFonts w:ascii="Times New Roman" w:hAnsi="Times New Roman" w:cs="Times New Roman"/>
          <w:b/>
          <w:sz w:val="24"/>
          <w:szCs w:val="24"/>
          <w:lang w:val="en-GB"/>
        </w:rPr>
        <w:t xml:space="preserve"> Michael Olaitan Boboye</w:t>
      </w:r>
      <w:r w:rsidR="00146957">
        <w:rPr>
          <w:rFonts w:ascii="Times New Roman" w:hAnsi="Times New Roman" w:cs="Times New Roman"/>
          <w:b/>
          <w:sz w:val="24"/>
          <w:szCs w:val="24"/>
          <w:vertAlign w:val="superscript"/>
          <w:lang w:val="en-GB"/>
        </w:rPr>
        <w:t>8</w:t>
      </w:r>
    </w:p>
    <w:p w:rsidR="00173635" w:rsidRDefault="00173635" w:rsidP="00C7698F">
      <w:pPr>
        <w:tabs>
          <w:tab w:val="left" w:pos="8460"/>
        </w:tabs>
        <w:spacing w:line="240" w:lineRule="auto"/>
        <w:ind w:left="90" w:right="720"/>
        <w:jc w:val="center"/>
        <w:rPr>
          <w:rFonts w:ascii="Times New Roman" w:hAnsi="Times New Roman" w:cs="Times New Roman"/>
          <w:b/>
          <w:sz w:val="24"/>
          <w:szCs w:val="24"/>
          <w:vertAlign w:val="superscript"/>
          <w:lang w:val="en-GB"/>
        </w:rPr>
      </w:pPr>
    </w:p>
    <w:p w:rsidR="00A60370" w:rsidRPr="00173635" w:rsidRDefault="00A60370" w:rsidP="00A60370">
      <w:pPr>
        <w:spacing w:after="20" w:line="237" w:lineRule="auto"/>
        <w:ind w:left="423"/>
        <w:jc w:val="center"/>
        <w:rPr>
          <w:rFonts w:ascii="Times New Roman" w:hAnsi="Times New Roman" w:cs="Times New Roman"/>
          <w:sz w:val="20"/>
          <w:szCs w:val="20"/>
        </w:rPr>
      </w:pPr>
      <w:r w:rsidRPr="00173635">
        <w:rPr>
          <w:rFonts w:ascii="Times New Roman" w:hAnsi="Times New Roman" w:cs="Times New Roman"/>
          <w:sz w:val="20"/>
          <w:szCs w:val="20"/>
          <w:vertAlign w:val="superscript"/>
        </w:rPr>
        <w:t>1</w:t>
      </w:r>
      <w:r w:rsidRPr="00173635">
        <w:rPr>
          <w:rFonts w:ascii="Times New Roman" w:hAnsi="Times New Roman" w:cs="Times New Roman"/>
          <w:sz w:val="20"/>
          <w:szCs w:val="20"/>
        </w:rPr>
        <w:t>Africa Centre of Excellence for Innovative and Transformative STEM Education, Lagos State University, Ojo, Nigeria</w:t>
      </w:r>
    </w:p>
    <w:p w:rsidR="004A0E06" w:rsidRPr="00173635" w:rsidRDefault="00A60370" w:rsidP="00C7698F">
      <w:pPr>
        <w:spacing w:after="20" w:line="237" w:lineRule="auto"/>
        <w:ind w:firstLine="423"/>
        <w:jc w:val="center"/>
        <w:rPr>
          <w:rFonts w:ascii="Times New Roman" w:hAnsi="Times New Roman" w:cs="Times New Roman"/>
          <w:sz w:val="20"/>
          <w:szCs w:val="20"/>
        </w:rPr>
      </w:pPr>
      <w:r w:rsidRPr="00173635">
        <w:rPr>
          <w:rFonts w:ascii="Times New Roman" w:hAnsi="Times New Roman" w:cs="Times New Roman"/>
          <w:sz w:val="20"/>
          <w:szCs w:val="20"/>
          <w:vertAlign w:val="superscript"/>
        </w:rPr>
        <w:t>2,3</w:t>
      </w:r>
      <w:r w:rsidR="00C7698F" w:rsidRPr="00173635">
        <w:rPr>
          <w:rFonts w:ascii="Times New Roman" w:hAnsi="Times New Roman" w:cs="Times New Roman"/>
          <w:sz w:val="20"/>
          <w:szCs w:val="20"/>
          <w:vertAlign w:val="superscript"/>
        </w:rPr>
        <w:t>,4</w:t>
      </w:r>
      <w:r w:rsidRPr="00173635">
        <w:rPr>
          <w:rFonts w:ascii="Times New Roman" w:hAnsi="Times New Roman" w:cs="Times New Roman"/>
          <w:sz w:val="20"/>
          <w:szCs w:val="20"/>
          <w:vertAlign w:val="superscript"/>
        </w:rPr>
        <w:t>,7</w:t>
      </w:r>
      <w:r w:rsidR="00146957" w:rsidRPr="00173635">
        <w:rPr>
          <w:rFonts w:ascii="Times New Roman" w:hAnsi="Times New Roman" w:cs="Times New Roman"/>
          <w:sz w:val="20"/>
          <w:szCs w:val="20"/>
          <w:vertAlign w:val="superscript"/>
        </w:rPr>
        <w:t>,8</w:t>
      </w:r>
      <w:r w:rsidR="00C7698F" w:rsidRPr="00173635">
        <w:rPr>
          <w:rFonts w:ascii="Times New Roman" w:hAnsi="Times New Roman" w:cs="Times New Roman"/>
          <w:sz w:val="20"/>
          <w:szCs w:val="20"/>
        </w:rPr>
        <w:t>Department of Science and Technology Education, Lagos State University, Ojo, Nigeria</w:t>
      </w:r>
    </w:p>
    <w:p w:rsidR="00C7698F" w:rsidRPr="00173635" w:rsidRDefault="00C7698F" w:rsidP="00C7698F">
      <w:pPr>
        <w:spacing w:after="20" w:line="237" w:lineRule="auto"/>
        <w:ind w:left="423"/>
        <w:jc w:val="center"/>
        <w:rPr>
          <w:rFonts w:ascii="Times New Roman" w:hAnsi="Times New Roman" w:cs="Times New Roman"/>
          <w:sz w:val="20"/>
          <w:szCs w:val="20"/>
        </w:rPr>
      </w:pPr>
      <w:r w:rsidRPr="00173635">
        <w:rPr>
          <w:rFonts w:ascii="Times New Roman" w:hAnsi="Times New Roman" w:cs="Times New Roman"/>
          <w:sz w:val="20"/>
          <w:szCs w:val="20"/>
          <w:vertAlign w:val="superscript"/>
        </w:rPr>
        <w:t>5</w:t>
      </w:r>
      <w:r w:rsidR="007F364C" w:rsidRPr="00173635">
        <w:rPr>
          <w:rFonts w:ascii="Times New Roman" w:hAnsi="Times New Roman" w:cs="Times New Roman"/>
          <w:sz w:val="20"/>
          <w:szCs w:val="20"/>
          <w:vertAlign w:val="superscript"/>
        </w:rPr>
        <w:t>,6</w:t>
      </w:r>
      <w:r w:rsidR="00146957" w:rsidRPr="00173635">
        <w:rPr>
          <w:rFonts w:ascii="Times New Roman" w:hAnsi="Times New Roman" w:cs="Times New Roman"/>
          <w:sz w:val="20"/>
          <w:szCs w:val="20"/>
          <w:vertAlign w:val="superscript"/>
        </w:rPr>
        <w:t>,7</w:t>
      </w:r>
      <w:r w:rsidRPr="00173635">
        <w:rPr>
          <w:rFonts w:ascii="Times New Roman" w:hAnsi="Times New Roman" w:cs="Times New Roman"/>
          <w:sz w:val="20"/>
          <w:szCs w:val="20"/>
        </w:rPr>
        <w:t>Natural science department, College of science education, Lagos State University of education</w:t>
      </w:r>
    </w:p>
    <w:p w:rsidR="00C7698F" w:rsidRDefault="00C7698F" w:rsidP="00C7698F">
      <w:pPr>
        <w:spacing w:after="20" w:line="237" w:lineRule="auto"/>
        <w:ind w:left="423"/>
      </w:pPr>
    </w:p>
    <w:p w:rsidR="00C7698F" w:rsidRDefault="00C7698F" w:rsidP="00C7698F">
      <w:pPr>
        <w:spacing w:after="0" w:line="240" w:lineRule="auto"/>
        <w:ind w:left="1149"/>
      </w:pPr>
      <w:r>
        <w:rPr>
          <w:rFonts w:ascii="Times New Roman" w:eastAsia="Times New Roman" w:hAnsi="Times New Roman" w:cs="Times New Roman"/>
          <w:i/>
          <w:sz w:val="10"/>
        </w:rPr>
        <w:t xml:space="preserve"> </w:t>
      </w:r>
    </w:p>
    <w:p w:rsidR="004A0E06" w:rsidRPr="00C559A8" w:rsidRDefault="004A0E06" w:rsidP="00021251">
      <w:pPr>
        <w:tabs>
          <w:tab w:val="left" w:pos="8460"/>
        </w:tabs>
        <w:spacing w:line="240" w:lineRule="auto"/>
        <w:ind w:left="90" w:right="720"/>
        <w:jc w:val="center"/>
        <w:rPr>
          <w:rFonts w:ascii="Times New Roman" w:hAnsi="Times New Roman" w:cs="Times New Roman"/>
          <w:b/>
          <w:sz w:val="24"/>
          <w:szCs w:val="24"/>
          <w:lang w:val="en-GB"/>
        </w:rPr>
      </w:pPr>
    </w:p>
    <w:p w:rsidR="00A476D0" w:rsidRPr="000F0E01" w:rsidRDefault="00A476D0" w:rsidP="00021251">
      <w:pPr>
        <w:pStyle w:val="Heading3"/>
        <w:ind w:left="90" w:firstLine="0"/>
        <w:rPr>
          <w:sz w:val="22"/>
          <w:szCs w:val="22"/>
        </w:rPr>
      </w:pPr>
      <w:r w:rsidRPr="000F0E01">
        <w:rPr>
          <w:sz w:val="22"/>
          <w:szCs w:val="22"/>
        </w:rPr>
        <w:t>Abstract</w:t>
      </w:r>
    </w:p>
    <w:p w:rsidR="00D762C3" w:rsidRPr="000F0E01" w:rsidRDefault="00ED6963" w:rsidP="007F364C">
      <w:pPr>
        <w:pStyle w:val="NormalWeb"/>
        <w:tabs>
          <w:tab w:val="left" w:pos="8460"/>
        </w:tabs>
        <w:ind w:left="90" w:right="720"/>
        <w:jc w:val="both"/>
        <w:rPr>
          <w:sz w:val="22"/>
          <w:szCs w:val="22"/>
        </w:rPr>
      </w:pPr>
      <w:r>
        <w:rPr>
          <w:sz w:val="22"/>
          <w:szCs w:val="22"/>
        </w:rPr>
        <w:t>This study addressed</w:t>
      </w:r>
      <w:r w:rsidR="00BC0947" w:rsidRPr="000F0E01">
        <w:rPr>
          <w:sz w:val="22"/>
          <w:szCs w:val="22"/>
        </w:rPr>
        <w:t xml:space="preserve"> the need to rec</w:t>
      </w:r>
      <w:r w:rsidR="00416EF8">
        <w:rPr>
          <w:sz w:val="22"/>
          <w:szCs w:val="22"/>
        </w:rPr>
        <w:t>onceptualize science in Nigerian classrooms</w:t>
      </w:r>
      <w:r w:rsidR="00BC0947" w:rsidRPr="000F0E01">
        <w:rPr>
          <w:sz w:val="22"/>
          <w:szCs w:val="22"/>
        </w:rPr>
        <w:t>, given the reliance on decontextualized teaching methods and textbook content that hinder the development of process sk</w:t>
      </w:r>
      <w:r>
        <w:rPr>
          <w:sz w:val="22"/>
          <w:szCs w:val="22"/>
        </w:rPr>
        <w:t>ills in biology. It investigated</w:t>
      </w:r>
      <w:r w:rsidR="00BC0947" w:rsidRPr="000F0E01">
        <w:rPr>
          <w:sz w:val="22"/>
          <w:szCs w:val="22"/>
        </w:rPr>
        <w:t xml:space="preserve"> </w:t>
      </w:r>
      <w:r w:rsidR="00A476D0" w:rsidRPr="000F0E01">
        <w:rPr>
          <w:sz w:val="22"/>
          <w:szCs w:val="22"/>
        </w:rPr>
        <w:t xml:space="preserve">the </w:t>
      </w:r>
      <w:r w:rsidR="00BC0947" w:rsidRPr="000F0E01">
        <w:rPr>
          <w:sz w:val="22"/>
          <w:szCs w:val="22"/>
        </w:rPr>
        <w:t xml:space="preserve">potency of </w:t>
      </w:r>
      <w:r w:rsidR="00A476D0" w:rsidRPr="000F0E01">
        <w:rPr>
          <w:sz w:val="22"/>
          <w:szCs w:val="22"/>
        </w:rPr>
        <w:t>Culturo-Techno-Contextual Approach 2.0 (CT</w:t>
      </w:r>
      <w:r w:rsidR="00A968C3" w:rsidRPr="000F0E01">
        <w:rPr>
          <w:sz w:val="22"/>
          <w:szCs w:val="22"/>
        </w:rPr>
        <w:t xml:space="preserve">CA 2.0) </w:t>
      </w:r>
      <w:r w:rsidR="00BC0947" w:rsidRPr="000F0E01">
        <w:rPr>
          <w:sz w:val="22"/>
          <w:szCs w:val="22"/>
        </w:rPr>
        <w:t xml:space="preserve">in enhancing </w:t>
      </w:r>
      <w:r w:rsidR="00A476D0" w:rsidRPr="000F0E01">
        <w:rPr>
          <w:sz w:val="22"/>
          <w:szCs w:val="22"/>
        </w:rPr>
        <w:t>p</w:t>
      </w:r>
      <w:r w:rsidR="00B3347D" w:rsidRPr="000F0E01">
        <w:rPr>
          <w:sz w:val="22"/>
          <w:szCs w:val="22"/>
        </w:rPr>
        <w:t>rocess skills</w:t>
      </w:r>
      <w:r w:rsidR="00BC0947" w:rsidRPr="000F0E01">
        <w:rPr>
          <w:sz w:val="22"/>
          <w:szCs w:val="22"/>
        </w:rPr>
        <w:t xml:space="preserve"> acquisition</w:t>
      </w:r>
      <w:r w:rsidR="00A968C3" w:rsidRPr="000F0E01">
        <w:rPr>
          <w:sz w:val="22"/>
          <w:szCs w:val="22"/>
        </w:rPr>
        <w:t xml:space="preserve"> in biology</w:t>
      </w:r>
      <w:r w:rsidR="00FF5322" w:rsidRPr="000F0E01">
        <w:rPr>
          <w:sz w:val="22"/>
          <w:szCs w:val="22"/>
        </w:rPr>
        <w:t xml:space="preserve">. </w:t>
      </w:r>
      <w:r w:rsidR="00B3347D" w:rsidRPr="000F0E01">
        <w:rPr>
          <w:sz w:val="22"/>
          <w:szCs w:val="22"/>
        </w:rPr>
        <w:t xml:space="preserve">A non-randomized pre-test, post-test quasi-experimental design with a 2x2 factorial matrix was used, involving 227 senior secondary </w:t>
      </w:r>
      <w:r w:rsidR="0083179A" w:rsidRPr="000F0E01">
        <w:rPr>
          <w:sz w:val="22"/>
          <w:szCs w:val="22"/>
        </w:rPr>
        <w:t>II students from two randomly</w:t>
      </w:r>
      <w:r w:rsidR="00B3347D" w:rsidRPr="000F0E01">
        <w:rPr>
          <w:sz w:val="22"/>
          <w:szCs w:val="22"/>
        </w:rPr>
        <w:t xml:space="preserve"> selected secondary schools using two intact classes in Education District I, Lagos State, Nigeria. The experimental group (113 students) received CTCA 2.0 instruction, while the control group (114 students) was taught using the conventional lecture method over five weeks. Data collected through </w:t>
      </w:r>
      <w:r w:rsidR="00A476D0" w:rsidRPr="000F0E01">
        <w:rPr>
          <w:sz w:val="22"/>
          <w:szCs w:val="22"/>
        </w:rPr>
        <w:t>the Biology Process Skill</w:t>
      </w:r>
      <w:r w:rsidR="00B3347D" w:rsidRPr="000F0E01">
        <w:rPr>
          <w:sz w:val="22"/>
          <w:szCs w:val="22"/>
        </w:rPr>
        <w:t>s Acquisition Test (BPSAT</w:t>
      </w:r>
      <w:r w:rsidR="00A968C3" w:rsidRPr="000F0E01">
        <w:rPr>
          <w:sz w:val="22"/>
          <w:szCs w:val="22"/>
        </w:rPr>
        <w:t xml:space="preserve">) and </w:t>
      </w:r>
      <w:r w:rsidR="00A476D0" w:rsidRPr="000F0E01">
        <w:rPr>
          <w:sz w:val="22"/>
          <w:szCs w:val="22"/>
        </w:rPr>
        <w:t xml:space="preserve">Process Skills Observation </w:t>
      </w:r>
      <w:r w:rsidR="00D762C3" w:rsidRPr="000F0E01">
        <w:rPr>
          <w:sz w:val="22"/>
          <w:szCs w:val="22"/>
        </w:rPr>
        <w:t xml:space="preserve">Checklist (PSOC) </w:t>
      </w:r>
      <w:r w:rsidR="00A476D0" w:rsidRPr="000F0E01">
        <w:rPr>
          <w:sz w:val="22"/>
          <w:szCs w:val="22"/>
        </w:rPr>
        <w:t>[BPSAT = 0</w:t>
      </w:r>
      <w:r w:rsidR="00D762C3" w:rsidRPr="000F0E01">
        <w:rPr>
          <w:sz w:val="22"/>
          <w:szCs w:val="22"/>
        </w:rPr>
        <w:t>.81; PSOC = 0.80</w:t>
      </w:r>
      <w:r w:rsidR="00B3347D" w:rsidRPr="000F0E01">
        <w:rPr>
          <w:sz w:val="22"/>
          <w:szCs w:val="22"/>
        </w:rPr>
        <w:t xml:space="preserve">] were analyzed with </w:t>
      </w:r>
      <w:r w:rsidR="00D762C3" w:rsidRPr="000F0E01">
        <w:rPr>
          <w:sz w:val="22"/>
          <w:szCs w:val="22"/>
        </w:rPr>
        <w:t xml:space="preserve">mean, standard deviation and </w:t>
      </w:r>
      <w:r w:rsidR="00A476D0" w:rsidRPr="000F0E01">
        <w:rPr>
          <w:sz w:val="22"/>
          <w:szCs w:val="22"/>
        </w:rPr>
        <w:t>ANCOVA. Findings revealed that CTCA 2.0 significantly improved process skills acquisition</w:t>
      </w:r>
      <w:r w:rsidR="00B3347D" w:rsidRPr="000F0E01">
        <w:rPr>
          <w:sz w:val="22"/>
          <w:szCs w:val="22"/>
        </w:rPr>
        <w:t xml:space="preserve"> compared to the control group</w:t>
      </w:r>
      <w:r w:rsidR="00A476D0" w:rsidRPr="000F0E01">
        <w:rPr>
          <w:sz w:val="22"/>
          <w:szCs w:val="22"/>
        </w:rPr>
        <w:t xml:space="preserve"> [F(1,224) = 60.05, p</w:t>
      </w:r>
      <w:r w:rsidR="004613D1" w:rsidRPr="000F0E01">
        <w:rPr>
          <w:sz w:val="22"/>
          <w:szCs w:val="22"/>
        </w:rPr>
        <w:t xml:space="preserve"> &lt; .05], s</w:t>
      </w:r>
      <w:r w:rsidR="007B5AE7" w:rsidRPr="000F0E01">
        <w:rPr>
          <w:sz w:val="22"/>
          <w:szCs w:val="22"/>
        </w:rPr>
        <w:t xml:space="preserve">tudents mostly </w:t>
      </w:r>
      <w:r w:rsidR="00A476D0" w:rsidRPr="000F0E01">
        <w:rPr>
          <w:sz w:val="22"/>
          <w:szCs w:val="22"/>
        </w:rPr>
        <w:t>developed inferring, communicating, observing, and classifying skills.</w:t>
      </w:r>
      <w:r w:rsidR="00D762C3" w:rsidRPr="000F0E01">
        <w:rPr>
          <w:sz w:val="22"/>
          <w:szCs w:val="22"/>
        </w:rPr>
        <w:t xml:space="preserve"> Therefore </w:t>
      </w:r>
      <w:r w:rsidR="007B5AE7" w:rsidRPr="000F0E01">
        <w:rPr>
          <w:sz w:val="22"/>
          <w:szCs w:val="22"/>
        </w:rPr>
        <w:t xml:space="preserve">the </w:t>
      </w:r>
      <w:r w:rsidR="00A476D0" w:rsidRPr="000F0E01">
        <w:rPr>
          <w:sz w:val="22"/>
          <w:szCs w:val="22"/>
        </w:rPr>
        <w:t>study con</w:t>
      </w:r>
      <w:r w:rsidR="00146957">
        <w:rPr>
          <w:sz w:val="22"/>
          <w:szCs w:val="22"/>
        </w:rPr>
        <w:t>cluded</w:t>
      </w:r>
      <w:r w:rsidR="007B5AE7" w:rsidRPr="000F0E01">
        <w:rPr>
          <w:sz w:val="22"/>
          <w:szCs w:val="22"/>
        </w:rPr>
        <w:t xml:space="preserve"> that CTCA 2.0 enhances</w:t>
      </w:r>
      <w:r w:rsidR="00A476D0" w:rsidRPr="000F0E01">
        <w:rPr>
          <w:sz w:val="22"/>
          <w:szCs w:val="22"/>
        </w:rPr>
        <w:t xml:space="preserve"> proces</w:t>
      </w:r>
      <w:r w:rsidR="00A21CF3" w:rsidRPr="000F0E01">
        <w:rPr>
          <w:sz w:val="22"/>
          <w:szCs w:val="22"/>
        </w:rPr>
        <w:t xml:space="preserve">s skills development in biology </w:t>
      </w:r>
      <w:r w:rsidR="00146957">
        <w:rPr>
          <w:sz w:val="22"/>
          <w:szCs w:val="22"/>
        </w:rPr>
        <w:t>and recommended</w:t>
      </w:r>
      <w:r w:rsidR="00A476D0" w:rsidRPr="000F0E01">
        <w:rPr>
          <w:sz w:val="22"/>
          <w:szCs w:val="22"/>
        </w:rPr>
        <w:t xml:space="preserve"> its adoption</w:t>
      </w:r>
      <w:r w:rsidR="00B3347D" w:rsidRPr="000F0E01">
        <w:rPr>
          <w:sz w:val="22"/>
          <w:szCs w:val="22"/>
        </w:rPr>
        <w:t xml:space="preserve"> to </w:t>
      </w:r>
      <w:r w:rsidR="009468D3" w:rsidRPr="000F0E01">
        <w:rPr>
          <w:sz w:val="22"/>
          <w:szCs w:val="22"/>
        </w:rPr>
        <w:t xml:space="preserve">promote process skills competence in </w:t>
      </w:r>
      <w:r w:rsidR="00A476D0" w:rsidRPr="000F0E01">
        <w:rPr>
          <w:sz w:val="22"/>
          <w:szCs w:val="22"/>
        </w:rPr>
        <w:t>senior secondary schools</w:t>
      </w:r>
      <w:r w:rsidR="00146957">
        <w:rPr>
          <w:sz w:val="22"/>
          <w:szCs w:val="22"/>
        </w:rPr>
        <w:t xml:space="preserve"> in Lagos State, Nigeria</w:t>
      </w:r>
      <w:r w:rsidR="00A476D0" w:rsidRPr="000F0E01">
        <w:rPr>
          <w:sz w:val="22"/>
          <w:szCs w:val="22"/>
        </w:rPr>
        <w:t>.</w:t>
      </w:r>
    </w:p>
    <w:p w:rsidR="00A476D0" w:rsidRPr="000F0E01" w:rsidRDefault="00A476D0" w:rsidP="00021251">
      <w:pPr>
        <w:pStyle w:val="NormalWeb"/>
        <w:tabs>
          <w:tab w:val="left" w:pos="8460"/>
        </w:tabs>
        <w:ind w:left="90" w:right="720"/>
        <w:jc w:val="both"/>
        <w:rPr>
          <w:sz w:val="22"/>
          <w:szCs w:val="22"/>
        </w:rPr>
      </w:pPr>
      <w:r w:rsidRPr="000F0E01">
        <w:rPr>
          <w:rStyle w:val="Strong"/>
          <w:sz w:val="22"/>
          <w:szCs w:val="22"/>
        </w:rPr>
        <w:t>Key Words:</w:t>
      </w:r>
      <w:r w:rsidRPr="000F0E01">
        <w:rPr>
          <w:sz w:val="22"/>
          <w:szCs w:val="22"/>
        </w:rPr>
        <w:t xml:space="preserve"> </w:t>
      </w:r>
      <w:r w:rsidR="00CF4560" w:rsidRPr="000F0E01">
        <w:rPr>
          <w:sz w:val="22"/>
          <w:szCs w:val="22"/>
        </w:rPr>
        <w:t xml:space="preserve">Biology, </w:t>
      </w:r>
      <w:r w:rsidRPr="000F0E01">
        <w:rPr>
          <w:sz w:val="22"/>
          <w:szCs w:val="22"/>
        </w:rPr>
        <w:t>Culturally Relevant Pedagogy, Culturo-Techno-Contextual Approach 2.0, Digestive System, P</w:t>
      </w:r>
      <w:r w:rsidR="00CF4560" w:rsidRPr="000F0E01">
        <w:rPr>
          <w:sz w:val="22"/>
          <w:szCs w:val="22"/>
        </w:rPr>
        <w:t>rocess Skills</w:t>
      </w:r>
    </w:p>
    <w:p w:rsidR="00A476D0" w:rsidRPr="000F0E01" w:rsidRDefault="003E24A3" w:rsidP="00021251">
      <w:pPr>
        <w:pStyle w:val="Heading3"/>
        <w:ind w:left="90" w:firstLine="0"/>
        <w:jc w:val="left"/>
        <w:rPr>
          <w:sz w:val="22"/>
          <w:szCs w:val="22"/>
        </w:rPr>
      </w:pPr>
      <w:r w:rsidRPr="000F0E01">
        <w:rPr>
          <w:sz w:val="22"/>
          <w:szCs w:val="22"/>
        </w:rPr>
        <w:t>1.     I</w:t>
      </w:r>
      <w:r w:rsidR="00A476D0" w:rsidRPr="000F0E01">
        <w:rPr>
          <w:sz w:val="22"/>
          <w:szCs w:val="22"/>
        </w:rPr>
        <w:t>ntroduction</w:t>
      </w:r>
    </w:p>
    <w:p w:rsidR="00ED69B9" w:rsidRPr="000F0E01" w:rsidRDefault="00ED69B9" w:rsidP="00ED69B9">
      <w:pPr>
        <w:spacing w:before="100" w:beforeAutospacing="1" w:after="100" w:afterAutospacing="1" w:line="240" w:lineRule="auto"/>
        <w:ind w:left="90" w:right="540"/>
        <w:jc w:val="both"/>
        <w:rPr>
          <w:rFonts w:ascii="Times New Roman" w:eastAsia="Times New Roman" w:hAnsi="Times New Roman" w:cs="Times New Roman"/>
        </w:rPr>
      </w:pPr>
      <w:bookmarkStart w:id="6" w:name="_Hlk113947452"/>
      <w:bookmarkStart w:id="7" w:name="_Toc527106507"/>
      <w:bookmarkEnd w:id="0"/>
      <w:bookmarkEnd w:id="1"/>
      <w:bookmarkEnd w:id="2"/>
      <w:bookmarkEnd w:id="3"/>
      <w:r w:rsidRPr="000F0E01">
        <w:rPr>
          <w:rFonts w:ascii="Times New Roman" w:eastAsia="Times New Roman" w:hAnsi="Times New Roman" w:cs="Times New Roman"/>
        </w:rPr>
        <w:t>Sci</w:t>
      </w:r>
      <w:r w:rsidR="00EC3F93" w:rsidRPr="000F0E01">
        <w:rPr>
          <w:rFonts w:ascii="Times New Roman" w:eastAsia="Times New Roman" w:hAnsi="Times New Roman" w:cs="Times New Roman"/>
        </w:rPr>
        <w:t xml:space="preserve">ence instruction in Africa, has long relied on Eurocentric, </w:t>
      </w:r>
      <w:r w:rsidR="00DF3535" w:rsidRPr="000F0E01">
        <w:rPr>
          <w:rFonts w:ascii="Times New Roman" w:eastAsia="Times New Roman" w:hAnsi="Times New Roman" w:cs="Times New Roman"/>
        </w:rPr>
        <w:t xml:space="preserve">decontextualized, </w:t>
      </w:r>
      <w:r w:rsidRPr="000F0E01">
        <w:rPr>
          <w:rFonts w:ascii="Times New Roman" w:eastAsia="Times New Roman" w:hAnsi="Times New Roman" w:cs="Times New Roman"/>
        </w:rPr>
        <w:t xml:space="preserve">teacher-centered pedagogy, which often leaves </w:t>
      </w:r>
      <w:r w:rsidR="00EC3F93" w:rsidRPr="000F0E01">
        <w:rPr>
          <w:rFonts w:ascii="Times New Roman" w:eastAsia="Times New Roman" w:hAnsi="Times New Roman" w:cs="Times New Roman"/>
        </w:rPr>
        <w:t xml:space="preserve">many </w:t>
      </w:r>
      <w:r w:rsidRPr="000F0E01">
        <w:rPr>
          <w:rFonts w:ascii="Times New Roman" w:eastAsia="Times New Roman" w:hAnsi="Times New Roman" w:cs="Times New Roman"/>
        </w:rPr>
        <w:t>secondary school biology students ill-prepared to app</w:t>
      </w:r>
      <w:r w:rsidR="00DF3535" w:rsidRPr="000F0E01">
        <w:rPr>
          <w:rFonts w:ascii="Times New Roman" w:eastAsia="Times New Roman" w:hAnsi="Times New Roman" w:cs="Times New Roman"/>
        </w:rPr>
        <w:t>ly knowledge acquired in the classroom in different context</w:t>
      </w:r>
      <w:r w:rsidR="007F364C">
        <w:rPr>
          <w:rFonts w:ascii="Times New Roman" w:eastAsia="Times New Roman" w:hAnsi="Times New Roman" w:cs="Times New Roman"/>
        </w:rPr>
        <w:t xml:space="preserve"> (</w:t>
      </w:r>
      <w:r w:rsidR="00EC3F93" w:rsidRPr="000F0E01">
        <w:rPr>
          <w:rFonts w:ascii="Times New Roman" w:eastAsia="Times New Roman" w:hAnsi="Times New Roman" w:cs="Times New Roman"/>
        </w:rPr>
        <w:t xml:space="preserve">Okebukola et al., </w:t>
      </w:r>
      <w:r w:rsidRPr="000F0E01">
        <w:rPr>
          <w:rFonts w:ascii="Times New Roman" w:eastAsia="Times New Roman" w:hAnsi="Times New Roman" w:cs="Times New Roman"/>
        </w:rPr>
        <w:t xml:space="preserve">2016). With Nigeria’s </w:t>
      </w:r>
      <w:r w:rsidRPr="000F0E01">
        <w:rPr>
          <w:rFonts w:ascii="Times New Roman" w:eastAsia="Times New Roman" w:hAnsi="Times New Roman" w:cs="Times New Roman"/>
        </w:rPr>
        <w:lastRenderedPageBreak/>
        <w:t>formal adoption of the Sustainable Development Goals in 2015, especially SDG 4: Q</w:t>
      </w:r>
      <w:r w:rsidR="00EC3F93" w:rsidRPr="000F0E01">
        <w:rPr>
          <w:rFonts w:ascii="Times New Roman" w:eastAsia="Times New Roman" w:hAnsi="Times New Roman" w:cs="Times New Roman"/>
        </w:rPr>
        <w:t xml:space="preserve">uality Education, there is an effort towards </w:t>
      </w:r>
      <w:r w:rsidRPr="000F0E01">
        <w:rPr>
          <w:rFonts w:ascii="Times New Roman" w:eastAsia="Times New Roman" w:hAnsi="Times New Roman" w:cs="Times New Roman"/>
        </w:rPr>
        <w:t>transform</w:t>
      </w:r>
      <w:r w:rsidR="00EC3F93" w:rsidRPr="000F0E01">
        <w:rPr>
          <w:rFonts w:ascii="Times New Roman" w:eastAsia="Times New Roman" w:hAnsi="Times New Roman" w:cs="Times New Roman"/>
        </w:rPr>
        <w:t>ing the</w:t>
      </w:r>
      <w:r w:rsidRPr="000F0E01">
        <w:rPr>
          <w:rFonts w:ascii="Times New Roman" w:eastAsia="Times New Roman" w:hAnsi="Times New Roman" w:cs="Times New Roman"/>
        </w:rPr>
        <w:t xml:space="preserve"> biology curriculum into a more inclusive and inquiry-driven </w:t>
      </w:r>
      <w:r w:rsidR="007F364C">
        <w:rPr>
          <w:rFonts w:ascii="Times New Roman" w:eastAsia="Times New Roman" w:hAnsi="Times New Roman" w:cs="Times New Roman"/>
        </w:rPr>
        <w:t>framework (United Nations, 2015</w:t>
      </w:r>
      <w:r w:rsidR="00EC3F93" w:rsidRPr="000F0E01">
        <w:rPr>
          <w:rFonts w:ascii="Times New Roman" w:eastAsia="Times New Roman" w:hAnsi="Times New Roman" w:cs="Times New Roman"/>
        </w:rPr>
        <w:t xml:space="preserve">). previous studies </w:t>
      </w:r>
      <w:r w:rsidRPr="000F0E01">
        <w:rPr>
          <w:rFonts w:ascii="Times New Roman" w:eastAsia="Times New Roman" w:hAnsi="Times New Roman" w:cs="Times New Roman"/>
        </w:rPr>
        <w:t xml:space="preserve"> emphasize that culturally relevant pedagog</w:t>
      </w:r>
      <w:r w:rsidR="00EC3F93" w:rsidRPr="000F0E01">
        <w:rPr>
          <w:rFonts w:ascii="Times New Roman" w:eastAsia="Times New Roman" w:hAnsi="Times New Roman" w:cs="Times New Roman"/>
        </w:rPr>
        <w:t>y, anchored in local contexts can empower biology students</w:t>
      </w:r>
      <w:r w:rsidRPr="000F0E01">
        <w:rPr>
          <w:rFonts w:ascii="Times New Roman" w:eastAsia="Times New Roman" w:hAnsi="Times New Roman" w:cs="Times New Roman"/>
        </w:rPr>
        <w:t xml:space="preserve"> to actively construct knowledge and connect cla</w:t>
      </w:r>
      <w:r w:rsidR="00EC3F93" w:rsidRPr="000F0E01">
        <w:rPr>
          <w:rFonts w:ascii="Times New Roman" w:eastAsia="Times New Roman" w:hAnsi="Times New Roman" w:cs="Times New Roman"/>
        </w:rPr>
        <w:t>ssroom concepts to what happens around them</w:t>
      </w:r>
      <w:r w:rsidRPr="000F0E01">
        <w:rPr>
          <w:rFonts w:ascii="Times New Roman" w:eastAsia="Times New Roman" w:hAnsi="Times New Roman" w:cs="Times New Roman"/>
        </w:rPr>
        <w:t xml:space="preserve"> (Adam,</w:t>
      </w:r>
      <w:r w:rsidR="00EC3F93" w:rsidRPr="000F0E01">
        <w:rPr>
          <w:rFonts w:ascii="Times New Roman" w:eastAsia="Times New Roman" w:hAnsi="Times New Roman" w:cs="Times New Roman"/>
        </w:rPr>
        <w:t xml:space="preserve"> et al., </w:t>
      </w:r>
      <w:r w:rsidRPr="000F0E01">
        <w:rPr>
          <w:rFonts w:ascii="Times New Roman" w:eastAsia="Times New Roman" w:hAnsi="Times New Roman" w:cs="Times New Roman"/>
        </w:rPr>
        <w:t>2019; Ige</w:t>
      </w:r>
      <w:r w:rsidR="00EC3F93" w:rsidRPr="000F0E01">
        <w:rPr>
          <w:rFonts w:ascii="Times New Roman" w:eastAsia="Times New Roman" w:hAnsi="Times New Roman" w:cs="Times New Roman"/>
        </w:rPr>
        <w:t xml:space="preserve"> et al.,</w:t>
      </w:r>
      <w:r w:rsidRPr="000F0E01">
        <w:rPr>
          <w:rFonts w:ascii="Times New Roman" w:eastAsia="Times New Roman" w:hAnsi="Times New Roman" w:cs="Times New Roman"/>
        </w:rPr>
        <w:t xml:space="preserve"> 2025). This reconceptualization positi</w:t>
      </w:r>
      <w:r w:rsidR="00EC3F93" w:rsidRPr="000F0E01">
        <w:rPr>
          <w:rFonts w:ascii="Times New Roman" w:eastAsia="Times New Roman" w:hAnsi="Times New Roman" w:cs="Times New Roman"/>
        </w:rPr>
        <w:t xml:space="preserve">ons biology classrooms </w:t>
      </w:r>
      <w:r w:rsidR="00AB60C5" w:rsidRPr="000F0E01">
        <w:rPr>
          <w:rFonts w:ascii="Times New Roman" w:eastAsia="Times New Roman" w:hAnsi="Times New Roman" w:cs="Times New Roman"/>
        </w:rPr>
        <w:t>as</w:t>
      </w:r>
      <w:r w:rsidRPr="000F0E01">
        <w:rPr>
          <w:rFonts w:ascii="Times New Roman" w:eastAsia="Times New Roman" w:hAnsi="Times New Roman" w:cs="Times New Roman"/>
        </w:rPr>
        <w:t xml:space="preserve"> envir</w:t>
      </w:r>
      <w:r w:rsidR="00E91CD9" w:rsidRPr="000F0E01">
        <w:rPr>
          <w:rFonts w:ascii="Times New Roman" w:eastAsia="Times New Roman" w:hAnsi="Times New Roman" w:cs="Times New Roman"/>
        </w:rPr>
        <w:t>onments where students can carry out experiments, collaborate with one another</w:t>
      </w:r>
      <w:r w:rsidRPr="000F0E01">
        <w:rPr>
          <w:rFonts w:ascii="Times New Roman" w:eastAsia="Times New Roman" w:hAnsi="Times New Roman" w:cs="Times New Roman"/>
        </w:rPr>
        <w:t xml:space="preserve">, </w:t>
      </w:r>
      <w:r w:rsidR="00E91CD9" w:rsidRPr="000F0E01">
        <w:rPr>
          <w:rFonts w:ascii="Times New Roman" w:eastAsia="Times New Roman" w:hAnsi="Times New Roman" w:cs="Times New Roman"/>
        </w:rPr>
        <w:t xml:space="preserve">and this aligns the focus of science education </w:t>
      </w:r>
      <w:r w:rsidRPr="000F0E01">
        <w:rPr>
          <w:rFonts w:ascii="Times New Roman" w:eastAsia="Times New Roman" w:hAnsi="Times New Roman" w:cs="Times New Roman"/>
        </w:rPr>
        <w:t>with global deve</w:t>
      </w:r>
      <w:r w:rsidR="00DF3535" w:rsidRPr="000F0E01">
        <w:rPr>
          <w:rFonts w:ascii="Times New Roman" w:eastAsia="Times New Roman" w:hAnsi="Times New Roman" w:cs="Times New Roman"/>
        </w:rPr>
        <w:t>lopment goals (Ayeni &amp; On, 2022</w:t>
      </w:r>
      <w:r w:rsidRPr="000F0E01">
        <w:rPr>
          <w:rFonts w:ascii="Times New Roman" w:eastAsia="Times New Roman" w:hAnsi="Times New Roman" w:cs="Times New Roman"/>
        </w:rPr>
        <w:t>).</w:t>
      </w:r>
    </w:p>
    <w:p w:rsidR="00ED69B9" w:rsidRPr="000F0E01" w:rsidRDefault="00661FBF" w:rsidP="00ED69B9">
      <w:pPr>
        <w:spacing w:before="100" w:beforeAutospacing="1" w:after="100" w:afterAutospacing="1" w:line="240" w:lineRule="auto"/>
        <w:ind w:left="90" w:right="540"/>
        <w:jc w:val="both"/>
        <w:rPr>
          <w:rFonts w:ascii="Times New Roman" w:eastAsia="Times New Roman" w:hAnsi="Times New Roman" w:cs="Times New Roman"/>
        </w:rPr>
      </w:pPr>
      <w:r w:rsidRPr="000F0E01">
        <w:rPr>
          <w:rFonts w:ascii="Times New Roman" w:eastAsia="Times New Roman" w:hAnsi="Times New Roman" w:cs="Times New Roman"/>
        </w:rPr>
        <w:t>Central to this reconceptualization is how the students acquire</w:t>
      </w:r>
      <w:r w:rsidR="00ED69B9" w:rsidRPr="000F0E01">
        <w:rPr>
          <w:rFonts w:ascii="Times New Roman" w:eastAsia="Times New Roman" w:hAnsi="Times New Roman" w:cs="Times New Roman"/>
        </w:rPr>
        <w:t xml:space="preserve"> process skills</w:t>
      </w:r>
      <w:r w:rsidRPr="000F0E01">
        <w:rPr>
          <w:rFonts w:ascii="Times New Roman" w:eastAsia="Times New Roman" w:hAnsi="Times New Roman" w:cs="Times New Roman"/>
        </w:rPr>
        <w:t xml:space="preserve"> in biology</w:t>
      </w:r>
      <w:r w:rsidR="001E1C96" w:rsidRPr="000F0E01">
        <w:rPr>
          <w:rFonts w:ascii="Times New Roman" w:eastAsia="Times New Roman" w:hAnsi="Times New Roman" w:cs="Times New Roman"/>
        </w:rPr>
        <w:t>. Ozgelen (2012) described</w:t>
      </w:r>
      <w:r w:rsidRPr="000F0E01">
        <w:rPr>
          <w:rFonts w:ascii="Times New Roman" w:eastAsia="Times New Roman" w:hAnsi="Times New Roman" w:cs="Times New Roman"/>
        </w:rPr>
        <w:t xml:space="preserve"> process</w:t>
      </w:r>
      <w:r w:rsidR="00ED69B9" w:rsidRPr="000F0E01">
        <w:rPr>
          <w:rFonts w:ascii="Times New Roman" w:eastAsia="Times New Roman" w:hAnsi="Times New Roman" w:cs="Times New Roman"/>
        </w:rPr>
        <w:t xml:space="preserve"> skills as the </w:t>
      </w:r>
      <w:r w:rsidRPr="000F0E01">
        <w:rPr>
          <w:rFonts w:ascii="Times New Roman" w:eastAsia="Times New Roman" w:hAnsi="Times New Roman" w:cs="Times New Roman"/>
        </w:rPr>
        <w:t>intellectual and practical techniques</w:t>
      </w:r>
      <w:r w:rsidR="00ED69B9" w:rsidRPr="000F0E01">
        <w:rPr>
          <w:rFonts w:ascii="Times New Roman" w:eastAsia="Times New Roman" w:hAnsi="Times New Roman" w:cs="Times New Roman"/>
        </w:rPr>
        <w:t xml:space="preserve"> through which students investigate phenomena, generate evidence, and build explanations</w:t>
      </w:r>
      <w:r w:rsidRPr="000F0E01">
        <w:rPr>
          <w:rFonts w:ascii="Times New Roman" w:eastAsia="Times New Roman" w:hAnsi="Times New Roman" w:cs="Times New Roman"/>
        </w:rPr>
        <w:t xml:space="preserve"> about the phenomena. Process skills</w:t>
      </w:r>
      <w:r w:rsidR="00ED69B9" w:rsidRPr="000F0E01">
        <w:rPr>
          <w:rFonts w:ascii="Times New Roman" w:eastAsia="Times New Roman" w:hAnsi="Times New Roman" w:cs="Times New Roman"/>
        </w:rPr>
        <w:t xml:space="preserve"> are typicall</w:t>
      </w:r>
      <w:r w:rsidR="00DF3535" w:rsidRPr="000F0E01">
        <w:rPr>
          <w:rFonts w:ascii="Times New Roman" w:eastAsia="Times New Roman" w:hAnsi="Times New Roman" w:cs="Times New Roman"/>
        </w:rPr>
        <w:t xml:space="preserve">y categorized into </w:t>
      </w:r>
      <w:r w:rsidRPr="000F0E01">
        <w:rPr>
          <w:rFonts w:ascii="Times New Roman" w:eastAsia="Times New Roman" w:hAnsi="Times New Roman" w:cs="Times New Roman"/>
        </w:rPr>
        <w:t xml:space="preserve">Basic Process Skills (BPS) such as </w:t>
      </w:r>
      <w:r w:rsidR="00ED69B9" w:rsidRPr="000F0E01">
        <w:rPr>
          <w:rFonts w:ascii="Times New Roman" w:eastAsia="Times New Roman" w:hAnsi="Times New Roman" w:cs="Times New Roman"/>
        </w:rPr>
        <w:t>observing, classifying, measuring, communica</w:t>
      </w:r>
      <w:r w:rsidR="00DF3535" w:rsidRPr="000F0E01">
        <w:rPr>
          <w:rFonts w:ascii="Times New Roman" w:eastAsia="Times New Roman" w:hAnsi="Times New Roman" w:cs="Times New Roman"/>
        </w:rPr>
        <w:t xml:space="preserve">ting, inferring, and predicting </w:t>
      </w:r>
      <w:r w:rsidR="00ED69B9" w:rsidRPr="000F0E01">
        <w:rPr>
          <w:rFonts w:ascii="Times New Roman" w:eastAsia="Times New Roman" w:hAnsi="Times New Roman" w:cs="Times New Roman"/>
        </w:rPr>
        <w:t xml:space="preserve">and </w:t>
      </w:r>
      <w:r w:rsidRPr="000F0E01">
        <w:rPr>
          <w:rFonts w:ascii="Times New Roman" w:eastAsia="Times New Roman" w:hAnsi="Times New Roman" w:cs="Times New Roman"/>
        </w:rPr>
        <w:t xml:space="preserve">Integrated Process Skills (IPS) </w:t>
      </w:r>
      <w:r w:rsidR="00ED69B9" w:rsidRPr="000F0E01">
        <w:rPr>
          <w:rFonts w:ascii="Times New Roman" w:eastAsia="Times New Roman" w:hAnsi="Times New Roman" w:cs="Times New Roman"/>
        </w:rPr>
        <w:t>such as interpreting data, experimenting, hypothesizing, and creating models (Alelaiwi, 2022; Pakom</w:t>
      </w:r>
      <w:r w:rsidRPr="000F0E01">
        <w:rPr>
          <w:rFonts w:ascii="Times New Roman" w:eastAsia="Times New Roman" w:hAnsi="Times New Roman" w:cs="Times New Roman"/>
        </w:rPr>
        <w:t>bwele &amp; Tsakeni, 2022</w:t>
      </w:r>
      <w:r w:rsidR="00ED69B9" w:rsidRPr="000F0E01">
        <w:rPr>
          <w:rFonts w:ascii="Times New Roman" w:eastAsia="Times New Roman" w:hAnsi="Times New Roman" w:cs="Times New Roman"/>
        </w:rPr>
        <w:t>). These skills form a continuum: observation informs classification and measurement, which underpin inference and prediction; experimentation validates hypotheses, which can then be represented</w:t>
      </w:r>
      <w:r w:rsidRPr="000F0E01">
        <w:rPr>
          <w:rFonts w:ascii="Times New Roman" w:eastAsia="Times New Roman" w:hAnsi="Times New Roman" w:cs="Times New Roman"/>
        </w:rPr>
        <w:t xml:space="preserve"> through models (Wabuke, 201</w:t>
      </w:r>
      <w:r w:rsidR="00591D43" w:rsidRPr="000F0E01">
        <w:rPr>
          <w:rFonts w:ascii="Times New Roman" w:eastAsia="Times New Roman" w:hAnsi="Times New Roman" w:cs="Times New Roman"/>
        </w:rPr>
        <w:t>6</w:t>
      </w:r>
      <w:r w:rsidR="00ED69B9" w:rsidRPr="000F0E01">
        <w:rPr>
          <w:rFonts w:ascii="Times New Roman" w:eastAsia="Times New Roman" w:hAnsi="Times New Roman" w:cs="Times New Roman"/>
        </w:rPr>
        <w:t>).</w:t>
      </w:r>
    </w:p>
    <w:p w:rsidR="00591D43" w:rsidRPr="000F0E01" w:rsidRDefault="009E08F0" w:rsidP="009E08F0">
      <w:pPr>
        <w:pStyle w:val="NormalWeb"/>
        <w:ind w:left="90" w:right="540"/>
        <w:jc w:val="both"/>
        <w:rPr>
          <w:sz w:val="22"/>
          <w:szCs w:val="22"/>
        </w:rPr>
      </w:pPr>
      <w:r w:rsidRPr="000F0E01">
        <w:rPr>
          <w:sz w:val="22"/>
          <w:szCs w:val="22"/>
        </w:rPr>
        <w:t>The significance</w:t>
      </w:r>
      <w:r w:rsidR="00591D43" w:rsidRPr="000F0E01">
        <w:rPr>
          <w:sz w:val="22"/>
          <w:szCs w:val="22"/>
        </w:rPr>
        <w:t xml:space="preserve"> of process ski</w:t>
      </w:r>
      <w:r w:rsidR="006C1D0B" w:rsidRPr="000F0E01">
        <w:rPr>
          <w:sz w:val="22"/>
          <w:szCs w:val="22"/>
        </w:rPr>
        <w:t xml:space="preserve">lls in biology has been </w:t>
      </w:r>
      <w:r w:rsidR="000F0E01">
        <w:rPr>
          <w:sz w:val="22"/>
          <w:szCs w:val="22"/>
        </w:rPr>
        <w:t>identified</w:t>
      </w:r>
      <w:r w:rsidR="00591D43" w:rsidRPr="000F0E01">
        <w:rPr>
          <w:sz w:val="22"/>
          <w:szCs w:val="22"/>
        </w:rPr>
        <w:t xml:space="preserve"> by se</w:t>
      </w:r>
      <w:r w:rsidR="00416EF8">
        <w:rPr>
          <w:sz w:val="22"/>
          <w:szCs w:val="22"/>
        </w:rPr>
        <w:t xml:space="preserve">veral researchers, for instance, </w:t>
      </w:r>
      <w:r w:rsidR="00591D43" w:rsidRPr="000F0E01">
        <w:rPr>
          <w:sz w:val="22"/>
          <w:szCs w:val="22"/>
        </w:rPr>
        <w:t>Gonzalez et al. (2024) argued that process skills shift learning from mere regurgitation of facts to active engagement with scientific processes, thereby promoting curiosity, independence, and scientific reasoning. Likewise, Achor et al. (2018) emphasized their role in fostering scientific literacy among biology students. Competence in these skills enables learners to appreciate the meaningfulness of science and its application beyond the classroom (Pakombwele &amp; Tsakeni, 2022; Darma</w:t>
      </w:r>
      <w:r w:rsidR="007F364C">
        <w:rPr>
          <w:sz w:val="22"/>
          <w:szCs w:val="22"/>
        </w:rPr>
        <w:t>ji et al.</w:t>
      </w:r>
      <w:r w:rsidR="00591D43" w:rsidRPr="000F0E01">
        <w:rPr>
          <w:sz w:val="22"/>
          <w:szCs w:val="22"/>
        </w:rPr>
        <w:t xml:space="preserve">, 2022). This vision aligns with </w:t>
      </w:r>
      <w:r w:rsidR="00591D43" w:rsidRPr="000F0E01">
        <w:rPr>
          <w:rStyle w:val="Strong"/>
          <w:rFonts w:eastAsiaTheme="majorEastAsia"/>
          <w:b w:val="0"/>
          <w:sz w:val="22"/>
          <w:szCs w:val="22"/>
        </w:rPr>
        <w:t>SDG 4</w:t>
      </w:r>
      <w:r w:rsidR="00591D43" w:rsidRPr="000F0E01">
        <w:rPr>
          <w:sz w:val="22"/>
          <w:szCs w:val="22"/>
        </w:rPr>
        <w:t xml:space="preserve">, which underscores equipping students with the skills needed to address pressing human challenges such as erosion, deforestation, and the promotion of innovation (United Nations, 2015). </w:t>
      </w:r>
    </w:p>
    <w:p w:rsidR="009E08F0" w:rsidRPr="000F0E01" w:rsidRDefault="009E08F0" w:rsidP="009E08F0">
      <w:pPr>
        <w:spacing w:before="100" w:beforeAutospacing="1" w:after="100" w:afterAutospacing="1" w:line="240" w:lineRule="auto"/>
        <w:ind w:left="90" w:right="540"/>
        <w:jc w:val="both"/>
        <w:rPr>
          <w:rFonts w:ascii="Times New Roman" w:eastAsia="Times New Roman" w:hAnsi="Times New Roman" w:cs="Times New Roman"/>
        </w:rPr>
      </w:pPr>
      <w:r w:rsidRPr="000F0E01">
        <w:rPr>
          <w:rFonts w:ascii="Times New Roman" w:eastAsia="Times New Roman" w:hAnsi="Times New Roman" w:cs="Times New Roman"/>
        </w:rPr>
        <w:t>Inspite of the significance, the acquisition of process skills in biology among secondary school students is hindered by several interrelated factors. Musah and Umar (2017) observed that inadequate availability and utilization of biology laboratory facilities significantly limit students’ academic achievement and their ability to practice essential scientific skills. Without functional laboratories, learners are deprived of opportunities to engage in observation, experimentation, and data analysis, which are at the heart of scientific inquiry. In addition to resource constraints, large class sizes pose another challenge</w:t>
      </w:r>
      <w:r w:rsidR="007F364C">
        <w:rPr>
          <w:rFonts w:ascii="Times New Roman" w:eastAsia="Times New Roman" w:hAnsi="Times New Roman" w:cs="Times New Roman"/>
        </w:rPr>
        <w:t xml:space="preserve">. Ruffina et al., </w:t>
      </w:r>
      <w:r w:rsidRPr="000F0E01">
        <w:rPr>
          <w:rFonts w:ascii="Times New Roman" w:eastAsia="Times New Roman" w:hAnsi="Times New Roman" w:cs="Times New Roman"/>
        </w:rPr>
        <w:t>(2020) demonstrated that overcrowded classrooms negatively affect students’ performance in biology by reducing concentration and limiting opportunities for inquiry-based learning. When teachers are faced with too many students, individualized guidance becomes nearly impossible, and passive learning often takes the place of active engagement.</w:t>
      </w:r>
    </w:p>
    <w:p w:rsidR="009E08F0" w:rsidRPr="000F0E01" w:rsidRDefault="009E08F0" w:rsidP="009E08F0">
      <w:pPr>
        <w:spacing w:before="100" w:beforeAutospacing="1" w:after="100" w:afterAutospacing="1" w:line="240" w:lineRule="auto"/>
        <w:ind w:left="90" w:right="540"/>
        <w:jc w:val="both"/>
        <w:rPr>
          <w:rFonts w:ascii="Times New Roman" w:eastAsia="Times New Roman" w:hAnsi="Times New Roman" w:cs="Times New Roman"/>
        </w:rPr>
      </w:pPr>
      <w:r w:rsidRPr="000F0E01">
        <w:rPr>
          <w:rFonts w:ascii="Times New Roman" w:eastAsia="Times New Roman" w:hAnsi="Times New Roman" w:cs="Times New Roman"/>
        </w:rPr>
        <w:t>The examination-oriented nature of the curriculum further compounds the problem</w:t>
      </w:r>
      <w:r w:rsidR="007F364C">
        <w:rPr>
          <w:rFonts w:ascii="Times New Roman" w:eastAsia="Times New Roman" w:hAnsi="Times New Roman" w:cs="Times New Roman"/>
        </w:rPr>
        <w:t>. Reports from the examiners (WAEC, 2024</w:t>
      </w:r>
      <w:r w:rsidRPr="000F0E01">
        <w:rPr>
          <w:rFonts w:ascii="Times New Roman" w:eastAsia="Times New Roman" w:hAnsi="Times New Roman" w:cs="Times New Roman"/>
        </w:rPr>
        <w:t>) highlight that biology examinations in the region emphasize rote memorization of facts rather than inquiry-based skills. This exam-centric approach discourages teachers from prioritizing process skills and undermines students’ ability to develop critical thinking and problem-solving competencies. Teacher professional development also plays a crucial role in shaping how process skills are taught. Ogieriakhi (2020) stressed that many biology teachers lack adequate training in inquiry-based pedagogy and often rely on traditional content-transmission methods. Without continuous professional development, teachers struggle to integrate process skills into their lessons effectively, leaving students with limited exposure to scientific reasoning.</w:t>
      </w:r>
    </w:p>
    <w:p w:rsidR="000F555C" w:rsidRPr="000F0E01" w:rsidRDefault="009E08F0" w:rsidP="000F555C">
      <w:pPr>
        <w:pStyle w:val="NormalWeb"/>
        <w:ind w:left="90" w:right="540"/>
        <w:jc w:val="both"/>
        <w:rPr>
          <w:sz w:val="22"/>
          <w:szCs w:val="22"/>
        </w:rPr>
      </w:pPr>
      <w:r w:rsidRPr="000F0E01">
        <w:rPr>
          <w:sz w:val="22"/>
          <w:szCs w:val="22"/>
        </w:rPr>
        <w:t>Finally, the way biology is traditionally taught contributes significantly to the problem. Marbach-Ad and Rietschel (2016) documented how teacher-centered instruction, dominated by lectures and note-taking, restricts students from engaging in authentic scientific practices. This approach reinforces passive learning and undermines the development of process skills, leaving students ill-prepar</w:t>
      </w:r>
      <w:r w:rsidR="000F555C" w:rsidRPr="000F0E01">
        <w:rPr>
          <w:sz w:val="22"/>
          <w:szCs w:val="22"/>
        </w:rPr>
        <w:t>ed to apply the knowledge of biology in either solving problems or creating new ideas</w:t>
      </w:r>
      <w:r w:rsidRPr="000F0E01">
        <w:rPr>
          <w:sz w:val="22"/>
          <w:szCs w:val="22"/>
        </w:rPr>
        <w:t xml:space="preserve">. </w:t>
      </w:r>
      <w:r w:rsidR="000F555C" w:rsidRPr="000F0E01">
        <w:rPr>
          <w:sz w:val="22"/>
          <w:szCs w:val="22"/>
        </w:rPr>
        <w:t xml:space="preserve"> </w:t>
      </w:r>
      <w:r w:rsidRPr="000F0E01">
        <w:rPr>
          <w:sz w:val="22"/>
          <w:szCs w:val="22"/>
        </w:rPr>
        <w:t xml:space="preserve">A persistent question among researchers and teachers is how process skills should be taught in secondary schools. </w:t>
      </w:r>
      <w:r w:rsidR="000F555C" w:rsidRPr="000F0E01">
        <w:rPr>
          <w:sz w:val="22"/>
          <w:szCs w:val="22"/>
        </w:rPr>
        <w:t>To teach these skills in biology effectively, teachers must adopt inquiry-based learning approaches that foster curiosity, experimentation, and problem-solving. This is where the acquisition of process skills becomes essential. However, inquiry learning alone is insufficient if it remains disconnected from students’ environments. Gay (2010) emphasized that culturally responsive t</w:t>
      </w:r>
      <w:r w:rsidR="00BD03AD" w:rsidRPr="000F0E01">
        <w:rPr>
          <w:sz w:val="22"/>
          <w:szCs w:val="22"/>
        </w:rPr>
        <w:t>eaching is most effective when rooted in students’ experiences.</w:t>
      </w:r>
    </w:p>
    <w:p w:rsidR="009E08F0" w:rsidRPr="000F0E01" w:rsidRDefault="00BD03AD" w:rsidP="00F4521C">
      <w:pPr>
        <w:pStyle w:val="NormalWeb"/>
        <w:ind w:left="90" w:right="540"/>
        <w:jc w:val="both"/>
        <w:rPr>
          <w:sz w:val="22"/>
          <w:szCs w:val="22"/>
        </w:rPr>
      </w:pPr>
      <w:r w:rsidRPr="000F0E01">
        <w:rPr>
          <w:sz w:val="22"/>
          <w:szCs w:val="22"/>
        </w:rPr>
        <w:t>Previous studies further showed</w:t>
      </w:r>
      <w:r w:rsidR="009E08F0" w:rsidRPr="000F0E01">
        <w:rPr>
          <w:sz w:val="22"/>
          <w:szCs w:val="22"/>
        </w:rPr>
        <w:t xml:space="preserve"> that biology students acquire process skills best when teachers embed them in hands-on activities, contextual examples, and problem-based learning (Ademola et al., 2025; Adam et al., 2024b; Çelik, 2022; Ogundowole et al., 2025a). For instance, photosynthesis can be taught by linking it to cassava leaves in local farms rather than abstract textbook diagrams, while microbial activity can be explored through familiar processes such as the fermentation of pap (“ogi” in Yoruba). Such contextualization not only enhances comprehension but also fosters inquiry and critical thinking.</w:t>
      </w:r>
      <w:r w:rsidR="00F4521C">
        <w:rPr>
          <w:sz w:val="22"/>
          <w:szCs w:val="22"/>
        </w:rPr>
        <w:t xml:space="preserve"> </w:t>
      </w:r>
      <w:r w:rsidR="009E08F0" w:rsidRPr="000F0E01">
        <w:rPr>
          <w:sz w:val="22"/>
          <w:szCs w:val="22"/>
        </w:rPr>
        <w:t>Despite this, process skills remain underdeveloped in many Nigerian biology classrooms due to abstract teaching methods. Teachers often rely on textbook-driven examples detached from students’ immediate environment—for example, describing ecological niches using temperate forests rather than local farms, or explaining photosynthesis without linking it to cassava growth in nearby fields. These missed opportunities prevent students from applying inquiry meaningfully in their environment, leaving them as passive recipients of information rather than active investigators (Anakwenze et al., 2024; Oladejo et al., 20</w:t>
      </w:r>
      <w:r w:rsidR="007F364C">
        <w:rPr>
          <w:sz w:val="22"/>
          <w:szCs w:val="22"/>
        </w:rPr>
        <w:t>25b; Osotsi et al.,</w:t>
      </w:r>
      <w:r w:rsidR="009E08F0" w:rsidRPr="000F0E01">
        <w:rPr>
          <w:sz w:val="22"/>
          <w:szCs w:val="22"/>
        </w:rPr>
        <w:t xml:space="preserve"> 2025).</w:t>
      </w:r>
    </w:p>
    <w:p w:rsidR="009E08F0" w:rsidRPr="000F0E01" w:rsidRDefault="009E08F0" w:rsidP="002E3FD6">
      <w:pPr>
        <w:spacing w:before="100" w:beforeAutospacing="1" w:after="100" w:afterAutospacing="1" w:line="240" w:lineRule="auto"/>
        <w:ind w:left="90" w:right="540"/>
        <w:jc w:val="both"/>
        <w:rPr>
          <w:rFonts w:ascii="Times New Roman" w:eastAsia="Times New Roman" w:hAnsi="Times New Roman" w:cs="Times New Roman"/>
        </w:rPr>
      </w:pPr>
      <w:r w:rsidRPr="000F0E01">
        <w:rPr>
          <w:rFonts w:ascii="Times New Roman" w:eastAsia="Times New Roman" w:hAnsi="Times New Roman" w:cs="Times New Roman"/>
        </w:rPr>
        <w:t>To overcome these limit</w:t>
      </w:r>
      <w:r w:rsidR="000F555C" w:rsidRPr="000F0E01">
        <w:rPr>
          <w:rFonts w:ascii="Times New Roman" w:eastAsia="Times New Roman" w:hAnsi="Times New Roman" w:cs="Times New Roman"/>
        </w:rPr>
        <w:t>ations, biology instruction should</w:t>
      </w:r>
      <w:r w:rsidRPr="000F0E01">
        <w:rPr>
          <w:rFonts w:ascii="Times New Roman" w:eastAsia="Times New Roman" w:hAnsi="Times New Roman" w:cs="Times New Roman"/>
        </w:rPr>
        <w:t xml:space="preserve"> be reconceptualized to emphasize process skills within culturally familiar contexts. Culturally relevant pedagogy provides the framework for this transformation. Gay (2010) argues that by integrating students’ cultural backgrounds, indigenous knowledge, and familiar examples, teachers make biology instruction more engaging and empowering. This approach bridges the gap between global scientific knowledge and African cultural richness, ensuring that biology students acquire both process skills and cultural grounding necessary for creativity, innovation, and sustainable development (Okebukola, 2020; Oladejo et al., 2025). For senior secondary school biology students, culturally responsive teaching not only enhances understanding of complex topics but also fosters inquiry, critical thinking, and problem-solving. Embedding such approaches within the curriculum ensures that biology education prepares students for national development goals while equipping them with the skills to thrive in diverse scientific and everyday contexts (Ogundowole et al., 2025b; Ige et al., 2025).</w:t>
      </w:r>
    </w:p>
    <w:p w:rsidR="00ED69B9" w:rsidRPr="000F0E01" w:rsidRDefault="00ED69B9" w:rsidP="00ED69B9">
      <w:pPr>
        <w:spacing w:before="100" w:beforeAutospacing="1" w:after="100" w:afterAutospacing="1" w:line="240" w:lineRule="auto"/>
        <w:ind w:left="90" w:right="540"/>
        <w:jc w:val="both"/>
        <w:rPr>
          <w:rFonts w:ascii="Times New Roman" w:eastAsia="Times New Roman" w:hAnsi="Times New Roman" w:cs="Times New Roman"/>
        </w:rPr>
      </w:pPr>
      <w:r w:rsidRPr="000F0E01">
        <w:rPr>
          <w:rFonts w:ascii="Times New Roman" w:eastAsia="Times New Roman" w:hAnsi="Times New Roman" w:cs="Times New Roman"/>
        </w:rPr>
        <w:t xml:space="preserve">The Culturo-Techno-Contextual Approach </w:t>
      </w:r>
      <w:r w:rsidR="001C77F7" w:rsidRPr="000F0E01">
        <w:rPr>
          <w:rFonts w:ascii="Times New Roman" w:eastAsia="Times New Roman" w:hAnsi="Times New Roman" w:cs="Times New Roman"/>
        </w:rPr>
        <w:t xml:space="preserve">2.0 </w:t>
      </w:r>
      <w:r w:rsidRPr="000F0E01">
        <w:rPr>
          <w:rFonts w:ascii="Times New Roman" w:eastAsia="Times New Roman" w:hAnsi="Times New Roman" w:cs="Times New Roman"/>
        </w:rPr>
        <w:t>(CTCA</w:t>
      </w:r>
      <w:r w:rsidR="001C77F7" w:rsidRPr="000F0E01">
        <w:rPr>
          <w:rFonts w:ascii="Times New Roman" w:eastAsia="Times New Roman" w:hAnsi="Times New Roman" w:cs="Times New Roman"/>
        </w:rPr>
        <w:t xml:space="preserve"> 2.0</w:t>
      </w:r>
      <w:r w:rsidRPr="000F0E01">
        <w:rPr>
          <w:rFonts w:ascii="Times New Roman" w:eastAsia="Times New Roman" w:hAnsi="Times New Roman" w:cs="Times New Roman"/>
        </w:rPr>
        <w:t>) represents a reconceptualisation of science pedagogy in African classrooms by embedding cultural values, technological tools, and socio-environmental contexts into instruction (Okebukola, 2020; Ige et al</w:t>
      </w:r>
      <w:r w:rsidR="001C77F7" w:rsidRPr="000F0E01">
        <w:rPr>
          <w:rFonts w:ascii="Times New Roman" w:eastAsia="Times New Roman" w:hAnsi="Times New Roman" w:cs="Times New Roman"/>
        </w:rPr>
        <w:t xml:space="preserve">., 2025; Oladejo et al., </w:t>
      </w:r>
      <w:r w:rsidRPr="000F0E01">
        <w:rPr>
          <w:rFonts w:ascii="Times New Roman" w:eastAsia="Times New Roman" w:hAnsi="Times New Roman" w:cs="Times New Roman"/>
        </w:rPr>
        <w:t xml:space="preserve">2022). In 2024, </w:t>
      </w:r>
      <w:r w:rsidR="001C77F7" w:rsidRPr="000F0E01">
        <w:rPr>
          <w:rFonts w:ascii="Times New Roman" w:eastAsia="Times New Roman" w:hAnsi="Times New Roman" w:cs="Times New Roman"/>
        </w:rPr>
        <w:t xml:space="preserve">the CTCA metamorphosed </w:t>
      </w:r>
      <w:r w:rsidRPr="000F0E01">
        <w:rPr>
          <w:rFonts w:ascii="Times New Roman" w:eastAsia="Times New Roman" w:hAnsi="Times New Roman" w:cs="Times New Roman"/>
        </w:rPr>
        <w:t>into CTCA 2.0, which incorporated indigenous analogies, metaphors, and culturally grounded modes of evaluatio</w:t>
      </w:r>
      <w:r w:rsidR="001C77F7" w:rsidRPr="000F0E01">
        <w:rPr>
          <w:rFonts w:ascii="Times New Roman" w:eastAsia="Times New Roman" w:hAnsi="Times New Roman" w:cs="Times New Roman"/>
        </w:rPr>
        <w:t>n (Ogundowole et al.,</w:t>
      </w:r>
      <w:r w:rsidRPr="000F0E01">
        <w:rPr>
          <w:rFonts w:ascii="Times New Roman" w:eastAsia="Times New Roman" w:hAnsi="Times New Roman" w:cs="Times New Roman"/>
        </w:rPr>
        <w:t xml:space="preserve"> 2025a; Adam</w:t>
      </w:r>
      <w:r w:rsidR="001C77F7" w:rsidRPr="000F0E01">
        <w:rPr>
          <w:rFonts w:ascii="Times New Roman" w:eastAsia="Times New Roman" w:hAnsi="Times New Roman" w:cs="Times New Roman"/>
        </w:rPr>
        <w:t xml:space="preserve"> et al., </w:t>
      </w:r>
      <w:r w:rsidRPr="000F0E01">
        <w:rPr>
          <w:rFonts w:ascii="Times New Roman" w:eastAsia="Times New Roman" w:hAnsi="Times New Roman" w:cs="Times New Roman"/>
        </w:rPr>
        <w:t>2025; International Research Group, 2024). This updated version harmonizes culture, technology, and environment, embedding science teaching in indigenous knowledge systems while leveraging modern digital platforms within STEM education across Africa (Olofin, Adeyemi, &amp; Musa, 2023; Onyewuchi &amp; Owolabi, 2022).</w:t>
      </w:r>
    </w:p>
    <w:p w:rsidR="00ED69B9" w:rsidRPr="000F0E01" w:rsidRDefault="00ED69B9" w:rsidP="00ED69B9">
      <w:pPr>
        <w:spacing w:before="100" w:beforeAutospacing="1" w:after="100" w:afterAutospacing="1" w:line="240" w:lineRule="auto"/>
        <w:ind w:left="90" w:right="540"/>
        <w:jc w:val="both"/>
        <w:rPr>
          <w:rFonts w:ascii="Times New Roman" w:eastAsia="Times New Roman" w:hAnsi="Times New Roman" w:cs="Times New Roman"/>
        </w:rPr>
      </w:pPr>
      <w:r w:rsidRPr="000F0E01">
        <w:rPr>
          <w:rFonts w:ascii="Times New Roman" w:eastAsia="Times New Roman" w:hAnsi="Times New Roman" w:cs="Times New Roman"/>
        </w:rPr>
        <w:t>The implementation of CTCA 2.0 follows a six-step procedure (Ogundowole et al., 2025a). It begins with pre-lesson reflection, where students connect prior knowledge and cultural beliefs to exploratory tasks using internet-enabled devices. Learners then engage in small-group discussions, sharing indigenous practices and cultural insights in mixed-ability, mixed-gender groups to foster inclusivity and peer learning (Adam et al., 2024b). Teachers build on these exchanges through contextualized teaching, employing metaphors, humor, and storytelling to make content relatable (Gay, 2010; Oladejo et al., 2022). Cultural knowledge is deliberately integrated into explanations, with misconceptions clarified through guided instruction. Assessment and transition activities, such as quizzes and reflections, consolidate learning, while digital platforms like WhatsApp, Telegram, SMS, and Instagram extend instruction beyond the classroom (Ige et al., 2025; Ogundowole et al., 2025b). This structured process ensures that biology students actively participate, collaborate, and apply science concepts in ways that strengthen inquiry, critical thinking, and process skills (M</w:t>
      </w:r>
      <w:r w:rsidR="007F364C">
        <w:rPr>
          <w:rFonts w:ascii="Times New Roman" w:eastAsia="Times New Roman" w:hAnsi="Times New Roman" w:cs="Times New Roman"/>
        </w:rPr>
        <w:t>elesse et al.,</w:t>
      </w:r>
      <w:r w:rsidRPr="000F0E01">
        <w:rPr>
          <w:rFonts w:ascii="Times New Roman" w:eastAsia="Times New Roman" w:hAnsi="Times New Roman" w:cs="Times New Roman"/>
        </w:rPr>
        <w:t xml:space="preserve"> 2025).</w:t>
      </w:r>
    </w:p>
    <w:p w:rsidR="00ED69B9" w:rsidRPr="000F0E01" w:rsidRDefault="00ED69B9" w:rsidP="001C77F7">
      <w:pPr>
        <w:spacing w:before="100" w:beforeAutospacing="1" w:after="100" w:afterAutospacing="1" w:line="240" w:lineRule="auto"/>
        <w:ind w:left="90" w:right="540"/>
        <w:jc w:val="both"/>
        <w:rPr>
          <w:rFonts w:ascii="Times New Roman" w:eastAsia="Times New Roman" w:hAnsi="Times New Roman" w:cs="Times New Roman"/>
        </w:rPr>
      </w:pPr>
      <w:r w:rsidRPr="000F0E01">
        <w:rPr>
          <w:rFonts w:ascii="Times New Roman" w:eastAsia="Times New Roman" w:hAnsi="Times New Roman" w:cs="Times New Roman"/>
        </w:rPr>
        <w:t>Previous studies have consistently demonstrated the effectiveness of CTCA 2.0 in enhancing biology learning outcomes. For example, Ogundowole et al. (2025b) reported that students taught with CTCA 2.0 significantly outperformed peers taught with lecture methods in process skills acquisition. Melesse et al. (2025) corroborated this by showing that integrating context-based instructional approaches with the learning cycle improved ninth-grade science process skills. Similarly, Adam et al. (2024b) found that CTCA improved critical thinking skills among senior secondary biology students, while A</w:t>
      </w:r>
      <w:r w:rsidR="001C77F7" w:rsidRPr="000F0E01">
        <w:rPr>
          <w:rFonts w:ascii="Times New Roman" w:eastAsia="Times New Roman" w:hAnsi="Times New Roman" w:cs="Times New Roman"/>
        </w:rPr>
        <w:t xml:space="preserve">demola et al., </w:t>
      </w:r>
      <w:r w:rsidRPr="000F0E01">
        <w:rPr>
          <w:rFonts w:ascii="Times New Roman" w:eastAsia="Times New Roman" w:hAnsi="Times New Roman" w:cs="Times New Roman"/>
        </w:rPr>
        <w:t>(2025) reported significant gains in achievement and problem-solving skills in nuclear chemistry, with no gender differences. Collectively, these studies highlight CTCA 2.0’s potency in improving process, critical thinking, and problem-solving skills, making it a transformative pedagogy for science education (Oladejo et al., 2025; Okebukola, 2020).</w:t>
      </w:r>
      <w:r w:rsidR="001C77F7" w:rsidRPr="000F0E01">
        <w:rPr>
          <w:rFonts w:ascii="Times New Roman" w:eastAsia="Times New Roman" w:hAnsi="Times New Roman" w:cs="Times New Roman"/>
        </w:rPr>
        <w:t xml:space="preserve"> </w:t>
      </w:r>
      <w:r w:rsidRPr="000F0E01">
        <w:rPr>
          <w:rFonts w:ascii="Times New Roman" w:eastAsia="Times New Roman" w:hAnsi="Times New Roman" w:cs="Times New Roman"/>
        </w:rPr>
        <w:t>However, most of these studies have focused on general science or specific topics outside biology, leaving limited evidence on its efficacy i</w:t>
      </w:r>
      <w:r w:rsidR="001C77F7" w:rsidRPr="000F0E01">
        <w:rPr>
          <w:rFonts w:ascii="Times New Roman" w:eastAsia="Times New Roman" w:hAnsi="Times New Roman" w:cs="Times New Roman"/>
        </w:rPr>
        <w:t>n enhancing process skills</w:t>
      </w:r>
      <w:r w:rsidR="00DF3535" w:rsidRPr="000F0E01">
        <w:rPr>
          <w:rFonts w:ascii="Times New Roman" w:eastAsia="Times New Roman" w:hAnsi="Times New Roman" w:cs="Times New Roman"/>
        </w:rPr>
        <w:t xml:space="preserve"> digestive system</w:t>
      </w:r>
      <w:r w:rsidRPr="000F0E01">
        <w:rPr>
          <w:rFonts w:ascii="Times New Roman" w:eastAsia="Times New Roman" w:hAnsi="Times New Roman" w:cs="Times New Roman"/>
        </w:rPr>
        <w:t>. Furthermore, while CTCA has been shown to enhance achievement, literature is sparse on its impact across the ful</w:t>
      </w:r>
      <w:r w:rsidR="001C77F7" w:rsidRPr="000F0E01">
        <w:rPr>
          <w:rFonts w:ascii="Times New Roman" w:eastAsia="Times New Roman" w:hAnsi="Times New Roman" w:cs="Times New Roman"/>
        </w:rPr>
        <w:t>l continuum of process skills, also t</w:t>
      </w:r>
      <w:r w:rsidRPr="000F0E01">
        <w:rPr>
          <w:rFonts w:ascii="Times New Roman" w:eastAsia="Times New Roman" w:hAnsi="Times New Roman" w:cs="Times New Roman"/>
        </w:rPr>
        <w:t>he extent to which biology students acquire process skills under CTCA 2.0 remains unclea</w:t>
      </w:r>
      <w:r w:rsidR="00DF3535" w:rsidRPr="000F0E01">
        <w:rPr>
          <w:rFonts w:ascii="Times New Roman" w:eastAsia="Times New Roman" w:hAnsi="Times New Roman" w:cs="Times New Roman"/>
        </w:rPr>
        <w:t>r</w:t>
      </w:r>
      <w:r w:rsidRPr="000F0E01">
        <w:rPr>
          <w:rFonts w:ascii="Times New Roman" w:eastAsia="Times New Roman" w:hAnsi="Times New Roman" w:cs="Times New Roman"/>
        </w:rPr>
        <w:t>. These</w:t>
      </w:r>
      <w:r w:rsidR="001C77F7" w:rsidRPr="000F0E01">
        <w:rPr>
          <w:rFonts w:ascii="Times New Roman" w:eastAsia="Times New Roman" w:hAnsi="Times New Roman" w:cs="Times New Roman"/>
        </w:rPr>
        <w:t xml:space="preserve"> gaps warrant investigation and </w:t>
      </w:r>
      <w:r w:rsidRPr="000F0E01">
        <w:rPr>
          <w:rFonts w:ascii="Times New Roman" w:eastAsia="Times New Roman" w:hAnsi="Times New Roman" w:cs="Times New Roman"/>
        </w:rPr>
        <w:t>lead to the following research questions.</w:t>
      </w:r>
    </w:p>
    <w:p w:rsidR="003D1B1F" w:rsidRPr="000F0E01" w:rsidRDefault="003D1B1F" w:rsidP="00146957">
      <w:pPr>
        <w:pStyle w:val="ListParagraph"/>
        <w:numPr>
          <w:ilvl w:val="0"/>
          <w:numId w:val="21"/>
        </w:numPr>
        <w:tabs>
          <w:tab w:val="left" w:pos="8460"/>
        </w:tabs>
        <w:spacing w:before="100" w:beforeAutospacing="1" w:after="100" w:afterAutospacing="1" w:line="240" w:lineRule="auto"/>
        <w:ind w:right="720"/>
        <w:jc w:val="both"/>
        <w:rPr>
          <w:rFonts w:ascii="Times New Roman" w:hAnsi="Times New Roman" w:cs="Times New Roman"/>
          <w:b/>
        </w:rPr>
      </w:pPr>
      <w:bookmarkStart w:id="8" w:name="_Hlk135354990"/>
      <w:bookmarkStart w:id="9" w:name="_Toc216603822"/>
      <w:bookmarkEnd w:id="4"/>
      <w:bookmarkEnd w:id="6"/>
      <w:bookmarkEnd w:id="7"/>
      <w:r w:rsidRPr="000F0E01">
        <w:rPr>
          <w:rStyle w:val="Strong"/>
          <w:rFonts w:ascii="Times New Roman" w:hAnsi="Times New Roman" w:cs="Times New Roman"/>
          <w:b w:val="0"/>
        </w:rPr>
        <w:t xml:space="preserve">Is there any difference in the process skills acquisition mean scores of students taught </w:t>
      </w:r>
      <w:r w:rsidR="00AD4033" w:rsidRPr="000F0E01">
        <w:rPr>
          <w:rStyle w:val="Strong"/>
          <w:rFonts w:ascii="Times New Roman" w:hAnsi="Times New Roman" w:cs="Times New Roman"/>
          <w:b w:val="0"/>
        </w:rPr>
        <w:t xml:space="preserve">biology </w:t>
      </w:r>
      <w:r w:rsidRPr="000F0E01">
        <w:rPr>
          <w:rStyle w:val="Strong"/>
          <w:rFonts w:ascii="Times New Roman" w:hAnsi="Times New Roman" w:cs="Times New Roman"/>
          <w:b w:val="0"/>
        </w:rPr>
        <w:t>with CTCA 2.0 and those taught with the conventional method?</w:t>
      </w:r>
    </w:p>
    <w:p w:rsidR="003D1B1F" w:rsidRPr="000F0E01" w:rsidRDefault="003E24A3" w:rsidP="00146957">
      <w:pPr>
        <w:pStyle w:val="ListParagraph"/>
        <w:numPr>
          <w:ilvl w:val="0"/>
          <w:numId w:val="21"/>
        </w:numPr>
        <w:tabs>
          <w:tab w:val="left" w:pos="8460"/>
        </w:tabs>
        <w:spacing w:before="100" w:beforeAutospacing="1" w:after="100" w:afterAutospacing="1" w:line="240" w:lineRule="auto"/>
        <w:ind w:right="720"/>
        <w:jc w:val="both"/>
        <w:rPr>
          <w:rFonts w:ascii="Times New Roman" w:hAnsi="Times New Roman" w:cs="Times New Roman"/>
          <w:b/>
        </w:rPr>
      </w:pPr>
      <w:r w:rsidRPr="000F0E01">
        <w:rPr>
          <w:rStyle w:val="Strong"/>
          <w:rFonts w:ascii="Times New Roman" w:hAnsi="Times New Roman" w:cs="Times New Roman"/>
          <w:b w:val="0"/>
        </w:rPr>
        <w:t>T</w:t>
      </w:r>
      <w:r w:rsidR="003D1B1F" w:rsidRPr="000F0E01">
        <w:rPr>
          <w:rStyle w:val="Strong"/>
          <w:rFonts w:ascii="Times New Roman" w:hAnsi="Times New Roman" w:cs="Times New Roman"/>
          <w:b w:val="0"/>
        </w:rPr>
        <w:t>o what extent do students taught with CTCA 2.0 acquire process skills in Biology?</w:t>
      </w:r>
    </w:p>
    <w:p w:rsidR="00A254D0" w:rsidRPr="000F0E01" w:rsidRDefault="00BE1859" w:rsidP="00021251">
      <w:pPr>
        <w:pStyle w:val="NormalWeb"/>
        <w:tabs>
          <w:tab w:val="left" w:pos="8460"/>
        </w:tabs>
        <w:ind w:left="90" w:right="720"/>
        <w:rPr>
          <w:b/>
          <w:i/>
          <w:sz w:val="22"/>
          <w:szCs w:val="22"/>
        </w:rPr>
      </w:pPr>
      <w:r w:rsidRPr="000F0E01">
        <w:rPr>
          <w:b/>
          <w:i/>
          <w:sz w:val="22"/>
          <w:szCs w:val="22"/>
        </w:rPr>
        <w:t>Theoretical Underpinning</w:t>
      </w:r>
    </w:p>
    <w:p w:rsidR="00ED69B9" w:rsidRPr="000F0E01" w:rsidRDefault="00146957" w:rsidP="00ED69B9">
      <w:pPr>
        <w:pStyle w:val="NormalWeb"/>
        <w:ind w:left="90" w:right="630"/>
        <w:jc w:val="both"/>
        <w:rPr>
          <w:sz w:val="22"/>
          <w:szCs w:val="22"/>
        </w:rPr>
      </w:pPr>
      <w:r>
        <w:rPr>
          <w:sz w:val="22"/>
          <w:szCs w:val="22"/>
        </w:rPr>
        <w:t>This study was</w:t>
      </w:r>
      <w:r w:rsidR="002D2E87" w:rsidRPr="000F0E01">
        <w:rPr>
          <w:sz w:val="22"/>
          <w:szCs w:val="22"/>
        </w:rPr>
        <w:t xml:space="preserve"> anchored on three theories on</w:t>
      </w:r>
      <w:r w:rsidR="00ED69B9" w:rsidRPr="000F0E01">
        <w:rPr>
          <w:sz w:val="22"/>
          <w:szCs w:val="22"/>
        </w:rPr>
        <w:t xml:space="preserve"> how students learn effectively. </w:t>
      </w:r>
      <w:r w:rsidR="002D2E87" w:rsidRPr="000F0E01">
        <w:rPr>
          <w:sz w:val="22"/>
          <w:szCs w:val="22"/>
        </w:rPr>
        <w:t xml:space="preserve">The </w:t>
      </w:r>
      <w:r w:rsidR="00ED69B9" w:rsidRPr="000F0E01">
        <w:rPr>
          <w:rStyle w:val="Strong"/>
          <w:rFonts w:eastAsiaTheme="majorEastAsia"/>
          <w:b w:val="0"/>
          <w:sz w:val="22"/>
          <w:szCs w:val="22"/>
        </w:rPr>
        <w:t>Okebukola’s Ecotechnocultural Theory</w:t>
      </w:r>
      <w:r w:rsidR="00ED69B9" w:rsidRPr="000F0E01">
        <w:rPr>
          <w:sz w:val="22"/>
          <w:szCs w:val="22"/>
        </w:rPr>
        <w:t xml:space="preserve"> emphasizes that learning should connect with students’ cultural background, environment, and use of technology. Okebukola (2020) explains that when lessons are taught in ways that reflect students’ everyday realities, they become more engaging and easier to understand. By recognizing culture, context, and humour as part of the learning process, this theory ensures that biology students see science not as something distant, but as part of their</w:t>
      </w:r>
      <w:r w:rsidR="002D2E87" w:rsidRPr="000F0E01">
        <w:rPr>
          <w:sz w:val="22"/>
          <w:szCs w:val="22"/>
        </w:rPr>
        <w:t xml:space="preserve"> own lives (Oladejo et al., </w:t>
      </w:r>
      <w:r w:rsidR="00ED69B9" w:rsidRPr="000F0E01">
        <w:rPr>
          <w:sz w:val="22"/>
          <w:szCs w:val="22"/>
        </w:rPr>
        <w:t xml:space="preserve">2025). </w:t>
      </w:r>
      <w:r w:rsidR="00ED69B9" w:rsidRPr="000F0E01">
        <w:rPr>
          <w:rStyle w:val="Strong"/>
          <w:rFonts w:eastAsiaTheme="majorEastAsia"/>
          <w:b w:val="0"/>
          <w:sz w:val="22"/>
          <w:szCs w:val="22"/>
        </w:rPr>
        <w:t>Vygotsky’s Social Constructivist Theory</w:t>
      </w:r>
      <w:r w:rsidR="00ED69B9" w:rsidRPr="000F0E01">
        <w:rPr>
          <w:sz w:val="22"/>
          <w:szCs w:val="22"/>
        </w:rPr>
        <w:t xml:space="preserve"> shows that students learn best when they interact with peers and teachers, building knowledge together through collaboration and guidance (Vygotsky, 1962; Darmaj</w:t>
      </w:r>
      <w:r w:rsidR="002D2E87" w:rsidRPr="000F0E01">
        <w:rPr>
          <w:sz w:val="22"/>
          <w:szCs w:val="22"/>
        </w:rPr>
        <w:t xml:space="preserve">i et al., </w:t>
      </w:r>
      <w:r w:rsidR="00ED69B9" w:rsidRPr="000F0E01">
        <w:rPr>
          <w:sz w:val="22"/>
          <w:szCs w:val="22"/>
        </w:rPr>
        <w:t xml:space="preserve">2022). In addition, </w:t>
      </w:r>
      <w:r w:rsidR="00ED69B9" w:rsidRPr="000F0E01">
        <w:rPr>
          <w:rStyle w:val="Strong"/>
          <w:rFonts w:eastAsiaTheme="majorEastAsia"/>
          <w:b w:val="0"/>
          <w:sz w:val="22"/>
          <w:szCs w:val="22"/>
        </w:rPr>
        <w:t>Ausubel’s Subsumption Theory</w:t>
      </w:r>
      <w:r w:rsidR="00ED69B9" w:rsidRPr="000F0E01">
        <w:rPr>
          <w:sz w:val="22"/>
          <w:szCs w:val="22"/>
        </w:rPr>
        <w:t xml:space="preserve"> adds that new knowledge is most meaningful when connected to what students already know, rather than memorized in isolation (Ausubel,</w:t>
      </w:r>
      <w:r w:rsidR="00FE19E4" w:rsidRPr="000F0E01">
        <w:rPr>
          <w:sz w:val="22"/>
          <w:szCs w:val="22"/>
        </w:rPr>
        <w:t xml:space="preserve"> 1962; Ausubel, 2012), these </w:t>
      </w:r>
      <w:r w:rsidR="00ED69B9" w:rsidRPr="000F0E01">
        <w:rPr>
          <w:sz w:val="22"/>
          <w:szCs w:val="22"/>
        </w:rPr>
        <w:t>theories explain why CTCA 2.0 focuses on students’ active participation, peer collaboration, and linking new ideas to familiar ones. This integrated approach helps biology student</w:t>
      </w:r>
      <w:r w:rsidR="00FE19E4" w:rsidRPr="000F0E01">
        <w:rPr>
          <w:sz w:val="22"/>
          <w:szCs w:val="22"/>
        </w:rPr>
        <w:t xml:space="preserve">s develop </w:t>
      </w:r>
      <w:r w:rsidR="00ED69B9" w:rsidRPr="000F0E01">
        <w:rPr>
          <w:sz w:val="22"/>
          <w:szCs w:val="22"/>
        </w:rPr>
        <w:t>critical thinki</w:t>
      </w:r>
      <w:r w:rsidR="006C1D0B" w:rsidRPr="000F0E01">
        <w:rPr>
          <w:sz w:val="22"/>
          <w:szCs w:val="22"/>
        </w:rPr>
        <w:t>ng</w:t>
      </w:r>
      <w:r w:rsidR="002D2E87" w:rsidRPr="000F0E01">
        <w:rPr>
          <w:sz w:val="22"/>
          <w:szCs w:val="22"/>
        </w:rPr>
        <w:t xml:space="preserve"> (Adam et al., </w:t>
      </w:r>
      <w:r w:rsidR="00ED69B9" w:rsidRPr="000F0E01">
        <w:rPr>
          <w:sz w:val="22"/>
          <w:szCs w:val="22"/>
        </w:rPr>
        <w:t>2024a).</w:t>
      </w:r>
    </w:p>
    <w:p w:rsidR="00ED69B9" w:rsidRPr="000F0E01" w:rsidRDefault="00ED69B9" w:rsidP="00ED69B9">
      <w:pPr>
        <w:pStyle w:val="NormalWeb"/>
        <w:ind w:left="90" w:right="630"/>
        <w:jc w:val="both"/>
        <w:rPr>
          <w:sz w:val="22"/>
          <w:szCs w:val="22"/>
        </w:rPr>
      </w:pPr>
      <w:r w:rsidRPr="000F0E01">
        <w:rPr>
          <w:sz w:val="22"/>
          <w:szCs w:val="22"/>
        </w:rPr>
        <w:t xml:space="preserve">These theories support the </w:t>
      </w:r>
      <w:r w:rsidRPr="000F0E01">
        <w:rPr>
          <w:rStyle w:val="Strong"/>
          <w:rFonts w:eastAsiaTheme="majorEastAsia"/>
          <w:b w:val="0"/>
          <w:sz w:val="22"/>
          <w:szCs w:val="22"/>
        </w:rPr>
        <w:t>Culturo-Techno-Contextual Approach 2.0</w:t>
      </w:r>
      <w:r w:rsidRPr="000F0E01">
        <w:rPr>
          <w:sz w:val="22"/>
          <w:szCs w:val="22"/>
        </w:rPr>
        <w:t xml:space="preserve"> by centering students’ learning experiences on culture, collaboration, and meaningful connections. The Ecotechnocultural Theory ensures that learners engage with science concepts in ways that reflect their cultural background and everyday realities, making lessons more relatable and motivat</w:t>
      </w:r>
      <w:r w:rsidR="002D2E87" w:rsidRPr="000F0E01">
        <w:rPr>
          <w:sz w:val="22"/>
          <w:szCs w:val="22"/>
        </w:rPr>
        <w:t xml:space="preserve">ing. </w:t>
      </w:r>
      <w:r w:rsidRPr="000F0E01">
        <w:rPr>
          <w:sz w:val="22"/>
          <w:szCs w:val="22"/>
        </w:rPr>
        <w:t>Supporting this, Vygotsky’s Social Constructivist Theory emphasizes peer interaction and teacher guidance, showing that biology students learn best when they collaborate and build knowledge togethe</w:t>
      </w:r>
      <w:r w:rsidR="002D2E87" w:rsidRPr="000F0E01">
        <w:rPr>
          <w:sz w:val="22"/>
          <w:szCs w:val="22"/>
        </w:rPr>
        <w:t>r</w:t>
      </w:r>
      <w:r w:rsidRPr="000F0E01">
        <w:rPr>
          <w:sz w:val="22"/>
          <w:szCs w:val="22"/>
        </w:rPr>
        <w:t>. Meanwhile, Ausubel’s Subsumption Theory highlights the importance of linking new ideas to what students already know, helping them mo</w:t>
      </w:r>
      <w:r w:rsidR="00FE19E4" w:rsidRPr="000F0E01">
        <w:rPr>
          <w:sz w:val="22"/>
          <w:szCs w:val="22"/>
        </w:rPr>
        <w:t>ve beyond memorization to meaningful</w:t>
      </w:r>
      <w:r w:rsidRPr="000F0E01">
        <w:rPr>
          <w:sz w:val="22"/>
          <w:szCs w:val="22"/>
        </w:rPr>
        <w:t xml:space="preserve"> understandin</w:t>
      </w:r>
      <w:r w:rsidR="002D2E87" w:rsidRPr="000F0E01">
        <w:rPr>
          <w:sz w:val="22"/>
          <w:szCs w:val="22"/>
        </w:rPr>
        <w:t>g</w:t>
      </w:r>
      <w:r w:rsidRPr="000F0E01">
        <w:rPr>
          <w:sz w:val="22"/>
          <w:szCs w:val="22"/>
        </w:rPr>
        <w:t>. Therefore, these theories make CTCA 2.0 a student-centered approach that promotes active participation and could enhance process skills acquisition through connecting cultural context, social collaboration, and meani</w:t>
      </w:r>
      <w:r w:rsidR="002D2E87" w:rsidRPr="000F0E01">
        <w:rPr>
          <w:sz w:val="22"/>
          <w:szCs w:val="22"/>
        </w:rPr>
        <w:t>ngful learning</w:t>
      </w:r>
      <w:r w:rsidRPr="000F0E01">
        <w:rPr>
          <w:sz w:val="22"/>
          <w:szCs w:val="22"/>
        </w:rPr>
        <w:t>.</w:t>
      </w:r>
    </w:p>
    <w:p w:rsidR="00FE4A15" w:rsidRPr="000F0E01" w:rsidRDefault="00C5160C" w:rsidP="00DD0E31">
      <w:pPr>
        <w:pStyle w:val="NormalWeb"/>
        <w:numPr>
          <w:ilvl w:val="0"/>
          <w:numId w:val="19"/>
        </w:numPr>
        <w:tabs>
          <w:tab w:val="left" w:pos="8460"/>
        </w:tabs>
        <w:ind w:right="720"/>
        <w:jc w:val="both"/>
        <w:rPr>
          <w:b/>
          <w:sz w:val="22"/>
          <w:szCs w:val="22"/>
        </w:rPr>
      </w:pPr>
      <w:bookmarkStart w:id="10" w:name="_Toc527106519"/>
      <w:bookmarkStart w:id="11" w:name="_Toc205553389"/>
      <w:bookmarkStart w:id="12" w:name="_Toc216603845"/>
      <w:bookmarkEnd w:id="5"/>
      <w:bookmarkEnd w:id="8"/>
      <w:bookmarkEnd w:id="9"/>
      <w:r w:rsidRPr="000F0E01">
        <w:rPr>
          <w:b/>
          <w:sz w:val="22"/>
          <w:szCs w:val="22"/>
        </w:rPr>
        <w:t>Metho</w:t>
      </w:r>
      <w:bookmarkEnd w:id="10"/>
      <w:bookmarkEnd w:id="11"/>
      <w:bookmarkEnd w:id="12"/>
      <w:r w:rsidRPr="000F0E01">
        <w:rPr>
          <w:b/>
          <w:sz w:val="22"/>
          <w:szCs w:val="22"/>
        </w:rPr>
        <w:t>d</w:t>
      </w:r>
      <w:r w:rsidR="009468D3" w:rsidRPr="000F0E01">
        <w:rPr>
          <w:b/>
          <w:sz w:val="22"/>
          <w:szCs w:val="22"/>
        </w:rPr>
        <w:t>ology</w:t>
      </w:r>
    </w:p>
    <w:p w:rsidR="009468D3" w:rsidRPr="000F0E01" w:rsidRDefault="009468D3" w:rsidP="00021251">
      <w:pPr>
        <w:tabs>
          <w:tab w:val="left" w:pos="8460"/>
        </w:tabs>
        <w:ind w:left="90" w:right="720"/>
        <w:jc w:val="both"/>
        <w:rPr>
          <w:rFonts w:ascii="Times New Roman" w:hAnsi="Times New Roman" w:cs="Times New Roman"/>
        </w:rPr>
      </w:pPr>
      <w:bookmarkStart w:id="13" w:name="_Toc527106525"/>
      <w:bookmarkStart w:id="14" w:name="_Toc216603850"/>
      <w:bookmarkStart w:id="15" w:name="_Toc133885574"/>
      <w:r w:rsidRPr="000F0E01">
        <w:rPr>
          <w:rFonts w:ascii="Times New Roman" w:hAnsi="Times New Roman" w:cs="Times New Roman"/>
        </w:rPr>
        <w:t>This study employed a non-randomized pre-test, post-test quasi-experimental with a 2x2 factorial design consisting of the two levels of instructional approach (CTCA 2.0 and conventional lecture method). The study was conducted among 227 biology students from Senior Seconda</w:t>
      </w:r>
      <w:r w:rsidR="0083179A" w:rsidRPr="000F0E01">
        <w:rPr>
          <w:rFonts w:ascii="Times New Roman" w:hAnsi="Times New Roman" w:cs="Times New Roman"/>
        </w:rPr>
        <w:t>ry II (SS II) in two randomly</w:t>
      </w:r>
      <w:r w:rsidRPr="000F0E01">
        <w:rPr>
          <w:rFonts w:ascii="Times New Roman" w:hAnsi="Times New Roman" w:cs="Times New Roman"/>
        </w:rPr>
        <w:t xml:space="preserve"> selected senior secondary schools within Education District I, Lagos State, Nigeria. </w:t>
      </w:r>
      <w:r w:rsidR="00095F12" w:rsidRPr="000F0E01">
        <w:rPr>
          <w:rFonts w:ascii="Times New Roman" w:hAnsi="Times New Roman" w:cs="Times New Roman"/>
        </w:rPr>
        <w:t>This was possible because t</w:t>
      </w:r>
      <w:r w:rsidRPr="000F0E01">
        <w:rPr>
          <w:rFonts w:ascii="Times New Roman" w:hAnsi="Times New Roman" w:cs="Times New Roman"/>
        </w:rPr>
        <w:t xml:space="preserve">he selected schools shared similar characteristics in terms of </w:t>
      </w:r>
      <w:r w:rsidR="0095057D" w:rsidRPr="000F0E01">
        <w:rPr>
          <w:rFonts w:ascii="Times New Roman" w:eastAsia="Times New Roman" w:hAnsi="Times New Roman" w:cs="Times New Roman"/>
        </w:rPr>
        <w:t>teachers’ qualification and quality control</w:t>
      </w:r>
      <w:r w:rsidRPr="000F0E01">
        <w:rPr>
          <w:rFonts w:ascii="Times New Roman" w:eastAsia="Times New Roman" w:hAnsi="Times New Roman" w:cs="Times New Roman"/>
        </w:rPr>
        <w:t xml:space="preserve">, students’ population and geographic location </w:t>
      </w:r>
      <w:r w:rsidRPr="000F0E01">
        <w:rPr>
          <w:rFonts w:ascii="Times New Roman" w:hAnsi="Times New Roman" w:cs="Times New Roman"/>
        </w:rPr>
        <w:t>within two distinct zones of the di</w:t>
      </w:r>
      <w:r w:rsidR="00095F12" w:rsidRPr="000F0E01">
        <w:rPr>
          <w:rFonts w:ascii="Times New Roman" w:hAnsi="Times New Roman" w:cs="Times New Roman"/>
        </w:rPr>
        <w:t>strict</w:t>
      </w:r>
      <w:r w:rsidRPr="000F0E01">
        <w:rPr>
          <w:rFonts w:ascii="Times New Roman" w:hAnsi="Times New Roman" w:cs="Times New Roman"/>
        </w:rPr>
        <w:t>.  One school was designated as the experimental</w:t>
      </w:r>
      <w:r w:rsidR="00095F12" w:rsidRPr="000F0E01">
        <w:rPr>
          <w:rFonts w:ascii="Times New Roman" w:hAnsi="Times New Roman" w:cs="Times New Roman"/>
        </w:rPr>
        <w:t xml:space="preserve"> group, implementing the CTCA 2.0</w:t>
      </w:r>
      <w:r w:rsidRPr="000F0E01">
        <w:rPr>
          <w:rFonts w:ascii="Times New Roman" w:hAnsi="Times New Roman" w:cs="Times New Roman"/>
        </w:rPr>
        <w:t xml:space="preserve"> while the other served as the control group, using the</w:t>
      </w:r>
      <w:r w:rsidR="00095F12" w:rsidRPr="000F0E01">
        <w:rPr>
          <w:rFonts w:ascii="Times New Roman" w:hAnsi="Times New Roman" w:cs="Times New Roman"/>
        </w:rPr>
        <w:t xml:space="preserve"> conventional</w:t>
      </w:r>
      <w:r w:rsidRPr="000F0E01">
        <w:rPr>
          <w:rFonts w:ascii="Times New Roman" w:hAnsi="Times New Roman" w:cs="Times New Roman"/>
        </w:rPr>
        <w:t xml:space="preserve"> lecture method. Each of the groups was an intact class as randomisation was not feasible du</w:t>
      </w:r>
      <w:r w:rsidR="00095F12" w:rsidRPr="000F0E01">
        <w:rPr>
          <w:rFonts w:ascii="Times New Roman" w:hAnsi="Times New Roman" w:cs="Times New Roman"/>
        </w:rPr>
        <w:t xml:space="preserve">e to </w:t>
      </w:r>
      <w:r w:rsidRPr="000F0E01">
        <w:rPr>
          <w:rFonts w:ascii="Times New Roman" w:hAnsi="Times New Roman" w:cs="Times New Roman"/>
        </w:rPr>
        <w:t>administrative regulations. The ex</w:t>
      </w:r>
      <w:r w:rsidR="00095F12" w:rsidRPr="000F0E01">
        <w:rPr>
          <w:rFonts w:ascii="Times New Roman" w:hAnsi="Times New Roman" w:cs="Times New Roman"/>
        </w:rPr>
        <w:t>perimental group consisted of 113 students and the control group had 114 students</w:t>
      </w:r>
      <w:r w:rsidRPr="000F0E01">
        <w:rPr>
          <w:rFonts w:ascii="Times New Roman" w:hAnsi="Times New Roman" w:cs="Times New Roman"/>
        </w:rPr>
        <w:t xml:space="preserve">, (see </w:t>
      </w:r>
      <w:r w:rsidR="00095F12" w:rsidRPr="000F0E01">
        <w:rPr>
          <w:rFonts w:ascii="Times New Roman" w:hAnsi="Times New Roman" w:cs="Times New Roman"/>
        </w:rPr>
        <w:t xml:space="preserve">Figure </w:t>
      </w:r>
      <w:r w:rsidRPr="000F0E01">
        <w:rPr>
          <w:rFonts w:ascii="Times New Roman" w:hAnsi="Times New Roman" w:cs="Times New Roman"/>
        </w:rPr>
        <w:t xml:space="preserve">1). </w:t>
      </w:r>
    </w:p>
    <w:p w:rsidR="007F364C" w:rsidRPr="000F0E01" w:rsidRDefault="007F364C" w:rsidP="007F364C">
      <w:pPr>
        <w:pStyle w:val="Caption"/>
        <w:tabs>
          <w:tab w:val="left" w:pos="8460"/>
        </w:tabs>
        <w:ind w:left="90" w:right="720" w:firstLine="0"/>
        <w:rPr>
          <w:sz w:val="22"/>
          <w:szCs w:val="22"/>
        </w:rPr>
      </w:pPr>
      <w:bookmarkStart w:id="16" w:name="_Toc216546784"/>
      <w:r w:rsidRPr="000F0E01">
        <w:rPr>
          <w:sz w:val="22"/>
          <w:szCs w:val="22"/>
        </w:rPr>
        <w:t xml:space="preserve">Figure 1: </w:t>
      </w:r>
      <w:bookmarkEnd w:id="16"/>
      <w:r w:rsidRPr="000F0E01">
        <w:rPr>
          <w:sz w:val="22"/>
          <w:szCs w:val="22"/>
        </w:rPr>
        <w:t>Participants in the experimental and the control groups</w:t>
      </w:r>
    </w:p>
    <w:p w:rsidR="009468D3" w:rsidRPr="000F0E01" w:rsidRDefault="009468D3" w:rsidP="00021251">
      <w:pPr>
        <w:tabs>
          <w:tab w:val="left" w:pos="8460"/>
        </w:tabs>
        <w:spacing w:after="0" w:line="240" w:lineRule="auto"/>
        <w:ind w:left="90" w:right="720"/>
      </w:pPr>
    </w:p>
    <w:p w:rsidR="00095F12" w:rsidRPr="000F0E01" w:rsidRDefault="003E24A3" w:rsidP="00021251">
      <w:pPr>
        <w:tabs>
          <w:tab w:val="left" w:pos="8460"/>
        </w:tabs>
        <w:spacing w:line="240" w:lineRule="auto"/>
        <w:ind w:left="90" w:right="720"/>
        <w:jc w:val="both"/>
        <w:rPr>
          <w:rFonts w:ascii="Times New Roman" w:hAnsi="Times New Roman" w:cs="Times New Roman"/>
          <w:noProof/>
          <w:lang w:val="en-GB"/>
        </w:rPr>
      </w:pPr>
      <w:bookmarkStart w:id="17" w:name="_Toc527106526"/>
      <w:bookmarkEnd w:id="13"/>
      <w:bookmarkEnd w:id="14"/>
      <w:r w:rsidRPr="000F0E01">
        <w:rPr>
          <w:rFonts w:ascii="Times New Roman" w:hAnsi="Times New Roman" w:cs="Times New Roman"/>
          <w:noProof/>
        </w:rPr>
        <w:drawing>
          <wp:anchor distT="0" distB="0" distL="114300" distR="114300" simplePos="0" relativeHeight="251665408" behindDoc="0" locked="0" layoutInCell="1" allowOverlap="1" wp14:anchorId="2EB34A39" wp14:editId="2F33437A">
            <wp:simplePos x="0" y="0"/>
            <wp:positionH relativeFrom="column">
              <wp:posOffset>863600</wp:posOffset>
            </wp:positionH>
            <wp:positionV relativeFrom="paragraph">
              <wp:posOffset>38100</wp:posOffset>
            </wp:positionV>
            <wp:extent cx="4178300" cy="2668270"/>
            <wp:effectExtent l="0" t="0" r="12700" b="1778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095F12" w:rsidRPr="000F0E01" w:rsidRDefault="00095F12" w:rsidP="00021251">
      <w:pPr>
        <w:tabs>
          <w:tab w:val="left" w:pos="8460"/>
        </w:tabs>
        <w:ind w:left="90" w:right="720"/>
        <w:rPr>
          <w:rFonts w:ascii="Times New Roman" w:hAnsi="Times New Roman" w:cs="Times New Roman"/>
          <w:lang w:val="en-GB"/>
        </w:rPr>
      </w:pPr>
    </w:p>
    <w:p w:rsidR="00095F12" w:rsidRPr="000F0E01" w:rsidRDefault="00095F12" w:rsidP="00021251">
      <w:pPr>
        <w:tabs>
          <w:tab w:val="left" w:pos="8460"/>
        </w:tabs>
        <w:ind w:left="90" w:right="720"/>
        <w:rPr>
          <w:rFonts w:ascii="Times New Roman" w:hAnsi="Times New Roman" w:cs="Times New Roman"/>
          <w:lang w:val="en-GB"/>
        </w:rPr>
      </w:pPr>
    </w:p>
    <w:p w:rsidR="00095F12" w:rsidRPr="000F0E01" w:rsidRDefault="00095F12" w:rsidP="00021251">
      <w:pPr>
        <w:tabs>
          <w:tab w:val="left" w:pos="8460"/>
        </w:tabs>
        <w:ind w:left="90" w:right="720"/>
        <w:rPr>
          <w:rFonts w:ascii="Times New Roman" w:hAnsi="Times New Roman" w:cs="Times New Roman"/>
          <w:lang w:val="en-GB"/>
        </w:rPr>
      </w:pPr>
    </w:p>
    <w:p w:rsidR="00095F12" w:rsidRPr="000F0E01" w:rsidRDefault="00095F12" w:rsidP="00021251">
      <w:pPr>
        <w:tabs>
          <w:tab w:val="left" w:pos="8460"/>
        </w:tabs>
        <w:spacing w:line="240" w:lineRule="auto"/>
        <w:ind w:left="90" w:right="720"/>
        <w:jc w:val="both"/>
        <w:rPr>
          <w:rFonts w:ascii="Times New Roman" w:hAnsi="Times New Roman" w:cs="Times New Roman"/>
          <w:noProof/>
          <w:lang w:val="en-GB"/>
        </w:rPr>
      </w:pPr>
    </w:p>
    <w:p w:rsidR="00FE4A15" w:rsidRPr="000F0E01" w:rsidRDefault="00095F12" w:rsidP="00021251">
      <w:pPr>
        <w:tabs>
          <w:tab w:val="left" w:pos="8460"/>
        </w:tabs>
        <w:spacing w:line="240" w:lineRule="auto"/>
        <w:ind w:left="90" w:right="720"/>
        <w:jc w:val="both"/>
        <w:rPr>
          <w:rFonts w:ascii="Times New Roman" w:hAnsi="Times New Roman" w:cs="Times New Roman"/>
          <w:noProof/>
          <w:lang w:val="en-GB"/>
        </w:rPr>
      </w:pPr>
      <w:r w:rsidRPr="000F0E01">
        <w:rPr>
          <w:rFonts w:ascii="Times New Roman" w:hAnsi="Times New Roman" w:cs="Times New Roman"/>
          <w:noProof/>
          <w:lang w:val="en-GB"/>
        </w:rPr>
        <w:br w:type="textWrapping" w:clear="all"/>
      </w:r>
    </w:p>
    <w:bookmarkEnd w:id="17"/>
    <w:p w:rsidR="00FE4A15" w:rsidRPr="000F0E01" w:rsidRDefault="00FE4A15" w:rsidP="00021251">
      <w:pPr>
        <w:tabs>
          <w:tab w:val="left" w:pos="8460"/>
        </w:tabs>
        <w:spacing w:line="240" w:lineRule="auto"/>
        <w:ind w:left="90" w:right="720"/>
        <w:jc w:val="both"/>
        <w:rPr>
          <w:rFonts w:ascii="Times New Roman" w:hAnsi="Times New Roman" w:cs="Times New Roman"/>
          <w:lang w:val="en-GB"/>
        </w:rPr>
      </w:pPr>
      <w:r w:rsidRPr="000F0E01">
        <w:rPr>
          <w:rFonts w:ascii="Times New Roman" w:hAnsi="Times New Roman" w:cs="Times New Roman"/>
          <w:lang w:val="en-GB"/>
        </w:rPr>
        <w:t xml:space="preserve">The </w:t>
      </w:r>
      <w:r w:rsidR="00D43DE6" w:rsidRPr="000F0E01">
        <w:rPr>
          <w:rFonts w:ascii="Times New Roman" w:hAnsi="Times New Roman" w:cs="Times New Roman"/>
          <w:lang w:val="en-GB"/>
        </w:rPr>
        <w:t>class used for the study (S</w:t>
      </w:r>
      <w:r w:rsidR="004D3CD1" w:rsidRPr="000F0E01">
        <w:rPr>
          <w:rFonts w:ascii="Times New Roman" w:hAnsi="Times New Roman" w:cs="Times New Roman"/>
          <w:lang w:val="en-GB"/>
        </w:rPr>
        <w:t>.</w:t>
      </w:r>
      <w:r w:rsidR="00D43DE6" w:rsidRPr="000F0E01">
        <w:rPr>
          <w:rFonts w:ascii="Times New Roman" w:hAnsi="Times New Roman" w:cs="Times New Roman"/>
          <w:lang w:val="en-GB"/>
        </w:rPr>
        <w:t>S</w:t>
      </w:r>
      <w:r w:rsidR="004D3CD1" w:rsidRPr="000F0E01">
        <w:rPr>
          <w:rFonts w:ascii="Times New Roman" w:hAnsi="Times New Roman" w:cs="Times New Roman"/>
          <w:lang w:val="en-GB"/>
        </w:rPr>
        <w:t>.S</w:t>
      </w:r>
      <w:r w:rsidR="00D43DE6" w:rsidRPr="000F0E01">
        <w:rPr>
          <w:rFonts w:ascii="Times New Roman" w:hAnsi="Times New Roman" w:cs="Times New Roman"/>
          <w:lang w:val="en-GB"/>
        </w:rPr>
        <w:t xml:space="preserve"> II) was chosen because the students </w:t>
      </w:r>
      <w:r w:rsidRPr="000F0E01">
        <w:rPr>
          <w:rFonts w:ascii="Times New Roman" w:hAnsi="Times New Roman" w:cs="Times New Roman"/>
          <w:lang w:val="en-GB"/>
        </w:rPr>
        <w:t>have become stabilised with the school routines and are not yet distracted by the preparations for terminal examinations (WAEC and NECO). Also, the national Biology curriculum covers the topic (digestive system) in the second term of S.S.S. II (NERDC, 2017). It was assumed that these students would have already been taught nutrition and classes of food in S.S.S I, and this prior knowledge served as their entry behaviour for the le</w:t>
      </w:r>
      <w:r w:rsidR="00D43DE6" w:rsidRPr="000F0E01">
        <w:rPr>
          <w:rFonts w:ascii="Times New Roman" w:hAnsi="Times New Roman" w:cs="Times New Roman"/>
          <w:lang w:val="en-GB"/>
        </w:rPr>
        <w:t xml:space="preserve">ssons on the digestive system.  </w:t>
      </w:r>
      <w:r w:rsidRPr="000F0E01">
        <w:rPr>
          <w:rFonts w:ascii="Times New Roman" w:hAnsi="Times New Roman" w:cs="Times New Roman"/>
          <w:lang w:val="en-GB"/>
        </w:rPr>
        <w:t xml:space="preserve">The digestive system is perceived as difficult by students (Okebukola 2020), and the literature is sparse on cultural practices and indigenous knowledge related to the topic (Adeosun </w:t>
      </w:r>
      <w:r w:rsidRPr="000F0E01">
        <w:rPr>
          <w:rFonts w:ascii="Times New Roman" w:hAnsi="Times New Roman" w:cs="Times New Roman"/>
          <w:i/>
          <w:lang w:val="en-GB"/>
        </w:rPr>
        <w:t>et al</w:t>
      </w:r>
      <w:r w:rsidRPr="000F0E01">
        <w:rPr>
          <w:rFonts w:ascii="Times New Roman" w:hAnsi="Times New Roman" w:cs="Times New Roman"/>
          <w:lang w:val="en-GB"/>
        </w:rPr>
        <w:t xml:space="preserve">., 2022). Additionally, students are often assessed, and their performance on questions relating to the digestive system has consistently fallen below average (WAEC Chief Examiners’ Reports 2016, 2019, 2020 &amp; 2024). </w:t>
      </w:r>
    </w:p>
    <w:p w:rsidR="001C0247" w:rsidRPr="000F0E01" w:rsidRDefault="001C0247" w:rsidP="00021251">
      <w:pPr>
        <w:tabs>
          <w:tab w:val="left" w:pos="8460"/>
        </w:tabs>
        <w:spacing w:before="100" w:beforeAutospacing="1" w:after="100" w:afterAutospacing="1" w:line="240" w:lineRule="auto"/>
        <w:ind w:left="90" w:right="720"/>
        <w:jc w:val="both"/>
        <w:rPr>
          <w:rFonts w:ascii="Times New Roman" w:eastAsia="Times New Roman" w:hAnsi="Times New Roman" w:cs="Times New Roman"/>
        </w:rPr>
      </w:pPr>
      <w:bookmarkStart w:id="18" w:name="_Toc216603868"/>
      <w:r w:rsidRPr="000F0E01">
        <w:rPr>
          <w:rFonts w:ascii="Times New Roman" w:eastAsia="Times New Roman" w:hAnsi="Times New Roman" w:cs="Times New Roman"/>
        </w:rPr>
        <w:t xml:space="preserve">The first instrument employed in the study was the </w:t>
      </w:r>
      <w:r w:rsidRPr="000F0E01">
        <w:rPr>
          <w:rFonts w:ascii="Times New Roman" w:eastAsia="Times New Roman" w:hAnsi="Times New Roman" w:cs="Times New Roman"/>
          <w:bCs/>
        </w:rPr>
        <w:t>Biology Process Skills Acquisition Test (BPSAT)</w:t>
      </w:r>
      <w:r w:rsidRPr="000F0E01">
        <w:rPr>
          <w:rFonts w:ascii="Times New Roman" w:eastAsia="Times New Roman" w:hAnsi="Times New Roman" w:cs="Times New Roman"/>
        </w:rPr>
        <w:t xml:space="preserve">. This tool was designed to measure students’ acquisition of biology process skills in the digestive system. It consisted of 30 multiple-choice items adapted from WAEC Biology questions (2017–2024) and textbooks, each with one correct answer and three distractors. Section A gathered demographic data, while Section B assessed process skills, scored dichotomously (1 for correct, 0 for incorrect). The instrument was validated by a WAEC examiner and a university lecturer, both of whom recommended rewording certain items and expanding the test to 30 questions to ensure comprehensive coverage. Reliability was determined using internal consistency with a pilot group of 30 students, yielding a </w:t>
      </w:r>
      <w:r w:rsidRPr="000F0E01">
        <w:rPr>
          <w:rFonts w:ascii="Times New Roman" w:eastAsia="Times New Roman" w:hAnsi="Times New Roman" w:cs="Times New Roman"/>
          <w:bCs/>
        </w:rPr>
        <w:t>Cronbach’s alpha of 0.81</w:t>
      </w:r>
      <w:r w:rsidRPr="000F0E01">
        <w:rPr>
          <w:rFonts w:ascii="Times New Roman" w:eastAsia="Times New Roman" w:hAnsi="Times New Roman" w:cs="Times New Roman"/>
        </w:rPr>
        <w:t>, which indicates good reliability.</w:t>
      </w:r>
    </w:p>
    <w:p w:rsidR="001C0247" w:rsidRPr="000F0E01" w:rsidRDefault="001C0247" w:rsidP="00021251">
      <w:pPr>
        <w:tabs>
          <w:tab w:val="left" w:pos="8460"/>
        </w:tabs>
        <w:spacing w:before="100" w:beforeAutospacing="1" w:after="100" w:afterAutospacing="1" w:line="240" w:lineRule="auto"/>
        <w:ind w:left="90" w:right="720"/>
        <w:jc w:val="both"/>
        <w:rPr>
          <w:rFonts w:ascii="Times New Roman" w:eastAsia="Times New Roman" w:hAnsi="Times New Roman" w:cs="Times New Roman"/>
        </w:rPr>
      </w:pPr>
      <w:r w:rsidRPr="000F0E01">
        <w:rPr>
          <w:rFonts w:ascii="Times New Roman" w:eastAsia="Times New Roman" w:hAnsi="Times New Roman" w:cs="Times New Roman"/>
        </w:rPr>
        <w:t xml:space="preserve">The second instrument was the </w:t>
      </w:r>
      <w:r w:rsidRPr="000F0E01">
        <w:rPr>
          <w:rFonts w:ascii="Times New Roman" w:eastAsia="Times New Roman" w:hAnsi="Times New Roman" w:cs="Times New Roman"/>
          <w:bCs/>
        </w:rPr>
        <w:t>Process Skills Observation Checklist (PSOC)</w:t>
      </w:r>
      <w:r w:rsidRPr="000F0E01">
        <w:rPr>
          <w:rFonts w:ascii="Times New Roman" w:eastAsia="Times New Roman" w:hAnsi="Times New Roman" w:cs="Times New Roman"/>
        </w:rPr>
        <w:t>. This checklist was developed to assess students’ demonstratio</w:t>
      </w:r>
      <w:r w:rsidR="00FE19E4" w:rsidRPr="000F0E01">
        <w:rPr>
          <w:rFonts w:ascii="Times New Roman" w:eastAsia="Times New Roman" w:hAnsi="Times New Roman" w:cs="Times New Roman"/>
        </w:rPr>
        <w:t xml:space="preserve">n of ten science process skills; </w:t>
      </w:r>
      <w:r w:rsidRPr="000F0E01">
        <w:rPr>
          <w:rFonts w:ascii="Times New Roman" w:eastAsia="Times New Roman" w:hAnsi="Times New Roman" w:cs="Times New Roman"/>
        </w:rPr>
        <w:t xml:space="preserve">observing, classifying, measuring, communicating, inferring, predicting, interpreting data, hypothesising, experimenting, and creating models—during practical lessons. Each behavioural indicator was rated on a five-point Likert scale (1 = Very Low to 5 = Very High). Validation was carried out by a WAEC examiner and a university lecturer, who advised rephrasing items as statements for clarity. Reliability was established through a </w:t>
      </w:r>
      <w:r w:rsidRPr="000F0E01">
        <w:rPr>
          <w:rFonts w:ascii="Times New Roman" w:eastAsia="Times New Roman" w:hAnsi="Times New Roman" w:cs="Times New Roman"/>
          <w:bCs/>
        </w:rPr>
        <w:t>test-retest method</w:t>
      </w:r>
      <w:r w:rsidRPr="000F0E01">
        <w:rPr>
          <w:rFonts w:ascii="Times New Roman" w:eastAsia="Times New Roman" w:hAnsi="Times New Roman" w:cs="Times New Roman"/>
        </w:rPr>
        <w:t xml:space="preserve"> with 30 students over a two-week interval, producing a correlation coefficient of </w:t>
      </w:r>
      <w:r w:rsidRPr="000F0E01">
        <w:rPr>
          <w:rFonts w:ascii="Times New Roman" w:eastAsia="Times New Roman" w:hAnsi="Times New Roman" w:cs="Times New Roman"/>
          <w:bCs/>
        </w:rPr>
        <w:t>0.80</w:t>
      </w:r>
      <w:r w:rsidRPr="000F0E01">
        <w:rPr>
          <w:rFonts w:ascii="Times New Roman" w:eastAsia="Times New Roman" w:hAnsi="Times New Roman" w:cs="Times New Roman"/>
        </w:rPr>
        <w:t>, confirming stability and consistency.</w:t>
      </w:r>
    </w:p>
    <w:bookmarkEnd w:id="18"/>
    <w:p w:rsidR="00FE4A15" w:rsidRPr="000F0E01" w:rsidRDefault="00FE4A15" w:rsidP="00021251">
      <w:pPr>
        <w:tabs>
          <w:tab w:val="left" w:pos="8460"/>
        </w:tabs>
        <w:spacing w:after="0" w:line="240" w:lineRule="auto"/>
        <w:ind w:left="90" w:right="720"/>
        <w:jc w:val="both"/>
        <w:rPr>
          <w:rFonts w:ascii="Times New Roman" w:eastAsia="Times New Roman" w:hAnsi="Times New Roman" w:cs="Times New Roman"/>
          <w:lang w:val="en-GB"/>
        </w:rPr>
      </w:pPr>
      <w:r w:rsidRPr="000F0E01">
        <w:rPr>
          <w:rFonts w:ascii="Times New Roman" w:eastAsia="Times New Roman" w:hAnsi="Times New Roman" w:cs="Times New Roman"/>
          <w:lang w:val="en-GB"/>
        </w:rPr>
        <w:t xml:space="preserve">The study was conducted in accordance with ethical standards, with the </w:t>
      </w:r>
      <w:r w:rsidR="001C0247" w:rsidRPr="000F0E01">
        <w:rPr>
          <w:rFonts w:ascii="Times New Roman" w:eastAsia="Times New Roman" w:hAnsi="Times New Roman" w:cs="Times New Roman"/>
          <w:lang w:val="en-GB"/>
        </w:rPr>
        <w:t xml:space="preserve">clearance letter </w:t>
      </w:r>
      <w:r w:rsidRPr="000F0E01">
        <w:rPr>
          <w:rFonts w:ascii="Times New Roman" w:eastAsia="Times New Roman" w:hAnsi="Times New Roman" w:cs="Times New Roman"/>
          <w:lang w:val="en-GB"/>
        </w:rPr>
        <w:t>obtained from the Lagos State University Research Ethics Committee (LASU-REC). Participants’ safety, respect and informed consent were prioritised throughout the research process. Participation was entirely voluntary, with no coerc</w:t>
      </w:r>
      <w:r w:rsidR="001C0247" w:rsidRPr="000F0E01">
        <w:rPr>
          <w:rFonts w:ascii="Times New Roman" w:eastAsia="Times New Roman" w:hAnsi="Times New Roman" w:cs="Times New Roman"/>
          <w:lang w:val="en-GB"/>
        </w:rPr>
        <w:t xml:space="preserve">ion or undue influence applied. </w:t>
      </w:r>
      <w:r w:rsidRPr="000F0E01">
        <w:rPr>
          <w:rFonts w:ascii="Times New Roman" w:eastAsia="Times New Roman" w:hAnsi="Times New Roman" w:cs="Times New Roman"/>
          <w:lang w:val="en-GB"/>
        </w:rPr>
        <w:t>Before the commencement of the study, each student, and, where applicable, their parents or guardians, received a consent form clearly outlining the purpose of the study, the requirements for participation, potential risks and benefits, and the right to withdraw at any stage without penalty. The researcher’s contact details were provided to add</w:t>
      </w:r>
      <w:r w:rsidR="001C0247" w:rsidRPr="000F0E01">
        <w:rPr>
          <w:rFonts w:ascii="Times New Roman" w:eastAsia="Times New Roman" w:hAnsi="Times New Roman" w:cs="Times New Roman"/>
          <w:lang w:val="en-GB"/>
        </w:rPr>
        <w:t xml:space="preserve">ress any questions or concerns. </w:t>
      </w:r>
      <w:r w:rsidRPr="000F0E01">
        <w:rPr>
          <w:rFonts w:ascii="Times New Roman" w:eastAsia="Times New Roman" w:hAnsi="Times New Roman" w:cs="Times New Roman"/>
          <w:lang w:val="en-GB"/>
        </w:rPr>
        <w:t xml:space="preserve">Given that many participants were minors, parental or guardian consent was required to ensure that students understood the nature of the study and were supported in making informed decisions about participation. Confidentiality and privacy were maintained rigorously. All collected data were securely stored on a password-protected computer, accessible only to the researcher. Participants were assured that personal identifiers would not be disclosed publicly. </w:t>
      </w:r>
    </w:p>
    <w:p w:rsidR="00FE4A15" w:rsidRPr="000F0E01" w:rsidRDefault="00FE4A15" w:rsidP="00021251">
      <w:pPr>
        <w:tabs>
          <w:tab w:val="left" w:pos="8460"/>
        </w:tabs>
        <w:spacing w:after="0" w:line="240" w:lineRule="auto"/>
        <w:ind w:left="90" w:right="720"/>
        <w:jc w:val="both"/>
        <w:rPr>
          <w:rFonts w:ascii="Times New Roman" w:eastAsia="Times New Roman" w:hAnsi="Times New Roman" w:cs="Times New Roman"/>
          <w:lang w:val="en-GB"/>
        </w:rPr>
      </w:pPr>
    </w:p>
    <w:p w:rsidR="001C0247" w:rsidRPr="000F0E01" w:rsidRDefault="001C0247" w:rsidP="00021251">
      <w:pPr>
        <w:tabs>
          <w:tab w:val="left" w:pos="8460"/>
        </w:tabs>
        <w:spacing w:before="100" w:beforeAutospacing="1" w:after="100" w:afterAutospacing="1" w:line="240" w:lineRule="auto"/>
        <w:ind w:left="90" w:right="720"/>
        <w:jc w:val="both"/>
        <w:rPr>
          <w:rFonts w:ascii="Times New Roman" w:eastAsia="Times New Roman" w:hAnsi="Times New Roman" w:cs="Times New Roman"/>
        </w:rPr>
      </w:pPr>
      <w:r w:rsidRPr="000F0E01">
        <w:rPr>
          <w:rFonts w:ascii="Times New Roman" w:eastAsia="Times New Roman" w:hAnsi="Times New Roman" w:cs="Times New Roman"/>
        </w:rPr>
        <w:t>The procedure for data collection was carried out in three phases. First, following the proposal defence, ethical clearance was obtained from the Lagos State University Research Ethics Committee (LASU-REC) through the Head of Department, and permission to access the selected schools was sought from the Lagos State Ministry of Education via Education District One, Agege</w:t>
      </w:r>
      <w:r w:rsidR="004D3CD1" w:rsidRPr="000F0E01">
        <w:rPr>
          <w:rFonts w:ascii="Times New Roman" w:eastAsia="Times New Roman" w:hAnsi="Times New Roman" w:cs="Times New Roman"/>
        </w:rPr>
        <w:t xml:space="preserve"> Lagos</w:t>
      </w:r>
      <w:r w:rsidRPr="000F0E01">
        <w:rPr>
          <w:rFonts w:ascii="Times New Roman" w:eastAsia="Times New Roman" w:hAnsi="Times New Roman" w:cs="Times New Roman"/>
        </w:rPr>
        <w:t>. At each school, the researcher explained the objectives of the study to the principal, the head of the science department, the SSS II Biology teacher, and the students, all of whom participated voluntarily. Second, four Biology teachers from the selected schools were recruited as research assistants and trained over three sessions. These sessions familiarised them with the instructional guides for the Culturo-Techno-Contextual Approach (CTCA 2.0) and the administration of the study instruments, with the researcher and assistants managing activities in both the experimental and control groups. Finally, prior to treatment, the Biology Process Skills Acquisition Test (BPSAT) was administered under uniform conditions, with the researcher supervising the process, distributing test papers, and ensuring adherence to the 40-minute time limit. Students applied process skills such as observing, classifying, predicting, and interpreting data, after which scripts were collected, marked, and scores recorded. The data were coded into Excel and SPSS for subsequent descriptive and inferential analyses.</w:t>
      </w:r>
    </w:p>
    <w:p w:rsidR="00BF02DD" w:rsidRDefault="00E60ED2" w:rsidP="00021251">
      <w:pPr>
        <w:tabs>
          <w:tab w:val="left" w:pos="8460"/>
        </w:tabs>
        <w:spacing w:before="100" w:beforeAutospacing="1" w:after="100" w:afterAutospacing="1" w:line="240" w:lineRule="auto"/>
        <w:ind w:left="90" w:right="720"/>
        <w:jc w:val="both"/>
        <w:rPr>
          <w:rFonts w:ascii="Times New Roman" w:eastAsia="Times New Roman" w:hAnsi="Times New Roman" w:cs="Times New Roman"/>
        </w:rPr>
      </w:pPr>
      <w:r w:rsidRPr="000F0E01">
        <w:rPr>
          <w:rFonts w:ascii="Times New Roman" w:eastAsia="Times New Roman" w:hAnsi="Times New Roman" w:cs="Times New Roman"/>
        </w:rPr>
        <w:t xml:space="preserve">The treatment procedure was implemented in Phase Four, where the experimental group, consisting of both science and non-science students, was taught the digestive system using the </w:t>
      </w:r>
      <w:r w:rsidRPr="000F0E01">
        <w:rPr>
          <w:rFonts w:ascii="Times New Roman" w:eastAsia="Times New Roman" w:hAnsi="Times New Roman" w:cs="Times New Roman"/>
          <w:bCs/>
        </w:rPr>
        <w:t>Culturo-Techno-Contextual Approach 2.0 (CTCA 2.0</w:t>
      </w:r>
      <w:r w:rsidRPr="000F0E01">
        <w:rPr>
          <w:rFonts w:ascii="Times New Roman" w:eastAsia="Times New Roman" w:hAnsi="Times New Roman" w:cs="Times New Roman"/>
          <w:b/>
          <w:bCs/>
        </w:rPr>
        <w:t>)</w:t>
      </w:r>
      <w:r w:rsidRPr="000F0E01">
        <w:rPr>
          <w:rFonts w:ascii="Times New Roman" w:eastAsia="Times New Roman" w:hAnsi="Times New Roman" w:cs="Times New Roman"/>
        </w:rPr>
        <w:t>. T</w:t>
      </w:r>
      <w:r w:rsidR="00BF02DD" w:rsidRPr="000F0E01">
        <w:rPr>
          <w:rFonts w:ascii="Times New Roman" w:eastAsia="Times New Roman" w:hAnsi="Times New Roman" w:cs="Times New Roman"/>
        </w:rPr>
        <w:t>he intervention lasted for five</w:t>
      </w:r>
      <w:r w:rsidRPr="000F0E01">
        <w:rPr>
          <w:rFonts w:ascii="Times New Roman" w:eastAsia="Times New Roman" w:hAnsi="Times New Roman" w:cs="Times New Roman"/>
        </w:rPr>
        <w:t xml:space="preserve"> weeks and followed six instructional steps as</w:t>
      </w:r>
      <w:r w:rsidR="00CB3B9C" w:rsidRPr="000F0E01">
        <w:rPr>
          <w:rFonts w:ascii="Times New Roman" w:eastAsia="Times New Roman" w:hAnsi="Times New Roman" w:cs="Times New Roman"/>
        </w:rPr>
        <w:t xml:space="preserve"> outlined in “Figure 2”</w:t>
      </w:r>
      <w:r w:rsidRPr="000F0E01">
        <w:rPr>
          <w:rFonts w:ascii="Times New Roman" w:eastAsia="Times New Roman" w:hAnsi="Times New Roman" w:cs="Times New Roman"/>
        </w:rPr>
        <w:t>.</w:t>
      </w:r>
    </w:p>
    <w:p w:rsidR="008B50A6" w:rsidRPr="000F0E01" w:rsidRDefault="008B50A6" w:rsidP="008B50A6">
      <w:pPr>
        <w:pStyle w:val="Caption"/>
        <w:tabs>
          <w:tab w:val="left" w:pos="8460"/>
        </w:tabs>
        <w:ind w:left="90" w:right="720" w:firstLine="0"/>
        <w:rPr>
          <w:sz w:val="22"/>
          <w:szCs w:val="22"/>
        </w:rPr>
      </w:pPr>
      <w:r w:rsidRPr="000F0E01">
        <w:rPr>
          <w:sz w:val="22"/>
          <w:szCs w:val="22"/>
        </w:rPr>
        <w:t>Figure 2: Implementation of CTCA 2.0</w:t>
      </w:r>
    </w:p>
    <w:p w:rsidR="008B50A6" w:rsidRPr="000F0E01" w:rsidRDefault="008B50A6" w:rsidP="008B50A6">
      <w:pPr>
        <w:tabs>
          <w:tab w:val="left" w:pos="8460"/>
        </w:tabs>
        <w:spacing w:line="240" w:lineRule="auto"/>
        <w:ind w:left="90" w:right="720"/>
        <w:jc w:val="center"/>
        <w:rPr>
          <w:rFonts w:ascii="Times New Roman" w:hAnsi="Times New Roman" w:cs="Times New Roman"/>
          <w:i/>
          <w:noProof/>
          <w:lang w:val="en-GB"/>
        </w:rPr>
      </w:pPr>
      <w:r w:rsidRPr="000F0E01">
        <w:rPr>
          <w:rFonts w:ascii="Times New Roman" w:hAnsi="Times New Roman" w:cs="Times New Roman"/>
          <w:i/>
          <w:noProof/>
          <w:lang w:val="en-GB"/>
        </w:rPr>
        <w:t>(Ogundowole et al, 2025a)</w:t>
      </w:r>
    </w:p>
    <w:p w:rsidR="00BF02DD" w:rsidRPr="000F0E01" w:rsidRDefault="00BF02DD" w:rsidP="00021251">
      <w:pPr>
        <w:tabs>
          <w:tab w:val="left" w:pos="8460"/>
        </w:tabs>
        <w:spacing w:line="240" w:lineRule="auto"/>
        <w:ind w:left="90" w:right="720"/>
        <w:jc w:val="both"/>
        <w:rPr>
          <w:rFonts w:ascii="Times New Roman" w:hAnsi="Times New Roman" w:cs="Times New Roman"/>
          <w:noProof/>
          <w:lang w:val="en-GB"/>
        </w:rPr>
      </w:pPr>
      <w:r w:rsidRPr="000F0E01">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5CB05FD5" wp14:editId="75595747">
                <wp:simplePos x="0" y="0"/>
                <wp:positionH relativeFrom="column">
                  <wp:posOffset>104775</wp:posOffset>
                </wp:positionH>
                <wp:positionV relativeFrom="paragraph">
                  <wp:posOffset>135255</wp:posOffset>
                </wp:positionV>
                <wp:extent cx="304800" cy="3238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304800" cy="323850"/>
                        </a:xfrm>
                        <a:prstGeom prst="rect">
                          <a:avLst/>
                        </a:prstGeom>
                        <a:solidFill>
                          <a:schemeClr val="lt1"/>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73635" w:rsidRPr="007366C1" w:rsidRDefault="00173635" w:rsidP="00BF02DD">
                            <w:pPr>
                              <w:rPr>
                                <w:sz w:val="36"/>
                              </w:rPr>
                            </w:pPr>
                            <w:r w:rsidRPr="007366C1">
                              <w:rPr>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05FD5" id="_x0000_t202" coordsize="21600,21600" o:spt="202" path="m,l,21600r21600,l21600,xe">
                <v:stroke joinstyle="miter"/>
                <v:path gradientshapeok="t" o:connecttype="rect"/>
              </v:shapetype>
              <v:shape id="Text Box 61" o:spid="_x0000_s1026" type="#_x0000_t202" style="position:absolute;left:0;text-align:left;margin-left:8.25pt;margin-top:10.65pt;width:24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" fillcolor="white [3201]" strokecolor="#f2f2f2 [3052]" strokeweight=".5pt">
                <v:textbox>
                  <w:txbxContent>
                    <w:p w:rsidR="00173635" w:rsidRPr="007366C1" w:rsidRDefault="00173635" w:rsidP="00BF02DD">
                      <w:pPr>
                        <w:rPr>
                          <w:sz w:val="36"/>
                        </w:rPr>
                      </w:pPr>
                      <w:r w:rsidRPr="007366C1">
                        <w:rPr>
                          <w:sz w:val="36"/>
                        </w:rPr>
                        <w:t>1</w:t>
                      </w:r>
                    </w:p>
                  </w:txbxContent>
                </v:textbox>
              </v:shape>
            </w:pict>
          </mc:Fallback>
        </mc:AlternateContent>
      </w:r>
      <w:r w:rsidRPr="000F0E01">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14:anchorId="7F762404" wp14:editId="7250BCF0">
                <wp:simplePos x="0" y="0"/>
                <wp:positionH relativeFrom="column">
                  <wp:posOffset>323850</wp:posOffset>
                </wp:positionH>
                <wp:positionV relativeFrom="paragraph">
                  <wp:posOffset>558800</wp:posOffset>
                </wp:positionV>
                <wp:extent cx="342900" cy="38100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342900" cy="381000"/>
                        </a:xfrm>
                        <a:prstGeom prst="rect">
                          <a:avLst/>
                        </a:prstGeom>
                        <a:solidFill>
                          <a:schemeClr val="lt1"/>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73635" w:rsidRPr="007366C1" w:rsidRDefault="00173635" w:rsidP="00BF02DD">
                            <w:pPr>
                              <w:rPr>
                                <w:sz w:val="36"/>
                              </w:rPr>
                            </w:pPr>
                            <w:r>
                              <w:rPr>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2404" id="Text Box 60" o:spid="_x0000_s1027" type="#_x0000_t202" style="position:absolute;left:0;text-align:left;margin-left:25.5pt;margin-top:44pt;width:27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" fillcolor="white [3201]" strokecolor="#f2f2f2 [3052]" strokeweight=".5pt">
                <v:textbox>
                  <w:txbxContent>
                    <w:p w:rsidR="00173635" w:rsidRPr="007366C1" w:rsidRDefault="00173635" w:rsidP="00BF02DD">
                      <w:pPr>
                        <w:rPr>
                          <w:sz w:val="36"/>
                        </w:rPr>
                      </w:pPr>
                      <w:r>
                        <w:rPr>
                          <w:sz w:val="36"/>
                        </w:rPr>
                        <w:t>2</w:t>
                      </w:r>
                    </w:p>
                  </w:txbxContent>
                </v:textbox>
              </v:shape>
            </w:pict>
          </mc:Fallback>
        </mc:AlternateContent>
      </w:r>
      <w:r w:rsidRPr="000F0E01">
        <w:rPr>
          <w:rFonts w:ascii="Times New Roman" w:eastAsia="Times New Roman" w:hAnsi="Times New Roman" w:cs="Times New Roman"/>
          <w:noProof/>
        </w:rPr>
        <mc:AlternateContent>
          <mc:Choice Requires="wps">
            <w:drawing>
              <wp:anchor distT="0" distB="0" distL="114300" distR="114300" simplePos="0" relativeHeight="251671552" behindDoc="0" locked="0" layoutInCell="1" allowOverlap="1" wp14:anchorId="1E6D3D66" wp14:editId="5FD92F6B">
                <wp:simplePos x="0" y="0"/>
                <wp:positionH relativeFrom="column">
                  <wp:posOffset>428625</wp:posOffset>
                </wp:positionH>
                <wp:positionV relativeFrom="paragraph">
                  <wp:posOffset>992505</wp:posOffset>
                </wp:positionV>
                <wp:extent cx="342900" cy="3429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lt1"/>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73635" w:rsidRPr="007366C1" w:rsidRDefault="00173635" w:rsidP="00BF02DD">
                            <w:pPr>
                              <w:rPr>
                                <w:sz w:val="36"/>
                              </w:rPr>
                            </w:pPr>
                            <w:r>
                              <w:rPr>
                                <w:sz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3D66" id="Text Box 52" o:spid="_x0000_s1028" type="#_x0000_t202" style="position:absolute;left:0;text-align:left;margin-left:33.75pt;margin-top:78.15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" fillcolor="white [3201]" strokecolor="#f2f2f2 [3052]" strokeweight=".5pt">
                <v:textbox>
                  <w:txbxContent>
                    <w:p w:rsidR="00173635" w:rsidRPr="007366C1" w:rsidRDefault="00173635" w:rsidP="00BF02DD">
                      <w:pPr>
                        <w:rPr>
                          <w:sz w:val="36"/>
                        </w:rPr>
                      </w:pPr>
                      <w:r>
                        <w:rPr>
                          <w:sz w:val="36"/>
                        </w:rPr>
                        <w:t>3</w:t>
                      </w:r>
                    </w:p>
                  </w:txbxContent>
                </v:textbox>
              </v:shape>
            </w:pict>
          </mc:Fallback>
        </mc:AlternateContent>
      </w:r>
      <w:r w:rsidRPr="000F0E01">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29FD1302" wp14:editId="6CCF0638">
                <wp:simplePos x="0" y="0"/>
                <wp:positionH relativeFrom="column">
                  <wp:posOffset>475615</wp:posOffset>
                </wp:positionH>
                <wp:positionV relativeFrom="paragraph">
                  <wp:posOffset>1440180</wp:posOffset>
                </wp:positionV>
                <wp:extent cx="295275" cy="3429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95275" cy="342900"/>
                        </a:xfrm>
                        <a:prstGeom prst="rect">
                          <a:avLst/>
                        </a:prstGeom>
                        <a:solidFill>
                          <a:schemeClr val="lt1"/>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73635" w:rsidRPr="007366C1" w:rsidRDefault="00173635" w:rsidP="00BF02DD">
                            <w:pPr>
                              <w:rPr>
                                <w:sz w:val="36"/>
                              </w:rPr>
                            </w:pPr>
                            <w:r>
                              <w:rPr>
                                <w:sz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1302" id="Text Box 51" o:spid="_x0000_s1029" type="#_x0000_t202" style="position:absolute;left:0;text-align:left;margin-left:37.45pt;margin-top:113.4pt;width:23.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" fillcolor="white [3201]" strokecolor="#f2f2f2 [3052]" strokeweight=".5pt">
                <v:textbox>
                  <w:txbxContent>
                    <w:p w:rsidR="00173635" w:rsidRPr="007366C1" w:rsidRDefault="00173635" w:rsidP="00BF02DD">
                      <w:pPr>
                        <w:rPr>
                          <w:sz w:val="36"/>
                        </w:rPr>
                      </w:pPr>
                      <w:r>
                        <w:rPr>
                          <w:sz w:val="36"/>
                        </w:rPr>
                        <w:t>4</w:t>
                      </w:r>
                    </w:p>
                  </w:txbxContent>
                </v:textbox>
              </v:shape>
            </w:pict>
          </mc:Fallback>
        </mc:AlternateContent>
      </w:r>
      <w:r w:rsidRPr="000F0E01">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5D2E9205" wp14:editId="5EA4B76F">
                <wp:simplePos x="0" y="0"/>
                <wp:positionH relativeFrom="column">
                  <wp:posOffset>323850</wp:posOffset>
                </wp:positionH>
                <wp:positionV relativeFrom="paragraph">
                  <wp:posOffset>1878330</wp:posOffset>
                </wp:positionV>
                <wp:extent cx="342900" cy="35242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342900" cy="352425"/>
                        </a:xfrm>
                        <a:prstGeom prst="rect">
                          <a:avLst/>
                        </a:prstGeom>
                        <a:solidFill>
                          <a:schemeClr val="lt1"/>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73635" w:rsidRPr="007366C1" w:rsidRDefault="00173635" w:rsidP="00BF02DD">
                            <w:pPr>
                              <w:rPr>
                                <w:sz w:val="36"/>
                              </w:rPr>
                            </w:pPr>
                            <w:r>
                              <w:rPr>
                                <w:sz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E9205" id="Text Box 50" o:spid="_x0000_s1030" type="#_x0000_t202" style="position:absolute;left:0;text-align:left;margin-left:25.5pt;margin-top:147.9pt;width:27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" fillcolor="white [3201]" strokecolor="#f2f2f2 [3052]" strokeweight=".5pt">
                <v:textbox>
                  <w:txbxContent>
                    <w:p w:rsidR="00173635" w:rsidRPr="007366C1" w:rsidRDefault="00173635" w:rsidP="00BF02DD">
                      <w:pPr>
                        <w:rPr>
                          <w:sz w:val="36"/>
                        </w:rPr>
                      </w:pPr>
                      <w:r>
                        <w:rPr>
                          <w:sz w:val="36"/>
                        </w:rPr>
                        <w:t>5</w:t>
                      </w:r>
                    </w:p>
                  </w:txbxContent>
                </v:textbox>
              </v:shape>
            </w:pict>
          </mc:Fallback>
        </mc:AlternateContent>
      </w:r>
      <w:r w:rsidRPr="000F0E01">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701E138F" wp14:editId="4CE146EA">
                <wp:simplePos x="0" y="0"/>
                <wp:positionH relativeFrom="column">
                  <wp:posOffset>123825</wp:posOffset>
                </wp:positionH>
                <wp:positionV relativeFrom="paragraph">
                  <wp:posOffset>2320925</wp:posOffset>
                </wp:positionV>
                <wp:extent cx="295275" cy="3905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295275" cy="390525"/>
                        </a:xfrm>
                        <a:prstGeom prst="rect">
                          <a:avLst/>
                        </a:prstGeom>
                        <a:solidFill>
                          <a:schemeClr val="lt1"/>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73635" w:rsidRPr="007366C1" w:rsidRDefault="00173635" w:rsidP="00BF02DD">
                            <w:pPr>
                              <w:rPr>
                                <w:sz w:val="36"/>
                              </w:rPr>
                            </w:pPr>
                            <w:r>
                              <w:rPr>
                                <w:sz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138F" id="Text Box 45" o:spid="_x0000_s1031" type="#_x0000_t202" style="position:absolute;left:0;text-align:left;margin-left:9.75pt;margin-top:182.75pt;width:23.2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" fillcolor="white [3201]" strokecolor="#f2f2f2 [3052]" strokeweight=".5pt">
                <v:textbox>
                  <w:txbxContent>
                    <w:p w:rsidR="00173635" w:rsidRPr="007366C1" w:rsidRDefault="00173635" w:rsidP="00BF02DD">
                      <w:pPr>
                        <w:rPr>
                          <w:sz w:val="36"/>
                        </w:rPr>
                      </w:pPr>
                      <w:r>
                        <w:rPr>
                          <w:sz w:val="36"/>
                        </w:rPr>
                        <w:t>6</w:t>
                      </w:r>
                    </w:p>
                  </w:txbxContent>
                </v:textbox>
              </v:shape>
            </w:pict>
          </mc:Fallback>
        </mc:AlternateContent>
      </w:r>
      <w:r w:rsidRPr="000F0E01">
        <w:rPr>
          <w:rFonts w:ascii="Times New Roman" w:eastAsia="Times New Roman" w:hAnsi="Times New Roman" w:cs="Times New Roman"/>
          <w:noProof/>
        </w:rPr>
        <w:drawing>
          <wp:inline distT="0" distB="0" distL="0" distR="0" wp14:anchorId="796A637C" wp14:editId="01777C25">
            <wp:extent cx="4944140" cy="2809875"/>
            <wp:effectExtent l="19050" t="0" r="46990" b="0"/>
            <wp:docPr id="1028"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60ED2" w:rsidRPr="000F0E01" w:rsidRDefault="00E60ED2" w:rsidP="00021251">
      <w:pPr>
        <w:tabs>
          <w:tab w:val="left" w:pos="8460"/>
        </w:tabs>
        <w:spacing w:before="100" w:beforeAutospacing="1" w:after="100" w:afterAutospacing="1" w:line="240" w:lineRule="auto"/>
        <w:ind w:left="90" w:right="720"/>
        <w:jc w:val="both"/>
        <w:rPr>
          <w:rFonts w:ascii="Times New Roman" w:eastAsia="Times New Roman" w:hAnsi="Times New Roman" w:cs="Times New Roman"/>
        </w:rPr>
      </w:pPr>
      <w:r w:rsidRPr="000F0E01">
        <w:rPr>
          <w:rFonts w:ascii="Times New Roman" w:eastAsia="Times New Roman" w:hAnsi="Times New Roman" w:cs="Times New Roman"/>
        </w:rPr>
        <w:t>Each lesson period was 40 minutes long, with four lessons conducted per week, resulting in a total of 12 instructional per</w:t>
      </w:r>
      <w:r w:rsidR="00BF02DD" w:rsidRPr="000F0E01">
        <w:rPr>
          <w:rFonts w:ascii="Times New Roman" w:eastAsia="Times New Roman" w:hAnsi="Times New Roman" w:cs="Times New Roman"/>
        </w:rPr>
        <w:t>iods for the experimental group. the steps taken were described stepwise below:</w:t>
      </w:r>
    </w:p>
    <w:p w:rsidR="00FE4A15" w:rsidRPr="000F0E01" w:rsidRDefault="00FE4A15" w:rsidP="00021251">
      <w:pPr>
        <w:tabs>
          <w:tab w:val="left" w:pos="8460"/>
        </w:tabs>
        <w:spacing w:line="240" w:lineRule="auto"/>
        <w:ind w:left="90" w:right="720"/>
        <w:jc w:val="both"/>
        <w:rPr>
          <w:rFonts w:ascii="Times New Roman" w:hAnsi="Times New Roman" w:cs="Times New Roman"/>
          <w:b/>
          <w:lang w:val="en-GB"/>
        </w:rPr>
      </w:pPr>
      <w:r w:rsidRPr="000F0E01">
        <w:rPr>
          <w:rFonts w:ascii="Times New Roman" w:hAnsi="Times New Roman" w:cs="Times New Roman"/>
          <w:b/>
          <w:lang w:val="en-GB"/>
        </w:rPr>
        <w:t>Step 1. Pre-lesson tasks on cultural practi</w:t>
      </w:r>
      <w:r w:rsidR="00032EF0" w:rsidRPr="000F0E01">
        <w:rPr>
          <w:rFonts w:ascii="Times New Roman" w:hAnsi="Times New Roman" w:cs="Times New Roman"/>
          <w:b/>
          <w:lang w:val="en-GB"/>
        </w:rPr>
        <w:t xml:space="preserve">ces and online resources on </w:t>
      </w:r>
      <w:r w:rsidRPr="000F0E01">
        <w:rPr>
          <w:rFonts w:ascii="Times New Roman" w:hAnsi="Times New Roman" w:cs="Times New Roman"/>
          <w:b/>
          <w:lang w:val="en-GB"/>
        </w:rPr>
        <w:t>digestive system</w:t>
      </w:r>
    </w:p>
    <w:p w:rsidR="00FE4A15" w:rsidRPr="000F0E01" w:rsidRDefault="00FE4A15" w:rsidP="00021251">
      <w:pPr>
        <w:tabs>
          <w:tab w:val="left" w:pos="8460"/>
        </w:tabs>
        <w:spacing w:after="100" w:afterAutospacing="1" w:line="240" w:lineRule="auto"/>
        <w:ind w:left="90" w:right="720"/>
        <w:jc w:val="both"/>
        <w:rPr>
          <w:rFonts w:ascii="Times New Roman" w:eastAsia="Times New Roman" w:hAnsi="Times New Roman" w:cs="Times New Roman"/>
          <w:lang w:val="en-GB"/>
        </w:rPr>
      </w:pPr>
      <w:r w:rsidRPr="000F0E01">
        <w:rPr>
          <w:rFonts w:ascii="Times New Roman" w:eastAsia="Times New Roman" w:hAnsi="Times New Roman" w:cs="Times New Roman"/>
          <w:lang w:val="en-GB"/>
        </w:rPr>
        <w:t>The students were required to use digital devices such as mobile phones, tablets, or computers to search for information related to the digest</w:t>
      </w:r>
      <w:r w:rsidR="00CB3B9C" w:rsidRPr="000F0E01">
        <w:rPr>
          <w:rFonts w:ascii="Times New Roman" w:eastAsia="Times New Roman" w:hAnsi="Times New Roman" w:cs="Times New Roman"/>
          <w:lang w:val="en-GB"/>
        </w:rPr>
        <w:t>ive system (see Step 1 in Figure 2</w:t>
      </w:r>
      <w:r w:rsidRPr="000F0E01">
        <w:rPr>
          <w:rFonts w:ascii="Times New Roman" w:eastAsia="Times New Roman" w:hAnsi="Times New Roman" w:cs="Times New Roman"/>
          <w:lang w:val="en-GB"/>
        </w:rPr>
        <w:t xml:space="preserve">). This activity involved engaging with cultural practices, indigenous analogies and metaphors provided by the teacher, which served as the afrocyberlibrary. Second, students were encouraged to consult with family or community members to gather additional cultural practices and indigenous knowledge on the digestive system (indigenous analogies and metaphors were allowed). </w:t>
      </w:r>
    </w:p>
    <w:p w:rsidR="00FE4A15" w:rsidRPr="000F0E01" w:rsidRDefault="00FE4A15" w:rsidP="00021251">
      <w:pPr>
        <w:tabs>
          <w:tab w:val="left" w:pos="8460"/>
        </w:tabs>
        <w:spacing w:line="240" w:lineRule="auto"/>
        <w:ind w:left="90" w:right="720"/>
        <w:jc w:val="both"/>
        <w:rPr>
          <w:rFonts w:ascii="Times New Roman" w:hAnsi="Times New Roman" w:cs="Times New Roman"/>
          <w:b/>
          <w:lang w:val="en-GB"/>
        </w:rPr>
      </w:pPr>
      <w:r w:rsidRPr="000F0E01">
        <w:rPr>
          <w:rFonts w:ascii="Times New Roman" w:hAnsi="Times New Roman" w:cs="Times New Roman"/>
          <w:b/>
          <w:lang w:val="en-GB"/>
        </w:rPr>
        <w:t>Step 2: Beginning of the lesson with a group task on the output generated in Step 1</w:t>
      </w:r>
    </w:p>
    <w:p w:rsidR="00FE4A15" w:rsidRDefault="00FE4A15" w:rsidP="00021251">
      <w:pPr>
        <w:tabs>
          <w:tab w:val="left" w:pos="8460"/>
        </w:tabs>
        <w:spacing w:after="100" w:afterAutospacing="1" w:line="240" w:lineRule="auto"/>
        <w:ind w:left="90" w:right="720"/>
        <w:jc w:val="both"/>
        <w:rPr>
          <w:rFonts w:ascii="Times New Roman" w:eastAsia="Times New Roman" w:hAnsi="Times New Roman" w:cs="Times New Roman"/>
          <w:lang w:val="en-GB"/>
        </w:rPr>
      </w:pPr>
      <w:r w:rsidRPr="000F0E01">
        <w:rPr>
          <w:rFonts w:ascii="Times New Roman" w:eastAsia="Times New Roman" w:hAnsi="Times New Roman" w:cs="Times New Roman"/>
          <w:lang w:val="en-GB"/>
        </w:rPr>
        <w:t>Based on the pre-lesson tasks, the teacher reintroduced the topic and organised the students into mixed-ability and mixed-gender groups, each comprising up to fifte</w:t>
      </w:r>
      <w:r w:rsidR="00CB3B9C" w:rsidRPr="000F0E01">
        <w:rPr>
          <w:rFonts w:ascii="Times New Roman" w:eastAsia="Times New Roman" w:hAnsi="Times New Roman" w:cs="Times New Roman"/>
          <w:lang w:val="en-GB"/>
        </w:rPr>
        <w:t>en members (see Step 2 in Figure 2</w:t>
      </w:r>
      <w:r w:rsidRPr="000F0E01">
        <w:rPr>
          <w:rFonts w:ascii="Times New Roman" w:eastAsia="Times New Roman" w:hAnsi="Times New Roman" w:cs="Times New Roman"/>
          <w:lang w:val="en-GB"/>
        </w:rPr>
        <w:t xml:space="preserve">). In these groups, students shared their findings from the preparatory activities, including summaries on digestive system lessons and cultural/indigenous knowledge obtained from parents or other knowledgeable individuals. Each group leader documented and presented </w:t>
      </w:r>
      <w:r w:rsidR="00CB3B9C" w:rsidRPr="000F0E01">
        <w:rPr>
          <w:rFonts w:ascii="Times New Roman" w:eastAsia="Times New Roman" w:hAnsi="Times New Roman" w:cs="Times New Roman"/>
          <w:lang w:val="en-GB"/>
        </w:rPr>
        <w:t>the group’s findings (see Figure 3</w:t>
      </w:r>
      <w:r w:rsidRPr="000F0E01">
        <w:rPr>
          <w:rFonts w:ascii="Times New Roman" w:eastAsia="Times New Roman" w:hAnsi="Times New Roman" w:cs="Times New Roman"/>
          <w:lang w:val="en-GB"/>
        </w:rPr>
        <w:t xml:space="preserve">), which lasted approximately twelve minutes. The teacher shared additional indigenous knowledge and cultural practices related to digestion. </w:t>
      </w:r>
    </w:p>
    <w:p w:rsidR="00FE4A15" w:rsidRDefault="00FE4A15" w:rsidP="00021251">
      <w:pPr>
        <w:tabs>
          <w:tab w:val="left" w:pos="8460"/>
        </w:tabs>
        <w:spacing w:line="240" w:lineRule="auto"/>
        <w:ind w:left="90" w:right="720"/>
        <w:jc w:val="center"/>
        <w:rPr>
          <w:rFonts w:ascii="Times New Roman" w:hAnsi="Times New Roman" w:cs="Times New Roman"/>
          <w:lang w:val="en-GB"/>
        </w:rPr>
      </w:pPr>
      <w:r w:rsidRPr="000F0E01">
        <w:rPr>
          <w:rFonts w:ascii="Times New Roman" w:hAnsi="Times New Roman" w:cs="Times New Roman"/>
          <w:noProof/>
        </w:rPr>
        <w:drawing>
          <wp:inline distT="0" distB="0" distL="0" distR="0" wp14:anchorId="5FE240BA" wp14:editId="05D9FCA3">
            <wp:extent cx="3428209" cy="1752600"/>
            <wp:effectExtent l="95250" t="95250" r="96520" b="952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0155" cy="17689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16EF8" w:rsidRDefault="00416EF8" w:rsidP="00416EF8">
      <w:pPr>
        <w:pStyle w:val="Caption"/>
        <w:tabs>
          <w:tab w:val="left" w:pos="8460"/>
        </w:tabs>
        <w:ind w:left="90" w:right="720" w:firstLine="0"/>
        <w:rPr>
          <w:sz w:val="22"/>
          <w:szCs w:val="22"/>
        </w:rPr>
      </w:pPr>
      <w:bookmarkStart w:id="19" w:name="_Toc216546790"/>
    </w:p>
    <w:p w:rsidR="00416EF8" w:rsidRPr="000F0E01" w:rsidRDefault="00416EF8" w:rsidP="00416EF8">
      <w:pPr>
        <w:pStyle w:val="Caption"/>
        <w:tabs>
          <w:tab w:val="left" w:pos="8460"/>
        </w:tabs>
        <w:ind w:left="90" w:right="720" w:firstLine="0"/>
        <w:rPr>
          <w:sz w:val="22"/>
          <w:szCs w:val="22"/>
        </w:rPr>
      </w:pPr>
      <w:r w:rsidRPr="000F0E01">
        <w:rPr>
          <w:sz w:val="22"/>
          <w:szCs w:val="22"/>
        </w:rPr>
        <w:t>Figure 3: Group Reports</w:t>
      </w:r>
      <w:bookmarkStart w:id="20" w:name="_GoBack"/>
      <w:bookmarkEnd w:id="19"/>
      <w:bookmarkEnd w:id="20"/>
    </w:p>
    <w:p w:rsidR="00416EF8" w:rsidRPr="000F0E01" w:rsidRDefault="00416EF8" w:rsidP="00021251">
      <w:pPr>
        <w:tabs>
          <w:tab w:val="left" w:pos="8460"/>
        </w:tabs>
        <w:spacing w:line="240" w:lineRule="auto"/>
        <w:ind w:left="90" w:right="720"/>
        <w:jc w:val="center"/>
        <w:rPr>
          <w:rFonts w:ascii="Times New Roman" w:hAnsi="Times New Roman" w:cs="Times New Roman"/>
          <w:lang w:val="en-GB"/>
        </w:rPr>
      </w:pPr>
    </w:p>
    <w:p w:rsidR="00D378B7" w:rsidRPr="000F0E01" w:rsidRDefault="00D378B7" w:rsidP="00021251">
      <w:pPr>
        <w:tabs>
          <w:tab w:val="left" w:pos="8460"/>
        </w:tabs>
        <w:spacing w:line="240" w:lineRule="auto"/>
        <w:ind w:left="90" w:right="720"/>
        <w:jc w:val="both"/>
        <w:rPr>
          <w:rFonts w:ascii="Times New Roman" w:hAnsi="Times New Roman" w:cs="Times New Roman"/>
          <w:b/>
          <w:bCs/>
          <w:lang w:val="en-GB"/>
        </w:rPr>
      </w:pPr>
      <w:r w:rsidRPr="000F0E01">
        <w:rPr>
          <w:rFonts w:ascii="Times New Roman" w:hAnsi="Times New Roman" w:cs="Times New Roman"/>
          <w:b/>
          <w:bCs/>
          <w:lang w:val="en-GB"/>
        </w:rPr>
        <w:t>Step 3: Sprinkle of humour with practical examples</w:t>
      </w:r>
    </w:p>
    <w:p w:rsidR="00D378B7" w:rsidRPr="000F0E01" w:rsidRDefault="00D378B7" w:rsidP="00021251">
      <w:pPr>
        <w:tabs>
          <w:tab w:val="left" w:pos="8460"/>
        </w:tabs>
        <w:spacing w:line="240" w:lineRule="auto"/>
        <w:ind w:left="90" w:right="720"/>
        <w:jc w:val="both"/>
        <w:rPr>
          <w:rFonts w:ascii="Times New Roman" w:hAnsi="Times New Roman" w:cs="Times New Roman"/>
          <w:i/>
          <w:lang w:val="en-GB"/>
        </w:rPr>
      </w:pPr>
      <w:r w:rsidRPr="000F0E01">
        <w:rPr>
          <w:rFonts w:ascii="Times New Roman" w:hAnsi="Times New Roman" w:cs="Times New Roman"/>
          <w:lang w:val="en-GB"/>
        </w:rPr>
        <w:t>The teacher drew practical examples from the school environment with a sprinkle of content-specific humour. Such examples were visible to the students and consolidated learning.</w:t>
      </w:r>
    </w:p>
    <w:p w:rsidR="00D378B7" w:rsidRPr="000F0E01" w:rsidRDefault="00D378B7" w:rsidP="00021251">
      <w:pPr>
        <w:tabs>
          <w:tab w:val="left" w:pos="8460"/>
        </w:tabs>
        <w:spacing w:line="240" w:lineRule="auto"/>
        <w:ind w:left="90" w:right="720"/>
        <w:jc w:val="both"/>
        <w:rPr>
          <w:rFonts w:ascii="Times New Roman" w:hAnsi="Times New Roman" w:cs="Times New Roman"/>
          <w:b/>
          <w:lang w:val="en-GB"/>
        </w:rPr>
      </w:pPr>
      <w:r w:rsidRPr="000F0E01">
        <w:rPr>
          <w:rFonts w:ascii="Times New Roman" w:hAnsi="Times New Roman" w:cs="Times New Roman"/>
          <w:b/>
          <w:lang w:val="en-GB"/>
        </w:rPr>
        <w:t>Step 4: The lesson unfolded with a touch of humour</w:t>
      </w:r>
    </w:p>
    <w:p w:rsidR="00D378B7" w:rsidRPr="000F0E01" w:rsidRDefault="00D378B7" w:rsidP="00021251">
      <w:pPr>
        <w:tabs>
          <w:tab w:val="left" w:pos="8460"/>
        </w:tabs>
        <w:spacing w:line="240" w:lineRule="auto"/>
        <w:ind w:left="90" w:right="720"/>
        <w:jc w:val="both"/>
        <w:rPr>
          <w:rFonts w:ascii="Times New Roman" w:hAnsi="Times New Roman" w:cs="Times New Roman"/>
          <w:lang w:val="en-GB"/>
        </w:rPr>
      </w:pPr>
      <w:r w:rsidRPr="000F0E01">
        <w:rPr>
          <w:rFonts w:ascii="Times New Roman" w:hAnsi="Times New Roman" w:cs="Times New Roman"/>
          <w:lang w:val="en-GB"/>
        </w:rPr>
        <w:t xml:space="preserve">The teacher highlighted the significance of integrating Indigenous knowledge and cultural practices into the lessons. The misconceptions related to cultural beliefs about the digestive system were addressed. </w:t>
      </w:r>
    </w:p>
    <w:p w:rsidR="00D378B7" w:rsidRPr="000F0E01" w:rsidRDefault="00D378B7" w:rsidP="00021251">
      <w:pPr>
        <w:tabs>
          <w:tab w:val="left" w:pos="8460"/>
        </w:tabs>
        <w:spacing w:line="240" w:lineRule="auto"/>
        <w:ind w:left="90" w:right="720"/>
        <w:jc w:val="both"/>
        <w:rPr>
          <w:rFonts w:ascii="Times New Roman" w:hAnsi="Times New Roman" w:cs="Times New Roman"/>
          <w:b/>
          <w:lang w:val="en-GB"/>
        </w:rPr>
      </w:pPr>
      <w:r w:rsidRPr="000F0E01">
        <w:rPr>
          <w:rFonts w:ascii="Times New Roman" w:hAnsi="Times New Roman" w:cs="Times New Roman"/>
          <w:b/>
          <w:lang w:val="en-GB"/>
        </w:rPr>
        <w:t>Step 5: Closing activities, quiz and introduction to the next topic</w:t>
      </w:r>
    </w:p>
    <w:p w:rsidR="00D378B7" w:rsidRPr="000F0E01" w:rsidRDefault="00D378B7" w:rsidP="00021251">
      <w:pPr>
        <w:tabs>
          <w:tab w:val="left" w:pos="8460"/>
        </w:tabs>
        <w:spacing w:after="100" w:afterAutospacing="1" w:line="240" w:lineRule="auto"/>
        <w:ind w:left="90" w:right="720"/>
        <w:jc w:val="both"/>
        <w:rPr>
          <w:rFonts w:ascii="Times New Roman" w:eastAsia="Times New Roman" w:hAnsi="Times New Roman" w:cs="Times New Roman"/>
          <w:lang w:val="en-GB"/>
        </w:rPr>
      </w:pPr>
      <w:r w:rsidRPr="000F0E01">
        <w:rPr>
          <w:rFonts w:ascii="Times New Roman" w:eastAsia="Times New Roman" w:hAnsi="Times New Roman" w:cs="Times New Roman"/>
          <w:lang w:val="en-GB"/>
        </w:rPr>
        <w:t>The teacher assessed students' understanding through group-based tasks. Students discussed the specimens provided and responded to practical questions within their groups, and they were assessed for process skills using the observation</w:t>
      </w:r>
      <w:r w:rsidR="008B50A6">
        <w:rPr>
          <w:rFonts w:ascii="Times New Roman" w:eastAsia="Times New Roman" w:hAnsi="Times New Roman" w:cs="Times New Roman"/>
          <w:lang w:val="en-GB"/>
        </w:rPr>
        <w:t xml:space="preserve"> checklist</w:t>
      </w:r>
      <w:r w:rsidRPr="000F0E01">
        <w:rPr>
          <w:rFonts w:ascii="Times New Roman" w:eastAsia="Times New Roman" w:hAnsi="Times New Roman" w:cs="Times New Roman"/>
          <w:lang w:val="en-GB"/>
        </w:rPr>
        <w:t xml:space="preserve">. </w:t>
      </w:r>
    </w:p>
    <w:p w:rsidR="00D378B7" w:rsidRPr="000F0E01" w:rsidRDefault="00D378B7" w:rsidP="00021251">
      <w:pPr>
        <w:tabs>
          <w:tab w:val="left" w:pos="8460"/>
        </w:tabs>
        <w:spacing w:line="240" w:lineRule="auto"/>
        <w:ind w:left="90" w:right="720"/>
        <w:jc w:val="both"/>
        <w:rPr>
          <w:rFonts w:ascii="Times New Roman" w:hAnsi="Times New Roman" w:cs="Times New Roman"/>
          <w:b/>
          <w:lang w:val="en-GB"/>
        </w:rPr>
      </w:pPr>
      <w:r w:rsidRPr="000F0E01">
        <w:rPr>
          <w:rFonts w:ascii="Times New Roman" w:hAnsi="Times New Roman" w:cs="Times New Roman"/>
          <w:b/>
          <w:lang w:val="en-GB"/>
        </w:rPr>
        <w:t>Step 6: Summary of the lesson</w:t>
      </w:r>
    </w:p>
    <w:p w:rsidR="00D378B7" w:rsidRPr="000F0E01" w:rsidRDefault="00D378B7" w:rsidP="00021251">
      <w:pPr>
        <w:tabs>
          <w:tab w:val="left" w:pos="8460"/>
        </w:tabs>
        <w:spacing w:line="240" w:lineRule="auto"/>
        <w:ind w:left="90" w:right="720"/>
        <w:jc w:val="both"/>
        <w:rPr>
          <w:rFonts w:ascii="Times New Roman" w:hAnsi="Times New Roman" w:cs="Times New Roman"/>
          <w:lang w:val="en-GB"/>
        </w:rPr>
      </w:pPr>
      <w:r w:rsidRPr="000F0E01">
        <w:rPr>
          <w:rFonts w:ascii="Times New Roman" w:hAnsi="Times New Roman" w:cs="Times New Roman"/>
          <w:lang w:val="en-GB"/>
        </w:rPr>
        <w:t xml:space="preserve">After each class, a brief lesson summary was sent to the students via the class </w:t>
      </w:r>
      <w:r w:rsidR="008B50A6">
        <w:rPr>
          <w:rFonts w:ascii="Times New Roman" w:hAnsi="Times New Roman" w:cs="Times New Roman"/>
          <w:lang w:val="en-GB"/>
        </w:rPr>
        <w:t>WhatsApp platform</w:t>
      </w:r>
      <w:r w:rsidRPr="000F0E01">
        <w:rPr>
          <w:rFonts w:ascii="Times New Roman" w:hAnsi="Times New Roman" w:cs="Times New Roman"/>
          <w:lang w:val="en-GB"/>
        </w:rPr>
        <w:t>. This was used as a follow-up on the explanation of the digestive system that was given to the students in the class.</w:t>
      </w:r>
    </w:p>
    <w:p w:rsidR="00D378B7" w:rsidRPr="000F0E01" w:rsidRDefault="00D378B7" w:rsidP="00021251">
      <w:pPr>
        <w:pStyle w:val="NormalWeb"/>
        <w:tabs>
          <w:tab w:val="left" w:pos="8460"/>
        </w:tabs>
        <w:ind w:left="90" w:right="720"/>
        <w:jc w:val="center"/>
        <w:rPr>
          <w:b/>
          <w:sz w:val="22"/>
          <w:szCs w:val="22"/>
          <w:lang w:val="en-GB"/>
        </w:rPr>
      </w:pPr>
      <w:r w:rsidRPr="000F0E01">
        <w:rPr>
          <w:b/>
          <w:sz w:val="22"/>
          <w:szCs w:val="22"/>
          <w:lang w:val="en-GB"/>
        </w:rPr>
        <w:t xml:space="preserve">Some </w:t>
      </w:r>
      <w:r w:rsidR="00FE4A15" w:rsidRPr="000F0E01">
        <w:rPr>
          <w:b/>
          <w:sz w:val="22"/>
          <w:szCs w:val="22"/>
          <w:lang w:val="en-GB"/>
        </w:rPr>
        <w:t>cultural practices, indigenous analogies a</w:t>
      </w:r>
      <w:r w:rsidR="00032EF0" w:rsidRPr="000F0E01">
        <w:rPr>
          <w:b/>
          <w:sz w:val="22"/>
          <w:szCs w:val="22"/>
          <w:lang w:val="en-GB"/>
        </w:rPr>
        <w:t>nd metaphors to exemplify</w:t>
      </w:r>
      <w:r w:rsidR="00FE4A15" w:rsidRPr="000F0E01">
        <w:rPr>
          <w:b/>
          <w:sz w:val="22"/>
          <w:szCs w:val="22"/>
          <w:lang w:val="en-GB"/>
        </w:rPr>
        <w:t xml:space="preserve"> the digestive </w:t>
      </w:r>
      <w:r w:rsidRPr="000F0E01">
        <w:rPr>
          <w:b/>
          <w:sz w:val="22"/>
          <w:szCs w:val="22"/>
          <w:lang w:val="en-GB"/>
        </w:rPr>
        <w:t>system</w:t>
      </w:r>
    </w:p>
    <w:p w:rsidR="00BE050C" w:rsidRPr="000F0E01" w:rsidRDefault="00032EF0" w:rsidP="00021251">
      <w:pPr>
        <w:pStyle w:val="NormalWeb"/>
        <w:tabs>
          <w:tab w:val="left" w:pos="8460"/>
        </w:tabs>
        <w:ind w:left="90" w:right="720"/>
        <w:jc w:val="both"/>
        <w:rPr>
          <w:sz w:val="22"/>
          <w:szCs w:val="22"/>
          <w:lang w:val="en-GB"/>
        </w:rPr>
      </w:pPr>
      <w:r w:rsidRPr="000F0E01">
        <w:rPr>
          <w:sz w:val="22"/>
          <w:szCs w:val="22"/>
          <w:lang w:val="en-GB"/>
        </w:rPr>
        <w:t>At first, t</w:t>
      </w:r>
      <w:r w:rsidR="00FE4A15" w:rsidRPr="000F0E01">
        <w:rPr>
          <w:sz w:val="22"/>
          <w:szCs w:val="22"/>
          <w:lang w:val="en-GB"/>
        </w:rPr>
        <w:t>he grinding stone (</w:t>
      </w:r>
      <w:r w:rsidR="00FE4A15" w:rsidRPr="000F0E01">
        <w:rPr>
          <w:i/>
          <w:sz w:val="22"/>
          <w:szCs w:val="22"/>
          <w:lang w:val="en-GB"/>
        </w:rPr>
        <w:t>“Olo ata”</w:t>
      </w:r>
      <w:r w:rsidR="00FE4A15" w:rsidRPr="000F0E01">
        <w:rPr>
          <w:sz w:val="22"/>
          <w:szCs w:val="22"/>
          <w:lang w:val="en-GB"/>
        </w:rPr>
        <w:t xml:space="preserve"> in Yoruba) </w:t>
      </w:r>
      <w:r w:rsidRPr="000F0E01">
        <w:rPr>
          <w:sz w:val="22"/>
          <w:szCs w:val="22"/>
          <w:lang w:val="en-GB"/>
        </w:rPr>
        <w:t>was used to explain mastication</w:t>
      </w:r>
      <w:r w:rsidR="00FE4A15" w:rsidRPr="000F0E01">
        <w:rPr>
          <w:sz w:val="22"/>
          <w:szCs w:val="22"/>
          <w:lang w:val="en-GB"/>
        </w:rPr>
        <w:t>. A grinding stone is used to grind pepper, grains and other food items. A pestle (</w:t>
      </w:r>
      <w:r w:rsidR="00FE4A15" w:rsidRPr="000F0E01">
        <w:rPr>
          <w:i/>
          <w:sz w:val="22"/>
          <w:szCs w:val="22"/>
          <w:lang w:val="en-GB"/>
        </w:rPr>
        <w:t>Omo olota</w:t>
      </w:r>
      <w:r w:rsidR="00FE4A15" w:rsidRPr="000F0E01">
        <w:rPr>
          <w:sz w:val="22"/>
          <w:szCs w:val="22"/>
          <w:lang w:val="en-GB"/>
        </w:rPr>
        <w:t>) forcefully moves over the peppers on the mortar (</w:t>
      </w:r>
      <w:r w:rsidR="00FE4A15" w:rsidRPr="000F0E01">
        <w:rPr>
          <w:i/>
          <w:sz w:val="22"/>
          <w:szCs w:val="22"/>
          <w:lang w:val="en-GB"/>
        </w:rPr>
        <w:t>Olo</w:t>
      </w:r>
      <w:r w:rsidR="00FE4A15" w:rsidRPr="000F0E01">
        <w:rPr>
          <w:sz w:val="22"/>
          <w:szCs w:val="22"/>
          <w:lang w:val="en-GB"/>
        </w:rPr>
        <w:t>), so the p</w:t>
      </w:r>
      <w:r w:rsidR="00146957">
        <w:rPr>
          <w:sz w:val="22"/>
          <w:szCs w:val="22"/>
          <w:lang w:val="en-GB"/>
        </w:rPr>
        <w:t>eppers change form</w:t>
      </w:r>
      <w:r w:rsidRPr="000F0E01">
        <w:rPr>
          <w:sz w:val="22"/>
          <w:szCs w:val="22"/>
          <w:lang w:val="en-GB"/>
        </w:rPr>
        <w:t xml:space="preserve"> </w:t>
      </w:r>
      <w:r w:rsidR="00FE4A15" w:rsidRPr="000F0E01">
        <w:rPr>
          <w:sz w:val="22"/>
          <w:szCs w:val="22"/>
          <w:lang w:val="en-GB"/>
        </w:rPr>
        <w:t>to fine particles. The parts of the alimentary canal which the grinding stone describes are the mouth (teeth) in mammals and the gizzard in birds.</w:t>
      </w:r>
      <w:r w:rsidR="00BE050C" w:rsidRPr="000F0E01">
        <w:rPr>
          <w:sz w:val="22"/>
          <w:szCs w:val="22"/>
          <w:lang w:val="en-GB"/>
        </w:rPr>
        <w:t xml:space="preserve"> Grinding stones are believed to offer protection against evil spirits and attract prosperity. In some cultures, specific rituals involve grinding herbs to invoke blessings or connect with ancestors. It is also believed that the user’s emotional state can affect the food. While these beliefs may lack scientific backing, they reflect the rich cultural heritage.</w:t>
      </w:r>
    </w:p>
    <w:p w:rsidR="008B50A6" w:rsidRDefault="008B50A6" w:rsidP="008B50A6">
      <w:pPr>
        <w:pStyle w:val="Caption"/>
        <w:tabs>
          <w:tab w:val="left" w:pos="8460"/>
        </w:tabs>
        <w:ind w:left="90" w:right="720" w:firstLine="0"/>
        <w:rPr>
          <w:sz w:val="22"/>
          <w:szCs w:val="22"/>
        </w:rPr>
      </w:pPr>
      <w:bookmarkStart w:id="21" w:name="_Toc216546791"/>
    </w:p>
    <w:p w:rsidR="008B50A6" w:rsidRDefault="008B50A6" w:rsidP="008B50A6">
      <w:pPr>
        <w:pStyle w:val="Caption"/>
        <w:tabs>
          <w:tab w:val="left" w:pos="8460"/>
        </w:tabs>
        <w:ind w:left="90" w:right="720" w:firstLine="0"/>
        <w:rPr>
          <w:sz w:val="22"/>
          <w:szCs w:val="22"/>
        </w:rPr>
      </w:pPr>
    </w:p>
    <w:p w:rsidR="008B50A6" w:rsidRDefault="008B50A6" w:rsidP="008B50A6">
      <w:pPr>
        <w:pStyle w:val="Caption"/>
        <w:tabs>
          <w:tab w:val="left" w:pos="8460"/>
        </w:tabs>
        <w:ind w:left="90" w:right="720" w:firstLine="0"/>
        <w:rPr>
          <w:sz w:val="22"/>
          <w:szCs w:val="22"/>
        </w:rPr>
      </w:pPr>
    </w:p>
    <w:p w:rsidR="008B50A6" w:rsidRDefault="008B50A6" w:rsidP="008B50A6">
      <w:pPr>
        <w:pStyle w:val="Caption"/>
        <w:tabs>
          <w:tab w:val="left" w:pos="8460"/>
        </w:tabs>
        <w:ind w:left="90" w:right="720" w:firstLine="0"/>
        <w:rPr>
          <w:sz w:val="22"/>
          <w:szCs w:val="22"/>
        </w:rPr>
      </w:pPr>
    </w:p>
    <w:p w:rsidR="008B50A6" w:rsidRDefault="008B50A6" w:rsidP="008B50A6">
      <w:pPr>
        <w:pStyle w:val="Caption"/>
        <w:tabs>
          <w:tab w:val="left" w:pos="8460"/>
        </w:tabs>
        <w:ind w:left="90" w:right="720" w:firstLine="0"/>
        <w:rPr>
          <w:sz w:val="22"/>
          <w:szCs w:val="22"/>
        </w:rPr>
      </w:pPr>
    </w:p>
    <w:p w:rsidR="008B50A6" w:rsidRDefault="008B50A6" w:rsidP="008B50A6">
      <w:pPr>
        <w:pStyle w:val="Caption"/>
        <w:tabs>
          <w:tab w:val="left" w:pos="8460"/>
        </w:tabs>
        <w:ind w:left="90" w:right="720" w:firstLine="0"/>
        <w:rPr>
          <w:sz w:val="22"/>
          <w:szCs w:val="22"/>
        </w:rPr>
      </w:pPr>
    </w:p>
    <w:bookmarkEnd w:id="21"/>
    <w:p w:rsidR="00FE4A15" w:rsidRPr="000F0E01" w:rsidRDefault="00FE4A15" w:rsidP="00021251">
      <w:pPr>
        <w:tabs>
          <w:tab w:val="left" w:pos="8460"/>
        </w:tabs>
        <w:spacing w:line="240" w:lineRule="auto"/>
        <w:ind w:left="90" w:right="720"/>
        <w:jc w:val="center"/>
        <w:rPr>
          <w:rFonts w:ascii="Times New Roman" w:eastAsia="Times New Roman" w:hAnsi="Times New Roman" w:cs="Times New Roman"/>
          <w:lang w:val="en-GB"/>
        </w:rPr>
      </w:pPr>
    </w:p>
    <w:p w:rsidR="00BE050C" w:rsidRPr="000F0E01" w:rsidRDefault="00032EF0" w:rsidP="00021251">
      <w:pPr>
        <w:tabs>
          <w:tab w:val="left" w:pos="8460"/>
        </w:tabs>
        <w:spacing w:line="240" w:lineRule="auto"/>
        <w:ind w:left="90" w:right="720"/>
        <w:jc w:val="both"/>
        <w:rPr>
          <w:rFonts w:ascii="Times New Roman" w:hAnsi="Times New Roman" w:cs="Times New Roman"/>
          <w:lang w:val="en-GB"/>
        </w:rPr>
      </w:pPr>
      <w:r w:rsidRPr="000F0E01">
        <w:rPr>
          <w:rFonts w:ascii="Times New Roman" w:eastAsia="Times New Roman" w:hAnsi="Times New Roman" w:cs="Times New Roman"/>
          <w:bCs/>
          <w:lang w:val="en-GB"/>
        </w:rPr>
        <w:t xml:space="preserve">Another </w:t>
      </w:r>
      <w:r w:rsidR="00BE050C" w:rsidRPr="000F0E01">
        <w:rPr>
          <w:rFonts w:ascii="Times New Roman" w:eastAsia="Times New Roman" w:hAnsi="Times New Roman" w:cs="Times New Roman"/>
          <w:bCs/>
          <w:lang w:val="en-GB"/>
        </w:rPr>
        <w:t xml:space="preserve">context specific example used </w:t>
      </w:r>
      <w:r w:rsidRPr="000F0E01">
        <w:rPr>
          <w:rFonts w:ascii="Times New Roman" w:eastAsia="Times New Roman" w:hAnsi="Times New Roman" w:cs="Times New Roman"/>
          <w:bCs/>
          <w:lang w:val="en-GB"/>
        </w:rPr>
        <w:t xml:space="preserve">was </w:t>
      </w:r>
      <w:r w:rsidR="00BE050C" w:rsidRPr="000F0E01">
        <w:rPr>
          <w:rFonts w:ascii="Times New Roman" w:eastAsia="Times New Roman" w:hAnsi="Times New Roman" w:cs="Times New Roman"/>
          <w:bCs/>
          <w:lang w:val="en-GB"/>
        </w:rPr>
        <w:t>okra grater</w:t>
      </w:r>
      <w:r w:rsidR="00BE050C" w:rsidRPr="000F0E01">
        <w:rPr>
          <w:rFonts w:ascii="Times New Roman" w:eastAsia="Times New Roman" w:hAnsi="Times New Roman" w:cs="Times New Roman"/>
          <w:b/>
          <w:bCs/>
          <w:lang w:val="en-GB"/>
        </w:rPr>
        <w:t xml:space="preserve">, </w:t>
      </w:r>
      <w:r w:rsidR="00BE050C" w:rsidRPr="000F0E01">
        <w:rPr>
          <w:rFonts w:ascii="Times New Roman" w:eastAsia="Times New Roman" w:hAnsi="Times New Roman" w:cs="Times New Roman"/>
          <w:bCs/>
          <w:lang w:val="en-GB"/>
        </w:rPr>
        <w:t>t</w:t>
      </w:r>
      <w:r w:rsidR="00FE4A15" w:rsidRPr="000F0E01">
        <w:rPr>
          <w:rFonts w:ascii="Times New Roman" w:hAnsi="Times New Roman" w:cs="Times New Roman"/>
          <w:noProof/>
          <w:lang w:val="en-GB"/>
        </w:rPr>
        <w:t>he use of the okra grater, also known as “irin-la” in Yoruba, explains the breaking down of food.</w:t>
      </w:r>
      <w:r w:rsidR="00FE4A15" w:rsidRPr="000F0E01">
        <w:rPr>
          <w:rFonts w:ascii="Times New Roman" w:hAnsi="Times New Roman" w:cs="Times New Roman"/>
          <w:lang w:val="en-GB"/>
        </w:rPr>
        <w:t xml:space="preserve"> An okra grater is a tool used to shred okra into fine pieces (</w:t>
      </w:r>
      <w:r w:rsidR="00CB3B9C" w:rsidRPr="000F0E01">
        <w:rPr>
          <w:rFonts w:ascii="Times New Roman" w:hAnsi="Times New Roman" w:cs="Times New Roman"/>
          <w:lang w:val="en-GB"/>
        </w:rPr>
        <w:t>see Figure 5</w:t>
      </w:r>
      <w:r w:rsidR="00FE4A15" w:rsidRPr="000F0E01">
        <w:rPr>
          <w:rFonts w:ascii="Times New Roman" w:hAnsi="Times New Roman" w:cs="Times New Roman"/>
          <w:lang w:val="en-GB"/>
        </w:rPr>
        <w:t xml:space="preserve">), making it easier for consumption. It is believed that grated okra aids moistening of the bolus, for easy swallowing through the oesophagus by peristalsis. </w:t>
      </w:r>
      <w:r w:rsidR="00BE050C" w:rsidRPr="000F0E01">
        <w:rPr>
          <w:rFonts w:ascii="Times New Roman" w:hAnsi="Times New Roman" w:cs="Times New Roman"/>
          <w:lang w:val="en-GB"/>
        </w:rPr>
        <w:t>Nevertheless, there are some superstitions about okra grater. Some cultures suggest that using a grater, particularly a new one, without a proper ritual, can lead to loss of wealth, while others believe that using a grater at night can cause domestic disharmony.  While these superstitions can be intriguing, they are not based on scientific evidence.</w:t>
      </w:r>
    </w:p>
    <w:p w:rsidR="008B50A6" w:rsidRPr="000F0E01" w:rsidRDefault="008B50A6" w:rsidP="008B50A6">
      <w:pPr>
        <w:pStyle w:val="Caption"/>
        <w:tabs>
          <w:tab w:val="left" w:pos="8460"/>
        </w:tabs>
        <w:ind w:left="90" w:right="720" w:firstLine="0"/>
        <w:rPr>
          <w:sz w:val="22"/>
          <w:szCs w:val="22"/>
        </w:rPr>
      </w:pPr>
    </w:p>
    <w:p w:rsidR="00BE050C" w:rsidRDefault="00FE4A15" w:rsidP="008B50A6">
      <w:pPr>
        <w:tabs>
          <w:tab w:val="left" w:pos="8460"/>
        </w:tabs>
        <w:spacing w:line="240" w:lineRule="auto"/>
        <w:ind w:left="90" w:right="720"/>
        <w:jc w:val="center"/>
        <w:rPr>
          <w:rFonts w:ascii="Times New Roman" w:hAnsi="Times New Roman" w:cs="Times New Roman"/>
          <w:bCs/>
          <w:lang w:val="en-GB"/>
        </w:rPr>
      </w:pPr>
      <w:r w:rsidRPr="000F0E01">
        <w:rPr>
          <w:rFonts w:ascii="Times New Roman" w:hAnsi="Times New Roman" w:cs="Times New Roman"/>
          <w:noProof/>
        </w:rPr>
        <w:drawing>
          <wp:inline distT="0" distB="0" distL="0" distR="0" wp14:anchorId="31BAE4A4" wp14:editId="69E2484F">
            <wp:extent cx="3180080" cy="1532290"/>
            <wp:effectExtent l="95250" t="95250" r="96520" b="8699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4975" cy="15587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46957" w:rsidRPr="00146957" w:rsidRDefault="00146957" w:rsidP="008B50A6">
      <w:pPr>
        <w:tabs>
          <w:tab w:val="left" w:pos="8460"/>
        </w:tabs>
        <w:spacing w:line="240" w:lineRule="auto"/>
        <w:ind w:left="90" w:right="720"/>
        <w:jc w:val="center"/>
        <w:rPr>
          <w:rFonts w:ascii="Times New Roman" w:hAnsi="Times New Roman" w:cs="Times New Roman"/>
          <w:b/>
          <w:bCs/>
          <w:lang w:val="en-GB"/>
        </w:rPr>
      </w:pPr>
      <w:bookmarkStart w:id="22" w:name="_Toc216546792"/>
      <w:r w:rsidRPr="00146957">
        <w:rPr>
          <w:rFonts w:ascii="Times New Roman" w:hAnsi="Times New Roman" w:cs="Times New Roman"/>
        </w:rPr>
        <w:t>Figure 5: Okra Grater Exemplifying the Concept of Grinding</w:t>
      </w:r>
      <w:bookmarkEnd w:id="22"/>
    </w:p>
    <w:p w:rsidR="00FE4A15" w:rsidRDefault="008A23DD" w:rsidP="00021251">
      <w:pPr>
        <w:pStyle w:val="ListParagraph"/>
        <w:tabs>
          <w:tab w:val="left" w:pos="8460"/>
        </w:tabs>
        <w:spacing w:line="240" w:lineRule="auto"/>
        <w:ind w:left="90" w:right="720"/>
        <w:jc w:val="both"/>
        <w:rPr>
          <w:rFonts w:ascii="Times New Roman" w:hAnsi="Times New Roman" w:cs="Times New Roman"/>
          <w:lang w:val="en-GB"/>
        </w:rPr>
      </w:pPr>
      <w:r w:rsidRPr="000F0E01">
        <w:rPr>
          <w:rFonts w:ascii="Times New Roman" w:hAnsi="Times New Roman" w:cs="Times New Roman"/>
          <w:lang w:val="en-GB"/>
        </w:rPr>
        <w:t xml:space="preserve">Also, mortar </w:t>
      </w:r>
      <w:r w:rsidR="00FE4A15" w:rsidRPr="000F0E01">
        <w:rPr>
          <w:rFonts w:ascii="Times New Roman" w:hAnsi="Times New Roman" w:cs="Times New Roman"/>
          <w:lang w:val="en-GB"/>
        </w:rPr>
        <w:t>and pestle (</w:t>
      </w:r>
      <w:r w:rsidR="00FE4A15" w:rsidRPr="000F0E01">
        <w:rPr>
          <w:rFonts w:ascii="Times New Roman" w:hAnsi="Times New Roman" w:cs="Times New Roman"/>
          <w:i/>
          <w:lang w:val="en-GB"/>
        </w:rPr>
        <w:t>Odo-Iyan in Yoruba</w:t>
      </w:r>
      <w:r w:rsidR="00FE4A15" w:rsidRPr="000F0E01">
        <w:rPr>
          <w:rFonts w:ascii="Times New Roman" w:hAnsi="Times New Roman" w:cs="Times New Roman"/>
          <w:lang w:val="en-GB"/>
        </w:rPr>
        <w:t>) explain</w:t>
      </w:r>
      <w:r w:rsidR="00BE050C" w:rsidRPr="000F0E01">
        <w:rPr>
          <w:rFonts w:ascii="Times New Roman" w:hAnsi="Times New Roman" w:cs="Times New Roman"/>
          <w:lang w:val="en-GB"/>
        </w:rPr>
        <w:t xml:space="preserve">s the process of chewing </w:t>
      </w:r>
      <w:r w:rsidR="00FE4A15" w:rsidRPr="000F0E01">
        <w:rPr>
          <w:rFonts w:ascii="Times New Roman" w:hAnsi="Times New Roman" w:cs="Times New Roman"/>
          <w:lang w:val="en-GB"/>
        </w:rPr>
        <w:t>during digestion. Pounding in a mortar with a pestle breaks down yam int</w:t>
      </w:r>
      <w:r w:rsidR="00BE050C" w:rsidRPr="000F0E01">
        <w:rPr>
          <w:rFonts w:ascii="Times New Roman" w:hAnsi="Times New Roman" w:cs="Times New Roman"/>
          <w:lang w:val="en-GB"/>
        </w:rPr>
        <w:t>o</w:t>
      </w:r>
      <w:r w:rsidR="00CB3B9C" w:rsidRPr="000F0E01">
        <w:rPr>
          <w:rFonts w:ascii="Times New Roman" w:hAnsi="Times New Roman" w:cs="Times New Roman"/>
          <w:lang w:val="en-GB"/>
        </w:rPr>
        <w:t xml:space="preserve"> a uniform texture (see Figure 6</w:t>
      </w:r>
      <w:r w:rsidR="00FE4A15" w:rsidRPr="000F0E01">
        <w:rPr>
          <w:rFonts w:ascii="Times New Roman" w:hAnsi="Times New Roman" w:cs="Times New Roman"/>
          <w:lang w:val="en-GB"/>
        </w:rPr>
        <w:t>), similar to how chewing breaks down food in the mouth into smaller particles. During pounding, water is added to the yam in the mortar to soften them, similar to how saliva mixes with food to soften it.</w:t>
      </w:r>
    </w:p>
    <w:p w:rsidR="008B50A6" w:rsidRDefault="008B50A6" w:rsidP="00021251">
      <w:pPr>
        <w:pStyle w:val="ListParagraph"/>
        <w:tabs>
          <w:tab w:val="left" w:pos="8460"/>
        </w:tabs>
        <w:spacing w:line="240" w:lineRule="auto"/>
        <w:ind w:left="90" w:right="720"/>
        <w:jc w:val="both"/>
        <w:rPr>
          <w:rFonts w:ascii="Times New Roman" w:hAnsi="Times New Roman" w:cs="Times New Roman"/>
          <w:lang w:val="en-GB"/>
        </w:rPr>
      </w:pPr>
    </w:p>
    <w:p w:rsidR="00FE4A15" w:rsidRDefault="00FE4A15" w:rsidP="00021251">
      <w:pPr>
        <w:tabs>
          <w:tab w:val="left" w:pos="8460"/>
        </w:tabs>
        <w:spacing w:line="240" w:lineRule="auto"/>
        <w:ind w:left="90" w:right="720"/>
        <w:jc w:val="center"/>
        <w:rPr>
          <w:rFonts w:ascii="Times New Roman" w:hAnsi="Times New Roman" w:cs="Times New Roman"/>
          <w:bCs/>
          <w:lang w:val="en-GB"/>
        </w:rPr>
      </w:pPr>
      <w:r w:rsidRPr="000F0E01">
        <w:rPr>
          <w:rFonts w:ascii="Times New Roman" w:hAnsi="Times New Roman" w:cs="Times New Roman"/>
          <w:noProof/>
        </w:rPr>
        <w:drawing>
          <wp:inline distT="0" distB="0" distL="0" distR="0" wp14:anchorId="28FCEBA6" wp14:editId="09E8F6D5">
            <wp:extent cx="3333692" cy="1552575"/>
            <wp:effectExtent l="95250" t="95250" r="95885" b="857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4214" cy="15667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46957" w:rsidRDefault="00146957" w:rsidP="00146957">
      <w:pPr>
        <w:pStyle w:val="Caption"/>
        <w:tabs>
          <w:tab w:val="left" w:pos="8460"/>
        </w:tabs>
        <w:ind w:left="90" w:right="720" w:firstLine="0"/>
        <w:rPr>
          <w:sz w:val="22"/>
          <w:szCs w:val="22"/>
        </w:rPr>
      </w:pPr>
      <w:bookmarkStart w:id="23" w:name="_Toc216546795"/>
      <w:r w:rsidRPr="000F0E01">
        <w:rPr>
          <w:sz w:val="22"/>
          <w:szCs w:val="22"/>
        </w:rPr>
        <w:t>Figure 6: Pounding Boiled Yam Showcasing Mastication</w:t>
      </w:r>
      <w:bookmarkEnd w:id="23"/>
    </w:p>
    <w:p w:rsidR="00146957" w:rsidRDefault="00146957" w:rsidP="00021251">
      <w:pPr>
        <w:tabs>
          <w:tab w:val="left" w:pos="8460"/>
        </w:tabs>
        <w:spacing w:after="0" w:line="240" w:lineRule="auto"/>
        <w:ind w:left="90" w:right="720"/>
        <w:jc w:val="both"/>
        <w:rPr>
          <w:rFonts w:ascii="Times New Roman" w:hAnsi="Times New Roman" w:cs="Times New Roman"/>
          <w:lang w:val="en-GB"/>
        </w:rPr>
      </w:pPr>
    </w:p>
    <w:p w:rsidR="00FE4A15" w:rsidRDefault="00FE4A15" w:rsidP="00021251">
      <w:pPr>
        <w:tabs>
          <w:tab w:val="left" w:pos="8460"/>
        </w:tabs>
        <w:spacing w:after="0" w:line="240" w:lineRule="auto"/>
        <w:ind w:left="90" w:right="720"/>
        <w:jc w:val="both"/>
        <w:rPr>
          <w:rFonts w:ascii="Times New Roman" w:hAnsi="Times New Roman" w:cs="Times New Roman"/>
          <w:lang w:val="en-GB"/>
        </w:rPr>
      </w:pPr>
      <w:r w:rsidRPr="000F0E01">
        <w:rPr>
          <w:rFonts w:ascii="Times New Roman" w:hAnsi="Times New Roman" w:cs="Times New Roman"/>
          <w:lang w:val="en-GB"/>
        </w:rPr>
        <w:t>Also</w:t>
      </w:r>
      <w:r w:rsidRPr="000F0E01">
        <w:rPr>
          <w:rFonts w:ascii="Times New Roman" w:hAnsi="Times New Roman" w:cs="Times New Roman"/>
          <w:i/>
          <w:lang w:val="en-GB"/>
        </w:rPr>
        <w:t xml:space="preserve">, </w:t>
      </w:r>
      <w:r w:rsidRPr="000F0E01">
        <w:rPr>
          <w:rFonts w:ascii="Times New Roman" w:hAnsi="Times New Roman" w:cs="Times New Roman"/>
          <w:lang w:val="en-GB"/>
        </w:rPr>
        <w:t>during most festivals in Africa, it is common to feed a large crowd and the food is expected to be timely as one of the ways to respect the elders. The women place iron spoons or nails in p</w:t>
      </w:r>
      <w:r w:rsidR="00CB3B9C" w:rsidRPr="000F0E01">
        <w:rPr>
          <w:rFonts w:ascii="Times New Roman" w:hAnsi="Times New Roman" w:cs="Times New Roman"/>
          <w:lang w:val="en-GB"/>
        </w:rPr>
        <w:t>ots of cooking meat (see Figure 7</w:t>
      </w:r>
      <w:r w:rsidRPr="000F0E01">
        <w:rPr>
          <w:rFonts w:ascii="Times New Roman" w:hAnsi="Times New Roman" w:cs="Times New Roman"/>
          <w:lang w:val="en-GB"/>
        </w:rPr>
        <w:t>) to hasten softening. This symbolises enzymes in breaking down food particles.</w:t>
      </w:r>
    </w:p>
    <w:p w:rsidR="008B50A6" w:rsidRDefault="008B50A6" w:rsidP="00021251">
      <w:pPr>
        <w:tabs>
          <w:tab w:val="left" w:pos="8460"/>
        </w:tabs>
        <w:spacing w:after="0" w:line="240" w:lineRule="auto"/>
        <w:ind w:left="90" w:right="720"/>
        <w:jc w:val="both"/>
        <w:rPr>
          <w:rFonts w:ascii="Times New Roman" w:hAnsi="Times New Roman" w:cs="Times New Roman"/>
          <w:lang w:val="en-GB"/>
        </w:rPr>
      </w:pPr>
    </w:p>
    <w:p w:rsidR="00FE4A15" w:rsidRDefault="00FE4A15" w:rsidP="00021251">
      <w:pPr>
        <w:tabs>
          <w:tab w:val="left" w:pos="8460"/>
        </w:tabs>
        <w:spacing w:line="240" w:lineRule="auto"/>
        <w:ind w:left="90" w:right="720"/>
        <w:jc w:val="center"/>
        <w:rPr>
          <w:rFonts w:ascii="Times New Roman" w:eastAsia="Times New Roman" w:hAnsi="Times New Roman" w:cs="Times New Roman"/>
          <w:bCs/>
          <w:lang w:val="en-GB"/>
        </w:rPr>
      </w:pPr>
      <w:r w:rsidRPr="000F0E01">
        <w:rPr>
          <w:rFonts w:ascii="Times New Roman" w:hAnsi="Times New Roman" w:cs="Times New Roman"/>
          <w:noProof/>
        </w:rPr>
        <w:drawing>
          <wp:inline distT="0" distB="0" distL="0" distR="0" wp14:anchorId="4951ED58" wp14:editId="670B2A00">
            <wp:extent cx="3295650" cy="1485900"/>
            <wp:effectExtent l="95250" t="95250" r="95250" b="95250"/>
            <wp:docPr id="71" name="Picture 7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a:srcRect r="2595" b="3430"/>
                    <a:stretch/>
                  </pic:blipFill>
                  <pic:spPr bwMode="auto">
                    <a:xfrm>
                      <a:off x="0" y="0"/>
                      <a:ext cx="3345026" cy="150816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146957" w:rsidRPr="000F0E01" w:rsidRDefault="00146957" w:rsidP="00146957">
      <w:pPr>
        <w:pStyle w:val="Caption"/>
        <w:tabs>
          <w:tab w:val="left" w:pos="8460"/>
        </w:tabs>
        <w:ind w:left="90" w:right="720" w:firstLine="0"/>
        <w:rPr>
          <w:sz w:val="22"/>
          <w:szCs w:val="22"/>
        </w:rPr>
      </w:pPr>
      <w:bookmarkStart w:id="24" w:name="_Toc216546798"/>
      <w:r w:rsidRPr="000F0E01">
        <w:rPr>
          <w:sz w:val="22"/>
          <w:szCs w:val="22"/>
        </w:rPr>
        <w:t>Figure 7: Action of Digestive Enzymes Being Demonstrated With Iron Nails</w:t>
      </w:r>
      <w:bookmarkEnd w:id="24"/>
    </w:p>
    <w:p w:rsidR="00146957" w:rsidRPr="000F0E01" w:rsidRDefault="00146957" w:rsidP="00146957">
      <w:pPr>
        <w:tabs>
          <w:tab w:val="left" w:pos="8460"/>
        </w:tabs>
        <w:spacing w:line="240" w:lineRule="auto"/>
        <w:ind w:left="90" w:right="720"/>
        <w:jc w:val="center"/>
        <w:rPr>
          <w:rFonts w:ascii="Times New Roman" w:eastAsiaTheme="majorEastAsia" w:hAnsi="Times New Roman" w:cs="Times New Roman"/>
          <w:bCs/>
          <w:lang w:val="en-GB"/>
        </w:rPr>
      </w:pPr>
      <w:hyperlink r:id="rId18" w:history="1">
        <w:r w:rsidRPr="000F0E01">
          <w:rPr>
            <w:rStyle w:val="Hyperlink"/>
            <w:rFonts w:ascii="Times New Roman" w:eastAsiaTheme="majorEastAsia" w:hAnsi="Times New Roman" w:cs="Times New Roman"/>
            <w:bCs/>
            <w:color w:val="auto"/>
            <w:u w:val="none"/>
            <w:lang w:val="en-GB"/>
          </w:rPr>
          <w:t>https://encryptednthjhgffbn0./images</w:t>
        </w:r>
      </w:hyperlink>
    </w:p>
    <w:p w:rsidR="00146957" w:rsidRPr="000F0E01" w:rsidRDefault="00146957" w:rsidP="00021251">
      <w:pPr>
        <w:tabs>
          <w:tab w:val="left" w:pos="8460"/>
        </w:tabs>
        <w:spacing w:line="240" w:lineRule="auto"/>
        <w:ind w:left="90" w:right="720"/>
        <w:jc w:val="center"/>
        <w:rPr>
          <w:rFonts w:ascii="Times New Roman" w:eastAsia="Times New Roman" w:hAnsi="Times New Roman" w:cs="Times New Roman"/>
          <w:bCs/>
          <w:lang w:val="en-GB"/>
        </w:rPr>
      </w:pPr>
    </w:p>
    <w:p w:rsidR="00FE4A15" w:rsidRPr="000F0E01" w:rsidRDefault="00CB3B9C" w:rsidP="00021251">
      <w:pPr>
        <w:tabs>
          <w:tab w:val="left" w:pos="8460"/>
        </w:tabs>
        <w:spacing w:line="240" w:lineRule="auto"/>
        <w:ind w:left="90" w:right="720"/>
        <w:jc w:val="both"/>
        <w:rPr>
          <w:rFonts w:ascii="Times New Roman" w:hAnsi="Times New Roman" w:cs="Times New Roman"/>
          <w:lang w:val="en-GB"/>
        </w:rPr>
      </w:pPr>
      <w:r w:rsidRPr="000F0E01">
        <w:rPr>
          <w:rFonts w:ascii="Times New Roman" w:hAnsi="Times New Roman" w:cs="Times New Roman"/>
          <w:bCs/>
          <w:lang w:val="en-GB"/>
        </w:rPr>
        <w:t xml:space="preserve">The lesson was also contextualized by using </w:t>
      </w:r>
      <w:r w:rsidR="00FE4A15" w:rsidRPr="000F0E01">
        <w:rPr>
          <w:rFonts w:ascii="Times New Roman" w:hAnsi="Times New Roman" w:cs="Times New Roman"/>
          <w:bCs/>
          <w:lang w:val="en-GB"/>
        </w:rPr>
        <w:t xml:space="preserve">the cement and granite mixer </w:t>
      </w:r>
      <w:r w:rsidR="00BE050C" w:rsidRPr="000F0E01">
        <w:rPr>
          <w:rFonts w:ascii="Times New Roman" w:hAnsi="Times New Roman" w:cs="Times New Roman"/>
          <w:lang w:val="en-GB"/>
        </w:rPr>
        <w:t>(</w:t>
      </w:r>
      <w:r w:rsidRPr="000F0E01">
        <w:rPr>
          <w:rFonts w:ascii="Times New Roman" w:hAnsi="Times New Roman" w:cs="Times New Roman"/>
          <w:lang w:val="en-GB"/>
        </w:rPr>
        <w:t xml:space="preserve">see </w:t>
      </w:r>
      <w:r w:rsidR="00BE050C" w:rsidRPr="000F0E01">
        <w:rPr>
          <w:rFonts w:ascii="Times New Roman" w:hAnsi="Times New Roman" w:cs="Times New Roman"/>
          <w:lang w:val="en-GB"/>
        </w:rPr>
        <w:t>Figure 11</w:t>
      </w:r>
      <w:r w:rsidR="00FE4A15" w:rsidRPr="000F0E01">
        <w:rPr>
          <w:rFonts w:ascii="Times New Roman" w:hAnsi="Times New Roman" w:cs="Times New Roman"/>
          <w:lang w:val="en-GB"/>
        </w:rPr>
        <w:t xml:space="preserve">) </w:t>
      </w:r>
      <w:r w:rsidRPr="000F0E01">
        <w:rPr>
          <w:rFonts w:ascii="Times New Roman" w:hAnsi="Times New Roman" w:cs="Times New Roman"/>
          <w:lang w:val="en-GB"/>
        </w:rPr>
        <w:t xml:space="preserve">to </w:t>
      </w:r>
      <w:r w:rsidRPr="000F0E01">
        <w:rPr>
          <w:rFonts w:ascii="Times New Roman" w:hAnsi="Times New Roman" w:cs="Times New Roman"/>
          <w:bCs/>
          <w:lang w:val="en-GB"/>
        </w:rPr>
        <w:t>explain</w:t>
      </w:r>
      <w:r w:rsidR="00FE4A15" w:rsidRPr="000F0E01">
        <w:rPr>
          <w:rFonts w:ascii="Times New Roman" w:hAnsi="Times New Roman" w:cs="Times New Roman"/>
          <w:bCs/>
          <w:lang w:val="en-GB"/>
        </w:rPr>
        <w:t xml:space="preserve"> the churning of food and egestion of waste. T</w:t>
      </w:r>
      <w:r w:rsidR="00FE4A15" w:rsidRPr="000F0E01">
        <w:rPr>
          <w:rFonts w:ascii="Times New Roman" w:hAnsi="Times New Roman" w:cs="Times New Roman"/>
          <w:lang w:val="en-GB"/>
        </w:rPr>
        <w:t>he mixer rotates and mixes water, gravel, and cement to form a mixture for construction. Similarly, the stomach, small and large intestine also contract and mix food and consequently form chyme, chyle and wastes.</w:t>
      </w:r>
    </w:p>
    <w:p w:rsidR="00146957" w:rsidRDefault="00FE4A15" w:rsidP="00146957">
      <w:pPr>
        <w:pStyle w:val="Caption"/>
        <w:tabs>
          <w:tab w:val="left" w:pos="8460"/>
        </w:tabs>
        <w:ind w:left="90" w:right="720" w:firstLine="0"/>
        <w:rPr>
          <w:sz w:val="22"/>
          <w:szCs w:val="22"/>
        </w:rPr>
      </w:pPr>
      <w:r w:rsidRPr="000F0E01">
        <w:drawing>
          <wp:inline distT="0" distB="0" distL="0" distR="0" wp14:anchorId="735046F2" wp14:editId="69BEB004">
            <wp:extent cx="3189808" cy="1647825"/>
            <wp:effectExtent l="95250" t="95250" r="86995" b="857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53"/>
                    <pic:cNvPicPr>
                      <a:picLocks noChangeAspect="1" noChangeArrowheads="1"/>
                    </pic:cNvPicPr>
                  </pic:nvPicPr>
                  <pic:blipFill>
                    <a:blip r:embed="rId19">
                      <a:extLst>
                        <a:ext uri="{28A0092B-C50C-407E-A947-70E740481C1C}">
                          <a14:useLocalDpi xmlns:a14="http://schemas.microsoft.com/office/drawing/2010/main" val="0"/>
                        </a:ext>
                      </a:extLst>
                    </a:blip>
                    <a:srcRect l="9657" r="14478"/>
                    <a:stretch>
                      <a:fillRect/>
                    </a:stretch>
                  </pic:blipFill>
                  <pic:spPr bwMode="auto">
                    <a:xfrm>
                      <a:off x="0" y="0"/>
                      <a:ext cx="3210140" cy="16583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46957">
        <w:rPr>
          <w:bCs/>
        </w:rPr>
        <w:br/>
      </w:r>
      <w:bookmarkStart w:id="25" w:name="_Toc216546804"/>
    </w:p>
    <w:p w:rsidR="00146957" w:rsidRPr="000F0E01" w:rsidRDefault="00146957" w:rsidP="00146957">
      <w:pPr>
        <w:pStyle w:val="Caption"/>
        <w:tabs>
          <w:tab w:val="left" w:pos="8460"/>
        </w:tabs>
        <w:ind w:left="90" w:right="720" w:firstLine="0"/>
        <w:rPr>
          <w:sz w:val="22"/>
          <w:szCs w:val="22"/>
        </w:rPr>
      </w:pPr>
      <w:r w:rsidRPr="000F0E01">
        <w:rPr>
          <w:sz w:val="22"/>
          <w:szCs w:val="22"/>
        </w:rPr>
        <w:t>Figure 9: Granite Mixer in a Construction Site</w:t>
      </w:r>
      <w:bookmarkEnd w:id="25"/>
    </w:p>
    <w:p w:rsidR="00146957" w:rsidRPr="000F0E01" w:rsidRDefault="00146957" w:rsidP="00146957">
      <w:pPr>
        <w:tabs>
          <w:tab w:val="left" w:pos="8460"/>
        </w:tabs>
        <w:spacing w:line="240" w:lineRule="auto"/>
        <w:ind w:left="90" w:right="720"/>
        <w:jc w:val="center"/>
        <w:rPr>
          <w:rFonts w:ascii="Times New Roman" w:hAnsi="Times New Roman" w:cs="Times New Roman"/>
          <w:i/>
          <w:lang w:val="en-GB"/>
        </w:rPr>
      </w:pPr>
      <w:r w:rsidRPr="000F0E01">
        <w:rPr>
          <w:rFonts w:ascii="Times New Roman" w:hAnsi="Times New Roman" w:cs="Times New Roman"/>
          <w:i/>
          <w:lang w:val="en-GB"/>
        </w:rPr>
        <w:t>https://www.google.com/url?sa=t&amp;source=web&amp;rct=j&amp;url=https%3A%2F%2Fwww.vecteezy.com%2Fphoto%2F60508119-construction-site-with-concrete-being-poured-from-a-mixer-</w:t>
      </w:r>
    </w:p>
    <w:p w:rsidR="00FE4A15" w:rsidRPr="000F0E01" w:rsidRDefault="00B0484B" w:rsidP="00021251">
      <w:pPr>
        <w:tabs>
          <w:tab w:val="left" w:pos="8460"/>
        </w:tabs>
        <w:spacing w:line="240" w:lineRule="auto"/>
        <w:ind w:left="90" w:right="720"/>
        <w:jc w:val="both"/>
        <w:rPr>
          <w:rFonts w:ascii="Times New Roman" w:hAnsi="Times New Roman" w:cs="Times New Roman"/>
          <w:lang w:val="en-GB"/>
        </w:rPr>
      </w:pPr>
      <w:r w:rsidRPr="000F0E01">
        <w:rPr>
          <w:rFonts w:ascii="Times New Roman" w:hAnsi="Times New Roman" w:cs="Times New Roman"/>
          <w:lang w:val="en-GB"/>
        </w:rPr>
        <w:t xml:space="preserve">The </w:t>
      </w:r>
      <w:r w:rsidR="00FE4A15" w:rsidRPr="000F0E01">
        <w:rPr>
          <w:rFonts w:ascii="Times New Roman" w:hAnsi="Times New Roman" w:cs="Times New Roman"/>
          <w:lang w:val="en-GB"/>
        </w:rPr>
        <w:t>administration of the Process Skills Observation Checklist (PSOC) is illustrated, showing how students were observed for process skills development and application. The researcher was physically present during the activity to guide the process and ensure that students engaged with the specimens provided. Students were organised into groups, where they discussed the specimens collaboratively and responded to practical questions designed to elicit specific process skills such as observing, classifying, predicting, and inferring. Each group examined materials, including preserved small and large intestines, the stomach of a rabbit, a model of the digestive system, rabbit teeth, water, and boiled corn placed in a Petri dish. While students interacted with these specimens, the researcher observed their activ</w:t>
      </w:r>
      <w:r w:rsidR="005A5193" w:rsidRPr="000F0E01">
        <w:rPr>
          <w:rFonts w:ascii="Times New Roman" w:hAnsi="Times New Roman" w:cs="Times New Roman"/>
          <w:lang w:val="en-GB"/>
        </w:rPr>
        <w:t>ities and recorded the process skills exhibited by the students</w:t>
      </w:r>
      <w:r w:rsidR="00FE4A15" w:rsidRPr="000F0E01">
        <w:rPr>
          <w:rFonts w:ascii="Times New Roman" w:hAnsi="Times New Roman" w:cs="Times New Roman"/>
          <w:lang w:val="en-GB"/>
        </w:rPr>
        <w:t>. The researc</w:t>
      </w:r>
      <w:r w:rsidR="005A5193" w:rsidRPr="000F0E01">
        <w:rPr>
          <w:rFonts w:ascii="Times New Roman" w:hAnsi="Times New Roman" w:cs="Times New Roman"/>
          <w:lang w:val="en-GB"/>
        </w:rPr>
        <w:t>her monitored the groups</w:t>
      </w:r>
      <w:r w:rsidR="00FE4A15" w:rsidRPr="000F0E01">
        <w:rPr>
          <w:rFonts w:ascii="Times New Roman" w:hAnsi="Times New Roman" w:cs="Times New Roman"/>
          <w:lang w:val="en-GB"/>
        </w:rPr>
        <w:t>, clarifying instructions when necessary and ensuring that all students participated in t</w:t>
      </w:r>
      <w:r w:rsidR="005A5193" w:rsidRPr="000F0E01">
        <w:rPr>
          <w:rFonts w:ascii="Times New Roman" w:hAnsi="Times New Roman" w:cs="Times New Roman"/>
          <w:lang w:val="en-GB"/>
        </w:rPr>
        <w:t>he class activities</w:t>
      </w:r>
      <w:r w:rsidR="00FE4A15" w:rsidRPr="000F0E01">
        <w:rPr>
          <w:rFonts w:ascii="Times New Roman" w:hAnsi="Times New Roman" w:cs="Times New Roman"/>
          <w:lang w:val="en-GB"/>
        </w:rPr>
        <w:t>.</w:t>
      </w:r>
    </w:p>
    <w:p w:rsidR="004131EC" w:rsidRPr="000F0E01" w:rsidRDefault="004131EC" w:rsidP="00021251">
      <w:pPr>
        <w:tabs>
          <w:tab w:val="left" w:pos="8460"/>
        </w:tabs>
        <w:ind w:left="90" w:right="720"/>
        <w:jc w:val="both"/>
        <w:rPr>
          <w:rFonts w:ascii="Times New Roman" w:hAnsi="Times New Roman" w:cs="Times New Roman"/>
        </w:rPr>
      </w:pPr>
      <w:bookmarkStart w:id="26" w:name="_Toc188946657"/>
      <w:r w:rsidRPr="000F0E01">
        <w:rPr>
          <w:rFonts w:ascii="Times New Roman" w:hAnsi="Times New Roman" w:cs="Times New Roman"/>
        </w:rPr>
        <w:t xml:space="preserve">The control group on the other hand was also taught the digestive system using the conventional method for the period of 5 weeks like the experimental group. The lectures provide a thorough theoretical understanding but limited process skills exhibition. The absence of culturally relevant, context-specific examples and group interactions reduced opportunities for students to connect conceptualise biology instruction. </w:t>
      </w:r>
    </w:p>
    <w:p w:rsidR="004131EC" w:rsidRPr="000F0E01" w:rsidRDefault="004131EC" w:rsidP="00021251">
      <w:pPr>
        <w:tabs>
          <w:tab w:val="left" w:pos="8460"/>
        </w:tabs>
        <w:spacing w:after="46" w:line="240" w:lineRule="auto"/>
        <w:ind w:left="90" w:right="720"/>
        <w:jc w:val="both"/>
        <w:rPr>
          <w:rFonts w:ascii="Times New Roman" w:hAnsi="Times New Roman" w:cs="Times New Roman"/>
        </w:rPr>
      </w:pPr>
      <w:r w:rsidRPr="000F0E01">
        <w:rPr>
          <w:rFonts w:ascii="Times New Roman" w:hAnsi="Times New Roman" w:cs="Times New Roman"/>
        </w:rPr>
        <w:t xml:space="preserve"> </w:t>
      </w:r>
    </w:p>
    <w:p w:rsidR="004131EC" w:rsidRPr="000F0E01" w:rsidRDefault="004131EC" w:rsidP="00021251">
      <w:pPr>
        <w:tabs>
          <w:tab w:val="left" w:pos="8460"/>
        </w:tabs>
        <w:ind w:left="90" w:right="720"/>
        <w:jc w:val="both"/>
        <w:rPr>
          <w:rFonts w:ascii="Times New Roman" w:hAnsi="Times New Roman" w:cs="Times New Roman"/>
        </w:rPr>
      </w:pPr>
      <w:r w:rsidRPr="000F0E01">
        <w:rPr>
          <w:rFonts w:ascii="Times New Roman" w:hAnsi="Times New Roman" w:cs="Times New Roman"/>
        </w:rPr>
        <w:t xml:space="preserve">After the five weeks of teaching in both the experimental and control groups, we conducted a post-test using a reshuffled version of the same instrument and this took one week. The test was conducted on different day to each of the groups. </w:t>
      </w:r>
    </w:p>
    <w:p w:rsidR="00A41D08" w:rsidRPr="000F0E01" w:rsidRDefault="004131EC" w:rsidP="00021251">
      <w:pPr>
        <w:tabs>
          <w:tab w:val="left" w:pos="8460"/>
        </w:tabs>
        <w:spacing w:after="46" w:line="240" w:lineRule="auto"/>
        <w:ind w:left="90" w:right="720"/>
      </w:pPr>
      <w:r w:rsidRPr="000F0E01">
        <w:t xml:space="preserve"> </w:t>
      </w:r>
    </w:p>
    <w:p w:rsidR="00A41D08" w:rsidRPr="000F0E01" w:rsidRDefault="00A41D08" w:rsidP="00021251">
      <w:pPr>
        <w:tabs>
          <w:tab w:val="left" w:pos="8460"/>
        </w:tabs>
        <w:spacing w:after="286" w:line="246" w:lineRule="auto"/>
        <w:ind w:left="90" w:right="720"/>
      </w:pPr>
      <w:r w:rsidRPr="000F0E01">
        <w:rPr>
          <w:rFonts w:ascii="Times New Roman" w:eastAsia="Times New Roman" w:hAnsi="Times New Roman" w:cs="Times New Roman"/>
          <w:b/>
        </w:rPr>
        <w:t>3.</w:t>
      </w:r>
      <w:r w:rsidR="00007ADC" w:rsidRPr="000F0E01">
        <w:rPr>
          <w:rFonts w:ascii="Arial" w:eastAsia="Arial" w:hAnsi="Arial" w:cs="Arial"/>
          <w:b/>
        </w:rPr>
        <w:t xml:space="preserve">          </w:t>
      </w:r>
      <w:r w:rsidR="005A5193" w:rsidRPr="000F0E01">
        <w:rPr>
          <w:rFonts w:ascii="Times New Roman" w:eastAsia="Times New Roman" w:hAnsi="Times New Roman" w:cs="Times New Roman"/>
          <w:b/>
        </w:rPr>
        <w:t>Results</w:t>
      </w:r>
    </w:p>
    <w:p w:rsidR="00A41D08" w:rsidRPr="000F0E01" w:rsidRDefault="00A41D08" w:rsidP="00021251">
      <w:pPr>
        <w:tabs>
          <w:tab w:val="left" w:pos="8460"/>
        </w:tabs>
        <w:ind w:left="90" w:right="720"/>
        <w:jc w:val="both"/>
        <w:rPr>
          <w:rFonts w:ascii="Times New Roman" w:hAnsi="Times New Roman" w:cs="Times New Roman"/>
        </w:rPr>
      </w:pPr>
      <w:r w:rsidRPr="000F0E01">
        <w:rPr>
          <w:rFonts w:ascii="Times New Roman" w:hAnsi="Times New Roman" w:cs="Times New Roman"/>
        </w:rPr>
        <w:t xml:space="preserve">We analysed data </w:t>
      </w:r>
      <w:r w:rsidR="008C71F4" w:rsidRPr="000F0E01">
        <w:rPr>
          <w:rFonts w:ascii="Times New Roman" w:hAnsi="Times New Roman" w:cs="Times New Roman"/>
        </w:rPr>
        <w:t>collected</w:t>
      </w:r>
      <w:r w:rsidRPr="000F0E01">
        <w:rPr>
          <w:rFonts w:ascii="Times New Roman" w:hAnsi="Times New Roman" w:cs="Times New Roman"/>
        </w:rPr>
        <w:t xml:space="preserve"> </w:t>
      </w:r>
      <w:r w:rsidR="008C71F4" w:rsidRPr="000F0E01">
        <w:rPr>
          <w:rFonts w:ascii="Times New Roman" w:hAnsi="Times New Roman" w:cs="Times New Roman"/>
        </w:rPr>
        <w:t xml:space="preserve">using mean, standard deviation and </w:t>
      </w:r>
      <w:r w:rsidRPr="000F0E01">
        <w:rPr>
          <w:rFonts w:ascii="Times New Roman" w:hAnsi="Times New Roman" w:cs="Times New Roman"/>
        </w:rPr>
        <w:t>one-way Analysis of Covariance (</w:t>
      </w:r>
      <w:r w:rsidR="008C71F4" w:rsidRPr="000F0E01">
        <w:rPr>
          <w:rFonts w:ascii="Times New Roman" w:hAnsi="Times New Roman" w:cs="Times New Roman"/>
        </w:rPr>
        <w:t>ANCOVA).</w:t>
      </w:r>
      <w:r w:rsidRPr="000F0E01">
        <w:rPr>
          <w:rFonts w:ascii="Times New Roman" w:hAnsi="Times New Roman" w:cs="Times New Roman"/>
        </w:rPr>
        <w:t xml:space="preserve"> </w:t>
      </w:r>
      <w:r w:rsidR="008B50A6">
        <w:rPr>
          <w:rFonts w:ascii="Times New Roman" w:hAnsi="Times New Roman" w:cs="Times New Roman"/>
        </w:rPr>
        <w:t xml:space="preserve">The </w:t>
      </w:r>
      <w:r w:rsidRPr="000F0E01">
        <w:rPr>
          <w:rFonts w:ascii="Times New Roman" w:hAnsi="Times New Roman" w:cs="Times New Roman"/>
        </w:rPr>
        <w:t xml:space="preserve">ANCOVA was employed because the participants were not divided into groups at random. However, we conducted preliminary checks on the data to make sure that the parametric assumptions were met. The results showed </w:t>
      </w:r>
      <w:r w:rsidRPr="000F0E01">
        <w:rPr>
          <w:rFonts w:ascii="Times New Roman" w:eastAsia="Times New Roman" w:hAnsi="Times New Roman" w:cs="Times New Roman"/>
        </w:rPr>
        <w:t>linearity, Levene’s test of homogeneity of variances [</w:t>
      </w:r>
      <w:r w:rsidRPr="000F0E01">
        <w:rPr>
          <w:rFonts w:ascii="Times New Roman" w:hAnsi="Times New Roman" w:cs="Times New Roman"/>
        </w:rPr>
        <w:t>p&lt;.05], homogeneity of regression slopes (linear slope), normality [</w:t>
      </w:r>
      <w:r w:rsidRPr="000F0E01">
        <w:rPr>
          <w:rFonts w:ascii="Times New Roman" w:eastAsia="Times New Roman" w:hAnsi="Times New Roman" w:cs="Times New Roman"/>
        </w:rPr>
        <w:t xml:space="preserve">p&gt;.05]. </w:t>
      </w:r>
      <w:r w:rsidRPr="000F0E01">
        <w:rPr>
          <w:rFonts w:ascii="Times New Roman" w:hAnsi="Times New Roman" w:cs="Times New Roman"/>
        </w:rPr>
        <w:t xml:space="preserve">Meeting one of these required parametric assumptions, we proceeded to apply the ANCOVA statistics to the test scores of the students in each group. </w:t>
      </w:r>
    </w:p>
    <w:bookmarkEnd w:id="26"/>
    <w:p w:rsidR="00FE4A15" w:rsidRPr="000F0E01" w:rsidRDefault="00A41D08" w:rsidP="00021251">
      <w:pPr>
        <w:tabs>
          <w:tab w:val="left" w:pos="8460"/>
        </w:tabs>
        <w:spacing w:line="240" w:lineRule="auto"/>
        <w:ind w:left="90" w:right="720"/>
        <w:jc w:val="both"/>
        <w:rPr>
          <w:rFonts w:ascii="Times New Roman" w:eastAsia="Times New Roman" w:hAnsi="Times New Roman" w:cs="Times New Roman"/>
          <w:lang w:val="en-GB"/>
        </w:rPr>
      </w:pPr>
      <w:r w:rsidRPr="000F0E01">
        <w:rPr>
          <w:rFonts w:ascii="Times New Roman" w:eastAsia="Times New Roman" w:hAnsi="Times New Roman" w:cs="Times New Roman"/>
          <w:lang w:val="en-GB"/>
        </w:rPr>
        <w:t xml:space="preserve">Research </w:t>
      </w:r>
      <w:r w:rsidR="00E165CC" w:rsidRPr="000F0E01">
        <w:rPr>
          <w:rFonts w:ascii="Times New Roman" w:eastAsia="Times New Roman" w:hAnsi="Times New Roman" w:cs="Times New Roman"/>
          <w:lang w:val="en-GB"/>
        </w:rPr>
        <w:t xml:space="preserve">question </w:t>
      </w:r>
      <w:r w:rsidRPr="000F0E01">
        <w:rPr>
          <w:rFonts w:ascii="Times New Roman" w:eastAsia="Times New Roman" w:hAnsi="Times New Roman" w:cs="Times New Roman"/>
          <w:lang w:val="en-GB"/>
        </w:rPr>
        <w:t>one sought</w:t>
      </w:r>
      <w:r w:rsidRPr="000F0E01">
        <w:rPr>
          <w:rFonts w:ascii="Times New Roman" w:eastAsia="Times New Roman" w:hAnsi="Times New Roman" w:cs="Times New Roman"/>
          <w:b/>
          <w:lang w:val="en-GB"/>
        </w:rPr>
        <w:t xml:space="preserve"> </w:t>
      </w:r>
      <w:r w:rsidRPr="000F0E01">
        <w:rPr>
          <w:rFonts w:ascii="Times New Roman" w:eastAsia="Times New Roman" w:hAnsi="Times New Roman" w:cs="Times New Roman"/>
          <w:lang w:val="en-GB"/>
        </w:rPr>
        <w:t>the</w:t>
      </w:r>
      <w:r w:rsidR="00FE4A15" w:rsidRPr="000F0E01">
        <w:rPr>
          <w:rFonts w:ascii="Times New Roman" w:eastAsia="Times New Roman" w:hAnsi="Times New Roman" w:cs="Times New Roman"/>
          <w:lang w:val="en-GB"/>
        </w:rPr>
        <w:t xml:space="preserve"> difference in the process skills acquisition mean scores of students taught the digestive system with CTCA 2.0, and those taught with the conventional method, is computed using descriptive statistics of mean and standard deviat</w:t>
      </w:r>
      <w:r w:rsidRPr="000F0E01">
        <w:rPr>
          <w:rFonts w:ascii="Times New Roman" w:eastAsia="Times New Roman" w:hAnsi="Times New Roman" w:cs="Times New Roman"/>
          <w:lang w:val="en-GB"/>
        </w:rPr>
        <w:t>ion</w:t>
      </w:r>
      <w:r w:rsidR="00FE4A15" w:rsidRPr="000F0E01">
        <w:rPr>
          <w:rFonts w:ascii="Times New Roman" w:eastAsia="Times New Roman" w:hAnsi="Times New Roman" w:cs="Times New Roman"/>
          <w:lang w:val="en-GB"/>
        </w:rPr>
        <w:t>.</w:t>
      </w:r>
    </w:p>
    <w:p w:rsidR="00FE4A15" w:rsidRPr="000F0E01" w:rsidRDefault="00FE4A15" w:rsidP="00021251">
      <w:pPr>
        <w:pStyle w:val="Caption"/>
        <w:tabs>
          <w:tab w:val="left" w:pos="8460"/>
        </w:tabs>
        <w:ind w:left="90" w:right="720" w:firstLine="0"/>
        <w:jc w:val="both"/>
        <w:rPr>
          <w:sz w:val="22"/>
          <w:szCs w:val="22"/>
        </w:rPr>
      </w:pPr>
    </w:p>
    <w:p w:rsidR="00FE4A15" w:rsidRPr="000F0E01" w:rsidRDefault="00A41D08" w:rsidP="00021251">
      <w:pPr>
        <w:pStyle w:val="Caption"/>
        <w:tabs>
          <w:tab w:val="left" w:pos="8460"/>
        </w:tabs>
        <w:ind w:left="90" w:right="720" w:firstLine="0"/>
        <w:rPr>
          <w:sz w:val="22"/>
          <w:szCs w:val="22"/>
        </w:rPr>
      </w:pPr>
      <w:r w:rsidRPr="000F0E01">
        <w:rPr>
          <w:sz w:val="22"/>
          <w:szCs w:val="22"/>
        </w:rPr>
        <w:t xml:space="preserve">Table 1: </w:t>
      </w:r>
      <w:r w:rsidR="00007ADC" w:rsidRPr="000F0E01">
        <w:rPr>
          <w:sz w:val="22"/>
          <w:szCs w:val="22"/>
        </w:rPr>
        <w:t>Mean and standard deviation of the effect of treatment on process skills acquisition of students in biology</w:t>
      </w:r>
    </w:p>
    <w:p w:rsidR="004131EC" w:rsidRPr="000F0E01" w:rsidRDefault="004131EC" w:rsidP="00021251">
      <w:pPr>
        <w:tabs>
          <w:tab w:val="left" w:pos="8460"/>
        </w:tabs>
        <w:ind w:left="90" w:right="720"/>
        <w:rPr>
          <w:lang w:val="en-GB"/>
        </w:rPr>
      </w:pPr>
    </w:p>
    <w:tbl>
      <w:tblPr>
        <w:tblStyle w:val="TableGrid"/>
        <w:tblW w:w="72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564"/>
        <w:gridCol w:w="686"/>
        <w:gridCol w:w="776"/>
        <w:gridCol w:w="1033"/>
        <w:gridCol w:w="860"/>
        <w:gridCol w:w="720"/>
      </w:tblGrid>
      <w:tr w:rsidR="00604766" w:rsidRPr="000F0E01" w:rsidTr="008B50A6">
        <w:trPr>
          <w:trHeight w:val="227"/>
          <w:jc w:val="center"/>
        </w:trPr>
        <w:tc>
          <w:tcPr>
            <w:tcW w:w="1620" w:type="dxa"/>
            <w:vMerge w:val="restart"/>
            <w:tcBorders>
              <w:top w:val="single" w:sz="18" w:space="0" w:color="auto"/>
            </w:tcBorders>
          </w:tcPr>
          <w:p w:rsidR="00604766" w:rsidRPr="000F0E01" w:rsidRDefault="00604766" w:rsidP="00021251">
            <w:pPr>
              <w:tabs>
                <w:tab w:val="left" w:pos="8460"/>
              </w:tabs>
              <w:ind w:left="90"/>
              <w:jc w:val="both"/>
              <w:rPr>
                <w:rFonts w:ascii="Times New Roman" w:hAnsi="Times New Roman" w:cs="Times New Roman"/>
                <w:bCs/>
                <w:lang w:val="en-GB"/>
              </w:rPr>
            </w:pPr>
          </w:p>
        </w:tc>
        <w:tc>
          <w:tcPr>
            <w:tcW w:w="1564" w:type="dxa"/>
            <w:vMerge w:val="restart"/>
            <w:tcBorders>
              <w:top w:val="single" w:sz="18" w:space="0" w:color="auto"/>
            </w:tcBorders>
          </w:tcPr>
          <w:p w:rsidR="00604766" w:rsidRPr="000F0E01" w:rsidRDefault="00604766" w:rsidP="00021251">
            <w:pPr>
              <w:tabs>
                <w:tab w:val="left" w:pos="8460"/>
              </w:tabs>
              <w:ind w:left="90"/>
              <w:jc w:val="both"/>
              <w:rPr>
                <w:rFonts w:ascii="Times New Roman" w:hAnsi="Times New Roman" w:cs="Times New Roman"/>
                <w:bCs/>
                <w:lang w:val="en-GB"/>
              </w:rPr>
            </w:pPr>
            <w:r w:rsidRPr="000F0E01">
              <w:rPr>
                <w:rFonts w:ascii="Times New Roman" w:hAnsi="Times New Roman" w:cs="Times New Roman"/>
                <w:bCs/>
                <w:lang w:val="en-GB"/>
              </w:rPr>
              <w:t>Group</w:t>
            </w:r>
          </w:p>
        </w:tc>
        <w:tc>
          <w:tcPr>
            <w:tcW w:w="686" w:type="dxa"/>
            <w:vMerge w:val="restart"/>
            <w:tcBorders>
              <w:top w:val="single" w:sz="18" w:space="0" w:color="auto"/>
            </w:tcBorders>
          </w:tcPr>
          <w:p w:rsidR="00604766" w:rsidRPr="000F0E01" w:rsidRDefault="00604766" w:rsidP="00021251">
            <w:pPr>
              <w:tabs>
                <w:tab w:val="left" w:pos="8460"/>
              </w:tabs>
              <w:ind w:left="90"/>
              <w:jc w:val="both"/>
              <w:rPr>
                <w:rFonts w:ascii="Times New Roman" w:hAnsi="Times New Roman" w:cs="Times New Roman"/>
                <w:bCs/>
                <w:lang w:val="en-GB"/>
              </w:rPr>
            </w:pPr>
            <w:r w:rsidRPr="000F0E01">
              <w:rPr>
                <w:rFonts w:ascii="Times New Roman" w:hAnsi="Times New Roman" w:cs="Times New Roman"/>
                <w:bCs/>
                <w:lang w:val="en-GB"/>
              </w:rPr>
              <w:t>N</w:t>
            </w:r>
          </w:p>
        </w:tc>
        <w:tc>
          <w:tcPr>
            <w:tcW w:w="1809" w:type="dxa"/>
            <w:gridSpan w:val="2"/>
            <w:tcBorders>
              <w:top w:val="single" w:sz="18" w:space="0" w:color="auto"/>
              <w:bottom w:val="single" w:sz="18" w:space="0" w:color="auto"/>
            </w:tcBorders>
          </w:tcPr>
          <w:p w:rsidR="00604766" w:rsidRPr="000F0E01" w:rsidRDefault="00604766" w:rsidP="00021251">
            <w:pPr>
              <w:tabs>
                <w:tab w:val="left" w:pos="8460"/>
              </w:tabs>
              <w:ind w:left="90"/>
              <w:jc w:val="both"/>
              <w:rPr>
                <w:rFonts w:ascii="Times New Roman" w:hAnsi="Times New Roman" w:cs="Times New Roman"/>
                <w:bCs/>
                <w:lang w:val="en-GB"/>
              </w:rPr>
            </w:pPr>
            <w:r w:rsidRPr="000F0E01">
              <w:rPr>
                <w:rFonts w:ascii="Times New Roman" w:hAnsi="Times New Roman" w:cs="Times New Roman"/>
                <w:bCs/>
                <w:lang w:val="en-GB"/>
              </w:rPr>
              <w:t>Mean</w:t>
            </w:r>
          </w:p>
        </w:tc>
        <w:tc>
          <w:tcPr>
            <w:tcW w:w="860" w:type="dxa"/>
            <w:vMerge w:val="restart"/>
            <w:tcBorders>
              <w:top w:val="single" w:sz="18" w:space="0" w:color="auto"/>
              <w:bottom w:val="single" w:sz="18" w:space="0" w:color="auto"/>
            </w:tcBorders>
          </w:tcPr>
          <w:p w:rsidR="00604766" w:rsidRPr="000F0E01" w:rsidRDefault="00604766" w:rsidP="00021251">
            <w:pPr>
              <w:tabs>
                <w:tab w:val="left" w:pos="8460"/>
              </w:tabs>
              <w:ind w:left="90"/>
              <w:jc w:val="both"/>
              <w:rPr>
                <w:rFonts w:ascii="Times New Roman" w:hAnsi="Times New Roman" w:cs="Times New Roman"/>
                <w:bCs/>
                <w:lang w:val="en-GB"/>
              </w:rPr>
            </w:pPr>
            <w:r w:rsidRPr="000F0E01">
              <w:rPr>
                <w:rFonts w:ascii="Times New Roman" w:hAnsi="Times New Roman" w:cs="Times New Roman"/>
                <w:bCs/>
                <w:lang w:val="en-GB"/>
              </w:rPr>
              <w:t>Mean Diff</w:t>
            </w:r>
          </w:p>
        </w:tc>
        <w:tc>
          <w:tcPr>
            <w:tcW w:w="720" w:type="dxa"/>
            <w:vMerge w:val="restart"/>
            <w:tcBorders>
              <w:top w:val="single" w:sz="18" w:space="0" w:color="auto"/>
            </w:tcBorders>
          </w:tcPr>
          <w:p w:rsidR="00604766" w:rsidRPr="000F0E01" w:rsidRDefault="00604766" w:rsidP="00021251">
            <w:pPr>
              <w:tabs>
                <w:tab w:val="left" w:pos="8460"/>
              </w:tabs>
              <w:ind w:left="90"/>
              <w:jc w:val="both"/>
              <w:rPr>
                <w:rFonts w:ascii="Times New Roman" w:hAnsi="Times New Roman" w:cs="Times New Roman"/>
                <w:bCs/>
                <w:lang w:val="en-GB"/>
              </w:rPr>
            </w:pPr>
            <w:r w:rsidRPr="000F0E01">
              <w:rPr>
                <w:rFonts w:ascii="Times New Roman" w:hAnsi="Times New Roman" w:cs="Times New Roman"/>
                <w:bCs/>
                <w:lang w:val="en-GB"/>
              </w:rPr>
              <w:t>SD Diff</w:t>
            </w:r>
          </w:p>
        </w:tc>
      </w:tr>
      <w:tr w:rsidR="00604766" w:rsidRPr="000F0E01" w:rsidTr="008B50A6">
        <w:trPr>
          <w:trHeight w:val="336"/>
          <w:jc w:val="center"/>
        </w:trPr>
        <w:tc>
          <w:tcPr>
            <w:tcW w:w="1620" w:type="dxa"/>
            <w:vMerge/>
            <w:tcBorders>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p>
        </w:tc>
        <w:tc>
          <w:tcPr>
            <w:tcW w:w="1564" w:type="dxa"/>
            <w:vMerge/>
            <w:tcBorders>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p>
        </w:tc>
        <w:tc>
          <w:tcPr>
            <w:tcW w:w="686" w:type="dxa"/>
            <w:vMerge/>
            <w:tcBorders>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p>
        </w:tc>
        <w:tc>
          <w:tcPr>
            <w:tcW w:w="776" w:type="dxa"/>
            <w:tcBorders>
              <w:top w:val="single" w:sz="18" w:space="0" w:color="auto"/>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Pre-test</w:t>
            </w:r>
          </w:p>
        </w:tc>
        <w:tc>
          <w:tcPr>
            <w:tcW w:w="1033" w:type="dxa"/>
            <w:tcBorders>
              <w:top w:val="single" w:sz="18" w:space="0" w:color="auto"/>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Post-test</w:t>
            </w:r>
          </w:p>
        </w:tc>
        <w:tc>
          <w:tcPr>
            <w:tcW w:w="860" w:type="dxa"/>
            <w:vMerge/>
            <w:tcBorders>
              <w:top w:val="single" w:sz="18" w:space="0" w:color="auto"/>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p>
        </w:tc>
        <w:tc>
          <w:tcPr>
            <w:tcW w:w="720" w:type="dxa"/>
            <w:vMerge/>
            <w:tcBorders>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p>
        </w:tc>
      </w:tr>
      <w:tr w:rsidR="00604766" w:rsidRPr="000F0E01" w:rsidTr="008B50A6">
        <w:trPr>
          <w:trHeight w:val="348"/>
          <w:jc w:val="center"/>
        </w:trPr>
        <w:tc>
          <w:tcPr>
            <w:tcW w:w="1620" w:type="dxa"/>
            <w:vMerge w:val="restart"/>
            <w:tcBorders>
              <w:top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Process skills acquisition</w:t>
            </w:r>
          </w:p>
        </w:tc>
        <w:tc>
          <w:tcPr>
            <w:tcW w:w="1564" w:type="dxa"/>
            <w:tcBorders>
              <w:top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CTCA 2.0</w:t>
            </w:r>
          </w:p>
        </w:tc>
        <w:tc>
          <w:tcPr>
            <w:tcW w:w="686" w:type="dxa"/>
            <w:tcBorders>
              <w:top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113</w:t>
            </w:r>
          </w:p>
        </w:tc>
        <w:tc>
          <w:tcPr>
            <w:tcW w:w="776" w:type="dxa"/>
            <w:tcBorders>
              <w:top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9.66</w:t>
            </w:r>
          </w:p>
        </w:tc>
        <w:tc>
          <w:tcPr>
            <w:tcW w:w="1033" w:type="dxa"/>
            <w:tcBorders>
              <w:top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14.87</w:t>
            </w:r>
          </w:p>
        </w:tc>
        <w:tc>
          <w:tcPr>
            <w:tcW w:w="860" w:type="dxa"/>
            <w:tcBorders>
              <w:top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5.21</w:t>
            </w:r>
          </w:p>
        </w:tc>
        <w:tc>
          <w:tcPr>
            <w:tcW w:w="720" w:type="dxa"/>
            <w:tcBorders>
              <w:top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0.49</w:t>
            </w:r>
          </w:p>
        </w:tc>
      </w:tr>
      <w:tr w:rsidR="00604766" w:rsidRPr="000F0E01" w:rsidTr="008B50A6">
        <w:trPr>
          <w:trHeight w:val="348"/>
          <w:jc w:val="center"/>
        </w:trPr>
        <w:tc>
          <w:tcPr>
            <w:tcW w:w="1620" w:type="dxa"/>
            <w:vMerge/>
            <w:tcBorders>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p>
        </w:tc>
        <w:tc>
          <w:tcPr>
            <w:tcW w:w="1564" w:type="dxa"/>
            <w:tcBorders>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Conventional Method</w:t>
            </w:r>
          </w:p>
        </w:tc>
        <w:tc>
          <w:tcPr>
            <w:tcW w:w="686" w:type="dxa"/>
            <w:tcBorders>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114</w:t>
            </w:r>
          </w:p>
        </w:tc>
        <w:tc>
          <w:tcPr>
            <w:tcW w:w="776" w:type="dxa"/>
            <w:tcBorders>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9.15</w:t>
            </w:r>
          </w:p>
        </w:tc>
        <w:tc>
          <w:tcPr>
            <w:tcW w:w="1033" w:type="dxa"/>
            <w:tcBorders>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11.74</w:t>
            </w:r>
          </w:p>
        </w:tc>
        <w:tc>
          <w:tcPr>
            <w:tcW w:w="860" w:type="dxa"/>
            <w:tcBorders>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2.59</w:t>
            </w:r>
          </w:p>
        </w:tc>
        <w:tc>
          <w:tcPr>
            <w:tcW w:w="720" w:type="dxa"/>
            <w:tcBorders>
              <w:bottom w:val="single" w:sz="18" w:space="0" w:color="auto"/>
            </w:tcBorders>
          </w:tcPr>
          <w:p w:rsidR="00604766" w:rsidRPr="000F0E01" w:rsidRDefault="00604766" w:rsidP="00021251">
            <w:pPr>
              <w:tabs>
                <w:tab w:val="left" w:pos="8460"/>
              </w:tabs>
              <w:ind w:left="90"/>
              <w:jc w:val="both"/>
              <w:rPr>
                <w:rFonts w:ascii="Times New Roman" w:hAnsi="Times New Roman" w:cs="Times New Roman"/>
                <w:lang w:val="en-GB"/>
              </w:rPr>
            </w:pPr>
            <w:r w:rsidRPr="000F0E01">
              <w:rPr>
                <w:rFonts w:ascii="Times New Roman" w:hAnsi="Times New Roman" w:cs="Times New Roman"/>
                <w:lang w:val="en-GB"/>
              </w:rPr>
              <w:t>0.31</w:t>
            </w:r>
          </w:p>
        </w:tc>
      </w:tr>
    </w:tbl>
    <w:p w:rsidR="00FE4A15" w:rsidRPr="000F0E01" w:rsidRDefault="00FE4A15" w:rsidP="00021251">
      <w:pPr>
        <w:tabs>
          <w:tab w:val="left" w:pos="8460"/>
        </w:tabs>
        <w:spacing w:line="240" w:lineRule="auto"/>
        <w:ind w:left="90" w:right="720"/>
        <w:jc w:val="both"/>
        <w:rPr>
          <w:rFonts w:ascii="Times New Roman" w:hAnsi="Times New Roman" w:cs="Times New Roman"/>
          <w:lang w:val="en-GB"/>
        </w:rPr>
      </w:pPr>
    </w:p>
    <w:p w:rsidR="00FE4A15" w:rsidRPr="000F0E01" w:rsidRDefault="00A41D08" w:rsidP="00021251">
      <w:pPr>
        <w:tabs>
          <w:tab w:val="left" w:pos="8460"/>
        </w:tabs>
        <w:spacing w:line="240" w:lineRule="auto"/>
        <w:ind w:left="90" w:right="720"/>
        <w:jc w:val="both"/>
        <w:rPr>
          <w:rFonts w:ascii="Times New Roman" w:hAnsi="Times New Roman" w:cs="Times New Roman"/>
          <w:lang w:val="en-GB"/>
        </w:rPr>
      </w:pPr>
      <w:r w:rsidRPr="000F0E01">
        <w:rPr>
          <w:rFonts w:ascii="Times New Roman" w:hAnsi="Times New Roman" w:cs="Times New Roman"/>
          <w:lang w:val="en-GB"/>
        </w:rPr>
        <w:t xml:space="preserve">Table 1 </w:t>
      </w:r>
      <w:r w:rsidR="00FE4A15" w:rsidRPr="000F0E01">
        <w:rPr>
          <w:rFonts w:ascii="Times New Roman" w:hAnsi="Times New Roman" w:cs="Times New Roman"/>
          <w:lang w:val="en-GB"/>
        </w:rPr>
        <w:t>reveals a difference in the process skills acquisition mean scores of students taught using the CTCA 2.0 and the conventional method. The CTCA 2.0 group performed better, with a higher mean difference of 5.21</w:t>
      </w:r>
      <w:r w:rsidR="00E245A1" w:rsidRPr="000F0E01">
        <w:rPr>
          <w:rFonts w:ascii="Times New Roman" w:hAnsi="Times New Roman" w:cs="Times New Roman"/>
          <w:lang w:val="en-GB"/>
        </w:rPr>
        <w:t xml:space="preserve"> (SD </w:t>
      </w:r>
      <w:r w:rsidR="008B50A6">
        <w:rPr>
          <w:rFonts w:ascii="Times New Roman" w:hAnsi="Times New Roman" w:cs="Times New Roman"/>
          <w:lang w:val="en-GB"/>
        </w:rPr>
        <w:t xml:space="preserve">diff. </w:t>
      </w:r>
      <w:r w:rsidR="00E245A1" w:rsidRPr="000F0E01">
        <w:rPr>
          <w:rFonts w:ascii="Times New Roman" w:hAnsi="Times New Roman" w:cs="Times New Roman"/>
          <w:lang w:val="en-GB"/>
        </w:rPr>
        <w:t>= 0.49)</w:t>
      </w:r>
      <w:r w:rsidR="00FE4A15" w:rsidRPr="000F0E01">
        <w:rPr>
          <w:rFonts w:ascii="Times New Roman" w:hAnsi="Times New Roman" w:cs="Times New Roman"/>
          <w:lang w:val="en-GB"/>
        </w:rPr>
        <w:t>, whereas the conventional method group recorded a lower mean difference of 2.59</w:t>
      </w:r>
      <w:r w:rsidR="00E245A1" w:rsidRPr="000F0E01">
        <w:rPr>
          <w:rFonts w:ascii="Times New Roman" w:hAnsi="Times New Roman" w:cs="Times New Roman"/>
          <w:lang w:val="en-GB"/>
        </w:rPr>
        <w:t xml:space="preserve"> (SD </w:t>
      </w:r>
      <w:r w:rsidR="008B50A6">
        <w:rPr>
          <w:rFonts w:ascii="Times New Roman" w:hAnsi="Times New Roman" w:cs="Times New Roman"/>
          <w:lang w:val="en-GB"/>
        </w:rPr>
        <w:t xml:space="preserve">diff.  </w:t>
      </w:r>
      <w:r w:rsidR="00E245A1" w:rsidRPr="000F0E01">
        <w:rPr>
          <w:rFonts w:ascii="Times New Roman" w:hAnsi="Times New Roman" w:cs="Times New Roman"/>
          <w:lang w:val="en-GB"/>
        </w:rPr>
        <w:t>= 0.31)</w:t>
      </w:r>
      <w:r w:rsidR="00FE4A15" w:rsidRPr="000F0E01">
        <w:rPr>
          <w:rFonts w:ascii="Times New Roman" w:hAnsi="Times New Roman" w:cs="Times New Roman"/>
          <w:lang w:val="en-GB"/>
        </w:rPr>
        <w:t>, indicating that students in the CTCA 2.0 group recorded higher process skills development</w:t>
      </w:r>
      <w:r w:rsidR="00E245A1" w:rsidRPr="000F0E01">
        <w:rPr>
          <w:rFonts w:ascii="Times New Roman" w:hAnsi="Times New Roman" w:cs="Times New Roman"/>
          <w:lang w:val="en-GB"/>
        </w:rPr>
        <w:t xml:space="preserve"> compared to their counterparts in the control group</w:t>
      </w:r>
      <w:r w:rsidR="00FE4A15" w:rsidRPr="000F0E01">
        <w:rPr>
          <w:rFonts w:ascii="Times New Roman" w:hAnsi="Times New Roman" w:cs="Times New Roman"/>
          <w:lang w:val="en-GB"/>
        </w:rPr>
        <w:t>. To determine whether this o</w:t>
      </w:r>
      <w:r w:rsidR="002777A3" w:rsidRPr="000F0E01">
        <w:rPr>
          <w:rFonts w:ascii="Times New Roman" w:hAnsi="Times New Roman" w:cs="Times New Roman"/>
          <w:lang w:val="en-GB"/>
        </w:rPr>
        <w:t xml:space="preserve">bserved difference is </w:t>
      </w:r>
      <w:r w:rsidR="00FE4A15" w:rsidRPr="000F0E01">
        <w:rPr>
          <w:rFonts w:ascii="Times New Roman" w:hAnsi="Times New Roman" w:cs="Times New Roman"/>
          <w:lang w:val="en-GB"/>
        </w:rPr>
        <w:t xml:space="preserve">statistically </w:t>
      </w:r>
      <w:r w:rsidR="002777A3" w:rsidRPr="000F0E01">
        <w:rPr>
          <w:rFonts w:ascii="Times New Roman" w:hAnsi="Times New Roman" w:cs="Times New Roman"/>
          <w:lang w:val="en-GB"/>
        </w:rPr>
        <w:t xml:space="preserve">significant, null hypothesis one was </w:t>
      </w:r>
      <w:r w:rsidR="00FE4A15" w:rsidRPr="000F0E01">
        <w:rPr>
          <w:rFonts w:ascii="Times New Roman" w:hAnsi="Times New Roman" w:cs="Times New Roman"/>
          <w:lang w:val="en-GB"/>
        </w:rPr>
        <w:t>tested.</w:t>
      </w:r>
    </w:p>
    <w:p w:rsidR="00FE4A15" w:rsidRPr="000F0E01" w:rsidRDefault="00A41D08" w:rsidP="00021251">
      <w:pPr>
        <w:pStyle w:val="Caption"/>
        <w:tabs>
          <w:tab w:val="left" w:pos="8460"/>
        </w:tabs>
        <w:ind w:left="90" w:right="720" w:firstLine="0"/>
        <w:rPr>
          <w:sz w:val="22"/>
          <w:szCs w:val="22"/>
        </w:rPr>
      </w:pPr>
      <w:r w:rsidRPr="000F0E01">
        <w:rPr>
          <w:sz w:val="22"/>
          <w:szCs w:val="22"/>
        </w:rPr>
        <w:t>Table 2</w:t>
      </w:r>
      <w:r w:rsidR="00FE4A15" w:rsidRPr="000F0E01">
        <w:rPr>
          <w:sz w:val="22"/>
          <w:szCs w:val="22"/>
        </w:rPr>
        <w:t xml:space="preserve">: ANCOVA of the </w:t>
      </w:r>
      <w:r w:rsidR="004131EC" w:rsidRPr="000F0E01">
        <w:rPr>
          <w:sz w:val="22"/>
          <w:szCs w:val="22"/>
        </w:rPr>
        <w:t xml:space="preserve">effects </w:t>
      </w:r>
      <w:r w:rsidR="00FE4A15" w:rsidRPr="000F0E01">
        <w:rPr>
          <w:sz w:val="22"/>
          <w:szCs w:val="22"/>
        </w:rPr>
        <w:t xml:space="preserve">of </w:t>
      </w:r>
      <w:r w:rsidRPr="000F0E01">
        <w:rPr>
          <w:sz w:val="22"/>
          <w:szCs w:val="22"/>
        </w:rPr>
        <w:t xml:space="preserve">the </w:t>
      </w:r>
      <w:r w:rsidR="004131EC" w:rsidRPr="000F0E01">
        <w:rPr>
          <w:sz w:val="22"/>
          <w:szCs w:val="22"/>
        </w:rPr>
        <w:t>teaching apprroach</w:t>
      </w:r>
    </w:p>
    <w:p w:rsidR="00A41D08" w:rsidRPr="000F0E01" w:rsidRDefault="00A41D08" w:rsidP="00021251">
      <w:pPr>
        <w:tabs>
          <w:tab w:val="left" w:pos="8460"/>
        </w:tabs>
        <w:ind w:left="90" w:right="720"/>
        <w:rPr>
          <w:lang w:val="en-GB"/>
        </w:rPr>
      </w:pPr>
    </w:p>
    <w:tbl>
      <w:tblPr>
        <w:tblW w:w="79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1960"/>
        <w:gridCol w:w="1350"/>
        <w:gridCol w:w="630"/>
        <w:gridCol w:w="1170"/>
        <w:gridCol w:w="990"/>
        <w:gridCol w:w="720"/>
        <w:gridCol w:w="1080"/>
      </w:tblGrid>
      <w:tr w:rsidR="00007ADC" w:rsidRPr="000F0E01" w:rsidTr="00604766">
        <w:trPr>
          <w:cantSplit/>
          <w:trHeight w:val="661"/>
          <w:jc w:val="center"/>
        </w:trPr>
        <w:tc>
          <w:tcPr>
            <w:tcW w:w="1980" w:type="dxa"/>
            <w:gridSpan w:val="2"/>
            <w:tcBorders>
              <w:top w:val="single" w:sz="18" w:space="0" w:color="auto"/>
              <w:left w:val="nil"/>
              <w:bottom w:val="single" w:sz="18" w:space="0" w:color="auto"/>
              <w:right w:val="nil"/>
            </w:tcBorders>
            <w:vAlign w:val="bottom"/>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Source</w:t>
            </w:r>
          </w:p>
        </w:tc>
        <w:tc>
          <w:tcPr>
            <w:tcW w:w="1350" w:type="dxa"/>
            <w:tcBorders>
              <w:top w:val="single" w:sz="18" w:space="0" w:color="auto"/>
              <w:left w:val="nil"/>
              <w:bottom w:val="single" w:sz="18" w:space="0" w:color="auto"/>
              <w:right w:val="single" w:sz="8" w:space="0" w:color="E0E0E0"/>
            </w:tcBorders>
            <w:shd w:val="clear" w:color="auto" w:fill="FFFFFF"/>
            <w:vAlign w:val="bottom"/>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Type III Sum of Squares</w:t>
            </w:r>
          </w:p>
        </w:tc>
        <w:tc>
          <w:tcPr>
            <w:tcW w:w="630" w:type="dxa"/>
            <w:tcBorders>
              <w:top w:val="single" w:sz="18" w:space="0" w:color="auto"/>
              <w:left w:val="single" w:sz="8" w:space="0" w:color="E0E0E0"/>
              <w:bottom w:val="single" w:sz="18" w:space="0" w:color="auto"/>
              <w:right w:val="single" w:sz="8" w:space="0" w:color="E0E0E0"/>
            </w:tcBorders>
            <w:shd w:val="clear" w:color="auto" w:fill="FFFFFF"/>
            <w:vAlign w:val="bottom"/>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df</w:t>
            </w:r>
          </w:p>
        </w:tc>
        <w:tc>
          <w:tcPr>
            <w:tcW w:w="1170" w:type="dxa"/>
            <w:tcBorders>
              <w:top w:val="single" w:sz="18" w:space="0" w:color="auto"/>
              <w:left w:val="single" w:sz="8" w:space="0" w:color="E0E0E0"/>
              <w:bottom w:val="single" w:sz="18" w:space="0" w:color="auto"/>
              <w:right w:val="single" w:sz="8" w:space="0" w:color="E0E0E0"/>
            </w:tcBorders>
            <w:shd w:val="clear" w:color="auto" w:fill="FFFFFF"/>
            <w:vAlign w:val="bottom"/>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Mean Square</w:t>
            </w:r>
          </w:p>
        </w:tc>
        <w:tc>
          <w:tcPr>
            <w:tcW w:w="990" w:type="dxa"/>
            <w:tcBorders>
              <w:top w:val="single" w:sz="18" w:space="0" w:color="auto"/>
              <w:left w:val="single" w:sz="8" w:space="0" w:color="E0E0E0"/>
              <w:bottom w:val="single" w:sz="18" w:space="0" w:color="auto"/>
              <w:right w:val="single" w:sz="8" w:space="0" w:color="E0E0E0"/>
            </w:tcBorders>
            <w:shd w:val="clear" w:color="auto" w:fill="FFFFFF"/>
            <w:vAlign w:val="bottom"/>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F</w:t>
            </w:r>
          </w:p>
        </w:tc>
        <w:tc>
          <w:tcPr>
            <w:tcW w:w="720" w:type="dxa"/>
            <w:tcBorders>
              <w:top w:val="single" w:sz="18" w:space="0" w:color="auto"/>
              <w:left w:val="single" w:sz="8" w:space="0" w:color="E0E0E0"/>
              <w:bottom w:val="single" w:sz="18" w:space="0" w:color="auto"/>
              <w:right w:val="single" w:sz="8" w:space="0" w:color="E0E0E0"/>
            </w:tcBorders>
            <w:shd w:val="clear" w:color="auto" w:fill="FFFFFF"/>
            <w:vAlign w:val="bottom"/>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Sig.</w:t>
            </w:r>
          </w:p>
        </w:tc>
        <w:tc>
          <w:tcPr>
            <w:tcW w:w="1080" w:type="dxa"/>
            <w:tcBorders>
              <w:top w:val="single" w:sz="18" w:space="0" w:color="auto"/>
              <w:left w:val="single" w:sz="8" w:space="0" w:color="E0E0E0"/>
              <w:bottom w:val="single" w:sz="18" w:space="0" w:color="auto"/>
              <w:right w:val="nil"/>
            </w:tcBorders>
            <w:shd w:val="clear" w:color="auto" w:fill="FFFFFF"/>
            <w:vAlign w:val="bottom"/>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Partial Eta Squared</w:t>
            </w:r>
          </w:p>
        </w:tc>
      </w:tr>
      <w:tr w:rsidR="00007ADC" w:rsidRPr="000F0E01" w:rsidTr="00604766">
        <w:trPr>
          <w:cantSplit/>
          <w:trHeight w:val="323"/>
          <w:jc w:val="center"/>
        </w:trPr>
        <w:tc>
          <w:tcPr>
            <w:tcW w:w="1980" w:type="dxa"/>
            <w:gridSpan w:val="2"/>
            <w:tcBorders>
              <w:top w:val="single" w:sz="18" w:space="0" w:color="auto"/>
              <w:left w:val="nil"/>
              <w:bottom w:val="nil"/>
              <w:right w:val="nil"/>
            </w:tcBorders>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Corrected Model</w:t>
            </w:r>
          </w:p>
        </w:tc>
        <w:tc>
          <w:tcPr>
            <w:tcW w:w="1350" w:type="dxa"/>
            <w:tcBorders>
              <w:top w:val="single" w:sz="18" w:space="0" w:color="auto"/>
              <w:left w:val="nil"/>
              <w:bottom w:val="nil"/>
              <w:right w:val="single" w:sz="8" w:space="0" w:color="E0E0E0"/>
            </w:tcBorders>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832.702</w:t>
            </w:r>
            <w:r w:rsidRPr="000F0E01">
              <w:rPr>
                <w:rFonts w:ascii="Times New Roman" w:hAnsi="Times New Roman" w:cs="Times New Roman"/>
                <w:vertAlign w:val="superscript"/>
                <w:lang w:val="en-GB"/>
              </w:rPr>
              <w:t>a</w:t>
            </w:r>
          </w:p>
        </w:tc>
        <w:tc>
          <w:tcPr>
            <w:tcW w:w="630" w:type="dxa"/>
            <w:tcBorders>
              <w:top w:val="single" w:sz="18" w:space="0" w:color="auto"/>
              <w:left w:val="single" w:sz="8" w:space="0" w:color="E0E0E0"/>
              <w:bottom w:val="nil"/>
              <w:right w:val="single" w:sz="8" w:space="0" w:color="E0E0E0"/>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2</w:t>
            </w:r>
          </w:p>
        </w:tc>
        <w:tc>
          <w:tcPr>
            <w:tcW w:w="1170" w:type="dxa"/>
            <w:tcBorders>
              <w:top w:val="single" w:sz="18" w:space="0" w:color="auto"/>
              <w:left w:val="single" w:sz="8" w:space="0" w:color="E0E0E0"/>
              <w:bottom w:val="nil"/>
              <w:right w:val="single" w:sz="8" w:space="0" w:color="E0E0E0"/>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416.351</w:t>
            </w:r>
          </w:p>
        </w:tc>
        <w:tc>
          <w:tcPr>
            <w:tcW w:w="990" w:type="dxa"/>
            <w:tcBorders>
              <w:top w:val="single" w:sz="18" w:space="0" w:color="auto"/>
              <w:left w:val="single" w:sz="8" w:space="0" w:color="E0E0E0"/>
              <w:bottom w:val="nil"/>
              <w:right w:val="single" w:sz="8" w:space="0" w:color="E0E0E0"/>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52.438</w:t>
            </w:r>
          </w:p>
        </w:tc>
        <w:tc>
          <w:tcPr>
            <w:tcW w:w="720" w:type="dxa"/>
            <w:tcBorders>
              <w:top w:val="single" w:sz="18" w:space="0" w:color="auto"/>
              <w:left w:val="single" w:sz="8" w:space="0" w:color="E0E0E0"/>
              <w:bottom w:val="nil"/>
              <w:right w:val="single" w:sz="8" w:space="0" w:color="E0E0E0"/>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.000</w:t>
            </w:r>
          </w:p>
        </w:tc>
        <w:tc>
          <w:tcPr>
            <w:tcW w:w="1080" w:type="dxa"/>
            <w:tcBorders>
              <w:top w:val="single" w:sz="18" w:space="0" w:color="auto"/>
              <w:left w:val="single" w:sz="8" w:space="0" w:color="E0E0E0"/>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.319</w:t>
            </w:r>
          </w:p>
        </w:tc>
      </w:tr>
      <w:tr w:rsidR="00007ADC" w:rsidRPr="000F0E01" w:rsidTr="00604766">
        <w:trPr>
          <w:cantSplit/>
          <w:trHeight w:val="338"/>
          <w:jc w:val="center"/>
        </w:trPr>
        <w:tc>
          <w:tcPr>
            <w:tcW w:w="1980" w:type="dxa"/>
            <w:gridSpan w:val="2"/>
            <w:tcBorders>
              <w:top w:val="nil"/>
              <w:left w:val="nil"/>
              <w:bottom w:val="nil"/>
              <w:right w:val="nil"/>
            </w:tcBorders>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Intercept</w:t>
            </w:r>
          </w:p>
        </w:tc>
        <w:tc>
          <w:tcPr>
            <w:tcW w:w="135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1407.407</w:t>
            </w:r>
          </w:p>
        </w:tc>
        <w:tc>
          <w:tcPr>
            <w:tcW w:w="63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1</w:t>
            </w:r>
          </w:p>
        </w:tc>
        <w:tc>
          <w:tcPr>
            <w:tcW w:w="117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1407.407</w:t>
            </w:r>
          </w:p>
        </w:tc>
        <w:tc>
          <w:tcPr>
            <w:tcW w:w="99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177.259</w:t>
            </w:r>
          </w:p>
        </w:tc>
        <w:tc>
          <w:tcPr>
            <w:tcW w:w="72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.000</w:t>
            </w:r>
          </w:p>
        </w:tc>
        <w:tc>
          <w:tcPr>
            <w:tcW w:w="108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.442</w:t>
            </w:r>
          </w:p>
        </w:tc>
      </w:tr>
      <w:tr w:rsidR="00007ADC" w:rsidRPr="000F0E01" w:rsidTr="00604766">
        <w:trPr>
          <w:cantSplit/>
          <w:trHeight w:val="338"/>
          <w:jc w:val="center"/>
        </w:trPr>
        <w:tc>
          <w:tcPr>
            <w:tcW w:w="1980" w:type="dxa"/>
            <w:gridSpan w:val="2"/>
            <w:tcBorders>
              <w:top w:val="nil"/>
              <w:left w:val="nil"/>
              <w:bottom w:val="nil"/>
              <w:right w:val="nil"/>
            </w:tcBorders>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Method</w:t>
            </w:r>
          </w:p>
        </w:tc>
        <w:tc>
          <w:tcPr>
            <w:tcW w:w="135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476.770</w:t>
            </w:r>
          </w:p>
        </w:tc>
        <w:tc>
          <w:tcPr>
            <w:tcW w:w="63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1</w:t>
            </w:r>
          </w:p>
        </w:tc>
        <w:tc>
          <w:tcPr>
            <w:tcW w:w="117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476.770</w:t>
            </w:r>
          </w:p>
        </w:tc>
        <w:tc>
          <w:tcPr>
            <w:tcW w:w="99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60.048</w:t>
            </w:r>
          </w:p>
        </w:tc>
        <w:tc>
          <w:tcPr>
            <w:tcW w:w="72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.000</w:t>
            </w:r>
          </w:p>
        </w:tc>
        <w:tc>
          <w:tcPr>
            <w:tcW w:w="1080" w:type="dxa"/>
            <w:tcBorders>
              <w:top w:val="nil"/>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.211</w:t>
            </w:r>
          </w:p>
        </w:tc>
      </w:tr>
      <w:tr w:rsidR="00007ADC" w:rsidRPr="000F0E01" w:rsidTr="00604766">
        <w:trPr>
          <w:cantSplit/>
          <w:trHeight w:val="338"/>
          <w:jc w:val="center"/>
        </w:trPr>
        <w:tc>
          <w:tcPr>
            <w:tcW w:w="1980" w:type="dxa"/>
            <w:gridSpan w:val="2"/>
            <w:tcBorders>
              <w:top w:val="nil"/>
              <w:left w:val="nil"/>
              <w:bottom w:val="single" w:sz="18" w:space="0" w:color="auto"/>
              <w:right w:val="nil"/>
            </w:tcBorders>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Error</w:t>
            </w:r>
          </w:p>
        </w:tc>
        <w:tc>
          <w:tcPr>
            <w:tcW w:w="1350" w:type="dxa"/>
            <w:tcBorders>
              <w:top w:val="nil"/>
              <w:left w:val="nil"/>
              <w:bottom w:val="single" w:sz="18" w:space="0" w:color="auto"/>
              <w:right w:val="single" w:sz="8" w:space="0" w:color="E0E0E0"/>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1778.523</w:t>
            </w:r>
          </w:p>
        </w:tc>
        <w:tc>
          <w:tcPr>
            <w:tcW w:w="630" w:type="dxa"/>
            <w:tcBorders>
              <w:top w:val="nil"/>
              <w:left w:val="single" w:sz="8" w:space="0" w:color="E0E0E0"/>
              <w:bottom w:val="single" w:sz="18" w:space="0" w:color="auto"/>
              <w:right w:val="single" w:sz="8" w:space="0" w:color="E0E0E0"/>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224</w:t>
            </w:r>
          </w:p>
        </w:tc>
        <w:tc>
          <w:tcPr>
            <w:tcW w:w="1170" w:type="dxa"/>
            <w:tcBorders>
              <w:top w:val="nil"/>
              <w:left w:val="single" w:sz="8" w:space="0" w:color="E0E0E0"/>
              <w:bottom w:val="single" w:sz="18" w:space="0" w:color="auto"/>
              <w:right w:val="single" w:sz="8" w:space="0" w:color="E0E0E0"/>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7.940</w:t>
            </w:r>
          </w:p>
        </w:tc>
        <w:tc>
          <w:tcPr>
            <w:tcW w:w="990" w:type="dxa"/>
            <w:tcBorders>
              <w:top w:val="nil"/>
              <w:left w:val="single" w:sz="8" w:space="0" w:color="E0E0E0"/>
              <w:bottom w:val="single" w:sz="18" w:space="0" w:color="auto"/>
              <w:right w:val="single" w:sz="8" w:space="0" w:color="E0E0E0"/>
            </w:tcBorders>
            <w:shd w:val="clear" w:color="auto" w:fill="FFFFFF"/>
            <w:vAlign w:val="center"/>
          </w:tcPr>
          <w:p w:rsidR="00007ADC" w:rsidRPr="000F0E01" w:rsidRDefault="00007ADC" w:rsidP="00021251">
            <w:pPr>
              <w:tabs>
                <w:tab w:val="left" w:pos="8460"/>
              </w:tabs>
              <w:spacing w:line="240" w:lineRule="auto"/>
              <w:ind w:left="90"/>
              <w:jc w:val="both"/>
              <w:rPr>
                <w:rFonts w:ascii="Times New Roman" w:hAnsi="Times New Roman" w:cs="Times New Roman"/>
                <w:lang w:val="en-GB"/>
              </w:rPr>
            </w:pPr>
          </w:p>
        </w:tc>
        <w:tc>
          <w:tcPr>
            <w:tcW w:w="720" w:type="dxa"/>
            <w:tcBorders>
              <w:top w:val="nil"/>
              <w:left w:val="single" w:sz="8" w:space="0" w:color="E0E0E0"/>
              <w:bottom w:val="single" w:sz="18" w:space="0" w:color="auto"/>
              <w:right w:val="single" w:sz="8" w:space="0" w:color="E0E0E0"/>
            </w:tcBorders>
            <w:shd w:val="clear" w:color="auto" w:fill="FFFFFF"/>
            <w:vAlign w:val="center"/>
          </w:tcPr>
          <w:p w:rsidR="00007ADC" w:rsidRPr="000F0E01" w:rsidRDefault="00007ADC" w:rsidP="00021251">
            <w:pPr>
              <w:tabs>
                <w:tab w:val="left" w:pos="8460"/>
              </w:tabs>
              <w:spacing w:line="240" w:lineRule="auto"/>
              <w:ind w:left="90"/>
              <w:jc w:val="both"/>
              <w:rPr>
                <w:rFonts w:ascii="Times New Roman" w:hAnsi="Times New Roman" w:cs="Times New Roman"/>
                <w:lang w:val="en-GB"/>
              </w:rPr>
            </w:pPr>
          </w:p>
        </w:tc>
        <w:tc>
          <w:tcPr>
            <w:tcW w:w="1080" w:type="dxa"/>
            <w:tcBorders>
              <w:top w:val="nil"/>
              <w:left w:val="single" w:sz="8" w:space="0" w:color="E0E0E0"/>
              <w:bottom w:val="single" w:sz="18" w:space="0" w:color="auto"/>
              <w:right w:val="nil"/>
            </w:tcBorders>
            <w:shd w:val="clear" w:color="auto" w:fill="FFFFFF"/>
            <w:vAlign w:val="center"/>
          </w:tcPr>
          <w:p w:rsidR="00007ADC" w:rsidRPr="000F0E01" w:rsidRDefault="00007ADC" w:rsidP="00021251">
            <w:pPr>
              <w:tabs>
                <w:tab w:val="left" w:pos="8460"/>
              </w:tabs>
              <w:spacing w:line="240" w:lineRule="auto"/>
              <w:ind w:left="90"/>
              <w:jc w:val="both"/>
              <w:rPr>
                <w:rFonts w:ascii="Times New Roman" w:hAnsi="Times New Roman" w:cs="Times New Roman"/>
                <w:lang w:val="en-GB"/>
              </w:rPr>
            </w:pPr>
          </w:p>
        </w:tc>
      </w:tr>
      <w:tr w:rsidR="00007ADC" w:rsidRPr="000F0E01" w:rsidTr="00604766">
        <w:trPr>
          <w:cantSplit/>
          <w:trHeight w:val="323"/>
          <w:jc w:val="center"/>
        </w:trPr>
        <w:tc>
          <w:tcPr>
            <w:tcW w:w="20" w:type="dxa"/>
            <w:tcBorders>
              <w:top w:val="single" w:sz="18" w:space="0" w:color="auto"/>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p>
        </w:tc>
        <w:tc>
          <w:tcPr>
            <w:tcW w:w="7900" w:type="dxa"/>
            <w:gridSpan w:val="7"/>
            <w:tcBorders>
              <w:top w:val="single" w:sz="18" w:space="0" w:color="auto"/>
              <w:left w:val="nil"/>
              <w:bottom w:val="nil"/>
              <w:right w:val="nil"/>
            </w:tcBorders>
            <w:shd w:val="clear" w:color="auto" w:fill="FFFFFF"/>
          </w:tcPr>
          <w:p w:rsidR="00007ADC" w:rsidRPr="000F0E01" w:rsidRDefault="00007ADC" w:rsidP="00021251">
            <w:pPr>
              <w:tabs>
                <w:tab w:val="left" w:pos="8460"/>
              </w:tabs>
              <w:spacing w:line="240" w:lineRule="auto"/>
              <w:ind w:left="90"/>
              <w:jc w:val="both"/>
              <w:rPr>
                <w:rFonts w:ascii="Times New Roman" w:hAnsi="Times New Roman" w:cs="Times New Roman"/>
                <w:lang w:val="en-GB"/>
              </w:rPr>
            </w:pPr>
            <w:r w:rsidRPr="000F0E01">
              <w:rPr>
                <w:rFonts w:ascii="Times New Roman" w:hAnsi="Times New Roman" w:cs="Times New Roman"/>
                <w:lang w:val="en-GB"/>
              </w:rPr>
              <w:t>a. R Squared = .319 (Adjusted R Squared = .313)</w:t>
            </w:r>
          </w:p>
        </w:tc>
      </w:tr>
    </w:tbl>
    <w:p w:rsidR="00FE4A15" w:rsidRPr="000F0E01" w:rsidRDefault="00FE4A15" w:rsidP="00021251">
      <w:pPr>
        <w:tabs>
          <w:tab w:val="left" w:pos="8460"/>
        </w:tabs>
        <w:spacing w:after="100" w:afterAutospacing="1" w:line="240" w:lineRule="auto"/>
        <w:ind w:left="90" w:right="720"/>
        <w:jc w:val="both"/>
        <w:rPr>
          <w:rFonts w:ascii="Times New Roman" w:eastAsia="Times New Roman" w:hAnsi="Times New Roman" w:cs="Times New Roman"/>
          <w:lang w:val="en-GB"/>
        </w:rPr>
      </w:pPr>
    </w:p>
    <w:p w:rsidR="00FE4A15" w:rsidRPr="000F0E01" w:rsidRDefault="00D762C3" w:rsidP="00021251">
      <w:pPr>
        <w:tabs>
          <w:tab w:val="left" w:pos="8460"/>
        </w:tabs>
        <w:spacing w:after="100" w:afterAutospacing="1" w:line="240" w:lineRule="auto"/>
        <w:ind w:left="90" w:right="720"/>
        <w:jc w:val="both"/>
        <w:rPr>
          <w:rFonts w:ascii="Times New Roman" w:eastAsia="Times New Roman" w:hAnsi="Times New Roman" w:cs="Times New Roman"/>
          <w:lang w:val="en-GB"/>
        </w:rPr>
      </w:pPr>
      <w:r w:rsidRPr="000F0E01">
        <w:rPr>
          <w:rFonts w:ascii="Times New Roman" w:eastAsia="Times New Roman" w:hAnsi="Times New Roman" w:cs="Times New Roman"/>
          <w:lang w:val="en-GB"/>
        </w:rPr>
        <w:t>Table 2</w:t>
      </w:r>
      <w:r w:rsidR="00FE4A15" w:rsidRPr="000F0E01">
        <w:rPr>
          <w:rFonts w:ascii="Times New Roman" w:eastAsia="Times New Roman" w:hAnsi="Times New Roman" w:cs="Times New Roman"/>
          <w:lang w:val="en-GB"/>
        </w:rPr>
        <w:t xml:space="preserve"> reveals a </w:t>
      </w:r>
      <w:r w:rsidR="00FE4A15" w:rsidRPr="000F0E01">
        <w:rPr>
          <w:rFonts w:ascii="Times New Roman" w:eastAsia="Times New Roman" w:hAnsi="Times New Roman" w:cs="Times New Roman"/>
          <w:bCs/>
          <w:lang w:val="en-GB"/>
        </w:rPr>
        <w:t>statistically significant difference</w:t>
      </w:r>
      <w:r w:rsidR="00FE4A15" w:rsidRPr="000F0E01">
        <w:rPr>
          <w:rFonts w:ascii="Times New Roman" w:eastAsia="Times New Roman" w:hAnsi="Times New Roman" w:cs="Times New Roman"/>
          <w:lang w:val="en-GB"/>
        </w:rPr>
        <w:t xml:space="preserve"> in the process skills acquisition mean scores of students taught the digestive system using </w:t>
      </w:r>
      <w:r w:rsidR="00FE4A15" w:rsidRPr="000F0E01">
        <w:rPr>
          <w:rFonts w:ascii="Times New Roman" w:eastAsia="Times New Roman" w:hAnsi="Times New Roman" w:cs="Times New Roman"/>
          <w:bCs/>
          <w:lang w:val="en-GB"/>
        </w:rPr>
        <w:t xml:space="preserve">CTCA 2.0 </w:t>
      </w:r>
      <w:r w:rsidR="00FE4A15" w:rsidRPr="000F0E01">
        <w:rPr>
          <w:rFonts w:ascii="Times New Roman" w:eastAsia="Times New Roman" w:hAnsi="Times New Roman" w:cs="Times New Roman"/>
          <w:lang w:val="en-GB"/>
        </w:rPr>
        <w:t xml:space="preserve">compared to those taught with the </w:t>
      </w:r>
      <w:r w:rsidR="00FE4A15" w:rsidRPr="000F0E01">
        <w:rPr>
          <w:rFonts w:ascii="Times New Roman" w:eastAsia="Times New Roman" w:hAnsi="Times New Roman" w:cs="Times New Roman"/>
          <w:bCs/>
          <w:lang w:val="en-GB"/>
        </w:rPr>
        <w:t>conventional method</w:t>
      </w:r>
      <w:r w:rsidR="00FE4A15" w:rsidRPr="000F0E01">
        <w:rPr>
          <w:rFonts w:ascii="Times New Roman" w:eastAsia="Times New Roman" w:hAnsi="Times New Roman" w:cs="Times New Roman"/>
          <w:lang w:val="en-GB"/>
        </w:rPr>
        <w:t xml:space="preserve"> [F (1, 224) = 60.05, </w:t>
      </w:r>
      <w:r w:rsidR="00FE4A15" w:rsidRPr="000F0E01">
        <w:rPr>
          <w:rFonts w:ascii="Times New Roman" w:eastAsia="Times New Roman" w:hAnsi="Times New Roman" w:cs="Times New Roman"/>
          <w:i/>
          <w:iCs/>
          <w:lang w:val="en-GB"/>
        </w:rPr>
        <w:t>p</w:t>
      </w:r>
      <w:r w:rsidR="00FE4A15" w:rsidRPr="000F0E01">
        <w:rPr>
          <w:rFonts w:ascii="Times New Roman" w:eastAsia="Times New Roman" w:hAnsi="Times New Roman" w:cs="Times New Roman"/>
          <w:lang w:val="en-GB"/>
        </w:rPr>
        <w:t xml:space="preserve"> &lt; .05]. Furthermore, the partial eta squared value of </w:t>
      </w:r>
      <w:r w:rsidR="00FE4A15" w:rsidRPr="000F0E01">
        <w:rPr>
          <w:rFonts w:ascii="Times New Roman" w:eastAsia="Times New Roman" w:hAnsi="Times New Roman" w:cs="Times New Roman"/>
          <w:bCs/>
          <w:lang w:val="en-GB"/>
        </w:rPr>
        <w:t>.211</w:t>
      </w:r>
      <w:r w:rsidR="00FE4A15" w:rsidRPr="000F0E01">
        <w:rPr>
          <w:rFonts w:ascii="Times New Roman" w:eastAsia="Times New Roman" w:hAnsi="Times New Roman" w:cs="Times New Roman"/>
          <w:lang w:val="en-GB"/>
        </w:rPr>
        <w:t xml:space="preserve"> suggests that the treatment </w:t>
      </w:r>
      <w:r w:rsidR="00FE4A15" w:rsidRPr="000F0E01">
        <w:rPr>
          <w:rFonts w:ascii="Times New Roman" w:eastAsia="Times New Roman" w:hAnsi="Times New Roman" w:cs="Times New Roman"/>
          <w:bCs/>
          <w:lang w:val="en-GB"/>
        </w:rPr>
        <w:t>accounted for 21.1% of the variance</w:t>
      </w:r>
      <w:r w:rsidR="00FE4A15" w:rsidRPr="000F0E01">
        <w:rPr>
          <w:rFonts w:ascii="Times New Roman" w:eastAsia="Times New Roman" w:hAnsi="Times New Roman" w:cs="Times New Roman"/>
          <w:lang w:val="en-GB"/>
        </w:rPr>
        <w:t xml:space="preserve"> in the students’ exhibited process skills, reflecting a </w:t>
      </w:r>
      <w:r w:rsidR="00FE4A15" w:rsidRPr="000F0E01">
        <w:rPr>
          <w:rFonts w:ascii="Times New Roman" w:eastAsia="Times New Roman" w:hAnsi="Times New Roman" w:cs="Times New Roman"/>
          <w:bCs/>
          <w:lang w:val="en-GB"/>
        </w:rPr>
        <w:t>moderately high effect size</w:t>
      </w:r>
      <w:r w:rsidR="00FE4A15" w:rsidRPr="000F0E01">
        <w:rPr>
          <w:rFonts w:ascii="Times New Roman" w:eastAsia="Times New Roman" w:hAnsi="Times New Roman" w:cs="Times New Roman"/>
          <w:lang w:val="en-GB"/>
        </w:rPr>
        <w:t xml:space="preserve">. </w:t>
      </w:r>
    </w:p>
    <w:p w:rsidR="00DD0E31" w:rsidRPr="000F0E01" w:rsidRDefault="00D762C3" w:rsidP="00021251">
      <w:pPr>
        <w:tabs>
          <w:tab w:val="left" w:pos="8460"/>
        </w:tabs>
        <w:spacing w:before="100" w:beforeAutospacing="1" w:after="100" w:afterAutospacing="1" w:line="240" w:lineRule="auto"/>
        <w:ind w:left="90" w:right="720"/>
        <w:jc w:val="both"/>
        <w:rPr>
          <w:rFonts w:ascii="Times New Roman" w:hAnsi="Times New Roman" w:cs="Times New Roman"/>
          <w:lang w:val="en-GB"/>
        </w:rPr>
      </w:pPr>
      <w:r w:rsidRPr="000F0E01">
        <w:rPr>
          <w:rFonts w:ascii="Times New Roman" w:eastAsia="Times New Roman" w:hAnsi="Times New Roman" w:cs="Times New Roman"/>
          <w:lang w:val="en-GB"/>
        </w:rPr>
        <w:t xml:space="preserve">Research </w:t>
      </w:r>
      <w:r w:rsidR="002777A3" w:rsidRPr="000F0E01">
        <w:rPr>
          <w:rFonts w:ascii="Times New Roman" w:eastAsia="Times New Roman" w:hAnsi="Times New Roman" w:cs="Times New Roman"/>
          <w:lang w:val="en-GB"/>
        </w:rPr>
        <w:t xml:space="preserve">question </w:t>
      </w:r>
      <w:r w:rsidRPr="000F0E01">
        <w:rPr>
          <w:rFonts w:ascii="Times New Roman" w:eastAsia="Times New Roman" w:hAnsi="Times New Roman" w:cs="Times New Roman"/>
          <w:lang w:val="en-GB"/>
        </w:rPr>
        <w:t>two sought the extent to which</w:t>
      </w:r>
      <w:r w:rsidR="00FE4A15" w:rsidRPr="000F0E01">
        <w:rPr>
          <w:rFonts w:ascii="Times New Roman" w:eastAsia="Times New Roman" w:hAnsi="Times New Roman" w:cs="Times New Roman"/>
          <w:lang w:val="en-GB"/>
        </w:rPr>
        <w:t xml:space="preserve"> students acquire process skills when ta</w:t>
      </w:r>
      <w:r w:rsidRPr="000F0E01">
        <w:rPr>
          <w:rFonts w:ascii="Times New Roman" w:eastAsia="Times New Roman" w:hAnsi="Times New Roman" w:cs="Times New Roman"/>
          <w:lang w:val="en-GB"/>
        </w:rPr>
        <w:t xml:space="preserve">ught Biology using the CTCA 2.0, to achieve this, </w:t>
      </w:r>
      <w:r w:rsidR="00FE4A15" w:rsidRPr="000F0E01">
        <w:rPr>
          <w:rFonts w:ascii="Times New Roman" w:hAnsi="Times New Roman" w:cs="Times New Roman"/>
          <w:lang w:val="en-GB"/>
        </w:rPr>
        <w:t>this st</w:t>
      </w:r>
      <w:r w:rsidRPr="000F0E01">
        <w:rPr>
          <w:rFonts w:ascii="Times New Roman" w:hAnsi="Times New Roman" w:cs="Times New Roman"/>
          <w:lang w:val="en-GB"/>
        </w:rPr>
        <w:t xml:space="preserve">udy </w:t>
      </w:r>
      <w:r w:rsidR="00FE4A15" w:rsidRPr="000F0E01">
        <w:rPr>
          <w:rFonts w:ascii="Times New Roman" w:hAnsi="Times New Roman" w:cs="Times New Roman"/>
          <w:lang w:val="en-GB"/>
        </w:rPr>
        <w:t>employed direct obse</w:t>
      </w:r>
      <w:r w:rsidRPr="000F0E01">
        <w:rPr>
          <w:rFonts w:ascii="Times New Roman" w:hAnsi="Times New Roman" w:cs="Times New Roman"/>
          <w:lang w:val="en-GB"/>
        </w:rPr>
        <w:t>rvation of students’ activities</w:t>
      </w:r>
      <w:r w:rsidR="00FE4A15" w:rsidRPr="000F0E01">
        <w:rPr>
          <w:rFonts w:ascii="Times New Roman" w:hAnsi="Times New Roman" w:cs="Times New Roman"/>
          <w:lang w:val="en-GB"/>
        </w:rPr>
        <w:t xml:space="preserve"> using a five-point scale to rate ten process skills. </w:t>
      </w:r>
    </w:p>
    <w:p w:rsidR="00A0416F" w:rsidRPr="000F0E01" w:rsidRDefault="00A0416F" w:rsidP="00021251">
      <w:pPr>
        <w:tabs>
          <w:tab w:val="left" w:pos="8460"/>
        </w:tabs>
        <w:spacing w:before="100" w:beforeAutospacing="1" w:after="100" w:afterAutospacing="1" w:line="240" w:lineRule="auto"/>
        <w:ind w:left="90" w:right="720"/>
        <w:jc w:val="both"/>
        <w:rPr>
          <w:rFonts w:ascii="Times New Roman" w:eastAsia="Times New Roman" w:hAnsi="Times New Roman" w:cs="Times New Roman"/>
          <w:lang w:val="en-GB"/>
        </w:rPr>
      </w:pPr>
      <w:r w:rsidRPr="000F0E01">
        <w:rPr>
          <w:rFonts w:ascii="Times New Roman" w:eastAsia="Times New Roman" w:hAnsi="Times New Roman" w:cs="Times New Roman"/>
          <w:lang w:val="en-GB"/>
        </w:rPr>
        <w:t xml:space="preserve">The bar chart in </w:t>
      </w:r>
      <w:r w:rsidR="00CB3B9C" w:rsidRPr="000F0E01">
        <w:rPr>
          <w:rFonts w:ascii="Times New Roman" w:eastAsia="Times New Roman" w:hAnsi="Times New Roman" w:cs="Times New Roman"/>
          <w:lang w:val="en-GB"/>
        </w:rPr>
        <w:t>Figure 10</w:t>
      </w:r>
      <w:r w:rsidR="00E165CC" w:rsidRPr="000F0E01">
        <w:rPr>
          <w:rFonts w:ascii="Times New Roman" w:eastAsia="Times New Roman" w:hAnsi="Times New Roman" w:cs="Times New Roman"/>
          <w:lang w:val="en-GB"/>
        </w:rPr>
        <w:t xml:space="preserve"> </w:t>
      </w:r>
      <w:r w:rsidR="00FE4A15" w:rsidRPr="000F0E01">
        <w:rPr>
          <w:rFonts w:ascii="Times New Roman" w:eastAsia="Times New Roman" w:hAnsi="Times New Roman" w:cs="Times New Roman"/>
          <w:lang w:val="en-GB"/>
        </w:rPr>
        <w:t xml:space="preserve">indicates a varied pattern of process skills development. Among the ten process skills assessed, </w:t>
      </w:r>
      <w:r w:rsidR="00FE4A15" w:rsidRPr="000F0E01">
        <w:rPr>
          <w:rFonts w:ascii="Times New Roman" w:eastAsia="Times New Roman" w:hAnsi="Times New Roman" w:cs="Times New Roman"/>
          <w:iCs/>
          <w:lang w:val="en-GB"/>
        </w:rPr>
        <w:t>inferring</w:t>
      </w:r>
      <w:r w:rsidR="002777A3" w:rsidRPr="000F0E01">
        <w:rPr>
          <w:rFonts w:ascii="Times New Roman" w:eastAsia="Times New Roman" w:hAnsi="Times New Roman" w:cs="Times New Roman"/>
          <w:iCs/>
          <w:lang w:val="en-GB"/>
        </w:rPr>
        <w:t xml:space="preserve"> and communicating skills</w:t>
      </w:r>
      <w:r w:rsidR="00FE4A15" w:rsidRPr="000F0E01">
        <w:rPr>
          <w:rFonts w:ascii="Times New Roman" w:eastAsia="Times New Roman" w:hAnsi="Times New Roman" w:cs="Times New Roman"/>
          <w:lang w:val="en-GB"/>
        </w:rPr>
        <w:t xml:space="preserve"> emerged as the most developed, with a mean score of 4.00</w:t>
      </w:r>
      <w:r w:rsidR="002777A3" w:rsidRPr="000F0E01">
        <w:rPr>
          <w:rFonts w:ascii="Times New Roman" w:eastAsia="Times New Roman" w:hAnsi="Times New Roman" w:cs="Times New Roman"/>
          <w:lang w:val="en-GB"/>
        </w:rPr>
        <w:t>,</w:t>
      </w:r>
      <w:r w:rsidR="00FE4A15" w:rsidRPr="000F0E01">
        <w:rPr>
          <w:rFonts w:ascii="Times New Roman" w:eastAsia="Times New Roman" w:hAnsi="Times New Roman" w:cs="Times New Roman"/>
          <w:lang w:val="en-GB"/>
        </w:rPr>
        <w:t xml:space="preserve"> </w:t>
      </w:r>
      <w:r w:rsidR="002777A3" w:rsidRPr="000F0E01">
        <w:rPr>
          <w:rFonts w:ascii="Times New Roman" w:eastAsia="Times New Roman" w:hAnsi="Times New Roman" w:cs="Times New Roman"/>
          <w:lang w:val="en-GB"/>
        </w:rPr>
        <w:t>similarly</w:t>
      </w:r>
      <w:r w:rsidR="00FE4A15" w:rsidRPr="000F0E01">
        <w:rPr>
          <w:rFonts w:ascii="Times New Roman" w:eastAsia="Times New Roman" w:hAnsi="Times New Roman" w:cs="Times New Roman"/>
          <w:lang w:val="en-GB"/>
        </w:rPr>
        <w:t xml:space="preserve">, the skill of </w:t>
      </w:r>
      <w:r w:rsidR="00FE4A15" w:rsidRPr="000F0E01">
        <w:rPr>
          <w:rFonts w:ascii="Times New Roman" w:eastAsia="Times New Roman" w:hAnsi="Times New Roman" w:cs="Times New Roman"/>
          <w:iCs/>
          <w:lang w:val="en-GB"/>
        </w:rPr>
        <w:t>communicating</w:t>
      </w:r>
      <w:r w:rsidR="00FE4A15" w:rsidRPr="000F0E01">
        <w:rPr>
          <w:rFonts w:ascii="Times New Roman" w:eastAsia="Times New Roman" w:hAnsi="Times New Roman" w:cs="Times New Roman"/>
          <w:lang w:val="en-GB"/>
        </w:rPr>
        <w:t xml:space="preserve"> was also rated high, with a mean of 3.76</w:t>
      </w:r>
      <w:r w:rsidRPr="000F0E01">
        <w:rPr>
          <w:rFonts w:ascii="Times New Roman" w:eastAsia="Times New Roman" w:hAnsi="Times New Roman" w:cs="Times New Roman"/>
          <w:lang w:val="en-GB"/>
        </w:rPr>
        <w:t>.</w:t>
      </w:r>
      <w:r w:rsidR="00FE4A15" w:rsidRPr="000F0E01">
        <w:rPr>
          <w:rFonts w:ascii="Times New Roman" w:eastAsia="Times New Roman" w:hAnsi="Times New Roman" w:cs="Times New Roman"/>
          <w:lang w:val="en-GB"/>
        </w:rPr>
        <w:t xml:space="preserve"> </w:t>
      </w:r>
      <w:r w:rsidRPr="000F0E01">
        <w:rPr>
          <w:rFonts w:ascii="Times New Roman" w:eastAsia="Times New Roman" w:hAnsi="Times New Roman" w:cs="Times New Roman"/>
          <w:lang w:val="en-GB"/>
        </w:rPr>
        <w:t>The skills of p</w:t>
      </w:r>
      <w:r w:rsidRPr="000F0E01">
        <w:rPr>
          <w:rFonts w:ascii="Times New Roman" w:eastAsia="Times New Roman" w:hAnsi="Times New Roman" w:cs="Times New Roman"/>
          <w:iCs/>
          <w:lang w:val="en-GB"/>
        </w:rPr>
        <w:t>redicting</w:t>
      </w:r>
      <w:r w:rsidRPr="000F0E01">
        <w:rPr>
          <w:rFonts w:ascii="Times New Roman" w:eastAsia="Times New Roman" w:hAnsi="Times New Roman" w:cs="Times New Roman"/>
          <w:lang w:val="en-GB"/>
        </w:rPr>
        <w:t xml:space="preserve"> </w:t>
      </w:r>
      <w:r w:rsidR="00FE4A15" w:rsidRPr="000F0E01">
        <w:rPr>
          <w:rFonts w:ascii="Times New Roman" w:eastAsia="Times New Roman" w:hAnsi="Times New Roman" w:cs="Times New Roman"/>
          <w:lang w:val="en-GB"/>
        </w:rPr>
        <w:t xml:space="preserve">and </w:t>
      </w:r>
      <w:r w:rsidR="00FE4A15" w:rsidRPr="000F0E01">
        <w:rPr>
          <w:rFonts w:ascii="Times New Roman" w:eastAsia="Times New Roman" w:hAnsi="Times New Roman" w:cs="Times New Roman"/>
          <w:iCs/>
          <w:lang w:val="en-GB"/>
        </w:rPr>
        <w:t>interpreting data</w:t>
      </w:r>
      <w:r w:rsidR="00FE4A15" w:rsidRPr="000F0E01">
        <w:rPr>
          <w:rFonts w:ascii="Times New Roman" w:eastAsia="Times New Roman" w:hAnsi="Times New Roman" w:cs="Times New Roman"/>
          <w:lang w:val="en-GB"/>
        </w:rPr>
        <w:t xml:space="preserve">, both with a mean score of 3.38, as well as </w:t>
      </w:r>
      <w:r w:rsidR="00FE4A15" w:rsidRPr="000F0E01">
        <w:rPr>
          <w:rFonts w:ascii="Times New Roman" w:eastAsia="Times New Roman" w:hAnsi="Times New Roman" w:cs="Times New Roman"/>
          <w:iCs/>
          <w:lang w:val="en-GB"/>
        </w:rPr>
        <w:t>observing</w:t>
      </w:r>
      <w:r w:rsidR="00FE4A15" w:rsidRPr="000F0E01">
        <w:rPr>
          <w:rFonts w:ascii="Times New Roman" w:eastAsia="Times New Roman" w:hAnsi="Times New Roman" w:cs="Times New Roman"/>
          <w:lang w:val="en-GB"/>
        </w:rPr>
        <w:t xml:space="preserve"> (mean = 3.35), </w:t>
      </w:r>
      <w:r w:rsidR="00FE4A15" w:rsidRPr="000F0E01">
        <w:rPr>
          <w:rFonts w:ascii="Times New Roman" w:eastAsia="Times New Roman" w:hAnsi="Times New Roman" w:cs="Times New Roman"/>
          <w:iCs/>
          <w:lang w:val="en-GB"/>
        </w:rPr>
        <w:t>creating models</w:t>
      </w:r>
      <w:r w:rsidR="00FE4A15" w:rsidRPr="000F0E01">
        <w:rPr>
          <w:rFonts w:ascii="Times New Roman" w:eastAsia="Times New Roman" w:hAnsi="Times New Roman" w:cs="Times New Roman"/>
          <w:lang w:val="en-GB"/>
        </w:rPr>
        <w:t xml:space="preserve"> (mean = 3.19), </w:t>
      </w:r>
      <w:r w:rsidR="00FE4A15" w:rsidRPr="000F0E01">
        <w:rPr>
          <w:rFonts w:ascii="Times New Roman" w:eastAsia="Times New Roman" w:hAnsi="Times New Roman" w:cs="Times New Roman"/>
          <w:iCs/>
          <w:lang w:val="en-GB"/>
        </w:rPr>
        <w:t>classifying</w:t>
      </w:r>
      <w:r w:rsidR="00FE4A15" w:rsidRPr="000F0E01">
        <w:rPr>
          <w:rFonts w:ascii="Times New Roman" w:eastAsia="Times New Roman" w:hAnsi="Times New Roman" w:cs="Times New Roman"/>
          <w:lang w:val="en-GB"/>
        </w:rPr>
        <w:t xml:space="preserve"> and </w:t>
      </w:r>
      <w:r w:rsidR="00FE4A15" w:rsidRPr="000F0E01">
        <w:rPr>
          <w:rFonts w:ascii="Times New Roman" w:eastAsia="Times New Roman" w:hAnsi="Times New Roman" w:cs="Times New Roman"/>
          <w:iCs/>
          <w:lang w:val="en-GB"/>
        </w:rPr>
        <w:t>hypothesising</w:t>
      </w:r>
      <w:r w:rsidR="00FE4A15" w:rsidRPr="000F0E01">
        <w:rPr>
          <w:rFonts w:ascii="Times New Roman" w:eastAsia="Times New Roman" w:hAnsi="Times New Roman" w:cs="Times New Roman"/>
          <w:lang w:val="en-GB"/>
        </w:rPr>
        <w:t xml:space="preserve"> (mean = 2.88 each) and </w:t>
      </w:r>
      <w:r w:rsidR="00FE4A15" w:rsidRPr="000F0E01">
        <w:rPr>
          <w:rFonts w:ascii="Times New Roman" w:eastAsia="Times New Roman" w:hAnsi="Times New Roman" w:cs="Times New Roman"/>
          <w:iCs/>
          <w:lang w:val="en-GB"/>
        </w:rPr>
        <w:t>measuring</w:t>
      </w:r>
      <w:r w:rsidR="00FE4A15" w:rsidRPr="000F0E01">
        <w:rPr>
          <w:rFonts w:ascii="Times New Roman" w:eastAsia="Times New Roman" w:hAnsi="Times New Roman" w:cs="Times New Roman"/>
          <w:lang w:val="en-GB"/>
        </w:rPr>
        <w:t xml:space="preserve"> (mean = 2.65). The lowest level of acquisition was recorded in </w:t>
      </w:r>
      <w:r w:rsidR="00FE4A15" w:rsidRPr="000F0E01">
        <w:rPr>
          <w:rFonts w:ascii="Times New Roman" w:eastAsia="Times New Roman" w:hAnsi="Times New Roman" w:cs="Times New Roman"/>
          <w:iCs/>
          <w:lang w:val="en-GB"/>
        </w:rPr>
        <w:t>experimenting skill</w:t>
      </w:r>
      <w:r w:rsidR="00FE4A15" w:rsidRPr="000F0E01">
        <w:rPr>
          <w:rFonts w:ascii="Times New Roman" w:eastAsia="Times New Roman" w:hAnsi="Times New Roman" w:cs="Times New Roman"/>
          <w:lang w:val="en-GB"/>
        </w:rPr>
        <w:t>, which had a mean score of 2.06</w:t>
      </w:r>
      <w:r w:rsidRPr="000F0E01">
        <w:rPr>
          <w:rFonts w:ascii="Times New Roman" w:eastAsia="Times New Roman" w:hAnsi="Times New Roman" w:cs="Times New Roman"/>
          <w:lang w:val="en-GB"/>
        </w:rPr>
        <w:t xml:space="preserve">. </w:t>
      </w:r>
      <w:r w:rsidR="00DD0E31" w:rsidRPr="000F0E01">
        <w:rPr>
          <w:rFonts w:ascii="Times New Roman" w:eastAsia="Times New Roman" w:hAnsi="Times New Roman" w:cs="Times New Roman"/>
          <w:lang w:val="en-GB"/>
        </w:rPr>
        <w:t>This implies that a</w:t>
      </w:r>
      <w:r w:rsidRPr="000F0E01">
        <w:rPr>
          <w:rFonts w:ascii="Times New Roman" w:eastAsia="Times New Roman" w:hAnsi="Times New Roman" w:cs="Times New Roman"/>
          <w:lang w:val="en-GB"/>
        </w:rPr>
        <w:t xml:space="preserve"> larger cluster of </w:t>
      </w:r>
      <w:r w:rsidR="00DD0E31" w:rsidRPr="000F0E01">
        <w:rPr>
          <w:rFonts w:ascii="Times New Roman" w:eastAsia="Times New Roman" w:hAnsi="Times New Roman" w:cs="Times New Roman"/>
          <w:lang w:val="en-GB"/>
        </w:rPr>
        <w:t>the skills:</w:t>
      </w:r>
      <w:r w:rsidRPr="000F0E01">
        <w:rPr>
          <w:rFonts w:ascii="Times New Roman" w:eastAsia="Times New Roman" w:hAnsi="Times New Roman" w:cs="Times New Roman"/>
          <w:lang w:val="en-GB"/>
        </w:rPr>
        <w:t xml:space="preserve"> </w:t>
      </w:r>
      <w:r w:rsidRPr="000F0E01">
        <w:rPr>
          <w:rFonts w:ascii="Times New Roman" w:eastAsia="Times New Roman" w:hAnsi="Times New Roman" w:cs="Times New Roman"/>
          <w:bCs/>
          <w:lang w:val="en-GB"/>
        </w:rPr>
        <w:t>observing, classifying, measuring, predicting, interpreting data, hypothesising, and creating models</w:t>
      </w:r>
      <w:r w:rsidRPr="000F0E01">
        <w:rPr>
          <w:rFonts w:ascii="Times New Roman" w:eastAsia="Times New Roman" w:hAnsi="Times New Roman" w:cs="Times New Roman"/>
          <w:lang w:val="en-GB"/>
        </w:rPr>
        <w:t xml:space="preserve"> fell within the </w:t>
      </w:r>
      <w:r w:rsidRPr="000F0E01">
        <w:rPr>
          <w:rFonts w:ascii="Times New Roman" w:eastAsia="Times New Roman" w:hAnsi="Times New Roman" w:cs="Times New Roman"/>
          <w:iCs/>
          <w:lang w:val="en-GB"/>
        </w:rPr>
        <w:t>moderate level</w:t>
      </w:r>
      <w:r w:rsidRPr="000F0E01">
        <w:rPr>
          <w:rFonts w:ascii="Times New Roman" w:eastAsia="Times New Roman" w:hAnsi="Times New Roman" w:cs="Times New Roman"/>
          <w:lang w:val="en-GB"/>
        </w:rPr>
        <w:t xml:space="preserve">, suggesting that while students showed notable competence, there remains room </w:t>
      </w:r>
      <w:r w:rsidR="00DD0E31" w:rsidRPr="000F0E01">
        <w:rPr>
          <w:rFonts w:ascii="Times New Roman" w:eastAsia="Times New Roman" w:hAnsi="Times New Roman" w:cs="Times New Roman"/>
          <w:lang w:val="en-GB"/>
        </w:rPr>
        <w:t>for improvement in these areas.</w:t>
      </w:r>
    </w:p>
    <w:p w:rsidR="00FE4A15" w:rsidRPr="000F0E01" w:rsidRDefault="00FE4A15" w:rsidP="004613D1">
      <w:pPr>
        <w:tabs>
          <w:tab w:val="left" w:pos="8460"/>
        </w:tabs>
        <w:spacing w:line="240" w:lineRule="auto"/>
        <w:ind w:left="90" w:right="720"/>
        <w:jc w:val="center"/>
        <w:rPr>
          <w:rFonts w:ascii="Times New Roman" w:eastAsia="Times New Roman" w:hAnsi="Times New Roman" w:cs="Times New Roman"/>
          <w:lang w:val="en-GB"/>
        </w:rPr>
      </w:pPr>
      <w:r w:rsidRPr="000F0E01">
        <w:rPr>
          <w:rFonts w:ascii="Times New Roman" w:hAnsi="Times New Roman" w:cs="Times New Roman"/>
          <w:noProof/>
        </w:rPr>
        <w:drawing>
          <wp:inline distT="0" distB="0" distL="0" distR="0" wp14:anchorId="4E4649A9" wp14:editId="7984AD49">
            <wp:extent cx="5007935" cy="3086100"/>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4A15" w:rsidRPr="000F0E01" w:rsidRDefault="00CB3B9C" w:rsidP="00021251">
      <w:pPr>
        <w:tabs>
          <w:tab w:val="left" w:pos="8460"/>
        </w:tabs>
        <w:spacing w:line="240" w:lineRule="auto"/>
        <w:ind w:left="90" w:right="720"/>
        <w:jc w:val="center"/>
        <w:rPr>
          <w:rFonts w:ascii="Times New Roman" w:eastAsia="Times New Roman" w:hAnsi="Times New Roman" w:cs="Times New Roman"/>
          <w:lang w:val="en-GB"/>
        </w:rPr>
      </w:pPr>
      <w:r w:rsidRPr="000F0E01">
        <w:rPr>
          <w:rFonts w:ascii="Times New Roman" w:eastAsia="Times New Roman" w:hAnsi="Times New Roman" w:cs="Times New Roman"/>
          <w:lang w:val="en-GB"/>
        </w:rPr>
        <w:t>Figure 10</w:t>
      </w:r>
      <w:r w:rsidR="00FE4A15" w:rsidRPr="000F0E01">
        <w:rPr>
          <w:rFonts w:ascii="Times New Roman" w:eastAsia="Times New Roman" w:hAnsi="Times New Roman" w:cs="Times New Roman"/>
          <w:lang w:val="en-GB"/>
        </w:rPr>
        <w:t>: Levels of Process S</w:t>
      </w:r>
      <w:r w:rsidR="00D762C3" w:rsidRPr="000F0E01">
        <w:rPr>
          <w:rFonts w:ascii="Times New Roman" w:eastAsia="Times New Roman" w:hAnsi="Times New Roman" w:cs="Times New Roman"/>
          <w:lang w:val="en-GB"/>
        </w:rPr>
        <w:t>kills Acquisition</w:t>
      </w:r>
      <w:r w:rsidR="004613D1" w:rsidRPr="000F0E01">
        <w:rPr>
          <w:rFonts w:ascii="Times New Roman" w:eastAsia="Times New Roman" w:hAnsi="Times New Roman" w:cs="Times New Roman"/>
          <w:lang w:val="en-GB"/>
        </w:rPr>
        <w:t xml:space="preserve"> in Biology under CTCA 2.0</w:t>
      </w:r>
    </w:p>
    <w:p w:rsidR="00A0416F" w:rsidRPr="000F0E01" w:rsidRDefault="00A0416F" w:rsidP="00021251">
      <w:pPr>
        <w:pStyle w:val="Heading2"/>
        <w:tabs>
          <w:tab w:val="left" w:pos="8460"/>
        </w:tabs>
        <w:ind w:left="90" w:right="720"/>
        <w:rPr>
          <w:i w:val="0"/>
          <w:sz w:val="22"/>
          <w:szCs w:val="22"/>
        </w:rPr>
      </w:pPr>
      <w:bookmarkStart w:id="27" w:name="_Toc133885567"/>
      <w:bookmarkStart w:id="28" w:name="_Toc205553428"/>
      <w:bookmarkStart w:id="29" w:name="_Toc216603880"/>
    </w:p>
    <w:p w:rsidR="00FE4A15" w:rsidRPr="000F0E01" w:rsidRDefault="005A5193" w:rsidP="00021251">
      <w:pPr>
        <w:pStyle w:val="Heading2"/>
        <w:tabs>
          <w:tab w:val="left" w:pos="8460"/>
        </w:tabs>
        <w:ind w:left="90" w:right="720"/>
        <w:rPr>
          <w:i w:val="0"/>
          <w:sz w:val="22"/>
          <w:szCs w:val="22"/>
        </w:rPr>
      </w:pPr>
      <w:r w:rsidRPr="000F0E01">
        <w:rPr>
          <w:i w:val="0"/>
          <w:sz w:val="22"/>
          <w:szCs w:val="22"/>
        </w:rPr>
        <w:t xml:space="preserve">        4.        </w:t>
      </w:r>
      <w:r w:rsidR="00C15F60" w:rsidRPr="000F0E01">
        <w:rPr>
          <w:i w:val="0"/>
          <w:sz w:val="22"/>
          <w:szCs w:val="22"/>
        </w:rPr>
        <w:t>Discussion</w:t>
      </w:r>
      <w:bookmarkEnd w:id="27"/>
      <w:bookmarkEnd w:id="28"/>
      <w:bookmarkEnd w:id="29"/>
    </w:p>
    <w:p w:rsidR="00E245A1" w:rsidRPr="000F0E01" w:rsidRDefault="00E245A1" w:rsidP="00021251">
      <w:pPr>
        <w:tabs>
          <w:tab w:val="left" w:pos="8460"/>
        </w:tabs>
        <w:spacing w:after="0" w:line="240" w:lineRule="auto"/>
        <w:ind w:left="90" w:right="720"/>
        <w:jc w:val="both"/>
        <w:rPr>
          <w:rFonts w:ascii="Times New Roman" w:eastAsia="Times New Roman" w:hAnsi="Times New Roman" w:cs="Times New Roman"/>
          <w:lang w:val="en-GB"/>
        </w:rPr>
      </w:pPr>
    </w:p>
    <w:p w:rsidR="00FE4A15" w:rsidRPr="000F0E01" w:rsidRDefault="00E245A1" w:rsidP="00021251">
      <w:pPr>
        <w:tabs>
          <w:tab w:val="left" w:pos="8460"/>
        </w:tabs>
        <w:spacing w:after="0" w:line="240" w:lineRule="auto"/>
        <w:ind w:left="90" w:right="720"/>
        <w:jc w:val="both"/>
        <w:rPr>
          <w:rFonts w:ascii="Times New Roman" w:eastAsia="Times New Roman" w:hAnsi="Times New Roman" w:cs="Times New Roman"/>
          <w:lang w:val="en-GB"/>
        </w:rPr>
      </w:pPr>
      <w:r w:rsidRPr="000F0E01">
        <w:rPr>
          <w:rFonts w:ascii="Times New Roman" w:eastAsia="Times New Roman" w:hAnsi="Times New Roman" w:cs="Times New Roman"/>
          <w:lang w:val="en-GB"/>
        </w:rPr>
        <w:t xml:space="preserve">The </w:t>
      </w:r>
      <w:r w:rsidR="00FE4A15" w:rsidRPr="000F0E01">
        <w:rPr>
          <w:rFonts w:ascii="Times New Roman" w:eastAsia="Times New Roman" w:hAnsi="Times New Roman" w:cs="Times New Roman"/>
          <w:lang w:val="en-GB"/>
        </w:rPr>
        <w:t>research question</w:t>
      </w:r>
      <w:r w:rsidRPr="000F0E01">
        <w:rPr>
          <w:rFonts w:ascii="Times New Roman" w:eastAsia="Times New Roman" w:hAnsi="Times New Roman" w:cs="Times New Roman"/>
          <w:lang w:val="en-GB"/>
        </w:rPr>
        <w:t xml:space="preserve"> one</w:t>
      </w:r>
      <w:r w:rsidR="00FE4A15" w:rsidRPr="000F0E01">
        <w:rPr>
          <w:rFonts w:ascii="Times New Roman" w:eastAsia="Times New Roman" w:hAnsi="Times New Roman" w:cs="Times New Roman"/>
          <w:lang w:val="en-GB"/>
        </w:rPr>
        <w:t xml:space="preserve"> determined whether there was a statistically significant difference in process skills acquisition mean scores between students taught Biology using CTCA 2.0 and those instructed with the conventional method. </w:t>
      </w:r>
      <w:r w:rsidR="002777A3" w:rsidRPr="000F0E01">
        <w:rPr>
          <w:rFonts w:ascii="Times New Roman" w:eastAsia="Times New Roman" w:hAnsi="Times New Roman" w:cs="Times New Roman"/>
          <w:lang w:val="en-GB"/>
        </w:rPr>
        <w:t>The ANCOVA results in Table 2</w:t>
      </w:r>
      <w:r w:rsidR="00FE4A15" w:rsidRPr="000F0E01">
        <w:rPr>
          <w:rFonts w:ascii="Times New Roman" w:eastAsia="Times New Roman" w:hAnsi="Times New Roman" w:cs="Times New Roman"/>
          <w:lang w:val="en-GB"/>
        </w:rPr>
        <w:t xml:space="preserve"> revealed that the CTCA 2.0 enhanced students’ process skills in </w:t>
      </w:r>
      <w:r w:rsidR="00D0460F" w:rsidRPr="000F0E01">
        <w:rPr>
          <w:rFonts w:ascii="Times New Roman" w:eastAsia="Times New Roman" w:hAnsi="Times New Roman" w:cs="Times New Roman"/>
          <w:lang w:val="en-GB"/>
        </w:rPr>
        <w:t xml:space="preserve">biology </w:t>
      </w:r>
      <w:r w:rsidR="00FE4A15" w:rsidRPr="000F0E01">
        <w:rPr>
          <w:rFonts w:ascii="Times New Roman" w:eastAsia="Times New Roman" w:hAnsi="Times New Roman" w:cs="Times New Roman"/>
          <w:lang w:val="en-GB"/>
        </w:rPr>
        <w:t>bette</w:t>
      </w:r>
      <w:r w:rsidR="002777A3" w:rsidRPr="000F0E01">
        <w:rPr>
          <w:rFonts w:ascii="Times New Roman" w:eastAsia="Times New Roman" w:hAnsi="Times New Roman" w:cs="Times New Roman"/>
          <w:lang w:val="en-GB"/>
        </w:rPr>
        <w:t xml:space="preserve">r than the conventional method. </w:t>
      </w:r>
      <w:r w:rsidR="00FE4A15" w:rsidRPr="000F0E01">
        <w:rPr>
          <w:rFonts w:ascii="Times New Roman" w:eastAsia="Times New Roman" w:hAnsi="Times New Roman" w:cs="Times New Roman"/>
          <w:lang w:val="en-GB"/>
        </w:rPr>
        <w:t xml:space="preserve">These findings align with Adam </w:t>
      </w:r>
      <w:r w:rsidR="00FE4A15" w:rsidRPr="000F0E01">
        <w:rPr>
          <w:rFonts w:ascii="Times New Roman" w:eastAsia="Times New Roman" w:hAnsi="Times New Roman" w:cs="Times New Roman"/>
          <w:i/>
          <w:lang w:val="en-GB"/>
        </w:rPr>
        <w:t>et al</w:t>
      </w:r>
      <w:r w:rsidR="00FE4A15" w:rsidRPr="000F0E01">
        <w:rPr>
          <w:rFonts w:ascii="Times New Roman" w:eastAsia="Times New Roman" w:hAnsi="Times New Roman" w:cs="Times New Roman"/>
          <w:lang w:val="en-GB"/>
        </w:rPr>
        <w:t xml:space="preserve">. (2024a) and Gbeleyi </w:t>
      </w:r>
      <w:r w:rsidR="00FE4A15" w:rsidRPr="000F0E01">
        <w:rPr>
          <w:rFonts w:ascii="Times New Roman" w:eastAsia="Times New Roman" w:hAnsi="Times New Roman" w:cs="Times New Roman"/>
          <w:i/>
          <w:lang w:val="en-GB"/>
        </w:rPr>
        <w:t>et al</w:t>
      </w:r>
      <w:r w:rsidR="00FE4A15" w:rsidRPr="000F0E01">
        <w:rPr>
          <w:rFonts w:ascii="Times New Roman" w:eastAsia="Times New Roman" w:hAnsi="Times New Roman" w:cs="Times New Roman"/>
          <w:lang w:val="en-GB"/>
        </w:rPr>
        <w:t>. (2022), who reported that CTCA enhanced both content achievement and critical thinking skills in Biology and computer studies, respectively. The study also concurs with Darmaji (2022), who emphasised using real-life, familiar experiences to promote cognitive and process skills. In this study, students related peristalsis to sliding down a playground slide and mastication to pounding yam with a mortar and pestle, making abstract concepts real to them. These culturally relevant connections echo Wabuke (2016), who advocated student-centred, context-rich instruction to enhance achievement an</w:t>
      </w:r>
      <w:r w:rsidR="000E348D" w:rsidRPr="000F0E01">
        <w:rPr>
          <w:rFonts w:ascii="Times New Roman" w:eastAsia="Times New Roman" w:hAnsi="Times New Roman" w:cs="Times New Roman"/>
          <w:lang w:val="en-GB"/>
        </w:rPr>
        <w:t xml:space="preserve">d logical reasoning in Biology. </w:t>
      </w:r>
      <w:r w:rsidR="00FE4A15" w:rsidRPr="000F0E01">
        <w:rPr>
          <w:rFonts w:ascii="Times New Roman" w:eastAsia="Times New Roman" w:hAnsi="Times New Roman" w:cs="Times New Roman"/>
          <w:lang w:val="en-GB"/>
        </w:rPr>
        <w:t xml:space="preserve">Similarly, Puspita </w:t>
      </w:r>
      <w:r w:rsidR="00FE4A15" w:rsidRPr="000F0E01">
        <w:rPr>
          <w:rFonts w:ascii="Times New Roman" w:eastAsia="Times New Roman" w:hAnsi="Times New Roman" w:cs="Times New Roman"/>
          <w:i/>
          <w:lang w:val="en-GB"/>
        </w:rPr>
        <w:t>et al</w:t>
      </w:r>
      <w:r w:rsidR="00FE4A15" w:rsidRPr="000F0E01">
        <w:rPr>
          <w:rFonts w:ascii="Times New Roman" w:eastAsia="Times New Roman" w:hAnsi="Times New Roman" w:cs="Times New Roman"/>
          <w:lang w:val="en-GB"/>
        </w:rPr>
        <w:t xml:space="preserve">. (2025) found that Project-Based Learning combined with Mind Mapping and virtual laboratory significantly improved process skills. Like CTCA 2.0, these strategies encouraged idea organisation, visualisation of complex processes and active exploration. Similarly, Ademola </w:t>
      </w:r>
      <w:r w:rsidR="00FE4A15" w:rsidRPr="000F0E01">
        <w:rPr>
          <w:rFonts w:ascii="Times New Roman" w:eastAsia="Times New Roman" w:hAnsi="Times New Roman" w:cs="Times New Roman"/>
          <w:i/>
          <w:lang w:val="en-GB"/>
        </w:rPr>
        <w:t>et al</w:t>
      </w:r>
      <w:r w:rsidR="00FE4A15" w:rsidRPr="000F0E01">
        <w:rPr>
          <w:rFonts w:ascii="Times New Roman" w:eastAsia="Times New Roman" w:hAnsi="Times New Roman" w:cs="Times New Roman"/>
          <w:lang w:val="en-GB"/>
        </w:rPr>
        <w:t>. (2025) reinforced these trends by affirming that CTCA impacts achievement and problem-solving skills in nuclear chemistry. Though in a different field, the emphasis on critical reasoning and real-life relevance parallels the present findings.</w:t>
      </w:r>
    </w:p>
    <w:p w:rsidR="00C15F60" w:rsidRPr="000F0E01" w:rsidRDefault="00FE4A15" w:rsidP="00021251">
      <w:pPr>
        <w:tabs>
          <w:tab w:val="left" w:pos="8460"/>
        </w:tabs>
        <w:spacing w:before="240" w:after="0" w:line="240" w:lineRule="auto"/>
        <w:ind w:left="90" w:right="720"/>
        <w:jc w:val="both"/>
        <w:rPr>
          <w:rFonts w:ascii="Times New Roman" w:eastAsia="Times New Roman" w:hAnsi="Times New Roman" w:cs="Times New Roman"/>
          <w:lang w:val="en-GB"/>
        </w:rPr>
      </w:pPr>
      <w:r w:rsidRPr="000F0E01">
        <w:rPr>
          <w:rFonts w:ascii="Times New Roman" w:eastAsia="Times New Roman" w:hAnsi="Times New Roman" w:cs="Times New Roman"/>
          <w:lang w:val="en-GB"/>
        </w:rPr>
        <w:t>However, some studies provide caution. Umeji and Achufusi (2025) reported a weak correlation between process skills and academic performance in physics, suggesting the impact of CTCA 2.0</w:t>
      </w:r>
      <w:r w:rsidR="00D0460F" w:rsidRPr="000F0E01">
        <w:rPr>
          <w:rFonts w:ascii="Times New Roman" w:eastAsia="Times New Roman" w:hAnsi="Times New Roman" w:cs="Times New Roman"/>
          <w:lang w:val="en-GB"/>
        </w:rPr>
        <w:t xml:space="preserve"> may depend on subject or topic</w:t>
      </w:r>
      <w:r w:rsidRPr="000F0E01">
        <w:rPr>
          <w:rFonts w:ascii="Times New Roman" w:eastAsia="Times New Roman" w:hAnsi="Times New Roman" w:cs="Times New Roman"/>
          <w:lang w:val="en-GB"/>
        </w:rPr>
        <w:t>. Similar limitations were reported by Owolabi (2020) and Adeyemi (2019), who attributed lower mean gains in the achievement of students to a short intervention period, small samples, or</w:t>
      </w:r>
      <w:r w:rsidR="002777A3" w:rsidRPr="000F0E01">
        <w:rPr>
          <w:rFonts w:ascii="Times New Roman" w:eastAsia="Times New Roman" w:hAnsi="Times New Roman" w:cs="Times New Roman"/>
          <w:lang w:val="en-GB"/>
        </w:rPr>
        <w:t xml:space="preserve"> inconsistent CTCA application. </w:t>
      </w:r>
      <w:r w:rsidR="00D0460F" w:rsidRPr="000F0E01">
        <w:rPr>
          <w:rFonts w:ascii="Times New Roman" w:eastAsia="Times New Roman" w:hAnsi="Times New Roman" w:cs="Times New Roman"/>
          <w:lang w:val="en-GB"/>
        </w:rPr>
        <w:t xml:space="preserve">Therefore, the findings </w:t>
      </w:r>
      <w:r w:rsidRPr="000F0E01">
        <w:rPr>
          <w:rFonts w:ascii="Times New Roman" w:eastAsia="Times New Roman" w:hAnsi="Times New Roman" w:cs="Times New Roman"/>
          <w:lang w:val="en-GB"/>
        </w:rPr>
        <w:t xml:space="preserve">affirms that CTCA 2.0 is significantly more effective than lectures in developing process skills in Biology. </w:t>
      </w:r>
      <w:bookmarkStart w:id="30" w:name="_Toc216603890"/>
    </w:p>
    <w:bookmarkEnd w:id="30"/>
    <w:p w:rsidR="00E245A1" w:rsidRPr="000F0E01" w:rsidRDefault="00E245A1" w:rsidP="00021251">
      <w:pPr>
        <w:pStyle w:val="NormalWeb"/>
        <w:tabs>
          <w:tab w:val="left" w:pos="8460"/>
        </w:tabs>
        <w:spacing w:before="0" w:beforeAutospacing="0" w:after="0" w:afterAutospacing="0"/>
        <w:ind w:left="90" w:right="720"/>
        <w:jc w:val="both"/>
        <w:rPr>
          <w:sz w:val="22"/>
          <w:szCs w:val="22"/>
          <w:lang w:val="en-GB"/>
        </w:rPr>
      </w:pPr>
    </w:p>
    <w:p w:rsidR="00FE4A15" w:rsidRPr="000F0E01" w:rsidRDefault="00E245A1" w:rsidP="00021251">
      <w:pPr>
        <w:pStyle w:val="NormalWeb"/>
        <w:tabs>
          <w:tab w:val="left" w:pos="8460"/>
        </w:tabs>
        <w:spacing w:before="0" w:beforeAutospacing="0" w:after="0" w:afterAutospacing="0"/>
        <w:ind w:left="90" w:right="720"/>
        <w:jc w:val="both"/>
        <w:rPr>
          <w:sz w:val="22"/>
          <w:szCs w:val="22"/>
          <w:lang w:val="en-GB"/>
        </w:rPr>
      </w:pPr>
      <w:r w:rsidRPr="000F0E01">
        <w:rPr>
          <w:sz w:val="22"/>
          <w:szCs w:val="22"/>
          <w:lang w:val="en-GB"/>
        </w:rPr>
        <w:t>This research question two</w:t>
      </w:r>
      <w:r w:rsidR="00FE4A15" w:rsidRPr="000F0E01">
        <w:rPr>
          <w:sz w:val="22"/>
          <w:szCs w:val="22"/>
          <w:lang w:val="en-GB"/>
        </w:rPr>
        <w:t xml:space="preserve"> examined the extent to which students acquired process skills in Biology after being taught the digestive system using CTCA 2.0</w:t>
      </w:r>
      <w:r w:rsidRPr="000F0E01">
        <w:rPr>
          <w:sz w:val="22"/>
          <w:szCs w:val="22"/>
          <w:lang w:val="en-GB"/>
        </w:rPr>
        <w:t xml:space="preserve">, </w:t>
      </w:r>
      <w:r w:rsidR="00FE4A15" w:rsidRPr="000F0E01">
        <w:rPr>
          <w:sz w:val="22"/>
          <w:szCs w:val="22"/>
          <w:lang w:val="en-GB"/>
        </w:rPr>
        <w:t xml:space="preserve">drawing on observational data rated across ten process skills </w:t>
      </w:r>
      <w:r w:rsidR="000E348D" w:rsidRPr="000F0E01">
        <w:rPr>
          <w:sz w:val="22"/>
          <w:szCs w:val="22"/>
          <w:lang w:val="en-GB"/>
        </w:rPr>
        <w:t xml:space="preserve"> </w:t>
      </w:r>
      <w:r w:rsidR="00FE4A15" w:rsidRPr="000F0E01">
        <w:rPr>
          <w:sz w:val="22"/>
          <w:szCs w:val="22"/>
          <w:lang w:val="en-GB"/>
        </w:rPr>
        <w:t xml:space="preserve">These findings indicate that CTCA 2.0 supports the development of various process skills, especially in communication, inference and observation. It also highlighted the need for greater emphasis on procedural skills like experimenting and measuring. </w:t>
      </w:r>
      <w:r w:rsidR="00FE4A15" w:rsidRPr="000F0E01">
        <w:rPr>
          <w:rStyle w:val="Strong"/>
          <w:b w:val="0"/>
          <w:sz w:val="22"/>
          <w:szCs w:val="22"/>
          <w:lang w:val="en-GB"/>
        </w:rPr>
        <w:t>These results align with previous studies.</w:t>
      </w:r>
      <w:r w:rsidR="00FE4A15" w:rsidRPr="000F0E01">
        <w:rPr>
          <w:sz w:val="22"/>
          <w:szCs w:val="22"/>
          <w:lang w:val="en-GB"/>
        </w:rPr>
        <w:t xml:space="preserve"> Ebere and Appolonia (2017) found that ethnoscience-based approaches improved science process skills in Nigerian classrooms. Similarly, Suman (2020) in India and Wabuke (2016) in Kenya observed that inquiry-based methods significantly enhanced higher-order skills such as predicting and inferring. Acarli and Dervişoğlu (2021), Mandasari </w:t>
      </w:r>
      <w:r w:rsidR="00FE4A15" w:rsidRPr="000F0E01">
        <w:rPr>
          <w:i/>
          <w:sz w:val="22"/>
          <w:szCs w:val="22"/>
          <w:lang w:val="en-GB"/>
        </w:rPr>
        <w:t>et al</w:t>
      </w:r>
      <w:r w:rsidR="00FE4A15" w:rsidRPr="000F0E01">
        <w:rPr>
          <w:sz w:val="22"/>
          <w:szCs w:val="22"/>
          <w:lang w:val="en-GB"/>
        </w:rPr>
        <w:t>. (2021) and Çelik (2022) also emphasised the effectiveness of indigenous analogies and storytelling in improving student skill acquisi</w:t>
      </w:r>
      <w:r w:rsidR="000E348D" w:rsidRPr="000F0E01">
        <w:rPr>
          <w:sz w:val="22"/>
          <w:szCs w:val="22"/>
          <w:lang w:val="en-GB"/>
        </w:rPr>
        <w:t xml:space="preserve">tion across different contexts. </w:t>
      </w:r>
      <w:r w:rsidR="00FE4A15" w:rsidRPr="000F0E01">
        <w:rPr>
          <w:sz w:val="22"/>
          <w:szCs w:val="22"/>
          <w:lang w:val="en-GB"/>
        </w:rPr>
        <w:t xml:space="preserve">The underdevelopment of experimenting and measuring skills echoes concerns from earlier studies, as Farida </w:t>
      </w:r>
      <w:r w:rsidR="00FE4A15" w:rsidRPr="000F0E01">
        <w:rPr>
          <w:i/>
          <w:sz w:val="22"/>
          <w:szCs w:val="22"/>
          <w:lang w:val="en-GB"/>
        </w:rPr>
        <w:t>et al</w:t>
      </w:r>
      <w:r w:rsidR="00FE4A15" w:rsidRPr="000F0E01">
        <w:rPr>
          <w:sz w:val="22"/>
          <w:szCs w:val="22"/>
          <w:lang w:val="en-GB"/>
        </w:rPr>
        <w:t xml:space="preserve">. (2023) reported similar gaps in Indonesia due to limited laboratory access, while Ongowo and Indoshi (2013) noted that Kenyan Biology practicals often focus on basic skills, neglecting more complex tasks like hypothesis testing and experimental design. These findings underscore the need for curriculum reforms that prioritise hands-on and </w:t>
      </w:r>
      <w:r w:rsidR="000E348D" w:rsidRPr="000F0E01">
        <w:rPr>
          <w:sz w:val="22"/>
          <w:szCs w:val="22"/>
          <w:lang w:val="en-GB"/>
        </w:rPr>
        <w:t xml:space="preserve">practical learning experiences. </w:t>
      </w:r>
      <w:r w:rsidR="00FE4A15" w:rsidRPr="000F0E01">
        <w:rPr>
          <w:rStyle w:val="Strong"/>
          <w:b w:val="0"/>
          <w:sz w:val="22"/>
          <w:szCs w:val="22"/>
          <w:lang w:val="en-GB"/>
        </w:rPr>
        <w:t xml:space="preserve">Therefore, </w:t>
      </w:r>
      <w:r w:rsidR="00FE4A15" w:rsidRPr="000F0E01">
        <w:rPr>
          <w:sz w:val="22"/>
          <w:szCs w:val="22"/>
          <w:lang w:val="en-GB"/>
        </w:rPr>
        <w:t xml:space="preserve">the findings affirm that CTCA 2.0 is effective in enhancing several process skills in Biology, particularly inferring, communicating and observing, noting that skills like measuring and experimenting require further support. </w:t>
      </w:r>
      <w:bookmarkStart w:id="31" w:name="_Toc216603891"/>
    </w:p>
    <w:p w:rsidR="00BF02DD" w:rsidRDefault="00BF02DD" w:rsidP="00021251">
      <w:pPr>
        <w:pStyle w:val="NormalWeb"/>
        <w:tabs>
          <w:tab w:val="left" w:pos="8460"/>
        </w:tabs>
        <w:spacing w:before="0" w:beforeAutospacing="0" w:after="0" w:afterAutospacing="0"/>
        <w:ind w:left="90" w:right="720"/>
        <w:jc w:val="both"/>
        <w:rPr>
          <w:sz w:val="22"/>
          <w:szCs w:val="22"/>
          <w:lang w:val="en-GB"/>
        </w:rPr>
      </w:pPr>
    </w:p>
    <w:p w:rsidR="00146957" w:rsidRDefault="00146957" w:rsidP="00021251">
      <w:pPr>
        <w:pStyle w:val="NormalWeb"/>
        <w:tabs>
          <w:tab w:val="left" w:pos="8460"/>
        </w:tabs>
        <w:spacing w:before="0" w:beforeAutospacing="0" w:after="0" w:afterAutospacing="0"/>
        <w:ind w:left="90" w:right="720"/>
        <w:jc w:val="both"/>
        <w:rPr>
          <w:sz w:val="22"/>
          <w:szCs w:val="22"/>
          <w:lang w:val="en-GB"/>
        </w:rPr>
      </w:pPr>
    </w:p>
    <w:p w:rsidR="00146957" w:rsidRDefault="00146957" w:rsidP="00021251">
      <w:pPr>
        <w:pStyle w:val="NormalWeb"/>
        <w:tabs>
          <w:tab w:val="left" w:pos="8460"/>
        </w:tabs>
        <w:spacing w:before="0" w:beforeAutospacing="0" w:after="0" w:afterAutospacing="0"/>
        <w:ind w:left="90" w:right="720"/>
        <w:jc w:val="both"/>
        <w:rPr>
          <w:sz w:val="22"/>
          <w:szCs w:val="22"/>
          <w:lang w:val="en-GB"/>
        </w:rPr>
      </w:pPr>
    </w:p>
    <w:p w:rsidR="00146957" w:rsidRPr="000F0E01" w:rsidRDefault="00146957" w:rsidP="00021251">
      <w:pPr>
        <w:pStyle w:val="NormalWeb"/>
        <w:tabs>
          <w:tab w:val="left" w:pos="8460"/>
        </w:tabs>
        <w:spacing w:before="0" w:beforeAutospacing="0" w:after="0" w:afterAutospacing="0"/>
        <w:ind w:left="90" w:right="720"/>
        <w:jc w:val="both"/>
        <w:rPr>
          <w:sz w:val="22"/>
          <w:szCs w:val="22"/>
          <w:lang w:val="en-GB"/>
        </w:rPr>
      </w:pPr>
    </w:p>
    <w:p w:rsidR="00BF02DD" w:rsidRPr="000F0E01" w:rsidRDefault="00BF02DD" w:rsidP="00021251">
      <w:pPr>
        <w:pStyle w:val="Heading3"/>
        <w:ind w:left="90" w:firstLine="0"/>
        <w:rPr>
          <w:rFonts w:eastAsiaTheme="minorHAnsi"/>
          <w:sz w:val="22"/>
          <w:szCs w:val="22"/>
        </w:rPr>
      </w:pPr>
      <w:bookmarkStart w:id="32" w:name="_Toc216603894"/>
      <w:bookmarkEnd w:id="31"/>
    </w:p>
    <w:p w:rsidR="00FE4A15" w:rsidRPr="000F0E01" w:rsidRDefault="005A5193" w:rsidP="00021251">
      <w:pPr>
        <w:pStyle w:val="Heading3"/>
        <w:ind w:left="90" w:firstLine="0"/>
        <w:jc w:val="left"/>
        <w:rPr>
          <w:sz w:val="22"/>
          <w:szCs w:val="22"/>
        </w:rPr>
      </w:pPr>
      <w:r w:rsidRPr="000F0E01">
        <w:rPr>
          <w:sz w:val="22"/>
          <w:szCs w:val="22"/>
        </w:rPr>
        <w:t xml:space="preserve">5.        </w:t>
      </w:r>
      <w:r w:rsidR="00FE4A15" w:rsidRPr="000F0E01">
        <w:rPr>
          <w:sz w:val="22"/>
          <w:szCs w:val="22"/>
        </w:rPr>
        <w:t>Conclusion</w:t>
      </w:r>
      <w:bookmarkEnd w:id="32"/>
      <w:r w:rsidR="00FE4A15" w:rsidRPr="000F0E01">
        <w:rPr>
          <w:sz w:val="22"/>
          <w:szCs w:val="22"/>
        </w:rPr>
        <w:t xml:space="preserve"> </w:t>
      </w:r>
    </w:p>
    <w:p w:rsidR="00735514" w:rsidRPr="000F0E01" w:rsidRDefault="00FE4A15" w:rsidP="00021251">
      <w:pPr>
        <w:pStyle w:val="NormalWeb"/>
        <w:tabs>
          <w:tab w:val="left" w:pos="8460"/>
        </w:tabs>
        <w:ind w:left="90" w:right="720"/>
        <w:jc w:val="both"/>
        <w:rPr>
          <w:sz w:val="22"/>
          <w:szCs w:val="22"/>
        </w:rPr>
      </w:pPr>
      <w:bookmarkStart w:id="33" w:name="_Toc133885572"/>
      <w:r w:rsidRPr="000F0E01">
        <w:rPr>
          <w:sz w:val="22"/>
          <w:szCs w:val="22"/>
          <w:lang w:val="en-GB"/>
        </w:rPr>
        <w:t>The findings of this study indicated a significant improvem</w:t>
      </w:r>
      <w:r w:rsidR="00E245A1" w:rsidRPr="000F0E01">
        <w:rPr>
          <w:sz w:val="22"/>
          <w:szCs w:val="22"/>
          <w:lang w:val="en-GB"/>
        </w:rPr>
        <w:t xml:space="preserve">ent in </w:t>
      </w:r>
      <w:r w:rsidRPr="000F0E01">
        <w:rPr>
          <w:sz w:val="22"/>
          <w:szCs w:val="22"/>
          <w:lang w:val="en-GB"/>
        </w:rPr>
        <w:t>process skills among students in the experimental group compared to those taught using the conventional method, suggesting the effectiveness of the CTCA 2.</w:t>
      </w:r>
      <w:r w:rsidR="00E245A1" w:rsidRPr="000F0E01">
        <w:rPr>
          <w:sz w:val="22"/>
          <w:szCs w:val="22"/>
          <w:lang w:val="en-GB"/>
        </w:rPr>
        <w:t>0 in facilitating process s</w:t>
      </w:r>
      <w:r w:rsidRPr="000F0E01">
        <w:rPr>
          <w:sz w:val="22"/>
          <w:szCs w:val="22"/>
          <w:lang w:val="en-GB"/>
        </w:rPr>
        <w:t>kill</w:t>
      </w:r>
      <w:r w:rsidR="00E245A1" w:rsidRPr="000F0E01">
        <w:rPr>
          <w:sz w:val="22"/>
          <w:szCs w:val="22"/>
          <w:lang w:val="en-GB"/>
        </w:rPr>
        <w:t>s</w:t>
      </w:r>
      <w:r w:rsidRPr="000F0E01">
        <w:rPr>
          <w:sz w:val="22"/>
          <w:szCs w:val="22"/>
          <w:lang w:val="en-GB"/>
        </w:rPr>
        <w:t xml:space="preserve"> development. </w:t>
      </w:r>
      <w:r w:rsidR="00E245A1" w:rsidRPr="000F0E01">
        <w:rPr>
          <w:sz w:val="22"/>
          <w:szCs w:val="22"/>
          <w:lang w:val="en-GB"/>
        </w:rPr>
        <w:t xml:space="preserve">Further findings indicated a varied pattern of process skills development. Among the ten process skills assessed, </w:t>
      </w:r>
      <w:r w:rsidR="00E245A1" w:rsidRPr="000F0E01">
        <w:rPr>
          <w:iCs/>
          <w:sz w:val="22"/>
          <w:szCs w:val="22"/>
          <w:lang w:val="en-GB"/>
        </w:rPr>
        <w:t>inferring</w:t>
      </w:r>
      <w:r w:rsidR="00E245A1" w:rsidRPr="000F0E01">
        <w:rPr>
          <w:sz w:val="22"/>
          <w:szCs w:val="22"/>
          <w:lang w:val="en-GB"/>
        </w:rPr>
        <w:t xml:space="preserve"> emerged as the most developed.</w:t>
      </w:r>
      <w:r w:rsidR="00735514" w:rsidRPr="000F0E01">
        <w:rPr>
          <w:sz w:val="22"/>
          <w:szCs w:val="22"/>
          <w:lang w:val="en-GB"/>
        </w:rPr>
        <w:t xml:space="preserve"> </w:t>
      </w:r>
      <w:r w:rsidR="00735514" w:rsidRPr="000F0E01">
        <w:rPr>
          <w:sz w:val="22"/>
          <w:szCs w:val="22"/>
        </w:rPr>
        <w:t>However, this study reinforces the imperative to rethink science instruction in African classrooms by situating learning within culturally meaningful and technologically enriched contexts. The demonstrated effectiveness of CTCA 2.0 in enhancing students’ process skills particularly higher-order skills such as inferring, highlights its potential as a transformative pedagogical model for biology education. Therefore, adopting culturally responsive and context-driven instructional approaches like the CTCA 2.0 offers a viable pathway for equipping learners with the core process skills necessary for scientific literacy and problem-solving in contemporary African societies.</w:t>
      </w:r>
    </w:p>
    <w:bookmarkEnd w:id="33"/>
    <w:p w:rsidR="00E245A1" w:rsidRPr="000F0E01" w:rsidRDefault="00E245A1" w:rsidP="00021251">
      <w:pPr>
        <w:tabs>
          <w:tab w:val="left" w:pos="8460"/>
        </w:tabs>
        <w:ind w:left="90" w:right="720"/>
        <w:rPr>
          <w:rFonts w:ascii="Times New Roman" w:hAnsi="Times New Roman" w:cs="Times New Roman"/>
        </w:rPr>
      </w:pPr>
      <w:r w:rsidRPr="000F0E01">
        <w:rPr>
          <w:rFonts w:ascii="Times New Roman" w:hAnsi="Times New Roman" w:cs="Times New Roman"/>
        </w:rPr>
        <w:t xml:space="preserve">Based on the finding and within the limitation of the study we recommended that: </w:t>
      </w:r>
    </w:p>
    <w:p w:rsidR="00FE4A15" w:rsidRPr="000F0E01" w:rsidRDefault="00FE4A15" w:rsidP="00021251">
      <w:pPr>
        <w:pStyle w:val="ListParagraph"/>
        <w:numPr>
          <w:ilvl w:val="0"/>
          <w:numId w:val="5"/>
        </w:numPr>
        <w:tabs>
          <w:tab w:val="left" w:pos="990"/>
          <w:tab w:val="left" w:pos="8460"/>
        </w:tabs>
        <w:spacing w:before="100" w:beforeAutospacing="1" w:after="100" w:afterAutospacing="1" w:line="240" w:lineRule="auto"/>
        <w:ind w:left="90" w:right="720" w:firstLine="0"/>
        <w:jc w:val="both"/>
        <w:rPr>
          <w:rFonts w:ascii="Times New Roman" w:eastAsia="Times New Roman" w:hAnsi="Times New Roman" w:cs="Times New Roman"/>
          <w:lang w:val="en-GB"/>
        </w:rPr>
      </w:pPr>
      <w:r w:rsidRPr="000F0E01">
        <w:rPr>
          <w:rFonts w:ascii="Times New Roman" w:hAnsi="Times New Roman" w:cs="Times New Roman"/>
          <w:lang w:val="en-GB"/>
        </w:rPr>
        <w:t>There should be increased awareness of CTCA 2.0 and its implementation among Biology teachers in Lagos State to enable the approach to gain popularity among teachers.</w:t>
      </w:r>
    </w:p>
    <w:p w:rsidR="00FE4A15" w:rsidRPr="000F0E01" w:rsidRDefault="00FE4A15" w:rsidP="00021251">
      <w:pPr>
        <w:pStyle w:val="ListParagraph"/>
        <w:numPr>
          <w:ilvl w:val="0"/>
          <w:numId w:val="5"/>
        </w:numPr>
        <w:tabs>
          <w:tab w:val="left" w:pos="990"/>
          <w:tab w:val="left" w:pos="8460"/>
        </w:tabs>
        <w:spacing w:before="100" w:beforeAutospacing="1" w:after="100" w:afterAutospacing="1" w:line="240" w:lineRule="auto"/>
        <w:ind w:left="90" w:right="720" w:firstLine="0"/>
        <w:jc w:val="both"/>
        <w:rPr>
          <w:rFonts w:ascii="Times New Roman" w:eastAsia="Times New Roman" w:hAnsi="Times New Roman" w:cs="Times New Roman"/>
          <w:lang w:val="en-GB"/>
        </w:rPr>
      </w:pPr>
      <w:r w:rsidRPr="000F0E01">
        <w:rPr>
          <w:rFonts w:ascii="Times New Roman" w:hAnsi="Times New Roman" w:cs="Times New Roman"/>
          <w:lang w:val="en-GB"/>
        </w:rPr>
        <w:t>Biology teachers should be trained through workshops and seminars on implementing CTCA 2.0 and on assessment strategies that focus on students’ process skills development, thereby enabling regular monitoring and timely interventions to support students’ progress.</w:t>
      </w:r>
    </w:p>
    <w:p w:rsidR="00FE4A15" w:rsidRPr="000F0E01" w:rsidRDefault="00FE4A15" w:rsidP="00021251">
      <w:pPr>
        <w:pStyle w:val="ListParagraph"/>
        <w:numPr>
          <w:ilvl w:val="0"/>
          <w:numId w:val="5"/>
        </w:numPr>
        <w:tabs>
          <w:tab w:val="left" w:pos="990"/>
          <w:tab w:val="left" w:pos="8460"/>
        </w:tabs>
        <w:spacing w:before="100" w:beforeAutospacing="1" w:after="100" w:afterAutospacing="1" w:line="240" w:lineRule="auto"/>
        <w:ind w:left="90" w:right="720" w:firstLine="0"/>
        <w:jc w:val="both"/>
        <w:rPr>
          <w:rFonts w:ascii="Times New Roman" w:eastAsia="Times New Roman" w:hAnsi="Times New Roman" w:cs="Times New Roman"/>
          <w:lang w:val="en-GB"/>
        </w:rPr>
      </w:pPr>
      <w:r w:rsidRPr="000F0E01">
        <w:rPr>
          <w:rFonts w:ascii="Times New Roman" w:eastAsia="Times New Roman" w:hAnsi="Times New Roman" w:cs="Times New Roman"/>
          <w:bCs/>
          <w:lang w:val="en-GB"/>
        </w:rPr>
        <w:t>Parents and guardians</w:t>
      </w:r>
      <w:r w:rsidRPr="000F0E01">
        <w:rPr>
          <w:rFonts w:ascii="Times New Roman" w:eastAsia="Times New Roman" w:hAnsi="Times New Roman" w:cs="Times New Roman"/>
          <w:lang w:val="en-GB"/>
        </w:rPr>
        <w:t xml:space="preserve"> should be formally informed about the operation of CTCA 2.0 to encourage their cooperation and support for their children or wards during its implementation.</w:t>
      </w:r>
    </w:p>
    <w:p w:rsidR="00E245A1" w:rsidRPr="000F0E01" w:rsidRDefault="00FE4A15" w:rsidP="00021251">
      <w:pPr>
        <w:pStyle w:val="ListParagraph"/>
        <w:numPr>
          <w:ilvl w:val="0"/>
          <w:numId w:val="5"/>
        </w:numPr>
        <w:tabs>
          <w:tab w:val="left" w:pos="990"/>
          <w:tab w:val="left" w:pos="8460"/>
        </w:tabs>
        <w:spacing w:before="100" w:beforeAutospacing="1" w:after="100" w:afterAutospacing="1" w:line="240" w:lineRule="auto"/>
        <w:ind w:left="90" w:right="720" w:firstLine="0"/>
        <w:jc w:val="both"/>
        <w:rPr>
          <w:rFonts w:ascii="Times New Roman" w:eastAsia="Times New Roman" w:hAnsi="Times New Roman" w:cs="Times New Roman"/>
          <w:lang w:val="en-GB"/>
        </w:rPr>
      </w:pPr>
      <w:r w:rsidRPr="000F0E01">
        <w:rPr>
          <w:rFonts w:ascii="Times New Roman" w:eastAsia="Times New Roman" w:hAnsi="Times New Roman" w:cs="Times New Roman"/>
          <w:bCs/>
          <w:lang w:val="en-GB"/>
        </w:rPr>
        <w:t>Textbook authors and publishers</w:t>
      </w:r>
      <w:r w:rsidRPr="000F0E01">
        <w:rPr>
          <w:rFonts w:ascii="Times New Roman" w:eastAsia="Times New Roman" w:hAnsi="Times New Roman" w:cs="Times New Roman"/>
          <w:lang w:val="en-GB"/>
        </w:rPr>
        <w:t xml:space="preserve"> should incorporate indigenous knowledge, cultural</w:t>
      </w:r>
      <w:r w:rsidR="00CB3B9C" w:rsidRPr="000F0E01">
        <w:rPr>
          <w:rFonts w:ascii="Times New Roman" w:eastAsia="Times New Roman" w:hAnsi="Times New Roman" w:cs="Times New Roman"/>
          <w:lang w:val="en-GB"/>
        </w:rPr>
        <w:t xml:space="preserve"> practices and context specific examples </w:t>
      </w:r>
      <w:r w:rsidRPr="000F0E01">
        <w:rPr>
          <w:rFonts w:ascii="Times New Roman" w:eastAsia="Times New Roman" w:hAnsi="Times New Roman" w:cs="Times New Roman"/>
          <w:lang w:val="en-GB"/>
        </w:rPr>
        <w:t>as instructional aids to exemplify Biology concepts and make learning more relevant to students.</w:t>
      </w:r>
      <w:bookmarkStart w:id="34" w:name="_Toc216603898"/>
    </w:p>
    <w:p w:rsidR="00032BFE" w:rsidRPr="000F0E01" w:rsidRDefault="00032BFE" w:rsidP="00021251">
      <w:pPr>
        <w:pStyle w:val="Heading1"/>
        <w:tabs>
          <w:tab w:val="left" w:pos="8460"/>
        </w:tabs>
        <w:spacing w:before="0" w:line="240" w:lineRule="auto"/>
        <w:ind w:left="90" w:right="720"/>
        <w:jc w:val="both"/>
        <w:rPr>
          <w:rFonts w:cs="Times New Roman"/>
          <w:b/>
          <w:color w:val="auto"/>
          <w:sz w:val="22"/>
          <w:szCs w:val="22"/>
          <w:lang w:val="en-GB"/>
        </w:rPr>
      </w:pPr>
    </w:p>
    <w:p w:rsidR="00FE4A15" w:rsidRPr="000F0E01" w:rsidRDefault="002E2059" w:rsidP="00021251">
      <w:pPr>
        <w:pStyle w:val="Heading1"/>
        <w:tabs>
          <w:tab w:val="left" w:pos="8460"/>
        </w:tabs>
        <w:spacing w:before="0" w:line="240" w:lineRule="auto"/>
        <w:ind w:left="90" w:right="720"/>
        <w:jc w:val="both"/>
        <w:rPr>
          <w:rFonts w:cs="Times New Roman"/>
          <w:b/>
          <w:color w:val="auto"/>
          <w:sz w:val="22"/>
          <w:szCs w:val="22"/>
          <w:lang w:val="en-GB"/>
        </w:rPr>
      </w:pPr>
      <w:r w:rsidRPr="000F0E01">
        <w:rPr>
          <w:rFonts w:cs="Times New Roman"/>
          <w:b/>
          <w:color w:val="auto"/>
          <w:sz w:val="22"/>
          <w:szCs w:val="22"/>
          <w:lang w:val="en-GB"/>
        </w:rPr>
        <w:t>Reference</w:t>
      </w:r>
      <w:bookmarkEnd w:id="15"/>
      <w:r w:rsidRPr="000F0E01">
        <w:rPr>
          <w:rFonts w:cs="Times New Roman"/>
          <w:b/>
          <w:color w:val="auto"/>
          <w:sz w:val="22"/>
          <w:szCs w:val="22"/>
          <w:lang w:val="en-GB"/>
        </w:rPr>
        <w:t>s</w:t>
      </w:r>
      <w:bookmarkEnd w:id="34"/>
    </w:p>
    <w:p w:rsidR="00A86228" w:rsidRPr="000F0E01" w:rsidRDefault="00A86228" w:rsidP="00B4377E">
      <w:pPr>
        <w:tabs>
          <w:tab w:val="left" w:pos="8460"/>
        </w:tabs>
        <w:ind w:left="1080" w:right="720" w:hanging="990"/>
        <w:jc w:val="both"/>
        <w:rPr>
          <w:lang w:val="en-GB"/>
        </w:rPr>
      </w:pPr>
    </w:p>
    <w:p w:rsidR="00186CC0" w:rsidRPr="000F0E01" w:rsidRDefault="00A86228" w:rsidP="00B4377E">
      <w:pPr>
        <w:pStyle w:val="NormalWeb"/>
        <w:tabs>
          <w:tab w:val="left" w:pos="8460"/>
        </w:tabs>
        <w:spacing w:before="0" w:beforeAutospacing="0" w:after="0" w:afterAutospacing="0"/>
        <w:ind w:left="1080" w:right="720" w:hanging="990"/>
        <w:jc w:val="both"/>
        <w:rPr>
          <w:rStyle w:val="Hyperlink"/>
          <w:sz w:val="22"/>
          <w:szCs w:val="22"/>
        </w:rPr>
      </w:pPr>
      <w:r w:rsidRPr="000F0E01">
        <w:rPr>
          <w:sz w:val="22"/>
          <w:szCs w:val="22"/>
        </w:rPr>
        <w:t xml:space="preserve">Acarli, D. S., &amp; Dervişoğlu, S. (2021). Effect of inquiry-based biology laboratory applications on scientific process skills, attitude, self-efficacy and self-confidence. </w:t>
      </w:r>
      <w:r w:rsidRPr="000F0E01">
        <w:rPr>
          <w:rStyle w:val="Emphasis"/>
          <w:sz w:val="22"/>
          <w:szCs w:val="22"/>
        </w:rPr>
        <w:t>MIER Journal of Educational Studies Trends and Practices</w:t>
      </w:r>
      <w:r w:rsidRPr="000F0E01">
        <w:rPr>
          <w:sz w:val="22"/>
          <w:szCs w:val="22"/>
        </w:rPr>
        <w:t xml:space="preserve">, 15–29. </w:t>
      </w:r>
      <w:hyperlink r:id="rId21" w:history="1">
        <w:r w:rsidRPr="000F0E01">
          <w:rPr>
            <w:rStyle w:val="Hyperlink"/>
            <w:sz w:val="22"/>
            <w:szCs w:val="22"/>
          </w:rPr>
          <w:t>https://doi.org/10.52634/mier/2021/v11/i1/1751</w:t>
        </w:r>
      </w:hyperlink>
    </w:p>
    <w:p w:rsidR="00B4377E" w:rsidRPr="000F0E01" w:rsidRDefault="00B4377E" w:rsidP="00B4377E">
      <w:pPr>
        <w:spacing w:after="0" w:line="240" w:lineRule="auto"/>
        <w:ind w:left="1080" w:right="720" w:hanging="1080"/>
        <w:jc w:val="both"/>
        <w:rPr>
          <w:rFonts w:ascii="Times New Roman" w:hAnsi="Times New Roman" w:cs="Times New Roman"/>
          <w:lang w:val="en-GB"/>
        </w:rPr>
      </w:pPr>
      <w:r w:rsidRPr="000F0E01">
        <w:rPr>
          <w:rFonts w:ascii="Times New Roman" w:eastAsia="Times New Roman" w:hAnsi="Times New Roman" w:cs="Times New Roman"/>
          <w:lang w:val="en-GB"/>
        </w:rPr>
        <w:t xml:space="preserve">Achor, E. E., Odoh, C., &amp; Abakpa, V. (2018). Use of investigative laboratory strategy in enhancing acquisition of science process skills among senior secondary Biology students. </w:t>
      </w:r>
      <w:r w:rsidRPr="000F0E01">
        <w:rPr>
          <w:rFonts w:ascii="Times New Roman" w:eastAsia="Times New Roman" w:hAnsi="Times New Roman" w:cs="Times New Roman"/>
          <w:i/>
          <w:iCs/>
          <w:lang w:val="en-GB"/>
        </w:rPr>
        <w:t>Journal of Research in Curriculum and Teaching</w:t>
      </w:r>
      <w:r w:rsidRPr="000F0E01">
        <w:rPr>
          <w:rFonts w:ascii="Times New Roman" w:eastAsia="Times New Roman" w:hAnsi="Times New Roman" w:cs="Times New Roman"/>
          <w:lang w:val="en-GB"/>
        </w:rPr>
        <w:t xml:space="preserve">, </w:t>
      </w:r>
      <w:r w:rsidRPr="000F0E01">
        <w:rPr>
          <w:rFonts w:ascii="Times New Roman" w:eastAsia="Times New Roman" w:hAnsi="Times New Roman" w:cs="Times New Roman"/>
          <w:i/>
          <w:iCs/>
          <w:lang w:val="en-GB"/>
        </w:rPr>
        <w:t>1</w:t>
      </w:r>
      <w:r w:rsidRPr="000F0E01">
        <w:rPr>
          <w:rFonts w:ascii="Times New Roman" w:eastAsia="Times New Roman" w:hAnsi="Times New Roman" w:cs="Times New Roman"/>
          <w:lang w:val="en-GB"/>
        </w:rPr>
        <w:t>(1), 103-109.</w:t>
      </w:r>
      <w:r w:rsidRPr="000F0E01">
        <w:rPr>
          <w:rFonts w:ascii="Times New Roman" w:hAnsi="Times New Roman" w:cs="Times New Roman"/>
          <w:lang w:val="en-GB"/>
        </w:rPr>
        <w:t xml:space="preserve"> Available at SSRN: </w:t>
      </w:r>
      <w:hyperlink r:id="rId22" w:tgtFrame="_blank" w:history="1">
        <w:r w:rsidRPr="000F0E01">
          <w:rPr>
            <w:rStyle w:val="Hyperlink"/>
            <w:rFonts w:ascii="Times New Roman" w:hAnsi="Times New Roman" w:cs="Times New Roman"/>
            <w:lang w:val="en-GB"/>
          </w:rPr>
          <w:t>https://ssrn.com/abstract=3253713</w:t>
        </w:r>
      </w:hyperlink>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Adam, U. A., Adeyemi, A. D., Lameed, S. N., Gafar, M. A., &amp; Joy, A. T. (2024a). Decolonising biology classrooms in Nigeria: The significance of Culturo-Techno-Contextual Approach. </w:t>
      </w:r>
      <w:r w:rsidRPr="000F0E01">
        <w:rPr>
          <w:rStyle w:val="Emphasis"/>
          <w:sz w:val="22"/>
          <w:szCs w:val="22"/>
        </w:rPr>
        <w:t>Erudio Journal of Educational Innovation, 11</w:t>
      </w:r>
      <w:r w:rsidRPr="000F0E01">
        <w:rPr>
          <w:sz w:val="22"/>
          <w:szCs w:val="22"/>
        </w:rPr>
        <w:t xml:space="preserve">(2), 173–186. </w:t>
      </w:r>
      <w:hyperlink r:id="rId23" w:history="1">
        <w:r w:rsidRPr="000F0E01">
          <w:rPr>
            <w:rStyle w:val="Hyperlink"/>
            <w:sz w:val="22"/>
            <w:szCs w:val="22"/>
          </w:rPr>
          <w:t>https://erudio.ub.ac.id/index.php/erudio/article/view/671</w:t>
        </w:r>
      </w:hyperlink>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Adam, U. A., Akintoye, H. O., Oludipe, O. S., Oladejo, A. I., Abdulkareem, K. M., Bankole, I., ... &amp; Benjamin, O. B. A. (2024b). Investigating the impact of Culturo-Techno-Contextual Approach in enhancing critical thinking in science: Gender dynamics and learning efficacy. </w:t>
      </w:r>
      <w:r w:rsidRPr="000F0E01">
        <w:rPr>
          <w:rStyle w:val="Emphasis"/>
          <w:sz w:val="22"/>
          <w:szCs w:val="22"/>
        </w:rPr>
        <w:t>Journal of Educational Sciences, 8</w:t>
      </w:r>
      <w:r w:rsidRPr="000F0E01">
        <w:rPr>
          <w:sz w:val="22"/>
          <w:szCs w:val="22"/>
        </w:rPr>
        <w:t>(4), 656–670.</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Ademola, I. A., Owolabi, T., Oladejo, A. I., Ogundajo, L., Agbanimu, D. O., Peter, E. O., &amp; Franklin, O. U. (2025). Revitalising STEM education: Can Culturo-Techno-Contextual Approach help to improve students’ achievement and problem-solving skills in chemistry? </w:t>
      </w:r>
      <w:r w:rsidRPr="000F0E01">
        <w:rPr>
          <w:rStyle w:val="Emphasis"/>
          <w:sz w:val="22"/>
          <w:szCs w:val="22"/>
        </w:rPr>
        <w:t>Journal of Educational Sciences</w:t>
      </w:r>
      <w:r w:rsidRPr="000F0E01">
        <w:rPr>
          <w:sz w:val="22"/>
          <w:szCs w:val="22"/>
        </w:rPr>
        <w:t>, 305–321.</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Adeyemi, A. A. (2019). Relative effectiveness of the Culturo-Techno-Contextual Approach (CTCA) in achievement of secondary school students in energy flow in the ecosystem. In P. A. Okebukola (Ed.), </w:t>
      </w:r>
      <w:r w:rsidRPr="000F0E01">
        <w:rPr>
          <w:rStyle w:val="Emphasis"/>
          <w:sz w:val="22"/>
          <w:szCs w:val="22"/>
        </w:rPr>
        <w:t>Breaking barriers to learning: The culture-techno-contextual approach (CTCA)</w:t>
      </w:r>
      <w:r w:rsidRPr="000F0E01">
        <w:rPr>
          <w:sz w:val="22"/>
          <w:szCs w:val="22"/>
        </w:rPr>
        <w:t xml:space="preserve"> (pp. 323–340). Sterling Publishers. </w:t>
      </w:r>
      <w:hyperlink r:id="rId24" w:anchor="page=323" w:history="1">
        <w:r w:rsidRPr="000F0E01">
          <w:rPr>
            <w:rStyle w:val="Hyperlink"/>
            <w:sz w:val="22"/>
            <w:szCs w:val="22"/>
          </w:rPr>
          <w:t>https://www.academia.edu/download/65710942/Peter_A._Okebukola_Breaking_Barriers_to_Meaningful_Learning.pdf#page=323</w:t>
        </w:r>
      </w:hyperlink>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Akintoye, H. O., Oladejo, A. I., Onowugbeda, F. U., Oludipe, O. S., Abdulkareem, K. M., Bankole, I., ... &amp; Adam, U. A. (2024). Investigating the impact of Culturo-Techno-Contextual Approach on enhancing critical thinking in science: Gender dynamics and learning efficacy. </w:t>
      </w:r>
      <w:r w:rsidRPr="000F0E01">
        <w:rPr>
          <w:rStyle w:val="Emphasis"/>
          <w:sz w:val="22"/>
          <w:szCs w:val="22"/>
        </w:rPr>
        <w:t>Journal of Educational Sciences</w:t>
      </w:r>
      <w:r w:rsidRPr="000F0E01">
        <w:rPr>
          <w:sz w:val="22"/>
          <w:szCs w:val="22"/>
        </w:rPr>
        <w:t>, 656–670.</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Alelaiwi, M. M. (2022). </w:t>
      </w:r>
      <w:r w:rsidRPr="000F0E01">
        <w:rPr>
          <w:rStyle w:val="Emphasis"/>
          <w:sz w:val="22"/>
          <w:szCs w:val="22"/>
        </w:rPr>
        <w:t>Careful observation</w:t>
      </w:r>
      <w:r w:rsidRPr="000F0E01">
        <w:rPr>
          <w:sz w:val="22"/>
          <w:szCs w:val="22"/>
        </w:rPr>
        <w:t xml:space="preserve">. </w:t>
      </w:r>
      <w:hyperlink r:id="rId25" w:history="1">
        <w:r w:rsidRPr="000F0E01">
          <w:rPr>
            <w:rStyle w:val="Hyperlink"/>
            <w:sz w:val="22"/>
            <w:szCs w:val="22"/>
          </w:rPr>
          <w:t>https://doi.org/10.1093/oso/9780192868657.003.0004</w:t>
        </w:r>
      </w:hyperlink>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Ausubel, D. P. (2012). </w:t>
      </w:r>
      <w:r w:rsidRPr="000F0E01">
        <w:rPr>
          <w:rStyle w:val="Emphasis"/>
          <w:sz w:val="22"/>
          <w:szCs w:val="22"/>
        </w:rPr>
        <w:t>The acquisition and retention of knowledge: A cognitive view</w:t>
      </w:r>
      <w:r w:rsidRPr="000F0E01">
        <w:rPr>
          <w:sz w:val="22"/>
          <w:szCs w:val="22"/>
        </w:rPr>
        <w:t>. Springer Science &amp; Business Media.</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Ausubel, D. P. (1962). A subsumption theory of meaningful verbal learning and retention. </w:t>
      </w:r>
      <w:r w:rsidRPr="000F0E01">
        <w:rPr>
          <w:rStyle w:val="Emphasis"/>
          <w:sz w:val="22"/>
          <w:szCs w:val="22"/>
        </w:rPr>
        <w:t>The Journal of General Psychology, 66</w:t>
      </w:r>
      <w:r w:rsidRPr="000F0E01">
        <w:rPr>
          <w:sz w:val="22"/>
          <w:szCs w:val="22"/>
        </w:rPr>
        <w:t xml:space="preserve">(2), 213–224. </w:t>
      </w:r>
      <w:r w:rsidRPr="000F0E01">
        <w:rPr>
          <w:rStyle w:val="HTMLCode"/>
          <w:sz w:val="22"/>
          <w:szCs w:val="22"/>
        </w:rPr>
        <w:t>https://www.tandfonline.com/doi/pdf/10.1080/00221309.1962.9711837</w:t>
      </w:r>
      <w:r w:rsidRPr="000F0E01">
        <w:rPr>
          <w:sz w:val="22"/>
          <w:szCs w:val="22"/>
        </w:rPr>
        <w:t xml:space="preserve"> </w:t>
      </w:r>
      <w:hyperlink r:id="rId26" w:history="1">
        <w:r w:rsidRPr="000F0E01">
          <w:rPr>
            <w:rStyle w:val="Hyperlink"/>
            <w:sz w:val="22"/>
            <w:szCs w:val="22"/>
          </w:rPr>
          <w:t>(tandfonline.com in Bing)</w:t>
        </w:r>
      </w:hyperlink>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CareerGuide. (2023). Top careers in biology: What can you do with a biology degree? </w:t>
      </w:r>
      <w:hyperlink r:id="rId27" w:history="1">
        <w:r w:rsidRPr="000F0E01">
          <w:rPr>
            <w:rStyle w:val="Hyperlink"/>
            <w:sz w:val="22"/>
            <w:szCs w:val="22"/>
          </w:rPr>
          <w:t>https://www.careerguide.com/Biology-careers</w:t>
        </w:r>
      </w:hyperlink>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Çelik, B. (2022). The effects of computer simulations on students’ science process skills: Literature review. </w:t>
      </w:r>
      <w:r w:rsidRPr="000F0E01">
        <w:rPr>
          <w:rStyle w:val="Emphasis"/>
          <w:sz w:val="22"/>
          <w:szCs w:val="22"/>
        </w:rPr>
        <w:t>Canadian Journal of Educational and Social Studies, 2</w:t>
      </w:r>
      <w:r w:rsidRPr="000F0E01">
        <w:rPr>
          <w:sz w:val="22"/>
          <w:szCs w:val="22"/>
        </w:rPr>
        <w:t>(1), 16–28.</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Darmaji, D., Kurniawan, D. A., Astalini, A., &amp; Rini, E. F. S. (2022). Science processing skill and critical thinking: Reviewed based on gender. </w:t>
      </w:r>
      <w:r w:rsidRPr="000F0E01">
        <w:rPr>
          <w:rStyle w:val="Emphasis"/>
          <w:sz w:val="22"/>
          <w:szCs w:val="22"/>
        </w:rPr>
        <w:t>JPI (Jurnal Pendidikan Indonesia), 11</w:t>
      </w:r>
      <w:r w:rsidRPr="000F0E01">
        <w:rPr>
          <w:sz w:val="22"/>
          <w:szCs w:val="22"/>
        </w:rPr>
        <w:t>(1), 133–141.</w:t>
      </w:r>
    </w:p>
    <w:p w:rsidR="009D1929"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Ebere, I., &amp; Appolonia, A. N. (2017). Effects of ethnoscience and traditional laboratory practical on science process skills acquisition of secondary school biology students in Nigeria. </w:t>
      </w:r>
      <w:r w:rsidRPr="000F0E01">
        <w:rPr>
          <w:rStyle w:val="Emphasis"/>
          <w:sz w:val="22"/>
          <w:szCs w:val="22"/>
        </w:rPr>
        <w:t>British Journal of Multidisciplinary and Advanced Studies, 1</w:t>
      </w:r>
      <w:r w:rsidRPr="000F0E01">
        <w:rPr>
          <w:sz w:val="22"/>
          <w:szCs w:val="22"/>
        </w:rPr>
        <w:t xml:space="preserve">(1), 10–21. </w:t>
      </w:r>
      <w:hyperlink r:id="rId28" w:history="1">
        <w:r w:rsidRPr="000F0E01">
          <w:rPr>
            <w:rStyle w:val="Hyperlink"/>
            <w:sz w:val="22"/>
            <w:szCs w:val="22"/>
          </w:rPr>
          <w:t>http://bjmas.org/index.php/bjmas/article/view/4</w:t>
        </w:r>
      </w:hyperlink>
    </w:p>
    <w:p w:rsidR="009D1929" w:rsidRPr="000F0E01" w:rsidRDefault="009D1929"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Gay, G. (2010). </w:t>
      </w:r>
      <w:r w:rsidRPr="000F0E01">
        <w:rPr>
          <w:rStyle w:val="Emphasis"/>
          <w:sz w:val="22"/>
          <w:szCs w:val="22"/>
        </w:rPr>
        <w:t>Culturally responsive teaching: Theory, research, and practice</w:t>
      </w:r>
      <w:r w:rsidRPr="000F0E01">
        <w:rPr>
          <w:sz w:val="22"/>
          <w:szCs w:val="22"/>
        </w:rPr>
        <w:t xml:space="preserve"> (2nd ed.). Teachers College Press.</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Gbeleyi, O. A., Okebukola, P. A., Potokri, O., Aribisala, B. S., &amp; Shabani, J. (2022). Enhancing students’ attitude and gender equity in STEM using culture, technology, humour, context to logic gate. </w:t>
      </w:r>
      <w:r w:rsidRPr="000F0E01">
        <w:rPr>
          <w:rStyle w:val="Emphasis"/>
          <w:sz w:val="22"/>
          <w:szCs w:val="22"/>
        </w:rPr>
        <w:t>Technology, Humour, Context to Logic Gate</w:t>
      </w:r>
      <w:r w:rsidRPr="000F0E01">
        <w:rPr>
          <w:sz w:val="22"/>
          <w:szCs w:val="22"/>
        </w:rPr>
        <w:t>.</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Gbeleyi, O. A., Potokri, O. C., &amp; Ogundowole, A. (2025). Empowerment theory and experiences of African women parents: Insights about STEM. </w:t>
      </w:r>
      <w:r w:rsidRPr="000F0E01">
        <w:rPr>
          <w:rStyle w:val="Emphasis"/>
          <w:sz w:val="22"/>
          <w:szCs w:val="22"/>
        </w:rPr>
        <w:t>Journal of College Science Teaching</w:t>
      </w:r>
      <w:r w:rsidRPr="000F0E01">
        <w:rPr>
          <w:sz w:val="22"/>
          <w:szCs w:val="22"/>
        </w:rPr>
        <w:t xml:space="preserve">, 1–13. </w:t>
      </w:r>
      <w:hyperlink r:id="rId29" w:history="1">
        <w:r w:rsidRPr="000F0E01">
          <w:rPr>
            <w:rStyle w:val="Hyperlink"/>
            <w:sz w:val="22"/>
            <w:szCs w:val="22"/>
          </w:rPr>
          <w:t>https://doi.org/10.1080/0047231X.2025.2579556</w:t>
        </w:r>
      </w:hyperlink>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Gonzalez, L. E., Wei, H., Greco, V., &amp; Friedlaender, L. K. (2024). The art of observation: Bridging science and art to see the unexpected. </w:t>
      </w:r>
      <w:r w:rsidRPr="000F0E01">
        <w:rPr>
          <w:rStyle w:val="Emphasis"/>
          <w:sz w:val="22"/>
          <w:szCs w:val="22"/>
        </w:rPr>
        <w:t>Development</w:t>
      </w:r>
      <w:r w:rsidRPr="000F0E01">
        <w:rPr>
          <w:sz w:val="22"/>
          <w:szCs w:val="22"/>
        </w:rPr>
        <w:t xml:space="preserve">. </w:t>
      </w:r>
      <w:hyperlink r:id="rId30" w:history="1">
        <w:r w:rsidRPr="000F0E01">
          <w:rPr>
            <w:rStyle w:val="Hyperlink"/>
            <w:sz w:val="22"/>
            <w:szCs w:val="22"/>
          </w:rPr>
          <w:t>https://doi.org/10.1242/dev.202786</w:t>
        </w:r>
      </w:hyperlink>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Gormally, C., &amp; Heil, A. (2022). A vision for university biology education for non-science majors. </w:t>
      </w:r>
      <w:r w:rsidRPr="000F0E01">
        <w:rPr>
          <w:rStyle w:val="Emphasis"/>
          <w:sz w:val="22"/>
          <w:szCs w:val="22"/>
        </w:rPr>
        <w:t>CBE—Life Sciences Education, 21</w:t>
      </w:r>
      <w:r w:rsidRPr="000F0E01">
        <w:rPr>
          <w:sz w:val="22"/>
          <w:szCs w:val="22"/>
        </w:rPr>
        <w:t xml:space="preserve">(4). </w:t>
      </w:r>
      <w:hyperlink r:id="rId31" w:history="1">
        <w:r w:rsidRPr="000F0E01">
          <w:rPr>
            <w:rStyle w:val="Hyperlink"/>
            <w:sz w:val="22"/>
            <w:szCs w:val="22"/>
          </w:rPr>
          <w:t>https://doi.org/10.1187/cbe.21-12-0338</w:t>
        </w:r>
      </w:hyperlink>
    </w:p>
    <w:p w:rsidR="00186CC0" w:rsidRPr="000F0E01" w:rsidRDefault="00A86228" w:rsidP="00B4377E">
      <w:pPr>
        <w:pStyle w:val="NormalWeb"/>
        <w:tabs>
          <w:tab w:val="left" w:pos="8460"/>
        </w:tabs>
        <w:spacing w:before="0" w:beforeAutospacing="0" w:after="0" w:afterAutospacing="0"/>
        <w:ind w:left="1080" w:right="720" w:hanging="990"/>
        <w:jc w:val="both"/>
        <w:rPr>
          <w:rStyle w:val="Hyperlink"/>
          <w:sz w:val="22"/>
          <w:szCs w:val="22"/>
        </w:rPr>
      </w:pPr>
      <w:r w:rsidRPr="000F0E01">
        <w:rPr>
          <w:sz w:val="22"/>
          <w:szCs w:val="22"/>
        </w:rPr>
        <w:t xml:space="preserve">Ige, A., Onowugbeda, F., Mustapha, A., Ogundowole, A., Gbeleyi, O., Olayanju, M., &amp; Armah, M. (2025). Biology reimagined: A test of Culturo-Techno-Contextual Approach (CTCA) in boosting students’ achievement. </w:t>
      </w:r>
      <w:r w:rsidRPr="000F0E01">
        <w:rPr>
          <w:rStyle w:val="Emphasis"/>
          <w:sz w:val="22"/>
          <w:szCs w:val="22"/>
        </w:rPr>
        <w:t>Journal of Educational Sciences</w:t>
      </w:r>
      <w:r w:rsidRPr="000F0E01">
        <w:rPr>
          <w:sz w:val="22"/>
          <w:szCs w:val="22"/>
        </w:rPr>
        <w:t xml:space="preserve">, 1–25. </w:t>
      </w:r>
      <w:hyperlink r:id="rId32" w:history="1">
        <w:r w:rsidRPr="000F0E01">
          <w:rPr>
            <w:rStyle w:val="Hyperlink"/>
            <w:sz w:val="22"/>
            <w:szCs w:val="22"/>
          </w:rPr>
          <w:t>https://doi.org/10.31258/jes.9.1.p.1-25</w:t>
        </w:r>
      </w:hyperlink>
    </w:p>
    <w:p w:rsidR="00186CC0" w:rsidRPr="000F0E01" w:rsidRDefault="00186CC0" w:rsidP="00B4377E">
      <w:pPr>
        <w:pStyle w:val="NormalWeb"/>
        <w:tabs>
          <w:tab w:val="left" w:pos="8460"/>
        </w:tabs>
        <w:spacing w:before="0" w:beforeAutospacing="0" w:after="0" w:afterAutospacing="0"/>
        <w:ind w:left="1080" w:right="720" w:hanging="990"/>
        <w:jc w:val="both"/>
        <w:rPr>
          <w:color w:val="0563C1" w:themeColor="hyperlink"/>
          <w:sz w:val="22"/>
          <w:szCs w:val="22"/>
          <w:u w:val="single"/>
        </w:rPr>
      </w:pPr>
      <w:r w:rsidRPr="000F0E01">
        <w:rPr>
          <w:sz w:val="22"/>
          <w:szCs w:val="22"/>
        </w:rPr>
        <w:t xml:space="preserve">Marbach-Ad, G., &amp; Rietschel, C. H. (2016). A case study documenting the process by which biology instructors transition from teacher-centered to learner-centered teaching. </w:t>
      </w:r>
      <w:r w:rsidRPr="000F0E01">
        <w:rPr>
          <w:rStyle w:val="Emphasis"/>
          <w:sz w:val="22"/>
          <w:szCs w:val="22"/>
        </w:rPr>
        <w:t>CBE—Life Sciences Education, 15</w:t>
      </w:r>
      <w:r w:rsidRPr="000F0E01">
        <w:rPr>
          <w:sz w:val="22"/>
          <w:szCs w:val="22"/>
        </w:rPr>
        <w:t xml:space="preserve">(4), ar62. </w:t>
      </w:r>
      <w:r w:rsidRPr="000F0E01">
        <w:rPr>
          <w:rStyle w:val="HTMLCode"/>
          <w:rFonts w:ascii="Times New Roman" w:hAnsi="Times New Roman" w:cs="Times New Roman"/>
          <w:sz w:val="22"/>
          <w:szCs w:val="22"/>
        </w:rPr>
        <w:t>https://doi.org/10.1187/cbe.16-06-0196</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Mandasari, F., Iwan, I., &amp; Damopolii, I. (2021). The relationship between science process skills and biology learning outcome. </w:t>
      </w:r>
      <w:r w:rsidRPr="000F0E01">
        <w:rPr>
          <w:rStyle w:val="Emphasis"/>
          <w:sz w:val="22"/>
          <w:szCs w:val="22"/>
        </w:rPr>
        <w:t>JISTECH: Journal of Information Science and Technology, 1</w:t>
      </w:r>
      <w:r w:rsidRPr="000F0E01">
        <w:rPr>
          <w:sz w:val="22"/>
          <w:szCs w:val="22"/>
        </w:rPr>
        <w:t xml:space="preserve">(1), 23–32. </w:t>
      </w:r>
      <w:hyperlink r:id="rId33" w:history="1">
        <w:r w:rsidRPr="000F0E01">
          <w:rPr>
            <w:rStyle w:val="Hyperlink"/>
            <w:sz w:val="22"/>
            <w:szCs w:val="22"/>
          </w:rPr>
          <w:t>https://doi.org/10.30862/jri.v1i1.9</w:t>
        </w:r>
      </w:hyperlink>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McComas, W. F. (2014). Science process skills. In </w:t>
      </w:r>
      <w:r w:rsidRPr="000F0E01">
        <w:rPr>
          <w:rStyle w:val="Emphasis"/>
          <w:sz w:val="22"/>
          <w:szCs w:val="22"/>
        </w:rPr>
        <w:t>Science education</w:t>
      </w:r>
      <w:r w:rsidRPr="000F0E01">
        <w:rPr>
          <w:sz w:val="22"/>
          <w:szCs w:val="22"/>
        </w:rPr>
        <w:t xml:space="preserve"> (p. 89). SensePublishers. </w:t>
      </w:r>
      <w:hyperlink r:id="rId34" w:history="1">
        <w:r w:rsidRPr="000F0E01">
          <w:rPr>
            <w:rStyle w:val="Hyperlink"/>
            <w:sz w:val="22"/>
            <w:szCs w:val="22"/>
          </w:rPr>
          <w:t>https://doi.org/10.1007/978-94-6209-497-0_79</w:t>
        </w:r>
      </w:hyperlink>
    </w:p>
    <w:p w:rsidR="00186CC0" w:rsidRPr="000F0E01" w:rsidRDefault="00A86228" w:rsidP="00B4377E">
      <w:pPr>
        <w:pStyle w:val="NormalWeb"/>
        <w:tabs>
          <w:tab w:val="left" w:pos="8460"/>
        </w:tabs>
        <w:spacing w:before="0" w:beforeAutospacing="0" w:after="0" w:afterAutospacing="0"/>
        <w:ind w:left="1080" w:right="720" w:hanging="990"/>
        <w:jc w:val="both"/>
        <w:rPr>
          <w:rStyle w:val="Hyperlink"/>
          <w:sz w:val="22"/>
          <w:szCs w:val="22"/>
        </w:rPr>
      </w:pPr>
      <w:r w:rsidRPr="000F0E01">
        <w:rPr>
          <w:sz w:val="22"/>
          <w:szCs w:val="22"/>
        </w:rPr>
        <w:t xml:space="preserve">Melesse, D., Menkir, S., Yemata, G., &amp; Seifu, A. (2025). Effect of context-based instructional approach on students’ science process skills acquisition in environmental concepts. </w:t>
      </w:r>
      <w:r w:rsidRPr="000F0E01">
        <w:rPr>
          <w:rStyle w:val="Emphasis"/>
          <w:sz w:val="22"/>
          <w:szCs w:val="22"/>
        </w:rPr>
        <w:t>Education Inquiry</w:t>
      </w:r>
      <w:r w:rsidRPr="000F0E01">
        <w:rPr>
          <w:sz w:val="22"/>
          <w:szCs w:val="22"/>
        </w:rPr>
        <w:t xml:space="preserve">, 1–17. </w:t>
      </w:r>
      <w:hyperlink r:id="rId35" w:history="1">
        <w:r w:rsidRPr="000F0E01">
          <w:rPr>
            <w:rStyle w:val="Hyperlink"/>
            <w:sz w:val="22"/>
            <w:szCs w:val="22"/>
          </w:rPr>
          <w:t>https://doi.org/10.1080/20004508.2025.2453256</w:t>
        </w:r>
      </w:hyperlink>
    </w:p>
    <w:p w:rsidR="00186CC0" w:rsidRPr="000F0E01" w:rsidRDefault="00186CC0"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Musah, A., &amp; Umar, A. (2017). Effects of availability and utilization of biology laboratory facilities on students’ academic achievement in secondary schools in Yobe State, Nigeria. </w:t>
      </w:r>
      <w:r w:rsidRPr="000F0E01">
        <w:rPr>
          <w:rStyle w:val="Emphasis"/>
          <w:sz w:val="22"/>
          <w:szCs w:val="22"/>
        </w:rPr>
        <w:t>International Journal of Innovative Research in Education, Technology &amp; Social Strategies, 4</w:t>
      </w:r>
      <w:r w:rsidRPr="000F0E01">
        <w:rPr>
          <w:sz w:val="22"/>
          <w:szCs w:val="22"/>
        </w:rPr>
        <w:t>(2), 45–53.</w:t>
      </w:r>
    </w:p>
    <w:p w:rsidR="00186CC0" w:rsidRPr="000F0E01" w:rsidRDefault="00186CC0"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Ogieriakhi, A. S. (2020). Professional development for biology teachers on inquiry-based teaching method in Nigeria. </w:t>
      </w:r>
      <w:r w:rsidRPr="000F0E01">
        <w:rPr>
          <w:rStyle w:val="Emphasis"/>
          <w:sz w:val="22"/>
          <w:szCs w:val="22"/>
        </w:rPr>
        <w:t>IRE Journals, 3</w:t>
      </w:r>
      <w:r w:rsidRPr="000F0E01">
        <w:rPr>
          <w:sz w:val="22"/>
          <w:szCs w:val="22"/>
        </w:rPr>
        <w:t>(11), 56–63.</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Ogundowole, A., Owolabi, T., Akintoye, H., Adam, U., Lameed, S., Abolaji, T. J., &amp; Ajose, O. (2025a). A tripartite instructional approach for demarginalising biology classrooms: Impact on cognitive achievement and process skills. </w:t>
      </w:r>
      <w:r w:rsidRPr="000F0E01">
        <w:rPr>
          <w:rStyle w:val="Emphasis"/>
          <w:sz w:val="22"/>
          <w:szCs w:val="22"/>
        </w:rPr>
        <w:t>Asian Journal of Assessment in Teaching and Learning, 15</w:t>
      </w:r>
      <w:r w:rsidRPr="000F0E01">
        <w:rPr>
          <w:sz w:val="22"/>
          <w:szCs w:val="22"/>
        </w:rPr>
        <w:t xml:space="preserve">(1), 16–35. </w:t>
      </w:r>
      <w:hyperlink r:id="rId36" w:history="1">
        <w:r w:rsidRPr="000F0E01">
          <w:rPr>
            <w:rStyle w:val="Hyperlink"/>
            <w:sz w:val="22"/>
            <w:szCs w:val="22"/>
          </w:rPr>
          <w:t>https://doi.org/10.37134/ajatel.vol15.1.2.2025</w:t>
        </w:r>
      </w:hyperlink>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Ogundowole, A., Owolabi, T., Akintoye, H., Lameed, S., Olajide, S. S., Gbeleyi, O., ... &amp; Mustapha, A. G. (2025b). Boosting the non-science students’ process skills in Nigerian classrooms: How effective is Culturo-Techno-Contextual Approach? </w:t>
      </w:r>
      <w:r w:rsidRPr="000F0E01">
        <w:rPr>
          <w:rStyle w:val="Emphasis"/>
          <w:sz w:val="22"/>
          <w:szCs w:val="22"/>
        </w:rPr>
        <w:t>Journal of Educational Sciences</w:t>
      </w:r>
      <w:r w:rsidRPr="000F0E01">
        <w:rPr>
          <w:sz w:val="22"/>
          <w:szCs w:val="22"/>
        </w:rPr>
        <w:t>.</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Okebukola, P. (2020). </w:t>
      </w:r>
      <w:r w:rsidRPr="000F0E01">
        <w:rPr>
          <w:rStyle w:val="Emphasis"/>
          <w:sz w:val="22"/>
          <w:szCs w:val="22"/>
        </w:rPr>
        <w:t>Breaking barriers to learning: The Culturo-Techno-Contextual Approach (CTCA)</w:t>
      </w:r>
      <w:r w:rsidRPr="000F0E01">
        <w:rPr>
          <w:sz w:val="22"/>
          <w:szCs w:val="22"/>
        </w:rPr>
        <w:t xml:space="preserve">. Sterling Publishers. </w:t>
      </w:r>
      <w:r w:rsidRPr="000F0E01">
        <w:rPr>
          <w:rStyle w:val="HTMLCode"/>
          <w:rFonts w:ascii="Times New Roman" w:hAnsi="Times New Roman" w:cs="Times New Roman"/>
          <w:sz w:val="22"/>
          <w:szCs w:val="22"/>
        </w:rPr>
        <w:t>https://www.emerald.com/insight/content/doi/10.1108/jrit-08-2022-0047/full/pdf</w:t>
      </w:r>
      <w:r w:rsidRPr="000F0E01">
        <w:rPr>
          <w:sz w:val="22"/>
          <w:szCs w:val="22"/>
        </w:rPr>
        <w:t xml:space="preserve"> </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Okebukola, P., Ige, K., Oyeyemi, A., Olusesi, O., Owolabi, O., &amp; Okebukola, F. (2016). Exploring the impact of Culturo-Techno-Contextual Approach (CTCA) in tackling underachievement in difficult concepts in biology. In </w:t>
      </w:r>
      <w:r w:rsidRPr="000F0E01">
        <w:rPr>
          <w:rStyle w:val="Emphasis"/>
          <w:sz w:val="22"/>
          <w:szCs w:val="22"/>
        </w:rPr>
        <w:t>Proceedings of the 2016 Conference of the National Association of Research in Science Teaching (NARST)</w:t>
      </w:r>
      <w:r w:rsidRPr="000F0E01">
        <w:rPr>
          <w:sz w:val="22"/>
          <w:szCs w:val="22"/>
        </w:rPr>
        <w:t xml:space="preserve">, Baltimore, USA. </w:t>
      </w:r>
      <w:r w:rsidRPr="000F0E01">
        <w:rPr>
          <w:rStyle w:val="HTMLCode"/>
          <w:rFonts w:ascii="Times New Roman" w:hAnsi="Times New Roman" w:cs="Times New Roman"/>
          <w:sz w:val="22"/>
          <w:szCs w:val="22"/>
        </w:rPr>
        <w:t>https://www.researchgate.net/publication/363258159</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Okebukola, P. A. O. (2015). </w:t>
      </w:r>
      <w:r w:rsidRPr="000F0E01">
        <w:rPr>
          <w:rStyle w:val="Emphasis"/>
          <w:sz w:val="22"/>
          <w:szCs w:val="22"/>
        </w:rPr>
        <w:t>20 golden rules for writing multiple-choice questions</w:t>
      </w:r>
      <w:r w:rsidRPr="000F0E01">
        <w:rPr>
          <w:sz w:val="22"/>
          <w:szCs w:val="22"/>
        </w:rPr>
        <w:t xml:space="preserve"> [Video]. YouTube. </w:t>
      </w:r>
      <w:hyperlink r:id="rId37" w:history="1">
        <w:r w:rsidRPr="000F0E01">
          <w:rPr>
            <w:rStyle w:val="Hyperlink"/>
            <w:sz w:val="22"/>
            <w:szCs w:val="22"/>
          </w:rPr>
          <w:t>http://www.youtube.com/watch?v=ysDZfXPJono</w:t>
        </w:r>
      </w:hyperlink>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Oladejo, A. I., Okebukola, P. A., Adebayo, I., Adeosun, G., Agbanimu, D. O., Ademola, I., &amp; Awaah, F. (2022a). I am CTCA and this is my first attempt in the physics class—How will I perform? [Conference paper]. </w:t>
      </w:r>
      <w:r w:rsidRPr="000F0E01">
        <w:rPr>
          <w:rStyle w:val="Emphasis"/>
          <w:sz w:val="22"/>
          <w:szCs w:val="22"/>
        </w:rPr>
        <w:t>National Association of Research in Science Teaching (NARST) 95th Annual International Conference: Unity and Inclusion for Global Scientific Literacy: Invite as a Community</w:t>
      </w:r>
      <w:r w:rsidRPr="000F0E01">
        <w:rPr>
          <w:sz w:val="22"/>
          <w:szCs w:val="22"/>
        </w:rPr>
        <w:t>, Vancouver, British Columbia. https://www.researchgate.net/profile/Adekunle-Oladejo/publication/361503734</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Oladejo, A. I., Okebukola, P. A., Olateju, T. T., Akinola, V. O., Ebisin, A., &amp; Dansu, T. V. (2022b). In search of culturally responsive tools for meaningful learning of chemistry in Africa: We stumbled on the Culturo-Techno-Contextual Approach. </w:t>
      </w:r>
      <w:r w:rsidRPr="000F0E01">
        <w:rPr>
          <w:rStyle w:val="Emphasis"/>
          <w:sz w:val="22"/>
          <w:szCs w:val="22"/>
        </w:rPr>
        <w:t>Journal of Chemical Education</w:t>
      </w:r>
      <w:r w:rsidRPr="000F0E01">
        <w:rPr>
          <w:sz w:val="22"/>
          <w:szCs w:val="22"/>
        </w:rPr>
        <w:t>. https://pubs.acs.org/doi/abs/10.1021/acs.jchemed.2c00126</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Oladejo, A. I., Olateju, T. T., Okebukola, P. A., Sanni, R., Akintoye, H., Onowugbeda, F., &amp; Adam, U. (2025). Breaking barriers to meaningful learning in STEM subjects in Africa: A systematic review of the Culturo-Techno-Contextual Approach. </w:t>
      </w:r>
      <w:r w:rsidRPr="000F0E01">
        <w:rPr>
          <w:rStyle w:val="Emphasis"/>
          <w:sz w:val="22"/>
          <w:szCs w:val="22"/>
        </w:rPr>
        <w:t>Sustainability, 17</w:t>
      </w:r>
      <w:r w:rsidRPr="000F0E01">
        <w:rPr>
          <w:sz w:val="22"/>
          <w:szCs w:val="22"/>
        </w:rPr>
        <w:t>(5), 2310. https://doi.org/10.3390/su17052310</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Oludipe, O. S., Saibu, S. O., &amp; Owolabi, O. L. (2022). Exploring entrepreneurial motivated approach in chemistry classroom: Can students learn better? </w:t>
      </w:r>
      <w:r w:rsidRPr="000F0E01">
        <w:rPr>
          <w:rStyle w:val="Emphasis"/>
          <w:sz w:val="22"/>
          <w:szCs w:val="22"/>
        </w:rPr>
        <w:t>International Journal of Innovation, Research and Advance Studies (IJIRAS), 9</w:t>
      </w:r>
      <w:r w:rsidRPr="000F0E01">
        <w:rPr>
          <w:sz w:val="22"/>
          <w:szCs w:val="22"/>
        </w:rPr>
        <w:t>(10), 5–15. https://www.ijiras.com/2022/Vol_9-Issue_10/paper_2.pdf</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Ongowo, R. O., &amp; Indoshi, F. C. (2013). Science process skills in the Kenya Certificate of Secondary Education biology practical examinations.</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Onyewuchi, F. A., &amp; Owolabi, T. (2022). Effect of Indigenous Knowledge Systems Strategy on secondary school students’ performance in physics in Lagos State, Nigeria. </w:t>
      </w:r>
      <w:r w:rsidRPr="000F0E01">
        <w:rPr>
          <w:rStyle w:val="Emphasis"/>
          <w:sz w:val="22"/>
          <w:szCs w:val="22"/>
        </w:rPr>
        <w:t>International Journal of Innovative Research and Development, 11</w:t>
      </w:r>
      <w:r w:rsidRPr="000F0E01">
        <w:rPr>
          <w:sz w:val="22"/>
          <w:szCs w:val="22"/>
        </w:rPr>
        <w:t>(1). https://www.academia.edu/download/106791410/ijird_2C_JAN22024.pdf_filename_UTF-8ijird_2C_JAN22024.pdfonowugbeda</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Osotsi, K. M., Wambasi, A., &amp; Muchoki, W. M. (2025). Impact of integrating basic science process skills on students' performance in biology practical in Vihiga County, Kenya. </w:t>
      </w:r>
      <w:r w:rsidRPr="000F0E01">
        <w:rPr>
          <w:rStyle w:val="Emphasis"/>
          <w:sz w:val="22"/>
          <w:szCs w:val="22"/>
        </w:rPr>
        <w:t>International Journal of Research in Social Science and Humanities (IJRSS)</w:t>
      </w:r>
      <w:r w:rsidRPr="000F0E01">
        <w:rPr>
          <w:sz w:val="22"/>
          <w:szCs w:val="22"/>
        </w:rPr>
        <w:t>. https://doi.org/10.47505/IJRSS.2025.1.2</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Owolabi, B. A. (2020). </w:t>
      </w:r>
      <w:r w:rsidRPr="000F0E01">
        <w:rPr>
          <w:i/>
          <w:sz w:val="22"/>
          <w:szCs w:val="22"/>
        </w:rPr>
        <w:t>The efficacy of CTCA in improving the achievement of secondary school students in basic programming over the traditional teaching approach</w:t>
      </w:r>
      <w:r w:rsidRPr="000F0E01">
        <w:rPr>
          <w:sz w:val="22"/>
          <w:szCs w:val="22"/>
        </w:rPr>
        <w:t xml:space="preserve"> [Unpublished research project report]. Lagos State University.</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Owolabi, T. (2022). Abstractism and realism paradox: The nonsensical debate in physics classroom [84th inaugural lecture]. Lagos State University, Ojo, Nigeria.</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Ozgelen, S. (2012). Students’ science process skills within a cognitive domain framework. </w:t>
      </w:r>
      <w:r w:rsidRPr="000F0E01">
        <w:rPr>
          <w:rStyle w:val="Emphasis"/>
          <w:sz w:val="22"/>
          <w:szCs w:val="22"/>
        </w:rPr>
        <w:t>Eurasia Journal of Mathematics, Science &amp; Technology Education, 8</w:t>
      </w:r>
      <w:r w:rsidRPr="000F0E01">
        <w:rPr>
          <w:sz w:val="22"/>
          <w:szCs w:val="22"/>
        </w:rPr>
        <w:t>(4), 283–292. https://doi.org/10.12973/eurasia.2012.846a</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Pakombwele, A., &amp; Tsakeni, M. (2022). The teaching of science process skills in early childhood development classrooms. </w:t>
      </w:r>
      <w:r w:rsidRPr="000F0E01">
        <w:rPr>
          <w:rStyle w:val="Emphasis"/>
          <w:sz w:val="22"/>
          <w:szCs w:val="22"/>
        </w:rPr>
        <w:t>Universal Journal of Educational Research, 10</w:t>
      </w:r>
      <w:r w:rsidRPr="000F0E01">
        <w:rPr>
          <w:sz w:val="22"/>
          <w:szCs w:val="22"/>
        </w:rPr>
        <w:t>(4), 402. https://doi.org/10.13189/ujer.2022.100402</w:t>
      </w:r>
    </w:p>
    <w:p w:rsidR="00186CC0"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Puspita, L., Hidayah, N., Indrawan, A. R., Komarudin, K., &amp; Carolina, H. S. (2025). Analysis of science process skills: The impact of project-based learning assisted by mind mapping on biology subjects. </w:t>
      </w:r>
      <w:r w:rsidRPr="000F0E01">
        <w:rPr>
          <w:rStyle w:val="Emphasis"/>
          <w:sz w:val="22"/>
          <w:szCs w:val="22"/>
        </w:rPr>
        <w:t>Biosfer: Jurnal Tadris Biologi, 15</w:t>
      </w:r>
      <w:r w:rsidRPr="000F0E01">
        <w:rPr>
          <w:sz w:val="22"/>
          <w:szCs w:val="22"/>
        </w:rPr>
        <w:t xml:space="preserve">(2), 179–191. </w:t>
      </w:r>
      <w:hyperlink r:id="rId38" w:history="1">
        <w:r w:rsidR="00186CC0" w:rsidRPr="000F0E01">
          <w:rPr>
            <w:rStyle w:val="Hyperlink"/>
            <w:sz w:val="22"/>
            <w:szCs w:val="22"/>
          </w:rPr>
          <w:t>https://ejournal.radenintan.ac.id/index.php/biosfer/article/view/25564</w:t>
        </w:r>
      </w:hyperlink>
    </w:p>
    <w:p w:rsidR="00186CC0" w:rsidRPr="000F0E01" w:rsidRDefault="00186CC0"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Ruffina, A. N., Esther, A. E., &amp; Anastecia, I. N. (2020). Impact of class size on students’ academic performance in biology in Idemili North Local Government Area of Anambra State. </w:t>
      </w:r>
      <w:r w:rsidRPr="000F0E01">
        <w:rPr>
          <w:rStyle w:val="Emphasis"/>
          <w:sz w:val="22"/>
          <w:szCs w:val="22"/>
        </w:rPr>
        <w:t>Journal of Education Research, 12</w:t>
      </w:r>
      <w:r w:rsidRPr="000F0E01">
        <w:rPr>
          <w:sz w:val="22"/>
          <w:szCs w:val="22"/>
        </w:rPr>
        <w:t>(3), 88–97.</w:t>
      </w:r>
    </w:p>
    <w:p w:rsidR="00186CC0" w:rsidRPr="000F0E01" w:rsidRDefault="00186CC0"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United Nations. (2015). </w:t>
      </w:r>
      <w:r w:rsidRPr="000F0E01">
        <w:rPr>
          <w:rStyle w:val="Emphasis"/>
          <w:sz w:val="22"/>
          <w:szCs w:val="22"/>
        </w:rPr>
        <w:t>Transforming our world: The 2030 Agenda for Sustainable Development</w:t>
      </w:r>
      <w:r w:rsidRPr="000F0E01">
        <w:rPr>
          <w:sz w:val="22"/>
          <w:szCs w:val="22"/>
        </w:rPr>
        <w:t>.</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Umeji, I. C., &amp; Achufusi, N. N. (2025). Secondary school students' science process skills as predictors of academic achievement in physics. </w:t>
      </w:r>
      <w:r w:rsidRPr="000F0E01">
        <w:rPr>
          <w:rStyle w:val="Emphasis"/>
          <w:sz w:val="22"/>
          <w:szCs w:val="22"/>
        </w:rPr>
        <w:t>South Eastern Journal of Research and Sustainable Development (SEJRSD), 16</w:t>
      </w:r>
      <w:r w:rsidRPr="000F0E01">
        <w:rPr>
          <w:sz w:val="22"/>
          <w:szCs w:val="22"/>
        </w:rPr>
        <w:t>(2), 63–83. https://sejrsd.org.ng/index.php/SEJRSD/article/view/335</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Vygotsky, L. S. (1962). </w:t>
      </w:r>
      <w:r w:rsidRPr="000F0E01">
        <w:rPr>
          <w:rStyle w:val="Emphasis"/>
          <w:sz w:val="22"/>
          <w:szCs w:val="22"/>
        </w:rPr>
        <w:t>Language and thought</w:t>
      </w:r>
      <w:r w:rsidRPr="000F0E01">
        <w:rPr>
          <w:sz w:val="22"/>
          <w:szCs w:val="22"/>
        </w:rPr>
        <w:t>. MIT Press.</w:t>
      </w:r>
    </w:p>
    <w:p w:rsidR="00186CC0"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Wabuke, J. M. (2016). Effects of inquiry-based learning on acquisition of science process skills and achievement in biology among secondary school students in Wareng Sub-County, Kenya (Doctoral dissertation, University of Eldoret). </w:t>
      </w:r>
      <w:hyperlink r:id="rId39" w:history="1">
        <w:r w:rsidR="00186CC0" w:rsidRPr="000F0E01">
          <w:rPr>
            <w:rStyle w:val="Hyperlink"/>
            <w:sz w:val="22"/>
            <w:szCs w:val="22"/>
          </w:rPr>
          <w:t>http://41.89.164.27/handle/123456789/1051</w:t>
        </w:r>
      </w:hyperlink>
    </w:p>
    <w:p w:rsidR="00186CC0" w:rsidRPr="000F0E01" w:rsidRDefault="00186CC0"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West African Examinations Council (WAEC). (2015). </w:t>
      </w:r>
      <w:r w:rsidRPr="000F0E01">
        <w:rPr>
          <w:rStyle w:val="Emphasis"/>
          <w:sz w:val="22"/>
          <w:szCs w:val="22"/>
        </w:rPr>
        <w:t>Chief examiner’s report on biology</w:t>
      </w:r>
      <w:r w:rsidRPr="000F0E01">
        <w:rPr>
          <w:sz w:val="22"/>
          <w:szCs w:val="22"/>
        </w:rPr>
        <w:t>. Retrieved from waeconline.org.ng</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West Africa Examinations Council. (2017). </w:t>
      </w:r>
      <w:r w:rsidRPr="000F0E01">
        <w:rPr>
          <w:rStyle w:val="Emphasis"/>
          <w:sz w:val="22"/>
          <w:szCs w:val="22"/>
        </w:rPr>
        <w:t>Chief examiners’ reports WASSCE 2017: Resume of sciences subject</w:t>
      </w:r>
      <w:r w:rsidRPr="000F0E01">
        <w:rPr>
          <w:sz w:val="22"/>
          <w:szCs w:val="22"/>
        </w:rPr>
        <w:t>. https://www.waecgh.org/uploads/examinersReport/2017/Science17.pdf</w:t>
      </w:r>
    </w:p>
    <w:p w:rsidR="00A86228"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West Africa Examinations Council. (2024). </w:t>
      </w:r>
      <w:r w:rsidRPr="000F0E01">
        <w:rPr>
          <w:rStyle w:val="Emphasis"/>
          <w:sz w:val="22"/>
          <w:szCs w:val="22"/>
        </w:rPr>
        <w:t>Chief examiners’ reports WASSCE 2024: Resume of sciences subject</w:t>
      </w:r>
      <w:r w:rsidRPr="000F0E01">
        <w:rPr>
          <w:sz w:val="22"/>
          <w:szCs w:val="22"/>
        </w:rPr>
        <w:t>. https://www.waecgh.org/uploads/examinersReport/2024/Science24.pdf</w:t>
      </w:r>
    </w:p>
    <w:p w:rsidR="009E08F0" w:rsidRPr="000F0E01" w:rsidRDefault="00A86228" w:rsidP="00B4377E">
      <w:pPr>
        <w:pStyle w:val="NormalWeb"/>
        <w:tabs>
          <w:tab w:val="left" w:pos="8460"/>
        </w:tabs>
        <w:spacing w:before="0" w:beforeAutospacing="0" w:after="0" w:afterAutospacing="0"/>
        <w:ind w:left="1080" w:right="720" w:hanging="990"/>
        <w:jc w:val="both"/>
        <w:rPr>
          <w:sz w:val="22"/>
          <w:szCs w:val="22"/>
        </w:rPr>
      </w:pPr>
      <w:r w:rsidRPr="000F0E01">
        <w:rPr>
          <w:sz w:val="22"/>
          <w:szCs w:val="22"/>
        </w:rPr>
        <w:t xml:space="preserve">Wrigley-Asante, C., Ackah, C. G., &amp; Frimpong, L. K. (2023). Gender differences in academic performance of STEM students: Evidence from the University of Ghana. </w:t>
      </w:r>
      <w:r w:rsidRPr="000F0E01">
        <w:rPr>
          <w:rStyle w:val="Emphasis"/>
          <w:sz w:val="22"/>
          <w:szCs w:val="22"/>
        </w:rPr>
        <w:t>SN Social Sciences, 3</w:t>
      </w:r>
      <w:r w:rsidRPr="000F0E01">
        <w:rPr>
          <w:sz w:val="22"/>
          <w:szCs w:val="22"/>
        </w:rPr>
        <w:t>(1), 12. https://pmc.ncbi.nlm.nih.gov/articles/PMC9838398/</w:t>
      </w:r>
    </w:p>
    <w:p w:rsidR="00FE4A15" w:rsidRPr="000F0E01" w:rsidRDefault="00FE4A15" w:rsidP="00021251">
      <w:pPr>
        <w:tabs>
          <w:tab w:val="left" w:pos="8460"/>
        </w:tabs>
        <w:spacing w:after="0" w:line="240" w:lineRule="auto"/>
        <w:ind w:left="90" w:right="720"/>
        <w:jc w:val="both"/>
        <w:rPr>
          <w:rFonts w:ascii="Times New Roman" w:hAnsi="Times New Roman" w:cs="Times New Roman"/>
          <w:lang w:val="en-GB"/>
        </w:rPr>
      </w:pPr>
    </w:p>
    <w:sectPr w:rsidR="00FE4A15" w:rsidRPr="000F0E01" w:rsidSect="0094285B">
      <w:footerReference w:type="default" r:id="rId40"/>
      <w:pgSz w:w="12240" w:h="15840"/>
      <w:pgMar w:top="1170" w:right="1440" w:bottom="1170" w:left="1620" w:header="706" w:footer="70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EC4" w:rsidRDefault="00242EC4">
      <w:pPr>
        <w:spacing w:after="0" w:line="240" w:lineRule="auto"/>
      </w:pPr>
      <w:r>
        <w:separator/>
      </w:r>
    </w:p>
  </w:endnote>
  <w:endnote w:type="continuationSeparator" w:id="0">
    <w:p w:rsidR="00242EC4" w:rsidRDefault="00242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168927"/>
      <w:docPartObj>
        <w:docPartGallery w:val="Page Numbers (Bottom of Page)"/>
        <w:docPartUnique/>
      </w:docPartObj>
    </w:sdtPr>
    <w:sdtEndPr>
      <w:rPr>
        <w:noProof/>
      </w:rPr>
    </w:sdtEndPr>
    <w:sdtContent>
      <w:p w:rsidR="00173635" w:rsidRDefault="00173635">
        <w:pPr>
          <w:pStyle w:val="Footer"/>
          <w:jc w:val="center"/>
        </w:pPr>
        <w:r>
          <w:fldChar w:fldCharType="begin"/>
        </w:r>
        <w:r>
          <w:instrText xml:space="preserve"> PAGE   \* MERGEFORMAT </w:instrText>
        </w:r>
        <w:r>
          <w:fldChar w:fldCharType="separate"/>
        </w:r>
        <w:r w:rsidR="00242EC4">
          <w:rPr>
            <w:noProof/>
          </w:rPr>
          <w:t>1</w:t>
        </w:r>
        <w:r>
          <w:rPr>
            <w:noProof/>
          </w:rPr>
          <w:fldChar w:fldCharType="end"/>
        </w:r>
      </w:p>
    </w:sdtContent>
  </w:sdt>
  <w:p w:rsidR="00173635" w:rsidRDefault="001736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EC4" w:rsidRDefault="00242EC4">
      <w:pPr>
        <w:spacing w:after="0" w:line="240" w:lineRule="auto"/>
      </w:pPr>
      <w:r>
        <w:separator/>
      </w:r>
    </w:p>
  </w:footnote>
  <w:footnote w:type="continuationSeparator" w:id="0">
    <w:p w:rsidR="00242EC4" w:rsidRDefault="00242E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6B0EBC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8B70C1"/>
    <w:multiLevelType w:val="multilevel"/>
    <w:tmpl w:val="FBC0C24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B03E7D"/>
    <w:multiLevelType w:val="hybridMultilevel"/>
    <w:tmpl w:val="F2DEB3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E525F"/>
    <w:multiLevelType w:val="multilevel"/>
    <w:tmpl w:val="9196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1F189C"/>
    <w:multiLevelType w:val="hybridMultilevel"/>
    <w:tmpl w:val="D762717E"/>
    <w:lvl w:ilvl="0" w:tplc="80E8C514">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D8566C"/>
    <w:multiLevelType w:val="hybridMultilevel"/>
    <w:tmpl w:val="367EE5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4D603B"/>
    <w:multiLevelType w:val="hybridMultilevel"/>
    <w:tmpl w:val="6A0A8516"/>
    <w:lvl w:ilvl="0" w:tplc="EC32FCE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37784715"/>
    <w:multiLevelType w:val="hybridMultilevel"/>
    <w:tmpl w:val="7852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BA768C"/>
    <w:multiLevelType w:val="multilevel"/>
    <w:tmpl w:val="65EE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205199"/>
    <w:multiLevelType w:val="hybridMultilevel"/>
    <w:tmpl w:val="4B74F73E"/>
    <w:lvl w:ilvl="0" w:tplc="0409000F">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5481AA2"/>
    <w:multiLevelType w:val="multilevel"/>
    <w:tmpl w:val="87B6D1C4"/>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1A2C1C"/>
    <w:multiLevelType w:val="multilevel"/>
    <w:tmpl w:val="E5AA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F5630E"/>
    <w:multiLevelType w:val="multilevel"/>
    <w:tmpl w:val="D4D0DFA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A37BF4"/>
    <w:multiLevelType w:val="multilevel"/>
    <w:tmpl w:val="43160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FF0768"/>
    <w:multiLevelType w:val="multilevel"/>
    <w:tmpl w:val="7EFA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CB073E"/>
    <w:multiLevelType w:val="hybridMultilevel"/>
    <w:tmpl w:val="0212ED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DA38E3"/>
    <w:multiLevelType w:val="hybridMultilevel"/>
    <w:tmpl w:val="D988B7E4"/>
    <w:lvl w:ilvl="0" w:tplc="AB5C7B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B91EA2"/>
    <w:multiLevelType w:val="multilevel"/>
    <w:tmpl w:val="E8D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4305C1"/>
    <w:multiLevelType w:val="multilevel"/>
    <w:tmpl w:val="C3C4A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A81985"/>
    <w:multiLevelType w:val="multilevel"/>
    <w:tmpl w:val="57B8809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5"/>
  </w:num>
  <w:num w:numId="3">
    <w:abstractNumId w:val="16"/>
  </w:num>
  <w:num w:numId="4">
    <w:abstractNumId w:val="2"/>
  </w:num>
  <w:num w:numId="5">
    <w:abstractNumId w:val="6"/>
  </w:num>
  <w:num w:numId="6">
    <w:abstractNumId w:val="1"/>
  </w:num>
  <w:num w:numId="7">
    <w:abstractNumId w:val="13"/>
  </w:num>
  <w:num w:numId="8">
    <w:abstractNumId w:val="12"/>
  </w:num>
  <w:num w:numId="9">
    <w:abstractNumId w:val="14"/>
  </w:num>
  <w:num w:numId="10">
    <w:abstractNumId w:val="4"/>
  </w:num>
  <w:num w:numId="11">
    <w:abstractNumId w:val="4"/>
    <w:lvlOverride w:ilvl="0">
      <w:startOverride w:val="1"/>
    </w:lvlOverride>
  </w:num>
  <w:num w:numId="12">
    <w:abstractNumId w:val="7"/>
  </w:num>
  <w:num w:numId="13">
    <w:abstractNumId w:val="18"/>
  </w:num>
  <w:num w:numId="14">
    <w:abstractNumId w:val="10"/>
  </w:num>
  <w:num w:numId="15">
    <w:abstractNumId w:val="17"/>
  </w:num>
  <w:num w:numId="16">
    <w:abstractNumId w:val="8"/>
  </w:num>
  <w:num w:numId="17">
    <w:abstractNumId w:val="9"/>
  </w:num>
  <w:num w:numId="18">
    <w:abstractNumId w:val="11"/>
  </w:num>
  <w:num w:numId="19">
    <w:abstractNumId w:val="5"/>
  </w:num>
  <w:num w:numId="20">
    <w:abstractNumId w:val="3"/>
  </w:num>
  <w:num w:numId="21">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A15"/>
    <w:rsid w:val="00007ADC"/>
    <w:rsid w:val="00021251"/>
    <w:rsid w:val="00022005"/>
    <w:rsid w:val="00032BFE"/>
    <w:rsid w:val="00032EF0"/>
    <w:rsid w:val="0007650A"/>
    <w:rsid w:val="00095F12"/>
    <w:rsid w:val="000E348D"/>
    <w:rsid w:val="000E4B2F"/>
    <w:rsid w:val="000F0E01"/>
    <w:rsid w:val="000F555C"/>
    <w:rsid w:val="0010635A"/>
    <w:rsid w:val="00134FAA"/>
    <w:rsid w:val="0014263C"/>
    <w:rsid w:val="00146957"/>
    <w:rsid w:val="0015421E"/>
    <w:rsid w:val="0017117F"/>
    <w:rsid w:val="00173635"/>
    <w:rsid w:val="00186CC0"/>
    <w:rsid w:val="00190452"/>
    <w:rsid w:val="001C0247"/>
    <w:rsid w:val="001C77F7"/>
    <w:rsid w:val="001D65FB"/>
    <w:rsid w:val="001E1C96"/>
    <w:rsid w:val="001F0B09"/>
    <w:rsid w:val="002362BB"/>
    <w:rsid w:val="00242EC4"/>
    <w:rsid w:val="0025499F"/>
    <w:rsid w:val="0026647B"/>
    <w:rsid w:val="002723AA"/>
    <w:rsid w:val="002777A3"/>
    <w:rsid w:val="002B051B"/>
    <w:rsid w:val="002D2E87"/>
    <w:rsid w:val="002E2059"/>
    <w:rsid w:val="002E3FD6"/>
    <w:rsid w:val="00316A88"/>
    <w:rsid w:val="00331A9B"/>
    <w:rsid w:val="003500BA"/>
    <w:rsid w:val="00361A1B"/>
    <w:rsid w:val="00363BBD"/>
    <w:rsid w:val="00397B06"/>
    <w:rsid w:val="003D1B1F"/>
    <w:rsid w:val="003D49B8"/>
    <w:rsid w:val="003E24A3"/>
    <w:rsid w:val="003E5759"/>
    <w:rsid w:val="004131EC"/>
    <w:rsid w:val="00416EF8"/>
    <w:rsid w:val="004370B2"/>
    <w:rsid w:val="00456EB9"/>
    <w:rsid w:val="004613D1"/>
    <w:rsid w:val="00492DAA"/>
    <w:rsid w:val="004A0E06"/>
    <w:rsid w:val="004A78E5"/>
    <w:rsid w:val="004C1CB7"/>
    <w:rsid w:val="004D3CD1"/>
    <w:rsid w:val="00505793"/>
    <w:rsid w:val="00526BAD"/>
    <w:rsid w:val="0053638F"/>
    <w:rsid w:val="00550B01"/>
    <w:rsid w:val="005744A6"/>
    <w:rsid w:val="00591D43"/>
    <w:rsid w:val="0059234D"/>
    <w:rsid w:val="005949C1"/>
    <w:rsid w:val="005A5193"/>
    <w:rsid w:val="005D4764"/>
    <w:rsid w:val="005E4F2A"/>
    <w:rsid w:val="00604766"/>
    <w:rsid w:val="006347F0"/>
    <w:rsid w:val="00641748"/>
    <w:rsid w:val="00646D44"/>
    <w:rsid w:val="00651DB4"/>
    <w:rsid w:val="006528E2"/>
    <w:rsid w:val="00654BF0"/>
    <w:rsid w:val="00661FBF"/>
    <w:rsid w:val="00670EF4"/>
    <w:rsid w:val="00687EAE"/>
    <w:rsid w:val="006C0827"/>
    <w:rsid w:val="006C1D0B"/>
    <w:rsid w:val="006D1EC9"/>
    <w:rsid w:val="006D62A2"/>
    <w:rsid w:val="006F4D24"/>
    <w:rsid w:val="007154DD"/>
    <w:rsid w:val="00726345"/>
    <w:rsid w:val="00735514"/>
    <w:rsid w:val="007474F1"/>
    <w:rsid w:val="007660B3"/>
    <w:rsid w:val="0078610F"/>
    <w:rsid w:val="007B5AE7"/>
    <w:rsid w:val="007D3D99"/>
    <w:rsid w:val="007F364C"/>
    <w:rsid w:val="0083179A"/>
    <w:rsid w:val="008757E9"/>
    <w:rsid w:val="00885AA9"/>
    <w:rsid w:val="008A23DD"/>
    <w:rsid w:val="008B50A6"/>
    <w:rsid w:val="008C71F4"/>
    <w:rsid w:val="008D6548"/>
    <w:rsid w:val="008E42DA"/>
    <w:rsid w:val="0092720D"/>
    <w:rsid w:val="0094285B"/>
    <w:rsid w:val="0094686C"/>
    <w:rsid w:val="009468D3"/>
    <w:rsid w:val="0095057D"/>
    <w:rsid w:val="00974E77"/>
    <w:rsid w:val="009A298C"/>
    <w:rsid w:val="009D1929"/>
    <w:rsid w:val="009E08F0"/>
    <w:rsid w:val="009E70D7"/>
    <w:rsid w:val="009F2F38"/>
    <w:rsid w:val="00A0416F"/>
    <w:rsid w:val="00A168C4"/>
    <w:rsid w:val="00A21A80"/>
    <w:rsid w:val="00A21CF3"/>
    <w:rsid w:val="00A22F2E"/>
    <w:rsid w:val="00A254D0"/>
    <w:rsid w:val="00A35A66"/>
    <w:rsid w:val="00A41D08"/>
    <w:rsid w:val="00A452FE"/>
    <w:rsid w:val="00A476D0"/>
    <w:rsid w:val="00A52AB4"/>
    <w:rsid w:val="00A60366"/>
    <w:rsid w:val="00A60370"/>
    <w:rsid w:val="00A86228"/>
    <w:rsid w:val="00A91D25"/>
    <w:rsid w:val="00A968C3"/>
    <w:rsid w:val="00AA7C3D"/>
    <w:rsid w:val="00AB606F"/>
    <w:rsid w:val="00AB60C5"/>
    <w:rsid w:val="00AD4033"/>
    <w:rsid w:val="00AF6BA7"/>
    <w:rsid w:val="00B0045D"/>
    <w:rsid w:val="00B0484B"/>
    <w:rsid w:val="00B23387"/>
    <w:rsid w:val="00B27DA9"/>
    <w:rsid w:val="00B31EE7"/>
    <w:rsid w:val="00B3347D"/>
    <w:rsid w:val="00B4377E"/>
    <w:rsid w:val="00B53FB3"/>
    <w:rsid w:val="00B62CE6"/>
    <w:rsid w:val="00B76869"/>
    <w:rsid w:val="00BA32D7"/>
    <w:rsid w:val="00BC0947"/>
    <w:rsid w:val="00BC3D8B"/>
    <w:rsid w:val="00BC747B"/>
    <w:rsid w:val="00BD03AD"/>
    <w:rsid w:val="00BD08B9"/>
    <w:rsid w:val="00BE050C"/>
    <w:rsid w:val="00BE1859"/>
    <w:rsid w:val="00BF02DD"/>
    <w:rsid w:val="00BF1559"/>
    <w:rsid w:val="00C009F2"/>
    <w:rsid w:val="00C05793"/>
    <w:rsid w:val="00C15AD2"/>
    <w:rsid w:val="00C15F60"/>
    <w:rsid w:val="00C33B01"/>
    <w:rsid w:val="00C36DDF"/>
    <w:rsid w:val="00C4365E"/>
    <w:rsid w:val="00C5160C"/>
    <w:rsid w:val="00C537B3"/>
    <w:rsid w:val="00C559A8"/>
    <w:rsid w:val="00C7698F"/>
    <w:rsid w:val="00C8426A"/>
    <w:rsid w:val="00C949E9"/>
    <w:rsid w:val="00C95333"/>
    <w:rsid w:val="00CA5709"/>
    <w:rsid w:val="00CB3190"/>
    <w:rsid w:val="00CB3B9C"/>
    <w:rsid w:val="00CD24A4"/>
    <w:rsid w:val="00CF4560"/>
    <w:rsid w:val="00D0460F"/>
    <w:rsid w:val="00D06B94"/>
    <w:rsid w:val="00D25999"/>
    <w:rsid w:val="00D32749"/>
    <w:rsid w:val="00D378B7"/>
    <w:rsid w:val="00D43DE6"/>
    <w:rsid w:val="00D762C3"/>
    <w:rsid w:val="00D83421"/>
    <w:rsid w:val="00DA011B"/>
    <w:rsid w:val="00DD0E31"/>
    <w:rsid w:val="00DD51DA"/>
    <w:rsid w:val="00DD6BD4"/>
    <w:rsid w:val="00DF3535"/>
    <w:rsid w:val="00E163D2"/>
    <w:rsid w:val="00E165CC"/>
    <w:rsid w:val="00E245A1"/>
    <w:rsid w:val="00E4009F"/>
    <w:rsid w:val="00E60ED2"/>
    <w:rsid w:val="00E818CA"/>
    <w:rsid w:val="00E91CD9"/>
    <w:rsid w:val="00EB496E"/>
    <w:rsid w:val="00EB7D6E"/>
    <w:rsid w:val="00EC226F"/>
    <w:rsid w:val="00EC3F93"/>
    <w:rsid w:val="00ED6963"/>
    <w:rsid w:val="00ED69B9"/>
    <w:rsid w:val="00ED7A22"/>
    <w:rsid w:val="00EF3C3B"/>
    <w:rsid w:val="00F07527"/>
    <w:rsid w:val="00F13BE5"/>
    <w:rsid w:val="00F4521C"/>
    <w:rsid w:val="00F62AAC"/>
    <w:rsid w:val="00FB6341"/>
    <w:rsid w:val="00FE19E4"/>
    <w:rsid w:val="00FE4A15"/>
    <w:rsid w:val="00FF0090"/>
    <w:rsid w:val="00FF5322"/>
    <w:rsid w:val="00FF7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6E3C1E-0454-4F20-9521-E3DE6AE90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A15"/>
  </w:style>
  <w:style w:type="paragraph" w:styleId="Heading1">
    <w:name w:val="heading 1"/>
    <w:basedOn w:val="Normal"/>
    <w:next w:val="Normal"/>
    <w:link w:val="Heading1Char"/>
    <w:uiPriority w:val="1"/>
    <w:qFormat/>
    <w:rsid w:val="00FE4A15"/>
    <w:pPr>
      <w:keepNext/>
      <w:keepLines/>
      <w:spacing w:before="240" w:after="0"/>
      <w:jc w:val="center"/>
      <w:outlineLvl w:val="0"/>
    </w:pPr>
    <w:rPr>
      <w:rFonts w:ascii="Times New Roman" w:eastAsiaTheme="majorEastAsia" w:hAnsi="Times New Roman" w:cstheme="majorBidi"/>
      <w:color w:val="000000" w:themeColor="text1"/>
      <w:sz w:val="28"/>
      <w:szCs w:val="32"/>
    </w:rPr>
  </w:style>
  <w:style w:type="paragraph" w:styleId="Heading2">
    <w:name w:val="heading 2"/>
    <w:basedOn w:val="Normal"/>
    <w:next w:val="Normal"/>
    <w:link w:val="Heading2Char"/>
    <w:autoRedefine/>
    <w:uiPriority w:val="9"/>
    <w:unhideWhenUsed/>
    <w:qFormat/>
    <w:rsid w:val="005949C1"/>
    <w:pPr>
      <w:spacing w:after="0" w:line="240" w:lineRule="auto"/>
      <w:jc w:val="both"/>
      <w:outlineLvl w:val="1"/>
    </w:pPr>
    <w:rPr>
      <w:rFonts w:ascii="Times New Roman" w:eastAsiaTheme="majorEastAsia" w:hAnsi="Times New Roman" w:cs="Times New Roman"/>
      <w:b/>
      <w:i/>
      <w:color w:val="000000" w:themeColor="text1"/>
      <w:sz w:val="24"/>
      <w:szCs w:val="24"/>
      <w:lang w:val="en-GB"/>
    </w:rPr>
  </w:style>
  <w:style w:type="paragraph" w:styleId="Heading3">
    <w:name w:val="heading 3"/>
    <w:basedOn w:val="Normal"/>
    <w:next w:val="Normal"/>
    <w:link w:val="Heading3Char"/>
    <w:autoRedefine/>
    <w:uiPriority w:val="9"/>
    <w:unhideWhenUsed/>
    <w:qFormat/>
    <w:rsid w:val="00C559A8"/>
    <w:pPr>
      <w:tabs>
        <w:tab w:val="left" w:pos="8460"/>
      </w:tabs>
      <w:spacing w:after="0" w:line="240" w:lineRule="auto"/>
      <w:ind w:left="990" w:right="720" w:firstLine="450"/>
      <w:jc w:val="center"/>
      <w:outlineLvl w:val="2"/>
    </w:pPr>
    <w:rPr>
      <w:rFonts w:ascii="Times New Roman" w:eastAsia="Times New Roman" w:hAnsi="Times New Roman" w:cs="Times New Roman"/>
      <w:b/>
      <w:sz w:val="24"/>
      <w:szCs w:val="24"/>
      <w:lang w:val="en-GB"/>
    </w:rPr>
  </w:style>
  <w:style w:type="paragraph" w:styleId="Heading4">
    <w:name w:val="heading 4"/>
    <w:next w:val="Normal"/>
    <w:link w:val="Heading4Char"/>
    <w:autoRedefine/>
    <w:uiPriority w:val="9"/>
    <w:unhideWhenUsed/>
    <w:qFormat/>
    <w:rsid w:val="00FE4A15"/>
    <w:pPr>
      <w:spacing w:after="0" w:line="360" w:lineRule="auto"/>
      <w:jc w:val="both"/>
      <w:outlineLvl w:val="3"/>
    </w:pPr>
    <w:rPr>
      <w:rFonts w:ascii="Times New Roman" w:eastAsia="Times New Roman" w:hAnsi="Times New Roman" w:cs="Times New Roman"/>
      <w:b/>
      <w:bCs/>
      <w:sz w:val="24"/>
      <w:szCs w:val="24"/>
      <w:lang w:val="en-GB"/>
    </w:rPr>
  </w:style>
  <w:style w:type="paragraph" w:styleId="Heading5">
    <w:name w:val="heading 5"/>
    <w:basedOn w:val="Normal"/>
    <w:link w:val="Heading5Char"/>
    <w:uiPriority w:val="9"/>
    <w:qFormat/>
    <w:rsid w:val="00FE4A1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FE4A1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E4A15"/>
    <w:rPr>
      <w:rFonts w:ascii="Times New Roman" w:eastAsiaTheme="majorEastAsia" w:hAnsi="Times New Roman" w:cstheme="majorBidi"/>
      <w:color w:val="000000" w:themeColor="text1"/>
      <w:sz w:val="28"/>
      <w:szCs w:val="32"/>
    </w:rPr>
  </w:style>
  <w:style w:type="character" w:customStyle="1" w:styleId="Heading2Char">
    <w:name w:val="Heading 2 Char"/>
    <w:basedOn w:val="DefaultParagraphFont"/>
    <w:link w:val="Heading2"/>
    <w:uiPriority w:val="9"/>
    <w:rsid w:val="005949C1"/>
    <w:rPr>
      <w:rFonts w:ascii="Times New Roman" w:eastAsiaTheme="majorEastAsia" w:hAnsi="Times New Roman" w:cs="Times New Roman"/>
      <w:b/>
      <w:i/>
      <w:color w:val="000000" w:themeColor="text1"/>
      <w:sz w:val="24"/>
      <w:szCs w:val="24"/>
      <w:lang w:val="en-GB"/>
    </w:rPr>
  </w:style>
  <w:style w:type="character" w:customStyle="1" w:styleId="Heading3Char">
    <w:name w:val="Heading 3 Char"/>
    <w:basedOn w:val="DefaultParagraphFont"/>
    <w:link w:val="Heading3"/>
    <w:uiPriority w:val="9"/>
    <w:rsid w:val="00C559A8"/>
    <w:rPr>
      <w:rFonts w:ascii="Times New Roman" w:eastAsia="Times New Roman" w:hAnsi="Times New Roman" w:cs="Times New Roman"/>
      <w:b/>
      <w:sz w:val="24"/>
      <w:szCs w:val="24"/>
      <w:lang w:val="en-GB"/>
    </w:rPr>
  </w:style>
  <w:style w:type="character" w:customStyle="1" w:styleId="Heading4Char">
    <w:name w:val="Heading 4 Char"/>
    <w:basedOn w:val="DefaultParagraphFont"/>
    <w:link w:val="Heading4"/>
    <w:uiPriority w:val="9"/>
    <w:rsid w:val="00FE4A15"/>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uiPriority w:val="9"/>
    <w:rsid w:val="00FE4A15"/>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semiHidden/>
    <w:rsid w:val="00FE4A15"/>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E4A15"/>
    <w:pPr>
      <w:spacing w:after="0" w:line="240" w:lineRule="auto"/>
      <w:contextualSpacing/>
    </w:pPr>
    <w:rPr>
      <w:rFonts w:ascii="Times New Roman" w:eastAsiaTheme="majorEastAsia" w:hAnsi="Times New Roman" w:cstheme="majorBidi"/>
      <w:spacing w:val="-10"/>
      <w:kern w:val="28"/>
      <w:sz w:val="32"/>
      <w:szCs w:val="56"/>
    </w:rPr>
  </w:style>
  <w:style w:type="character" w:customStyle="1" w:styleId="TitleChar">
    <w:name w:val="Title Char"/>
    <w:basedOn w:val="DefaultParagraphFont"/>
    <w:link w:val="Title"/>
    <w:uiPriority w:val="10"/>
    <w:rsid w:val="00FE4A15"/>
    <w:rPr>
      <w:rFonts w:ascii="Times New Roman" w:eastAsiaTheme="majorEastAsia" w:hAnsi="Times New Roman" w:cstheme="majorBidi"/>
      <w:spacing w:val="-10"/>
      <w:kern w:val="28"/>
      <w:sz w:val="32"/>
      <w:szCs w:val="56"/>
    </w:rPr>
  </w:style>
  <w:style w:type="paragraph" w:styleId="ListParagraph">
    <w:name w:val="List Paragraph"/>
    <w:basedOn w:val="Normal"/>
    <w:link w:val="ListParagraphChar"/>
    <w:uiPriority w:val="34"/>
    <w:qFormat/>
    <w:rsid w:val="00FE4A15"/>
    <w:pPr>
      <w:spacing w:after="200" w:line="276" w:lineRule="auto"/>
      <w:ind w:left="720"/>
      <w:contextualSpacing/>
    </w:pPr>
  </w:style>
  <w:style w:type="character" w:customStyle="1" w:styleId="ListParagraphChar">
    <w:name w:val="List Paragraph Char"/>
    <w:basedOn w:val="DefaultParagraphFont"/>
    <w:link w:val="ListParagraph"/>
    <w:uiPriority w:val="34"/>
    <w:locked/>
    <w:rsid w:val="00FE4A15"/>
  </w:style>
  <w:style w:type="character" w:customStyle="1" w:styleId="fontstyle01">
    <w:name w:val="fontstyle01"/>
    <w:basedOn w:val="DefaultParagraphFont"/>
    <w:rsid w:val="00FE4A15"/>
    <w:rPr>
      <w:rFonts w:ascii="TimesNewRomanPSMT" w:hAnsi="TimesNewRomanPSMT" w:hint="default"/>
      <w:b w:val="0"/>
      <w:bCs w:val="0"/>
      <w:i w:val="0"/>
      <w:iCs w:val="0"/>
      <w:color w:val="000000"/>
      <w:sz w:val="22"/>
      <w:szCs w:val="22"/>
    </w:rPr>
  </w:style>
  <w:style w:type="paragraph" w:styleId="NoSpacing">
    <w:name w:val="No Spacing"/>
    <w:link w:val="NoSpacingChar"/>
    <w:uiPriority w:val="1"/>
    <w:qFormat/>
    <w:rsid w:val="00FE4A15"/>
    <w:pPr>
      <w:spacing w:after="0" w:line="240" w:lineRule="auto"/>
    </w:pPr>
  </w:style>
  <w:style w:type="character" w:customStyle="1" w:styleId="NoSpacingChar">
    <w:name w:val="No Spacing Char"/>
    <w:basedOn w:val="DefaultParagraphFont"/>
    <w:link w:val="NoSpacing"/>
    <w:uiPriority w:val="1"/>
    <w:rsid w:val="00FE4A15"/>
  </w:style>
  <w:style w:type="table" w:styleId="TableGrid">
    <w:name w:val="Table Grid"/>
    <w:basedOn w:val="TableNormal"/>
    <w:uiPriority w:val="39"/>
    <w:rsid w:val="00FE4A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E4A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A15"/>
  </w:style>
  <w:style w:type="paragraph" w:styleId="Footer">
    <w:name w:val="footer"/>
    <w:basedOn w:val="Normal"/>
    <w:link w:val="FooterChar"/>
    <w:uiPriority w:val="99"/>
    <w:unhideWhenUsed/>
    <w:rsid w:val="00FE4A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A15"/>
  </w:style>
  <w:style w:type="character" w:styleId="Hyperlink">
    <w:name w:val="Hyperlink"/>
    <w:basedOn w:val="DefaultParagraphFont"/>
    <w:uiPriority w:val="99"/>
    <w:unhideWhenUsed/>
    <w:rsid w:val="00FE4A15"/>
    <w:rPr>
      <w:color w:val="0563C1" w:themeColor="hyperlink"/>
      <w:u w:val="single"/>
    </w:rPr>
  </w:style>
  <w:style w:type="character" w:customStyle="1" w:styleId="fontstyle21">
    <w:name w:val="fontstyle21"/>
    <w:basedOn w:val="DefaultParagraphFont"/>
    <w:rsid w:val="00FE4A15"/>
    <w:rPr>
      <w:rFonts w:ascii="TimesNewRomanPS-ItalicMT" w:hAnsi="TimesNewRomanPS-ItalicMT" w:hint="default"/>
      <w:b w:val="0"/>
      <w:bCs w:val="0"/>
      <w:i/>
      <w:iCs/>
      <w:color w:val="000000"/>
      <w:sz w:val="24"/>
      <w:szCs w:val="24"/>
    </w:rPr>
  </w:style>
  <w:style w:type="character" w:customStyle="1" w:styleId="CommentTextChar">
    <w:name w:val="Comment Text Char"/>
    <w:basedOn w:val="DefaultParagraphFont"/>
    <w:link w:val="CommentText"/>
    <w:uiPriority w:val="99"/>
    <w:semiHidden/>
    <w:rsid w:val="00FE4A15"/>
    <w:rPr>
      <w:sz w:val="20"/>
      <w:szCs w:val="20"/>
    </w:rPr>
  </w:style>
  <w:style w:type="paragraph" w:styleId="CommentText">
    <w:name w:val="annotation text"/>
    <w:basedOn w:val="Normal"/>
    <w:link w:val="CommentTextChar"/>
    <w:uiPriority w:val="99"/>
    <w:semiHidden/>
    <w:unhideWhenUsed/>
    <w:rsid w:val="00FE4A15"/>
    <w:pPr>
      <w:spacing w:after="200" w:line="240" w:lineRule="auto"/>
    </w:pPr>
    <w:rPr>
      <w:sz w:val="20"/>
      <w:szCs w:val="20"/>
    </w:rPr>
  </w:style>
  <w:style w:type="character" w:customStyle="1" w:styleId="CommentSubjectChar">
    <w:name w:val="Comment Subject Char"/>
    <w:basedOn w:val="CommentTextChar"/>
    <w:link w:val="CommentSubject"/>
    <w:uiPriority w:val="99"/>
    <w:semiHidden/>
    <w:rsid w:val="00FE4A15"/>
    <w:rPr>
      <w:b/>
      <w:bCs/>
      <w:sz w:val="20"/>
      <w:szCs w:val="20"/>
    </w:rPr>
  </w:style>
  <w:style w:type="paragraph" w:styleId="CommentSubject">
    <w:name w:val="annotation subject"/>
    <w:basedOn w:val="CommentText"/>
    <w:next w:val="CommentText"/>
    <w:link w:val="CommentSubjectChar"/>
    <w:uiPriority w:val="99"/>
    <w:semiHidden/>
    <w:unhideWhenUsed/>
    <w:rsid w:val="00FE4A15"/>
    <w:rPr>
      <w:b/>
      <w:bCs/>
    </w:rPr>
  </w:style>
  <w:style w:type="character" w:customStyle="1" w:styleId="CommentSubjectChar1">
    <w:name w:val="Comment Subject Char1"/>
    <w:basedOn w:val="CommentTextChar"/>
    <w:uiPriority w:val="99"/>
    <w:semiHidden/>
    <w:rsid w:val="00FE4A15"/>
    <w:rPr>
      <w:b/>
      <w:bCs/>
      <w:sz w:val="20"/>
      <w:szCs w:val="20"/>
    </w:rPr>
  </w:style>
  <w:style w:type="character" w:customStyle="1" w:styleId="BalloonTextChar">
    <w:name w:val="Balloon Text Char"/>
    <w:basedOn w:val="DefaultParagraphFont"/>
    <w:link w:val="BalloonText"/>
    <w:uiPriority w:val="99"/>
    <w:semiHidden/>
    <w:rsid w:val="00FE4A15"/>
    <w:rPr>
      <w:rFonts w:ascii="Segoe UI" w:hAnsi="Segoe UI" w:cs="Segoe UI"/>
      <w:sz w:val="18"/>
      <w:szCs w:val="18"/>
    </w:rPr>
  </w:style>
  <w:style w:type="paragraph" w:styleId="BalloonText">
    <w:name w:val="Balloon Text"/>
    <w:basedOn w:val="Normal"/>
    <w:link w:val="BalloonTextChar"/>
    <w:uiPriority w:val="99"/>
    <w:semiHidden/>
    <w:unhideWhenUsed/>
    <w:rsid w:val="00FE4A15"/>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FE4A15"/>
    <w:rPr>
      <w:rFonts w:ascii="Segoe UI" w:hAnsi="Segoe UI" w:cs="Segoe UI"/>
      <w:sz w:val="18"/>
      <w:szCs w:val="18"/>
    </w:rPr>
  </w:style>
  <w:style w:type="paragraph" w:styleId="TOCHeading">
    <w:name w:val="TOC Heading"/>
    <w:basedOn w:val="Heading1"/>
    <w:next w:val="Normal"/>
    <w:uiPriority w:val="39"/>
    <w:unhideWhenUsed/>
    <w:qFormat/>
    <w:rsid w:val="00FE4A15"/>
    <w:pPr>
      <w:jc w:val="left"/>
      <w:outlineLvl w:val="9"/>
    </w:pPr>
    <w:rPr>
      <w:rFonts w:asciiTheme="majorHAnsi" w:hAnsiTheme="majorHAnsi"/>
      <w:color w:val="2E74B5" w:themeColor="accent1" w:themeShade="BF"/>
      <w:sz w:val="32"/>
    </w:rPr>
  </w:style>
  <w:style w:type="paragraph" w:styleId="TOC2">
    <w:name w:val="toc 2"/>
    <w:basedOn w:val="Normal"/>
    <w:next w:val="Normal"/>
    <w:autoRedefine/>
    <w:uiPriority w:val="39"/>
    <w:unhideWhenUsed/>
    <w:rsid w:val="00FE4A15"/>
    <w:pPr>
      <w:spacing w:before="120" w:after="0"/>
      <w:ind w:left="220"/>
    </w:pPr>
    <w:rPr>
      <w:rFonts w:cstheme="minorHAnsi"/>
      <w:i/>
      <w:iCs/>
      <w:sz w:val="20"/>
      <w:szCs w:val="20"/>
    </w:rPr>
  </w:style>
  <w:style w:type="paragraph" w:styleId="TOC1">
    <w:name w:val="toc 1"/>
    <w:basedOn w:val="Normal"/>
    <w:next w:val="Normal"/>
    <w:autoRedefine/>
    <w:uiPriority w:val="39"/>
    <w:unhideWhenUsed/>
    <w:rsid w:val="00FE4A15"/>
    <w:pPr>
      <w:spacing w:before="240" w:after="120"/>
    </w:pPr>
    <w:rPr>
      <w:rFonts w:cstheme="minorHAnsi"/>
      <w:b/>
      <w:bCs/>
      <w:sz w:val="20"/>
      <w:szCs w:val="20"/>
    </w:rPr>
  </w:style>
  <w:style w:type="paragraph" w:styleId="TOC3">
    <w:name w:val="toc 3"/>
    <w:basedOn w:val="Normal"/>
    <w:next w:val="Normal"/>
    <w:autoRedefine/>
    <w:uiPriority w:val="39"/>
    <w:unhideWhenUsed/>
    <w:rsid w:val="00FE4A15"/>
    <w:pPr>
      <w:spacing w:after="0"/>
      <w:ind w:left="440"/>
    </w:pPr>
    <w:rPr>
      <w:rFonts w:cstheme="minorHAnsi"/>
      <w:sz w:val="20"/>
      <w:szCs w:val="20"/>
    </w:rPr>
  </w:style>
  <w:style w:type="character" w:customStyle="1" w:styleId="markedcontent">
    <w:name w:val="markedcontent"/>
    <w:basedOn w:val="DefaultParagraphFont"/>
    <w:rsid w:val="00FE4A15"/>
  </w:style>
  <w:style w:type="paragraph" w:customStyle="1" w:styleId="EndNoteBibliography">
    <w:name w:val="EndNote Bibliography"/>
    <w:basedOn w:val="Normal"/>
    <w:link w:val="EndNoteBibliographyChar"/>
    <w:rsid w:val="00FE4A1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E4A15"/>
    <w:rPr>
      <w:rFonts w:ascii="Calibri" w:hAnsi="Calibri" w:cs="Calibri"/>
      <w:noProof/>
    </w:rPr>
  </w:style>
  <w:style w:type="paragraph" w:customStyle="1" w:styleId="Default">
    <w:name w:val="Default"/>
    <w:uiPriority w:val="99"/>
    <w:rsid w:val="00FE4A15"/>
    <w:pPr>
      <w:autoSpaceDE w:val="0"/>
      <w:autoSpaceDN w:val="0"/>
      <w:adjustRightInd w:val="0"/>
      <w:spacing w:after="0" w:line="240" w:lineRule="auto"/>
    </w:pPr>
    <w:rPr>
      <w:rFonts w:ascii="Palatino Linotype" w:hAnsi="Palatino Linotype" w:cs="Palatino Linotype"/>
      <w:color w:val="000000"/>
      <w:sz w:val="24"/>
      <w:szCs w:val="24"/>
    </w:rPr>
  </w:style>
  <w:style w:type="character" w:styleId="Emphasis">
    <w:name w:val="Emphasis"/>
    <w:basedOn w:val="DefaultParagraphFont"/>
    <w:uiPriority w:val="20"/>
    <w:qFormat/>
    <w:rsid w:val="00FE4A15"/>
    <w:rPr>
      <w:i/>
      <w:iCs/>
    </w:rPr>
  </w:style>
  <w:style w:type="paragraph" w:customStyle="1" w:styleId="mb15">
    <w:name w:val="mb15"/>
    <w:basedOn w:val="Normal"/>
    <w:uiPriority w:val="99"/>
    <w:rsid w:val="00FE4A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E4A15"/>
    <w:rPr>
      <w:b/>
      <w:bCs/>
    </w:rPr>
  </w:style>
  <w:style w:type="paragraph" w:styleId="NormalWeb">
    <w:name w:val="Normal (Web)"/>
    <w:basedOn w:val="Normal"/>
    <w:uiPriority w:val="99"/>
    <w:unhideWhenUsed/>
    <w:rsid w:val="00FE4A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_"/>
    <w:basedOn w:val="DefaultParagraphFont"/>
    <w:rsid w:val="00FE4A15"/>
  </w:style>
  <w:style w:type="character" w:customStyle="1" w:styleId="ff3">
    <w:name w:val="ff3"/>
    <w:basedOn w:val="DefaultParagraphFont"/>
    <w:rsid w:val="00FE4A15"/>
  </w:style>
  <w:style w:type="character" w:customStyle="1" w:styleId="ff5">
    <w:name w:val="ff5"/>
    <w:basedOn w:val="DefaultParagraphFont"/>
    <w:rsid w:val="00FE4A15"/>
  </w:style>
  <w:style w:type="character" w:customStyle="1" w:styleId="fc1">
    <w:name w:val="fc1"/>
    <w:basedOn w:val="DefaultParagraphFont"/>
    <w:rsid w:val="00FE4A15"/>
  </w:style>
  <w:style w:type="character" w:customStyle="1" w:styleId="fs3">
    <w:name w:val="fs3"/>
    <w:basedOn w:val="DefaultParagraphFont"/>
    <w:rsid w:val="00FE4A15"/>
  </w:style>
  <w:style w:type="character" w:customStyle="1" w:styleId="fc2">
    <w:name w:val="fc2"/>
    <w:basedOn w:val="DefaultParagraphFont"/>
    <w:rsid w:val="00FE4A15"/>
  </w:style>
  <w:style w:type="character" w:customStyle="1" w:styleId="ff4">
    <w:name w:val="ff4"/>
    <w:basedOn w:val="DefaultParagraphFont"/>
    <w:rsid w:val="00FE4A15"/>
  </w:style>
  <w:style w:type="character" w:customStyle="1" w:styleId="ws2">
    <w:name w:val="ws2"/>
    <w:basedOn w:val="DefaultParagraphFont"/>
    <w:rsid w:val="00FE4A15"/>
  </w:style>
  <w:style w:type="character" w:customStyle="1" w:styleId="fs1">
    <w:name w:val="fs1"/>
    <w:basedOn w:val="DefaultParagraphFont"/>
    <w:rsid w:val="00FE4A15"/>
  </w:style>
  <w:style w:type="character" w:customStyle="1" w:styleId="fc3">
    <w:name w:val="fc3"/>
    <w:basedOn w:val="DefaultParagraphFont"/>
    <w:rsid w:val="00FE4A15"/>
  </w:style>
  <w:style w:type="character" w:customStyle="1" w:styleId="ws0">
    <w:name w:val="ws0"/>
    <w:basedOn w:val="DefaultParagraphFont"/>
    <w:rsid w:val="00FE4A15"/>
  </w:style>
  <w:style w:type="character" w:customStyle="1" w:styleId="fc0">
    <w:name w:val="fc0"/>
    <w:basedOn w:val="DefaultParagraphFont"/>
    <w:rsid w:val="00FE4A15"/>
  </w:style>
  <w:style w:type="character" w:customStyle="1" w:styleId="ff1">
    <w:name w:val="ff1"/>
    <w:basedOn w:val="DefaultParagraphFont"/>
    <w:rsid w:val="00FE4A15"/>
  </w:style>
  <w:style w:type="character" w:customStyle="1" w:styleId="ff6">
    <w:name w:val="ff6"/>
    <w:basedOn w:val="DefaultParagraphFont"/>
    <w:rsid w:val="00FE4A15"/>
  </w:style>
  <w:style w:type="character" w:customStyle="1" w:styleId="fc4">
    <w:name w:val="fc4"/>
    <w:basedOn w:val="DefaultParagraphFont"/>
    <w:rsid w:val="00FE4A15"/>
  </w:style>
  <w:style w:type="character" w:customStyle="1" w:styleId="fs2">
    <w:name w:val="fs2"/>
    <w:basedOn w:val="DefaultParagraphFont"/>
    <w:rsid w:val="00FE4A15"/>
  </w:style>
  <w:style w:type="character" w:customStyle="1" w:styleId="fc5">
    <w:name w:val="fc5"/>
    <w:basedOn w:val="DefaultParagraphFont"/>
    <w:rsid w:val="00FE4A15"/>
  </w:style>
  <w:style w:type="paragraph" w:customStyle="1" w:styleId="ds-paragraph">
    <w:name w:val="ds-paragraph"/>
    <w:basedOn w:val="Normal"/>
    <w:uiPriority w:val="99"/>
    <w:rsid w:val="00FE4A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tract">
    <w:name w:val="abstract"/>
    <w:basedOn w:val="Normal"/>
    <w:uiPriority w:val="99"/>
    <w:rsid w:val="00FE4A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x5hiaf">
    <w:name w:val="css-x5hiaf"/>
    <w:basedOn w:val="DefaultParagraphFont"/>
    <w:rsid w:val="00FE4A15"/>
  </w:style>
  <w:style w:type="character" w:customStyle="1" w:styleId="css-0">
    <w:name w:val="css-0"/>
    <w:basedOn w:val="DefaultParagraphFont"/>
    <w:rsid w:val="00FE4A15"/>
  </w:style>
  <w:style w:type="character" w:customStyle="1" w:styleId="css-rh820s">
    <w:name w:val="css-rh820s"/>
    <w:basedOn w:val="DefaultParagraphFont"/>
    <w:rsid w:val="00FE4A15"/>
  </w:style>
  <w:style w:type="character" w:customStyle="1" w:styleId="css-1eh0vfs">
    <w:name w:val="css-1eh0vfs"/>
    <w:basedOn w:val="DefaultParagraphFont"/>
    <w:rsid w:val="00FE4A15"/>
  </w:style>
  <w:style w:type="character" w:customStyle="1" w:styleId="css-1ber87j">
    <w:name w:val="css-1ber87j"/>
    <w:basedOn w:val="DefaultParagraphFont"/>
    <w:rsid w:val="00FE4A15"/>
  </w:style>
  <w:style w:type="character" w:customStyle="1" w:styleId="css-15iwe0d">
    <w:name w:val="css-15iwe0d"/>
    <w:basedOn w:val="DefaultParagraphFont"/>
    <w:rsid w:val="00FE4A15"/>
  </w:style>
  <w:style w:type="character" w:customStyle="1" w:styleId="css-2yp7ui">
    <w:name w:val="css-2yp7ui"/>
    <w:basedOn w:val="DefaultParagraphFont"/>
    <w:rsid w:val="00FE4A15"/>
  </w:style>
  <w:style w:type="character" w:customStyle="1" w:styleId="notranslate">
    <w:name w:val="notranslate"/>
    <w:basedOn w:val="DefaultParagraphFont"/>
    <w:rsid w:val="00FE4A15"/>
  </w:style>
  <w:style w:type="character" w:customStyle="1" w:styleId="text-typo-secondary">
    <w:name w:val="text-typo-secondary"/>
    <w:basedOn w:val="DefaultParagraphFont"/>
    <w:rsid w:val="00FE4A15"/>
  </w:style>
  <w:style w:type="character" w:customStyle="1" w:styleId="hgkelc">
    <w:name w:val="hgkelc"/>
    <w:basedOn w:val="DefaultParagraphFont"/>
    <w:rsid w:val="00FE4A15"/>
  </w:style>
  <w:style w:type="paragraph" w:customStyle="1" w:styleId="footnotedescription">
    <w:name w:val="footnote description"/>
    <w:next w:val="Normal"/>
    <w:link w:val="footnotedescriptionChar"/>
    <w:hidden/>
    <w:rsid w:val="00FE4A15"/>
    <w:pPr>
      <w:spacing w:after="144" w:line="240" w:lineRule="auto"/>
      <w:jc w:val="both"/>
    </w:pPr>
    <w:rPr>
      <w:rFonts w:ascii="Cambria" w:eastAsia="Cambria" w:hAnsi="Cambria" w:cs="Cambria"/>
      <w:color w:val="000000"/>
      <w:sz w:val="20"/>
    </w:rPr>
  </w:style>
  <w:style w:type="character" w:customStyle="1" w:styleId="footnotedescriptionChar">
    <w:name w:val="footnote description Char"/>
    <w:link w:val="footnotedescription"/>
    <w:rsid w:val="00FE4A15"/>
    <w:rPr>
      <w:rFonts w:ascii="Cambria" w:eastAsia="Cambria" w:hAnsi="Cambria" w:cs="Cambria"/>
      <w:color w:val="000000"/>
      <w:sz w:val="20"/>
    </w:rPr>
  </w:style>
  <w:style w:type="character" w:customStyle="1" w:styleId="footnotemark">
    <w:name w:val="footnote mark"/>
    <w:hidden/>
    <w:rsid w:val="00FE4A15"/>
    <w:rPr>
      <w:rFonts w:ascii="Cambria" w:eastAsia="Cambria" w:hAnsi="Cambria" w:cs="Cambria"/>
      <w:b/>
      <w:color w:val="000000"/>
      <w:sz w:val="20"/>
      <w:vertAlign w:val="superscript"/>
    </w:rPr>
  </w:style>
  <w:style w:type="paragraph" w:styleId="Caption">
    <w:name w:val="caption"/>
    <w:basedOn w:val="Normal"/>
    <w:next w:val="Normal"/>
    <w:autoRedefine/>
    <w:uiPriority w:val="35"/>
    <w:unhideWhenUsed/>
    <w:qFormat/>
    <w:rsid w:val="004131EC"/>
    <w:pPr>
      <w:spacing w:after="0" w:line="240" w:lineRule="auto"/>
      <w:ind w:left="1260" w:hanging="1260"/>
      <w:contextualSpacing/>
      <w:jc w:val="center"/>
    </w:pPr>
    <w:rPr>
      <w:rFonts w:ascii="Times New Roman" w:hAnsi="Times New Roman" w:cs="Times New Roman"/>
      <w:iCs/>
      <w:noProof/>
      <w:sz w:val="24"/>
      <w:szCs w:val="24"/>
      <w:lang w:val="en-GB"/>
    </w:rPr>
  </w:style>
  <w:style w:type="paragraph" w:styleId="BodyText">
    <w:name w:val="Body Text"/>
    <w:basedOn w:val="Normal"/>
    <w:link w:val="BodyTextChar"/>
    <w:uiPriority w:val="1"/>
    <w:unhideWhenUsed/>
    <w:qFormat/>
    <w:rsid w:val="00FE4A15"/>
    <w:pPr>
      <w:widowControl w:val="0"/>
      <w:spacing w:after="0" w:line="240" w:lineRule="auto"/>
      <w:ind w:left="100"/>
    </w:pPr>
    <w:rPr>
      <w:rFonts w:ascii="Calibri" w:eastAsia="Calibri" w:hAnsi="Calibri"/>
      <w:sz w:val="24"/>
      <w:szCs w:val="24"/>
    </w:rPr>
  </w:style>
  <w:style w:type="character" w:customStyle="1" w:styleId="BodyTextChar">
    <w:name w:val="Body Text Char"/>
    <w:basedOn w:val="DefaultParagraphFont"/>
    <w:link w:val="BodyText"/>
    <w:uiPriority w:val="1"/>
    <w:rsid w:val="00FE4A15"/>
    <w:rPr>
      <w:rFonts w:ascii="Calibri" w:eastAsia="Calibri" w:hAnsi="Calibri"/>
      <w:sz w:val="24"/>
      <w:szCs w:val="24"/>
    </w:rPr>
  </w:style>
  <w:style w:type="character" w:styleId="SubtleEmphasis">
    <w:name w:val="Subtle Emphasis"/>
    <w:basedOn w:val="DefaultParagraphFont"/>
    <w:uiPriority w:val="19"/>
    <w:qFormat/>
    <w:rsid w:val="00FE4A15"/>
    <w:rPr>
      <w:i/>
      <w:iCs/>
      <w:color w:val="404040" w:themeColor="text1" w:themeTint="BF"/>
    </w:rPr>
  </w:style>
  <w:style w:type="paragraph" w:styleId="TOC4">
    <w:name w:val="toc 4"/>
    <w:basedOn w:val="Normal"/>
    <w:next w:val="Normal"/>
    <w:autoRedefine/>
    <w:uiPriority w:val="39"/>
    <w:unhideWhenUsed/>
    <w:rsid w:val="00FE4A15"/>
    <w:pPr>
      <w:spacing w:after="0"/>
      <w:ind w:left="660"/>
    </w:pPr>
    <w:rPr>
      <w:rFonts w:cstheme="minorHAnsi"/>
      <w:sz w:val="20"/>
      <w:szCs w:val="20"/>
    </w:rPr>
  </w:style>
  <w:style w:type="paragraph" w:styleId="TOC5">
    <w:name w:val="toc 5"/>
    <w:basedOn w:val="Normal"/>
    <w:next w:val="Normal"/>
    <w:autoRedefine/>
    <w:uiPriority w:val="39"/>
    <w:unhideWhenUsed/>
    <w:rsid w:val="00FE4A15"/>
    <w:pPr>
      <w:spacing w:after="0"/>
      <w:ind w:left="880"/>
    </w:pPr>
    <w:rPr>
      <w:rFonts w:cstheme="minorHAnsi"/>
      <w:sz w:val="20"/>
      <w:szCs w:val="20"/>
    </w:rPr>
  </w:style>
  <w:style w:type="paragraph" w:styleId="TOC6">
    <w:name w:val="toc 6"/>
    <w:basedOn w:val="Normal"/>
    <w:next w:val="Normal"/>
    <w:autoRedefine/>
    <w:uiPriority w:val="39"/>
    <w:unhideWhenUsed/>
    <w:rsid w:val="00FE4A15"/>
    <w:pPr>
      <w:spacing w:after="0"/>
      <w:ind w:left="1100"/>
    </w:pPr>
    <w:rPr>
      <w:rFonts w:cstheme="minorHAnsi"/>
      <w:sz w:val="20"/>
      <w:szCs w:val="20"/>
    </w:rPr>
  </w:style>
  <w:style w:type="paragraph" w:styleId="TOC7">
    <w:name w:val="toc 7"/>
    <w:basedOn w:val="Normal"/>
    <w:next w:val="Normal"/>
    <w:autoRedefine/>
    <w:uiPriority w:val="39"/>
    <w:unhideWhenUsed/>
    <w:rsid w:val="00FE4A15"/>
    <w:pPr>
      <w:spacing w:after="0"/>
      <w:ind w:left="1320"/>
    </w:pPr>
    <w:rPr>
      <w:rFonts w:cstheme="minorHAnsi"/>
      <w:sz w:val="20"/>
      <w:szCs w:val="20"/>
    </w:rPr>
  </w:style>
  <w:style w:type="paragraph" w:styleId="TOC8">
    <w:name w:val="toc 8"/>
    <w:basedOn w:val="Normal"/>
    <w:next w:val="Normal"/>
    <w:autoRedefine/>
    <w:uiPriority w:val="39"/>
    <w:unhideWhenUsed/>
    <w:rsid w:val="00FE4A15"/>
    <w:pPr>
      <w:spacing w:after="0"/>
      <w:ind w:left="1540"/>
    </w:pPr>
    <w:rPr>
      <w:rFonts w:cstheme="minorHAnsi"/>
      <w:sz w:val="20"/>
      <w:szCs w:val="20"/>
    </w:rPr>
  </w:style>
  <w:style w:type="paragraph" w:styleId="TOC9">
    <w:name w:val="toc 9"/>
    <w:basedOn w:val="Normal"/>
    <w:next w:val="Normal"/>
    <w:autoRedefine/>
    <w:uiPriority w:val="39"/>
    <w:unhideWhenUsed/>
    <w:rsid w:val="00FE4A15"/>
    <w:pPr>
      <w:spacing w:after="0"/>
      <w:ind w:left="1760"/>
    </w:pPr>
    <w:rPr>
      <w:rFonts w:cstheme="minorHAnsi"/>
      <w:sz w:val="20"/>
      <w:szCs w:val="20"/>
    </w:rPr>
  </w:style>
  <w:style w:type="character" w:customStyle="1" w:styleId="overflow-hidden">
    <w:name w:val="overflow-hidden"/>
    <w:basedOn w:val="DefaultParagraphFont"/>
    <w:rsid w:val="00FE4A15"/>
  </w:style>
  <w:style w:type="character" w:customStyle="1" w:styleId="z-TopofFormChar">
    <w:name w:val="z-Top of Form Char"/>
    <w:basedOn w:val="DefaultParagraphFont"/>
    <w:link w:val="z-TopofForm"/>
    <w:uiPriority w:val="99"/>
    <w:semiHidden/>
    <w:rsid w:val="00FE4A15"/>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E4A1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FE4A15"/>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E4A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4A1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FE4A15"/>
    <w:rPr>
      <w:rFonts w:ascii="Arial" w:hAnsi="Arial" w:cs="Arial"/>
      <w:vanish/>
      <w:sz w:val="16"/>
      <w:szCs w:val="16"/>
    </w:rPr>
  </w:style>
  <w:style w:type="paragraph" w:styleId="ListBullet">
    <w:name w:val="List Bullet"/>
    <w:basedOn w:val="Normal"/>
    <w:uiPriority w:val="99"/>
    <w:unhideWhenUsed/>
    <w:rsid w:val="00FE4A15"/>
    <w:pPr>
      <w:numPr>
        <w:numId w:val="1"/>
      </w:numPr>
      <w:contextualSpacing/>
    </w:pPr>
  </w:style>
  <w:style w:type="character" w:customStyle="1" w:styleId="ml-05">
    <w:name w:val="ml-0.5"/>
    <w:basedOn w:val="DefaultParagraphFont"/>
    <w:rsid w:val="00FE4A15"/>
  </w:style>
  <w:style w:type="table" w:customStyle="1" w:styleId="GridTable1Light1">
    <w:name w:val="Grid Table 1 Light1"/>
    <w:basedOn w:val="TableNormal"/>
    <w:uiPriority w:val="46"/>
    <w:rsid w:val="00FE4A15"/>
    <w:pPr>
      <w:spacing w:after="0" w:line="240" w:lineRule="auto"/>
    </w:pPr>
    <w:rPr>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TMLCode">
    <w:name w:val="HTML Code"/>
    <w:basedOn w:val="DefaultParagraphFont"/>
    <w:uiPriority w:val="99"/>
    <w:semiHidden/>
    <w:unhideWhenUsed/>
    <w:rsid w:val="00FE4A15"/>
    <w:rPr>
      <w:rFonts w:ascii="Courier New" w:eastAsia="Times New Roman" w:hAnsi="Courier New" w:cs="Courier New"/>
      <w:sz w:val="20"/>
      <w:szCs w:val="20"/>
    </w:rPr>
  </w:style>
  <w:style w:type="paragraph" w:styleId="Subtitle">
    <w:name w:val="Subtitle"/>
    <w:basedOn w:val="Normal"/>
    <w:next w:val="Normal"/>
    <w:link w:val="SubtitleChar"/>
    <w:uiPriority w:val="11"/>
    <w:qFormat/>
    <w:rsid w:val="00FE4A15"/>
    <w:pPr>
      <w:spacing w:line="256" w:lineRule="auto"/>
    </w:pPr>
    <w:rPr>
      <w:rFonts w:eastAsiaTheme="minorEastAsia"/>
      <w:color w:val="5A5A5A" w:themeColor="text1" w:themeTint="A5"/>
      <w:spacing w:val="15"/>
      <w:kern w:val="2"/>
      <w:lang w:val="en-GB"/>
      <w14:ligatures w14:val="standardContextual"/>
    </w:rPr>
  </w:style>
  <w:style w:type="character" w:customStyle="1" w:styleId="SubtitleChar">
    <w:name w:val="Subtitle Char"/>
    <w:basedOn w:val="DefaultParagraphFont"/>
    <w:link w:val="Subtitle"/>
    <w:uiPriority w:val="11"/>
    <w:rsid w:val="00FE4A15"/>
    <w:rPr>
      <w:rFonts w:eastAsiaTheme="minorEastAsia"/>
      <w:color w:val="5A5A5A" w:themeColor="text1" w:themeTint="A5"/>
      <w:spacing w:val="15"/>
      <w:kern w:val="2"/>
      <w:lang w:val="en-GB"/>
      <w14:ligatures w14:val="standardContextual"/>
    </w:rPr>
  </w:style>
  <w:style w:type="paragraph" w:customStyle="1" w:styleId="TableParagraph">
    <w:name w:val="Table Paragraph"/>
    <w:basedOn w:val="Normal"/>
    <w:uiPriority w:val="1"/>
    <w:qFormat/>
    <w:rsid w:val="00FE4A15"/>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relative">
    <w:name w:val="relative"/>
    <w:basedOn w:val="DefaultParagraphFont"/>
    <w:rsid w:val="00FE4A15"/>
  </w:style>
  <w:style w:type="character" w:customStyle="1" w:styleId="label">
    <w:name w:val="label"/>
    <w:basedOn w:val="DefaultParagraphFont"/>
    <w:rsid w:val="00FE4A15"/>
  </w:style>
  <w:style w:type="character" w:customStyle="1" w:styleId="value">
    <w:name w:val="value"/>
    <w:basedOn w:val="DefaultParagraphFont"/>
    <w:rsid w:val="00FE4A15"/>
  </w:style>
  <w:style w:type="character" w:customStyle="1" w:styleId="text-primary-500">
    <w:name w:val="text-primary-500"/>
    <w:basedOn w:val="DefaultParagraphFont"/>
    <w:rsid w:val="00FE4A15"/>
  </w:style>
  <w:style w:type="character" w:customStyle="1" w:styleId="uv3um">
    <w:name w:val="uv3um"/>
    <w:basedOn w:val="DefaultParagraphFont"/>
    <w:rsid w:val="00FE4A15"/>
  </w:style>
  <w:style w:type="paragraph" w:styleId="TableofFigures">
    <w:name w:val="table of figures"/>
    <w:basedOn w:val="Normal"/>
    <w:next w:val="Normal"/>
    <w:autoRedefine/>
    <w:uiPriority w:val="99"/>
    <w:unhideWhenUsed/>
    <w:rsid w:val="00FE4A15"/>
    <w:pPr>
      <w:tabs>
        <w:tab w:val="right" w:pos="9170"/>
      </w:tabs>
      <w:spacing w:after="0" w:line="360" w:lineRule="auto"/>
      <w:ind w:left="1440" w:hanging="144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2691">
      <w:bodyDiv w:val="1"/>
      <w:marLeft w:val="0"/>
      <w:marRight w:val="0"/>
      <w:marTop w:val="0"/>
      <w:marBottom w:val="0"/>
      <w:divBdr>
        <w:top w:val="none" w:sz="0" w:space="0" w:color="auto"/>
        <w:left w:val="none" w:sz="0" w:space="0" w:color="auto"/>
        <w:bottom w:val="none" w:sz="0" w:space="0" w:color="auto"/>
        <w:right w:val="none" w:sz="0" w:space="0" w:color="auto"/>
      </w:divBdr>
    </w:div>
    <w:div w:id="16926738">
      <w:bodyDiv w:val="1"/>
      <w:marLeft w:val="0"/>
      <w:marRight w:val="0"/>
      <w:marTop w:val="0"/>
      <w:marBottom w:val="0"/>
      <w:divBdr>
        <w:top w:val="none" w:sz="0" w:space="0" w:color="auto"/>
        <w:left w:val="none" w:sz="0" w:space="0" w:color="auto"/>
        <w:bottom w:val="none" w:sz="0" w:space="0" w:color="auto"/>
        <w:right w:val="none" w:sz="0" w:space="0" w:color="auto"/>
      </w:divBdr>
    </w:div>
    <w:div w:id="52123926">
      <w:bodyDiv w:val="1"/>
      <w:marLeft w:val="0"/>
      <w:marRight w:val="0"/>
      <w:marTop w:val="0"/>
      <w:marBottom w:val="0"/>
      <w:divBdr>
        <w:top w:val="none" w:sz="0" w:space="0" w:color="auto"/>
        <w:left w:val="none" w:sz="0" w:space="0" w:color="auto"/>
        <w:bottom w:val="none" w:sz="0" w:space="0" w:color="auto"/>
        <w:right w:val="none" w:sz="0" w:space="0" w:color="auto"/>
      </w:divBdr>
    </w:div>
    <w:div w:id="61220319">
      <w:bodyDiv w:val="1"/>
      <w:marLeft w:val="0"/>
      <w:marRight w:val="0"/>
      <w:marTop w:val="0"/>
      <w:marBottom w:val="0"/>
      <w:divBdr>
        <w:top w:val="none" w:sz="0" w:space="0" w:color="auto"/>
        <w:left w:val="none" w:sz="0" w:space="0" w:color="auto"/>
        <w:bottom w:val="none" w:sz="0" w:space="0" w:color="auto"/>
        <w:right w:val="none" w:sz="0" w:space="0" w:color="auto"/>
      </w:divBdr>
    </w:div>
    <w:div w:id="85077701">
      <w:bodyDiv w:val="1"/>
      <w:marLeft w:val="0"/>
      <w:marRight w:val="0"/>
      <w:marTop w:val="0"/>
      <w:marBottom w:val="0"/>
      <w:divBdr>
        <w:top w:val="none" w:sz="0" w:space="0" w:color="auto"/>
        <w:left w:val="none" w:sz="0" w:space="0" w:color="auto"/>
        <w:bottom w:val="none" w:sz="0" w:space="0" w:color="auto"/>
        <w:right w:val="none" w:sz="0" w:space="0" w:color="auto"/>
      </w:divBdr>
    </w:div>
    <w:div w:id="124353930">
      <w:bodyDiv w:val="1"/>
      <w:marLeft w:val="0"/>
      <w:marRight w:val="0"/>
      <w:marTop w:val="0"/>
      <w:marBottom w:val="0"/>
      <w:divBdr>
        <w:top w:val="none" w:sz="0" w:space="0" w:color="auto"/>
        <w:left w:val="none" w:sz="0" w:space="0" w:color="auto"/>
        <w:bottom w:val="none" w:sz="0" w:space="0" w:color="auto"/>
        <w:right w:val="none" w:sz="0" w:space="0" w:color="auto"/>
      </w:divBdr>
    </w:div>
    <w:div w:id="125317451">
      <w:bodyDiv w:val="1"/>
      <w:marLeft w:val="0"/>
      <w:marRight w:val="0"/>
      <w:marTop w:val="0"/>
      <w:marBottom w:val="0"/>
      <w:divBdr>
        <w:top w:val="none" w:sz="0" w:space="0" w:color="auto"/>
        <w:left w:val="none" w:sz="0" w:space="0" w:color="auto"/>
        <w:bottom w:val="none" w:sz="0" w:space="0" w:color="auto"/>
        <w:right w:val="none" w:sz="0" w:space="0" w:color="auto"/>
      </w:divBdr>
    </w:div>
    <w:div w:id="125635059">
      <w:bodyDiv w:val="1"/>
      <w:marLeft w:val="0"/>
      <w:marRight w:val="0"/>
      <w:marTop w:val="0"/>
      <w:marBottom w:val="0"/>
      <w:divBdr>
        <w:top w:val="none" w:sz="0" w:space="0" w:color="auto"/>
        <w:left w:val="none" w:sz="0" w:space="0" w:color="auto"/>
        <w:bottom w:val="none" w:sz="0" w:space="0" w:color="auto"/>
        <w:right w:val="none" w:sz="0" w:space="0" w:color="auto"/>
      </w:divBdr>
    </w:div>
    <w:div w:id="165898706">
      <w:bodyDiv w:val="1"/>
      <w:marLeft w:val="0"/>
      <w:marRight w:val="0"/>
      <w:marTop w:val="0"/>
      <w:marBottom w:val="0"/>
      <w:divBdr>
        <w:top w:val="none" w:sz="0" w:space="0" w:color="auto"/>
        <w:left w:val="none" w:sz="0" w:space="0" w:color="auto"/>
        <w:bottom w:val="none" w:sz="0" w:space="0" w:color="auto"/>
        <w:right w:val="none" w:sz="0" w:space="0" w:color="auto"/>
      </w:divBdr>
    </w:div>
    <w:div w:id="180053881">
      <w:bodyDiv w:val="1"/>
      <w:marLeft w:val="0"/>
      <w:marRight w:val="0"/>
      <w:marTop w:val="0"/>
      <w:marBottom w:val="0"/>
      <w:divBdr>
        <w:top w:val="none" w:sz="0" w:space="0" w:color="auto"/>
        <w:left w:val="none" w:sz="0" w:space="0" w:color="auto"/>
        <w:bottom w:val="none" w:sz="0" w:space="0" w:color="auto"/>
        <w:right w:val="none" w:sz="0" w:space="0" w:color="auto"/>
      </w:divBdr>
    </w:div>
    <w:div w:id="209539798">
      <w:bodyDiv w:val="1"/>
      <w:marLeft w:val="0"/>
      <w:marRight w:val="0"/>
      <w:marTop w:val="0"/>
      <w:marBottom w:val="0"/>
      <w:divBdr>
        <w:top w:val="none" w:sz="0" w:space="0" w:color="auto"/>
        <w:left w:val="none" w:sz="0" w:space="0" w:color="auto"/>
        <w:bottom w:val="none" w:sz="0" w:space="0" w:color="auto"/>
        <w:right w:val="none" w:sz="0" w:space="0" w:color="auto"/>
      </w:divBdr>
    </w:div>
    <w:div w:id="312414818">
      <w:bodyDiv w:val="1"/>
      <w:marLeft w:val="0"/>
      <w:marRight w:val="0"/>
      <w:marTop w:val="0"/>
      <w:marBottom w:val="0"/>
      <w:divBdr>
        <w:top w:val="none" w:sz="0" w:space="0" w:color="auto"/>
        <w:left w:val="none" w:sz="0" w:space="0" w:color="auto"/>
        <w:bottom w:val="none" w:sz="0" w:space="0" w:color="auto"/>
        <w:right w:val="none" w:sz="0" w:space="0" w:color="auto"/>
      </w:divBdr>
    </w:div>
    <w:div w:id="346103439">
      <w:bodyDiv w:val="1"/>
      <w:marLeft w:val="0"/>
      <w:marRight w:val="0"/>
      <w:marTop w:val="0"/>
      <w:marBottom w:val="0"/>
      <w:divBdr>
        <w:top w:val="none" w:sz="0" w:space="0" w:color="auto"/>
        <w:left w:val="none" w:sz="0" w:space="0" w:color="auto"/>
        <w:bottom w:val="none" w:sz="0" w:space="0" w:color="auto"/>
        <w:right w:val="none" w:sz="0" w:space="0" w:color="auto"/>
      </w:divBdr>
    </w:div>
    <w:div w:id="395860366">
      <w:bodyDiv w:val="1"/>
      <w:marLeft w:val="0"/>
      <w:marRight w:val="0"/>
      <w:marTop w:val="0"/>
      <w:marBottom w:val="0"/>
      <w:divBdr>
        <w:top w:val="none" w:sz="0" w:space="0" w:color="auto"/>
        <w:left w:val="none" w:sz="0" w:space="0" w:color="auto"/>
        <w:bottom w:val="none" w:sz="0" w:space="0" w:color="auto"/>
        <w:right w:val="none" w:sz="0" w:space="0" w:color="auto"/>
      </w:divBdr>
    </w:div>
    <w:div w:id="588581564">
      <w:bodyDiv w:val="1"/>
      <w:marLeft w:val="0"/>
      <w:marRight w:val="0"/>
      <w:marTop w:val="0"/>
      <w:marBottom w:val="0"/>
      <w:divBdr>
        <w:top w:val="none" w:sz="0" w:space="0" w:color="auto"/>
        <w:left w:val="none" w:sz="0" w:space="0" w:color="auto"/>
        <w:bottom w:val="none" w:sz="0" w:space="0" w:color="auto"/>
        <w:right w:val="none" w:sz="0" w:space="0" w:color="auto"/>
      </w:divBdr>
    </w:div>
    <w:div w:id="631331412">
      <w:bodyDiv w:val="1"/>
      <w:marLeft w:val="0"/>
      <w:marRight w:val="0"/>
      <w:marTop w:val="0"/>
      <w:marBottom w:val="0"/>
      <w:divBdr>
        <w:top w:val="none" w:sz="0" w:space="0" w:color="auto"/>
        <w:left w:val="none" w:sz="0" w:space="0" w:color="auto"/>
        <w:bottom w:val="none" w:sz="0" w:space="0" w:color="auto"/>
        <w:right w:val="none" w:sz="0" w:space="0" w:color="auto"/>
      </w:divBdr>
    </w:div>
    <w:div w:id="658458936">
      <w:bodyDiv w:val="1"/>
      <w:marLeft w:val="0"/>
      <w:marRight w:val="0"/>
      <w:marTop w:val="0"/>
      <w:marBottom w:val="0"/>
      <w:divBdr>
        <w:top w:val="none" w:sz="0" w:space="0" w:color="auto"/>
        <w:left w:val="none" w:sz="0" w:space="0" w:color="auto"/>
        <w:bottom w:val="none" w:sz="0" w:space="0" w:color="auto"/>
        <w:right w:val="none" w:sz="0" w:space="0" w:color="auto"/>
      </w:divBdr>
    </w:div>
    <w:div w:id="691225854">
      <w:bodyDiv w:val="1"/>
      <w:marLeft w:val="0"/>
      <w:marRight w:val="0"/>
      <w:marTop w:val="0"/>
      <w:marBottom w:val="0"/>
      <w:divBdr>
        <w:top w:val="none" w:sz="0" w:space="0" w:color="auto"/>
        <w:left w:val="none" w:sz="0" w:space="0" w:color="auto"/>
        <w:bottom w:val="none" w:sz="0" w:space="0" w:color="auto"/>
        <w:right w:val="none" w:sz="0" w:space="0" w:color="auto"/>
      </w:divBdr>
    </w:div>
    <w:div w:id="714433193">
      <w:bodyDiv w:val="1"/>
      <w:marLeft w:val="0"/>
      <w:marRight w:val="0"/>
      <w:marTop w:val="0"/>
      <w:marBottom w:val="0"/>
      <w:divBdr>
        <w:top w:val="none" w:sz="0" w:space="0" w:color="auto"/>
        <w:left w:val="none" w:sz="0" w:space="0" w:color="auto"/>
        <w:bottom w:val="none" w:sz="0" w:space="0" w:color="auto"/>
        <w:right w:val="none" w:sz="0" w:space="0" w:color="auto"/>
      </w:divBdr>
    </w:div>
    <w:div w:id="743181624">
      <w:bodyDiv w:val="1"/>
      <w:marLeft w:val="0"/>
      <w:marRight w:val="0"/>
      <w:marTop w:val="0"/>
      <w:marBottom w:val="0"/>
      <w:divBdr>
        <w:top w:val="none" w:sz="0" w:space="0" w:color="auto"/>
        <w:left w:val="none" w:sz="0" w:space="0" w:color="auto"/>
        <w:bottom w:val="none" w:sz="0" w:space="0" w:color="auto"/>
        <w:right w:val="none" w:sz="0" w:space="0" w:color="auto"/>
      </w:divBdr>
    </w:div>
    <w:div w:id="766777168">
      <w:bodyDiv w:val="1"/>
      <w:marLeft w:val="0"/>
      <w:marRight w:val="0"/>
      <w:marTop w:val="0"/>
      <w:marBottom w:val="0"/>
      <w:divBdr>
        <w:top w:val="none" w:sz="0" w:space="0" w:color="auto"/>
        <w:left w:val="none" w:sz="0" w:space="0" w:color="auto"/>
        <w:bottom w:val="none" w:sz="0" w:space="0" w:color="auto"/>
        <w:right w:val="none" w:sz="0" w:space="0" w:color="auto"/>
      </w:divBdr>
    </w:div>
    <w:div w:id="820390148">
      <w:bodyDiv w:val="1"/>
      <w:marLeft w:val="0"/>
      <w:marRight w:val="0"/>
      <w:marTop w:val="0"/>
      <w:marBottom w:val="0"/>
      <w:divBdr>
        <w:top w:val="none" w:sz="0" w:space="0" w:color="auto"/>
        <w:left w:val="none" w:sz="0" w:space="0" w:color="auto"/>
        <w:bottom w:val="none" w:sz="0" w:space="0" w:color="auto"/>
        <w:right w:val="none" w:sz="0" w:space="0" w:color="auto"/>
      </w:divBdr>
    </w:div>
    <w:div w:id="926229236">
      <w:bodyDiv w:val="1"/>
      <w:marLeft w:val="0"/>
      <w:marRight w:val="0"/>
      <w:marTop w:val="0"/>
      <w:marBottom w:val="0"/>
      <w:divBdr>
        <w:top w:val="none" w:sz="0" w:space="0" w:color="auto"/>
        <w:left w:val="none" w:sz="0" w:space="0" w:color="auto"/>
        <w:bottom w:val="none" w:sz="0" w:space="0" w:color="auto"/>
        <w:right w:val="none" w:sz="0" w:space="0" w:color="auto"/>
      </w:divBdr>
    </w:div>
    <w:div w:id="974068933">
      <w:bodyDiv w:val="1"/>
      <w:marLeft w:val="0"/>
      <w:marRight w:val="0"/>
      <w:marTop w:val="0"/>
      <w:marBottom w:val="0"/>
      <w:divBdr>
        <w:top w:val="none" w:sz="0" w:space="0" w:color="auto"/>
        <w:left w:val="none" w:sz="0" w:space="0" w:color="auto"/>
        <w:bottom w:val="none" w:sz="0" w:space="0" w:color="auto"/>
        <w:right w:val="none" w:sz="0" w:space="0" w:color="auto"/>
      </w:divBdr>
    </w:div>
    <w:div w:id="1000960028">
      <w:bodyDiv w:val="1"/>
      <w:marLeft w:val="0"/>
      <w:marRight w:val="0"/>
      <w:marTop w:val="0"/>
      <w:marBottom w:val="0"/>
      <w:divBdr>
        <w:top w:val="none" w:sz="0" w:space="0" w:color="auto"/>
        <w:left w:val="none" w:sz="0" w:space="0" w:color="auto"/>
        <w:bottom w:val="none" w:sz="0" w:space="0" w:color="auto"/>
        <w:right w:val="none" w:sz="0" w:space="0" w:color="auto"/>
      </w:divBdr>
    </w:div>
    <w:div w:id="1046878739">
      <w:bodyDiv w:val="1"/>
      <w:marLeft w:val="0"/>
      <w:marRight w:val="0"/>
      <w:marTop w:val="0"/>
      <w:marBottom w:val="0"/>
      <w:divBdr>
        <w:top w:val="none" w:sz="0" w:space="0" w:color="auto"/>
        <w:left w:val="none" w:sz="0" w:space="0" w:color="auto"/>
        <w:bottom w:val="none" w:sz="0" w:space="0" w:color="auto"/>
        <w:right w:val="none" w:sz="0" w:space="0" w:color="auto"/>
      </w:divBdr>
    </w:div>
    <w:div w:id="1099957362">
      <w:bodyDiv w:val="1"/>
      <w:marLeft w:val="0"/>
      <w:marRight w:val="0"/>
      <w:marTop w:val="0"/>
      <w:marBottom w:val="0"/>
      <w:divBdr>
        <w:top w:val="none" w:sz="0" w:space="0" w:color="auto"/>
        <w:left w:val="none" w:sz="0" w:space="0" w:color="auto"/>
        <w:bottom w:val="none" w:sz="0" w:space="0" w:color="auto"/>
        <w:right w:val="none" w:sz="0" w:space="0" w:color="auto"/>
      </w:divBdr>
    </w:div>
    <w:div w:id="1153369320">
      <w:bodyDiv w:val="1"/>
      <w:marLeft w:val="0"/>
      <w:marRight w:val="0"/>
      <w:marTop w:val="0"/>
      <w:marBottom w:val="0"/>
      <w:divBdr>
        <w:top w:val="none" w:sz="0" w:space="0" w:color="auto"/>
        <w:left w:val="none" w:sz="0" w:space="0" w:color="auto"/>
        <w:bottom w:val="none" w:sz="0" w:space="0" w:color="auto"/>
        <w:right w:val="none" w:sz="0" w:space="0" w:color="auto"/>
      </w:divBdr>
    </w:div>
    <w:div w:id="1173032882">
      <w:bodyDiv w:val="1"/>
      <w:marLeft w:val="0"/>
      <w:marRight w:val="0"/>
      <w:marTop w:val="0"/>
      <w:marBottom w:val="0"/>
      <w:divBdr>
        <w:top w:val="none" w:sz="0" w:space="0" w:color="auto"/>
        <w:left w:val="none" w:sz="0" w:space="0" w:color="auto"/>
        <w:bottom w:val="none" w:sz="0" w:space="0" w:color="auto"/>
        <w:right w:val="none" w:sz="0" w:space="0" w:color="auto"/>
      </w:divBdr>
    </w:div>
    <w:div w:id="1210610583">
      <w:bodyDiv w:val="1"/>
      <w:marLeft w:val="0"/>
      <w:marRight w:val="0"/>
      <w:marTop w:val="0"/>
      <w:marBottom w:val="0"/>
      <w:divBdr>
        <w:top w:val="none" w:sz="0" w:space="0" w:color="auto"/>
        <w:left w:val="none" w:sz="0" w:space="0" w:color="auto"/>
        <w:bottom w:val="none" w:sz="0" w:space="0" w:color="auto"/>
        <w:right w:val="none" w:sz="0" w:space="0" w:color="auto"/>
      </w:divBdr>
    </w:div>
    <w:div w:id="1277255505">
      <w:bodyDiv w:val="1"/>
      <w:marLeft w:val="0"/>
      <w:marRight w:val="0"/>
      <w:marTop w:val="0"/>
      <w:marBottom w:val="0"/>
      <w:divBdr>
        <w:top w:val="none" w:sz="0" w:space="0" w:color="auto"/>
        <w:left w:val="none" w:sz="0" w:space="0" w:color="auto"/>
        <w:bottom w:val="none" w:sz="0" w:space="0" w:color="auto"/>
        <w:right w:val="none" w:sz="0" w:space="0" w:color="auto"/>
      </w:divBdr>
    </w:div>
    <w:div w:id="1306205466">
      <w:bodyDiv w:val="1"/>
      <w:marLeft w:val="0"/>
      <w:marRight w:val="0"/>
      <w:marTop w:val="0"/>
      <w:marBottom w:val="0"/>
      <w:divBdr>
        <w:top w:val="none" w:sz="0" w:space="0" w:color="auto"/>
        <w:left w:val="none" w:sz="0" w:space="0" w:color="auto"/>
        <w:bottom w:val="none" w:sz="0" w:space="0" w:color="auto"/>
        <w:right w:val="none" w:sz="0" w:space="0" w:color="auto"/>
      </w:divBdr>
    </w:div>
    <w:div w:id="1416902097">
      <w:bodyDiv w:val="1"/>
      <w:marLeft w:val="0"/>
      <w:marRight w:val="0"/>
      <w:marTop w:val="0"/>
      <w:marBottom w:val="0"/>
      <w:divBdr>
        <w:top w:val="none" w:sz="0" w:space="0" w:color="auto"/>
        <w:left w:val="none" w:sz="0" w:space="0" w:color="auto"/>
        <w:bottom w:val="none" w:sz="0" w:space="0" w:color="auto"/>
        <w:right w:val="none" w:sz="0" w:space="0" w:color="auto"/>
      </w:divBdr>
    </w:div>
    <w:div w:id="1506897457">
      <w:bodyDiv w:val="1"/>
      <w:marLeft w:val="0"/>
      <w:marRight w:val="0"/>
      <w:marTop w:val="0"/>
      <w:marBottom w:val="0"/>
      <w:divBdr>
        <w:top w:val="none" w:sz="0" w:space="0" w:color="auto"/>
        <w:left w:val="none" w:sz="0" w:space="0" w:color="auto"/>
        <w:bottom w:val="none" w:sz="0" w:space="0" w:color="auto"/>
        <w:right w:val="none" w:sz="0" w:space="0" w:color="auto"/>
      </w:divBdr>
    </w:div>
    <w:div w:id="1515730935">
      <w:bodyDiv w:val="1"/>
      <w:marLeft w:val="0"/>
      <w:marRight w:val="0"/>
      <w:marTop w:val="0"/>
      <w:marBottom w:val="0"/>
      <w:divBdr>
        <w:top w:val="none" w:sz="0" w:space="0" w:color="auto"/>
        <w:left w:val="none" w:sz="0" w:space="0" w:color="auto"/>
        <w:bottom w:val="none" w:sz="0" w:space="0" w:color="auto"/>
        <w:right w:val="none" w:sz="0" w:space="0" w:color="auto"/>
      </w:divBdr>
    </w:div>
    <w:div w:id="1570383688">
      <w:bodyDiv w:val="1"/>
      <w:marLeft w:val="0"/>
      <w:marRight w:val="0"/>
      <w:marTop w:val="0"/>
      <w:marBottom w:val="0"/>
      <w:divBdr>
        <w:top w:val="none" w:sz="0" w:space="0" w:color="auto"/>
        <w:left w:val="none" w:sz="0" w:space="0" w:color="auto"/>
        <w:bottom w:val="none" w:sz="0" w:space="0" w:color="auto"/>
        <w:right w:val="none" w:sz="0" w:space="0" w:color="auto"/>
      </w:divBdr>
    </w:div>
    <w:div w:id="1598561628">
      <w:bodyDiv w:val="1"/>
      <w:marLeft w:val="0"/>
      <w:marRight w:val="0"/>
      <w:marTop w:val="0"/>
      <w:marBottom w:val="0"/>
      <w:divBdr>
        <w:top w:val="none" w:sz="0" w:space="0" w:color="auto"/>
        <w:left w:val="none" w:sz="0" w:space="0" w:color="auto"/>
        <w:bottom w:val="none" w:sz="0" w:space="0" w:color="auto"/>
        <w:right w:val="none" w:sz="0" w:space="0" w:color="auto"/>
      </w:divBdr>
    </w:div>
    <w:div w:id="1669863548">
      <w:bodyDiv w:val="1"/>
      <w:marLeft w:val="0"/>
      <w:marRight w:val="0"/>
      <w:marTop w:val="0"/>
      <w:marBottom w:val="0"/>
      <w:divBdr>
        <w:top w:val="none" w:sz="0" w:space="0" w:color="auto"/>
        <w:left w:val="none" w:sz="0" w:space="0" w:color="auto"/>
        <w:bottom w:val="none" w:sz="0" w:space="0" w:color="auto"/>
        <w:right w:val="none" w:sz="0" w:space="0" w:color="auto"/>
      </w:divBdr>
    </w:div>
    <w:div w:id="1679304924">
      <w:bodyDiv w:val="1"/>
      <w:marLeft w:val="0"/>
      <w:marRight w:val="0"/>
      <w:marTop w:val="0"/>
      <w:marBottom w:val="0"/>
      <w:divBdr>
        <w:top w:val="none" w:sz="0" w:space="0" w:color="auto"/>
        <w:left w:val="none" w:sz="0" w:space="0" w:color="auto"/>
        <w:bottom w:val="none" w:sz="0" w:space="0" w:color="auto"/>
        <w:right w:val="none" w:sz="0" w:space="0" w:color="auto"/>
      </w:divBdr>
    </w:div>
    <w:div w:id="1722243434">
      <w:bodyDiv w:val="1"/>
      <w:marLeft w:val="0"/>
      <w:marRight w:val="0"/>
      <w:marTop w:val="0"/>
      <w:marBottom w:val="0"/>
      <w:divBdr>
        <w:top w:val="none" w:sz="0" w:space="0" w:color="auto"/>
        <w:left w:val="none" w:sz="0" w:space="0" w:color="auto"/>
        <w:bottom w:val="none" w:sz="0" w:space="0" w:color="auto"/>
        <w:right w:val="none" w:sz="0" w:space="0" w:color="auto"/>
      </w:divBdr>
    </w:div>
    <w:div w:id="1862088553">
      <w:bodyDiv w:val="1"/>
      <w:marLeft w:val="0"/>
      <w:marRight w:val="0"/>
      <w:marTop w:val="0"/>
      <w:marBottom w:val="0"/>
      <w:divBdr>
        <w:top w:val="none" w:sz="0" w:space="0" w:color="auto"/>
        <w:left w:val="none" w:sz="0" w:space="0" w:color="auto"/>
        <w:bottom w:val="none" w:sz="0" w:space="0" w:color="auto"/>
        <w:right w:val="none" w:sz="0" w:space="0" w:color="auto"/>
      </w:divBdr>
    </w:div>
    <w:div w:id="1924413537">
      <w:bodyDiv w:val="1"/>
      <w:marLeft w:val="0"/>
      <w:marRight w:val="0"/>
      <w:marTop w:val="0"/>
      <w:marBottom w:val="0"/>
      <w:divBdr>
        <w:top w:val="none" w:sz="0" w:space="0" w:color="auto"/>
        <w:left w:val="none" w:sz="0" w:space="0" w:color="auto"/>
        <w:bottom w:val="none" w:sz="0" w:space="0" w:color="auto"/>
        <w:right w:val="none" w:sz="0" w:space="0" w:color="auto"/>
      </w:divBdr>
    </w:div>
    <w:div w:id="1926718032">
      <w:bodyDiv w:val="1"/>
      <w:marLeft w:val="0"/>
      <w:marRight w:val="0"/>
      <w:marTop w:val="0"/>
      <w:marBottom w:val="0"/>
      <w:divBdr>
        <w:top w:val="none" w:sz="0" w:space="0" w:color="auto"/>
        <w:left w:val="none" w:sz="0" w:space="0" w:color="auto"/>
        <w:bottom w:val="none" w:sz="0" w:space="0" w:color="auto"/>
        <w:right w:val="none" w:sz="0" w:space="0" w:color="auto"/>
      </w:divBdr>
    </w:div>
    <w:div w:id="1968002352">
      <w:bodyDiv w:val="1"/>
      <w:marLeft w:val="0"/>
      <w:marRight w:val="0"/>
      <w:marTop w:val="0"/>
      <w:marBottom w:val="0"/>
      <w:divBdr>
        <w:top w:val="none" w:sz="0" w:space="0" w:color="auto"/>
        <w:left w:val="none" w:sz="0" w:space="0" w:color="auto"/>
        <w:bottom w:val="none" w:sz="0" w:space="0" w:color="auto"/>
        <w:right w:val="none" w:sz="0" w:space="0" w:color="auto"/>
      </w:divBdr>
    </w:div>
    <w:div w:id="1971741961">
      <w:bodyDiv w:val="1"/>
      <w:marLeft w:val="0"/>
      <w:marRight w:val="0"/>
      <w:marTop w:val="0"/>
      <w:marBottom w:val="0"/>
      <w:divBdr>
        <w:top w:val="none" w:sz="0" w:space="0" w:color="auto"/>
        <w:left w:val="none" w:sz="0" w:space="0" w:color="auto"/>
        <w:bottom w:val="none" w:sz="0" w:space="0" w:color="auto"/>
        <w:right w:val="none" w:sz="0" w:space="0" w:color="auto"/>
      </w:divBdr>
    </w:div>
    <w:div w:id="1989477857">
      <w:bodyDiv w:val="1"/>
      <w:marLeft w:val="0"/>
      <w:marRight w:val="0"/>
      <w:marTop w:val="0"/>
      <w:marBottom w:val="0"/>
      <w:divBdr>
        <w:top w:val="none" w:sz="0" w:space="0" w:color="auto"/>
        <w:left w:val="none" w:sz="0" w:space="0" w:color="auto"/>
        <w:bottom w:val="none" w:sz="0" w:space="0" w:color="auto"/>
        <w:right w:val="none" w:sz="0" w:space="0" w:color="auto"/>
      </w:divBdr>
    </w:div>
    <w:div w:id="1996764828">
      <w:bodyDiv w:val="1"/>
      <w:marLeft w:val="0"/>
      <w:marRight w:val="0"/>
      <w:marTop w:val="0"/>
      <w:marBottom w:val="0"/>
      <w:divBdr>
        <w:top w:val="none" w:sz="0" w:space="0" w:color="auto"/>
        <w:left w:val="none" w:sz="0" w:space="0" w:color="auto"/>
        <w:bottom w:val="none" w:sz="0" w:space="0" w:color="auto"/>
        <w:right w:val="none" w:sz="0" w:space="0" w:color="auto"/>
      </w:divBdr>
    </w:div>
    <w:div w:id="2007397239">
      <w:bodyDiv w:val="1"/>
      <w:marLeft w:val="0"/>
      <w:marRight w:val="0"/>
      <w:marTop w:val="0"/>
      <w:marBottom w:val="0"/>
      <w:divBdr>
        <w:top w:val="none" w:sz="0" w:space="0" w:color="auto"/>
        <w:left w:val="none" w:sz="0" w:space="0" w:color="auto"/>
        <w:bottom w:val="none" w:sz="0" w:space="0" w:color="auto"/>
        <w:right w:val="none" w:sz="0" w:space="0" w:color="auto"/>
      </w:divBdr>
    </w:div>
    <w:div w:id="2026665803">
      <w:bodyDiv w:val="1"/>
      <w:marLeft w:val="0"/>
      <w:marRight w:val="0"/>
      <w:marTop w:val="0"/>
      <w:marBottom w:val="0"/>
      <w:divBdr>
        <w:top w:val="none" w:sz="0" w:space="0" w:color="auto"/>
        <w:left w:val="none" w:sz="0" w:space="0" w:color="auto"/>
        <w:bottom w:val="none" w:sz="0" w:space="0" w:color="auto"/>
        <w:right w:val="none" w:sz="0" w:space="0" w:color="auto"/>
      </w:divBdr>
    </w:div>
    <w:div w:id="206447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encryptednthjhgffbn0./images" TargetMode="External"/><Relationship Id="rId26" Type="http://schemas.openxmlformats.org/officeDocument/2006/relationships/hyperlink" Target="https://www.bing.com/search?q=%22https%3A%2F%2Fwww.tandfonline.com%2Fdoi%2Fpdf%2F10.1080%2F00221309.1962.9711837%22" TargetMode="External"/><Relationship Id="rId39" Type="http://schemas.openxmlformats.org/officeDocument/2006/relationships/hyperlink" Target="http://41.89.164.27/handle/123456789/1051" TargetMode="External"/><Relationship Id="rId21" Type="http://schemas.openxmlformats.org/officeDocument/2006/relationships/hyperlink" Target="https://doi.org/10.52634/mier/2021/v11/i1/1751" TargetMode="External"/><Relationship Id="rId34" Type="http://schemas.openxmlformats.org/officeDocument/2006/relationships/hyperlink" Target="https://doi.org/10.1007/978-94-6209-497-0_79"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2.xml"/><Relationship Id="rId29" Type="http://schemas.openxmlformats.org/officeDocument/2006/relationships/hyperlink" Target="https://doi.org/10.1080/0047231X.2025.257955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academia.edu/download/65710942/Peter_A._Okebukola_Breaking_Barriers_to_Meaningful_Learning.pdf" TargetMode="External"/><Relationship Id="rId32" Type="http://schemas.openxmlformats.org/officeDocument/2006/relationships/hyperlink" Target="https://doi.org/10.31258/jes.9.1.p.1-25" TargetMode="External"/><Relationship Id="rId37" Type="http://schemas.openxmlformats.org/officeDocument/2006/relationships/hyperlink" Target="http://www.youtube.com/watch?v=ysDZfXPJono"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rudio.ub.ac.id/index.php/erudio/article/view/671" TargetMode="External"/><Relationship Id="rId28" Type="http://schemas.openxmlformats.org/officeDocument/2006/relationships/hyperlink" Target="http://bjmas.org/index.php/bjmas/article/view/4" TargetMode="External"/><Relationship Id="rId36" Type="http://schemas.openxmlformats.org/officeDocument/2006/relationships/hyperlink" Target="https://doi.org/10.37134/ajatel.vol15.1.2.2025" TargetMode="External"/><Relationship Id="rId10" Type="http://schemas.openxmlformats.org/officeDocument/2006/relationships/diagramLayout" Target="diagrams/layout1.xml"/><Relationship Id="rId19" Type="http://schemas.openxmlformats.org/officeDocument/2006/relationships/image" Target="media/image5.png"/><Relationship Id="rId31" Type="http://schemas.openxmlformats.org/officeDocument/2006/relationships/hyperlink" Target="https://doi.org/10.1187/cbe.21-12-0338"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yperlink" Target="https://ssrn.com/abstract=3253713" TargetMode="External"/><Relationship Id="rId27" Type="http://schemas.openxmlformats.org/officeDocument/2006/relationships/hyperlink" Target="https://www.careerguide.com/Biology-careers" TargetMode="External"/><Relationship Id="rId30" Type="http://schemas.openxmlformats.org/officeDocument/2006/relationships/hyperlink" Target="https://doi.org/10.1242/dev.202786" TargetMode="External"/><Relationship Id="rId35" Type="http://schemas.openxmlformats.org/officeDocument/2006/relationships/hyperlink" Target="https://doi.org/10.1080/20004508.2025.2453256" TargetMode="Externa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hyperlink" Target="https://doi.org/10.1093/oso/9780192868657.003.0004" TargetMode="External"/><Relationship Id="rId33" Type="http://schemas.openxmlformats.org/officeDocument/2006/relationships/hyperlink" Target="https://doi.org/10.30862/jri.v1i1.9" TargetMode="External"/><Relationship Id="rId38" Type="http://schemas.openxmlformats.org/officeDocument/2006/relationships/hyperlink" Target="https://ejournal.radenintan.ac.id/index.php/biosfer/article/view/255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5.0925925925925923E-2"/>
          <c:w val="0.63624431321084851"/>
          <c:h val="0.81018518518518523"/>
        </c:manualLayout>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353-4A52-9452-1A495CB49A9A}"/>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353-4A52-9452-1A495CB49A9A}"/>
              </c:ext>
            </c:extLst>
          </c:dPt>
          <c:dLbls>
            <c:dLbl>
              <c:idx val="0"/>
              <c:layout>
                <c:manualLayout>
                  <c:x val="-0.52974343832020998"/>
                  <c:y val="-5.1150481189851271E-2"/>
                </c:manualLayout>
              </c:layout>
              <c:tx>
                <c:rich>
                  <a:bodyPr/>
                  <a:lstStyle/>
                  <a:p>
                    <a:r>
                      <a:rPr lang="en-US"/>
                      <a:t>114, 50.2%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353-4A52-9452-1A495CB49A9A}"/>
                </c:ext>
                <c:ext xmlns:c15="http://schemas.microsoft.com/office/drawing/2012/chart" uri="{CE6537A1-D6FC-4f65-9D91-7224C49458BB}"/>
              </c:extLst>
            </c:dLbl>
            <c:dLbl>
              <c:idx val="1"/>
              <c:layout>
                <c:manualLayout>
                  <c:x val="0.4592889326334208"/>
                  <c:y val="-6.5039370078740152E-2"/>
                </c:manualLayout>
              </c:layout>
              <c:tx>
                <c:rich>
                  <a:bodyPr/>
                  <a:lstStyle/>
                  <a:p>
                    <a:r>
                      <a:rPr lang="en-US"/>
                      <a:t>113,</a:t>
                    </a:r>
                    <a:r>
                      <a:rPr lang="en-US" baseline="0"/>
                      <a:t> (49.8%)</a:t>
                    </a:r>
                    <a:endParaRPr lang="en-US"/>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353-4A52-9452-1A495CB49A9A}"/>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[Book2.xlsx]Sheet1!$J$5:$K$5</c:f>
              <c:strCache>
                <c:ptCount val="2"/>
                <c:pt idx="0">
                  <c:v>CTCA2.0</c:v>
                </c:pt>
                <c:pt idx="1">
                  <c:v>CM</c:v>
                </c:pt>
              </c:strCache>
            </c:strRef>
          </c:cat>
          <c:val>
            <c:numRef>
              <c:f>[Book2.xlsx]Sheet1!$J$6:$K$6</c:f>
              <c:numCache>
                <c:formatCode>General</c:formatCode>
                <c:ptCount val="2"/>
                <c:pt idx="0">
                  <c:v>113</c:v>
                </c:pt>
                <c:pt idx="1">
                  <c:v>114</c:v>
                </c:pt>
              </c:numCache>
            </c:numRef>
          </c:val>
          <c:extLst xmlns:c16r2="http://schemas.microsoft.com/office/drawing/2015/06/chart">
            <c:ext xmlns:c16="http://schemas.microsoft.com/office/drawing/2014/chart" uri="{C3380CC4-5D6E-409C-BE32-E72D297353CC}">
              <c16:uniqueId val="{00000004-C353-4A52-9452-1A495CB49A9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6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14591591597577E-2"/>
          <c:y val="6.584362139917696E-2"/>
          <c:w val="0.87432467784032697"/>
          <c:h val="0.64331259518486117"/>
        </c:manualLayout>
      </c:layout>
      <c:bar3DChart>
        <c:barDir val="col"/>
        <c:grouping val="clustered"/>
        <c:varyColors val="0"/>
        <c:ser>
          <c:idx val="0"/>
          <c:order val="0"/>
          <c:tx>
            <c:strRef>
              <c:f>Sheet1!$I$6</c:f>
              <c:strCache>
                <c:ptCount val="1"/>
                <c:pt idx="0">
                  <c:v>Mean</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4"/>
              <c:tx>
                <c:rich>
                  <a:bodyPr/>
                  <a:lstStyle/>
                  <a:p>
                    <a:fld id="{9732C206-FF92-4FDA-97D8-910CCE66AD89}" type="VALUE">
                      <a:rPr lang="en-US"/>
                      <a:pPr/>
                      <a:t>[VALUE]</a:t>
                    </a:fld>
                    <a:r>
                      <a:rPr lang="en-US"/>
                      <a:t>.00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7E6-40F0-AD9C-A25D5EC241E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Sheet1!$H$7:$H$16</c:f>
              <c:strCache>
                <c:ptCount val="10"/>
                <c:pt idx="0">
                  <c:v>Observing</c:v>
                </c:pt>
                <c:pt idx="1">
                  <c:v>Classifying</c:v>
                </c:pt>
                <c:pt idx="2">
                  <c:v>Measuring</c:v>
                </c:pt>
                <c:pt idx="3">
                  <c:v>Communicating</c:v>
                </c:pt>
                <c:pt idx="4">
                  <c:v>Inferring</c:v>
                </c:pt>
                <c:pt idx="5">
                  <c:v>Predicting</c:v>
                </c:pt>
                <c:pt idx="6">
                  <c:v>Interpreting Data</c:v>
                </c:pt>
                <c:pt idx="7">
                  <c:v>Hypothesizing</c:v>
                </c:pt>
                <c:pt idx="8">
                  <c:v>Experimenting</c:v>
                </c:pt>
                <c:pt idx="9">
                  <c:v>Creating Models</c:v>
                </c:pt>
              </c:strCache>
            </c:strRef>
          </c:cat>
          <c:val>
            <c:numRef>
              <c:f>Sheet1!$I$7:$I$16</c:f>
              <c:numCache>
                <c:formatCode>General</c:formatCode>
                <c:ptCount val="10"/>
                <c:pt idx="0">
                  <c:v>3.35</c:v>
                </c:pt>
                <c:pt idx="1">
                  <c:v>2.88</c:v>
                </c:pt>
                <c:pt idx="2">
                  <c:v>2.65</c:v>
                </c:pt>
                <c:pt idx="3">
                  <c:v>3.76</c:v>
                </c:pt>
                <c:pt idx="4">
                  <c:v>4</c:v>
                </c:pt>
                <c:pt idx="5">
                  <c:v>3.38</c:v>
                </c:pt>
                <c:pt idx="6">
                  <c:v>3.38</c:v>
                </c:pt>
                <c:pt idx="7">
                  <c:v>2.88</c:v>
                </c:pt>
                <c:pt idx="8">
                  <c:v>2.06</c:v>
                </c:pt>
                <c:pt idx="9">
                  <c:v>3.19</c:v>
                </c:pt>
              </c:numCache>
            </c:numRef>
          </c:val>
          <c:extLst xmlns:c16r2="http://schemas.microsoft.com/office/drawing/2015/06/chart">
            <c:ext xmlns:c16="http://schemas.microsoft.com/office/drawing/2014/chart" uri="{C3380CC4-5D6E-409C-BE32-E72D297353CC}">
              <c16:uniqueId val="{00000001-D7E6-40F0-AD9C-A25D5EC241E8}"/>
            </c:ext>
          </c:extLst>
        </c:ser>
        <c:dLbls>
          <c:showLegendKey val="0"/>
          <c:showVal val="1"/>
          <c:showCatName val="0"/>
          <c:showSerName val="0"/>
          <c:showPercent val="0"/>
          <c:showBubbleSize val="0"/>
        </c:dLbls>
        <c:gapWidth val="150"/>
        <c:shape val="box"/>
        <c:axId val="1354746064"/>
        <c:axId val="1354744432"/>
        <c:axId val="0"/>
      </c:bar3DChart>
      <c:catAx>
        <c:axId val="1354746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n-US"/>
          </a:p>
        </c:txPr>
        <c:crossAx val="1354744432"/>
        <c:crosses val="autoZero"/>
        <c:auto val="1"/>
        <c:lblAlgn val="ctr"/>
        <c:lblOffset val="100"/>
        <c:noMultiLvlLbl val="0"/>
      </c:catAx>
      <c:valAx>
        <c:axId val="1354744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crossAx val="1354746064"/>
        <c:crosses val="autoZero"/>
        <c:crossBetween val="between"/>
      </c:valAx>
      <c:spPr>
        <a:noFill/>
        <a:ln w="25400">
          <a:noFill/>
        </a:ln>
        <a:effectLst/>
      </c:spPr>
    </c:plotArea>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E7E21B-DA1F-4E90-9C30-BB79763C4BBF}" type="doc">
      <dgm:prSet loTypeId="urn:microsoft.com/office/officeart/2008/layout/VerticalCurvedList" loCatId="list" qsTypeId="urn:microsoft.com/office/officeart/2005/8/quickstyle/3d3" qsCatId="3D" csTypeId="urn:microsoft.com/office/officeart/2005/8/colors/colorful5" csCatId="colorful" phldr="1"/>
      <dgm:spPr/>
      <dgm:t>
        <a:bodyPr/>
        <a:lstStyle/>
        <a:p>
          <a:endParaRPr lang="en-US"/>
        </a:p>
      </dgm:t>
    </dgm:pt>
    <dgm:pt modelId="{59A9ED3A-CBC8-49A1-954A-390F31DF27DF}">
      <dgm:prSet phldrT="[Text]" custT="1"/>
      <dgm:spPr/>
      <dgm:t>
        <a:bodyPr/>
        <a:lstStyle/>
        <a:p>
          <a:pPr algn="ctr"/>
          <a:r>
            <a:rPr lang="en-US" sz="1000" b="1" i="0">
              <a:latin typeface="Arial Narrow" panose="020B0606020202030204" pitchFamily="34" charset="0"/>
            </a:rPr>
            <a:t> </a:t>
          </a:r>
          <a:r>
            <a:rPr lang="en-US" sz="900" b="1" i="0">
              <a:latin typeface="Arial Narrow" panose="020B0606020202030204" pitchFamily="34" charset="0"/>
            </a:rPr>
            <a:t>Pre-lesson Assignments on cultural practices and web resources related to the topic to be treated and v</a:t>
          </a:r>
          <a:r>
            <a:rPr lang="en-US" sz="900" b="1"/>
            <a:t>isit to the dedicated CTCA cultural web resources and Afrocyberlibrary </a:t>
          </a:r>
          <a:r>
            <a:rPr lang="en-US" sz="900" b="1" i="0">
              <a:latin typeface="Arial Narrow" panose="020B0606020202030204" pitchFamily="34" charset="0"/>
            </a:rPr>
            <a:t> </a:t>
          </a:r>
        </a:p>
      </dgm:t>
    </dgm:pt>
    <dgm:pt modelId="{3F8BEF29-52E5-4FA4-A80C-D2259530B34E}" type="parTrans" cxnId="{87DDF695-EB62-45C5-B782-043969B6EE1D}">
      <dgm:prSet/>
      <dgm:spPr/>
      <dgm:t>
        <a:bodyPr/>
        <a:lstStyle/>
        <a:p>
          <a:pPr algn="ctr"/>
          <a:endParaRPr lang="en-US"/>
        </a:p>
      </dgm:t>
    </dgm:pt>
    <dgm:pt modelId="{1A16524C-9613-4E53-8F4F-2AF895C65A24}" type="sibTrans" cxnId="{87DDF695-EB62-45C5-B782-043969B6EE1D}">
      <dgm:prSet/>
      <dgm:spPr/>
      <dgm:t>
        <a:bodyPr/>
        <a:lstStyle/>
        <a:p>
          <a:pPr algn="ctr"/>
          <a:endParaRPr lang="en-US"/>
        </a:p>
      </dgm:t>
    </dgm:pt>
    <dgm:pt modelId="{9D606644-C4DF-409B-AE32-BE57802B27AC}">
      <dgm:prSet phldrT="[Text]" custT="1"/>
      <dgm:spPr>
        <a:solidFill>
          <a:schemeClr val="accent6">
            <a:lumMod val="60000"/>
            <a:lumOff val="40000"/>
          </a:schemeClr>
        </a:solidFill>
      </dgm:spPr>
      <dgm:t>
        <a:bodyPr/>
        <a:lstStyle/>
        <a:p>
          <a:pPr algn="ctr"/>
          <a:r>
            <a:rPr lang="en-US" sz="1000" b="1" i="0">
              <a:solidFill>
                <a:sysClr val="windowText" lastClr="000000"/>
              </a:solidFill>
              <a:latin typeface="Arial Narrow" panose="020B0606020202030204" pitchFamily="34" charset="0"/>
            </a:rPr>
            <a:t>Lesson begins with group task on the output generated in Step 1</a:t>
          </a:r>
          <a:endParaRPr lang="en-US" sz="1000" b="1" i="0">
            <a:latin typeface="Arial Narrow" panose="020B0606020202030204" pitchFamily="34" charset="0"/>
          </a:endParaRPr>
        </a:p>
      </dgm:t>
    </dgm:pt>
    <dgm:pt modelId="{33B38497-DF33-4700-B9B9-5DF85540C602}" type="parTrans" cxnId="{8CAEC8AD-9288-45C6-A54C-1C44B5DE1444}">
      <dgm:prSet/>
      <dgm:spPr/>
      <dgm:t>
        <a:bodyPr/>
        <a:lstStyle/>
        <a:p>
          <a:pPr algn="ctr"/>
          <a:endParaRPr lang="en-US"/>
        </a:p>
      </dgm:t>
    </dgm:pt>
    <dgm:pt modelId="{2C25279A-014E-4DC4-A1A0-E33C70EE55DC}" type="sibTrans" cxnId="{8CAEC8AD-9288-45C6-A54C-1C44B5DE1444}">
      <dgm:prSet/>
      <dgm:spPr/>
      <dgm:t>
        <a:bodyPr/>
        <a:lstStyle/>
        <a:p>
          <a:pPr algn="ctr"/>
          <a:endParaRPr lang="en-US"/>
        </a:p>
      </dgm:t>
    </dgm:pt>
    <dgm:pt modelId="{7FCF0A65-1A20-4EED-8641-7ED8A00E6039}">
      <dgm:prSet phldrT="[Text]" custT="1"/>
      <dgm:spPr>
        <a:solidFill>
          <a:schemeClr val="accent2">
            <a:lumMod val="75000"/>
          </a:schemeClr>
        </a:solidFill>
      </dgm:spPr>
      <dgm:t>
        <a:bodyPr/>
        <a:lstStyle/>
        <a:p>
          <a:pPr algn="ctr"/>
          <a:r>
            <a:rPr lang="en-US" sz="900" b="1" i="0">
              <a:latin typeface="Arial Narrow" panose="020B0606020202030204" pitchFamily="34" charset="0"/>
            </a:rPr>
            <a:t>Lesson progresses with a sprinkle of humour,</a:t>
          </a:r>
          <a:r>
            <a:rPr lang="en-US" sz="900" b="1"/>
            <a:t> cultural analogies and metaphors and</a:t>
          </a:r>
          <a:r>
            <a:rPr lang="en-US" sz="900" b="1" i="0">
              <a:latin typeface="Arial Narrow" panose="020B0606020202030204" pitchFamily="34" charset="0"/>
            </a:rPr>
            <a:t> by drawing practical examples from the immediate surrounding (Context)</a:t>
          </a:r>
          <a:endParaRPr lang="en-US" sz="900" i="0">
            <a:latin typeface="Arial Narrow" panose="020B0606020202030204" pitchFamily="34" charset="0"/>
          </a:endParaRPr>
        </a:p>
      </dgm:t>
    </dgm:pt>
    <dgm:pt modelId="{6548803E-87D1-4A69-9508-C6ABD877D2AF}" type="parTrans" cxnId="{53133545-B19D-4215-9028-D121F6132FE7}">
      <dgm:prSet/>
      <dgm:spPr/>
      <dgm:t>
        <a:bodyPr/>
        <a:lstStyle/>
        <a:p>
          <a:pPr algn="ctr"/>
          <a:endParaRPr lang="en-US"/>
        </a:p>
      </dgm:t>
    </dgm:pt>
    <dgm:pt modelId="{91AF2CC6-5BC2-4783-8971-04F733DAB002}" type="sibTrans" cxnId="{53133545-B19D-4215-9028-D121F6132FE7}">
      <dgm:prSet/>
      <dgm:spPr/>
      <dgm:t>
        <a:bodyPr/>
        <a:lstStyle/>
        <a:p>
          <a:pPr algn="ctr"/>
          <a:endParaRPr lang="en-US"/>
        </a:p>
      </dgm:t>
    </dgm:pt>
    <dgm:pt modelId="{08D59B1B-4037-4849-B1B0-D94AD5DA8E33}">
      <dgm:prSet phldrT="[Text]" custT="1"/>
      <dgm:spPr>
        <a:solidFill>
          <a:srgbClr val="7030A0"/>
        </a:solidFill>
      </dgm:spPr>
      <dgm:t>
        <a:bodyPr/>
        <a:lstStyle/>
        <a:p>
          <a:pPr algn="ctr"/>
          <a:r>
            <a:rPr lang="en-US" sz="1000" b="1" i="0">
              <a:latin typeface="Arial Narrow" panose="020B0606020202030204" pitchFamily="34" charset="0"/>
            </a:rPr>
            <a:t>Lesson unfolds with a touch of humour, as the teacher connects the topic to cultural practices and online resources</a:t>
          </a:r>
          <a:r>
            <a:rPr lang="en-US" sz="1000" b="0" i="0">
              <a:latin typeface="Arial Narrow" panose="020B0606020202030204" pitchFamily="34" charset="0"/>
            </a:rPr>
            <a:t>.</a:t>
          </a:r>
          <a:endParaRPr lang="en-US" sz="1000" b="1" i="0">
            <a:latin typeface="Arial Narrow" panose="020B0606020202030204" pitchFamily="34" charset="0"/>
          </a:endParaRPr>
        </a:p>
      </dgm:t>
    </dgm:pt>
    <dgm:pt modelId="{F6BA95CA-EE8D-4982-8024-C2675E70336E}" type="parTrans" cxnId="{0F77B91B-8FC1-4300-A150-8D637C28FB7A}">
      <dgm:prSet/>
      <dgm:spPr/>
      <dgm:t>
        <a:bodyPr/>
        <a:lstStyle/>
        <a:p>
          <a:pPr algn="ctr"/>
          <a:endParaRPr lang="en-US"/>
        </a:p>
      </dgm:t>
    </dgm:pt>
    <dgm:pt modelId="{46771738-CBBB-4E8C-9E61-05D323165288}" type="sibTrans" cxnId="{0F77B91B-8FC1-4300-A150-8D637C28FB7A}">
      <dgm:prSet/>
      <dgm:spPr/>
      <dgm:t>
        <a:bodyPr/>
        <a:lstStyle/>
        <a:p>
          <a:pPr algn="ctr"/>
          <a:endParaRPr lang="en-US"/>
        </a:p>
      </dgm:t>
    </dgm:pt>
    <dgm:pt modelId="{C60DC14C-1699-4A9F-AA16-272871F29BBD}">
      <dgm:prSet phldrT="[Text]" custT="1"/>
      <dgm:spPr>
        <a:solidFill>
          <a:schemeClr val="accent6">
            <a:lumMod val="75000"/>
          </a:schemeClr>
        </a:solidFill>
      </dgm:spPr>
      <dgm:t>
        <a:bodyPr/>
        <a:lstStyle/>
        <a:p>
          <a:pPr algn="ctr"/>
          <a:r>
            <a:rPr lang="en-US" sz="900" b="1">
              <a:latin typeface="Arial Narrow" panose="020B0606020202030204" pitchFamily="34" charset="0"/>
            </a:rPr>
            <a:t>Lesson ends with </a:t>
          </a:r>
          <a:r>
            <a:rPr lang="en-US" sz="900" b="1"/>
            <a:t>the teacher conducting a short quiz (oral or written) to evaluate the students and provides the topic for the next lesson which will be the starting point of step 1</a:t>
          </a:r>
          <a:endParaRPr lang="en-US" sz="900" b="1">
            <a:latin typeface="Arial Narrow" panose="020B0606020202030204" pitchFamily="34" charset="0"/>
          </a:endParaRPr>
        </a:p>
      </dgm:t>
    </dgm:pt>
    <dgm:pt modelId="{E085A61C-E24F-40ED-87D1-0A5B6432BB92}" type="parTrans" cxnId="{AED64E69-6FBE-427E-A5C0-43841A8CCC9F}">
      <dgm:prSet/>
      <dgm:spPr/>
      <dgm:t>
        <a:bodyPr/>
        <a:lstStyle/>
        <a:p>
          <a:pPr algn="ctr"/>
          <a:endParaRPr lang="en-US"/>
        </a:p>
      </dgm:t>
    </dgm:pt>
    <dgm:pt modelId="{C4EC1DBD-94C2-4084-BD42-8CD6A89635FE}" type="sibTrans" cxnId="{AED64E69-6FBE-427E-A5C0-43841A8CCC9F}">
      <dgm:prSet/>
      <dgm:spPr/>
      <dgm:t>
        <a:bodyPr/>
        <a:lstStyle/>
        <a:p>
          <a:pPr algn="ctr"/>
          <a:endParaRPr lang="en-US"/>
        </a:p>
      </dgm:t>
    </dgm:pt>
    <dgm:pt modelId="{6D52ED2C-5DF0-496B-9FB1-89F313C8889F}">
      <dgm:prSet phldrT="[Text]" custT="1"/>
      <dgm:spPr>
        <a:solidFill>
          <a:srgbClr val="C00000"/>
        </a:solidFill>
      </dgm:spPr>
      <dgm:t>
        <a:bodyPr/>
        <a:lstStyle/>
        <a:p>
          <a:pPr algn="ctr"/>
          <a:r>
            <a:rPr lang="en-US" sz="1000" b="1" i="0">
              <a:solidFill>
                <a:schemeClr val="bg1"/>
              </a:solidFill>
            </a:rPr>
            <a:t>As a follow-up, the lesson wraps up with the teacher sending a summary of lessons to the students via SMS, WhatsApp, Telegram or any other messaging app </a:t>
          </a:r>
          <a:endParaRPr lang="en-US" sz="1000" b="0" i="0">
            <a:solidFill>
              <a:schemeClr val="bg1"/>
            </a:solidFill>
            <a:latin typeface="Arial Narrow" panose="020B0606020202030204" pitchFamily="34" charset="0"/>
          </a:endParaRPr>
        </a:p>
      </dgm:t>
    </dgm:pt>
    <dgm:pt modelId="{F3F0DB10-7203-412D-940C-A0E1F9D26F08}" type="parTrans" cxnId="{6E434206-CA1B-490C-A858-964D009BBDBD}">
      <dgm:prSet/>
      <dgm:spPr/>
      <dgm:t>
        <a:bodyPr/>
        <a:lstStyle/>
        <a:p>
          <a:pPr algn="ctr"/>
          <a:endParaRPr lang="en-US"/>
        </a:p>
      </dgm:t>
    </dgm:pt>
    <dgm:pt modelId="{99AD2BF1-5606-46BD-92F3-F7F505A9EEE6}" type="sibTrans" cxnId="{6E434206-CA1B-490C-A858-964D009BBDBD}">
      <dgm:prSet/>
      <dgm:spPr/>
      <dgm:t>
        <a:bodyPr/>
        <a:lstStyle/>
        <a:p>
          <a:pPr algn="ctr"/>
          <a:endParaRPr lang="en-US"/>
        </a:p>
      </dgm:t>
    </dgm:pt>
    <dgm:pt modelId="{7E625371-02C7-43B5-89D7-FC3257D83268}" type="pres">
      <dgm:prSet presAssocID="{E0E7E21B-DA1F-4E90-9C30-BB79763C4BBF}" presName="Name0" presStyleCnt="0">
        <dgm:presLayoutVars>
          <dgm:chMax val="7"/>
          <dgm:chPref val="7"/>
          <dgm:dir/>
        </dgm:presLayoutVars>
      </dgm:prSet>
      <dgm:spPr/>
      <dgm:t>
        <a:bodyPr/>
        <a:lstStyle/>
        <a:p>
          <a:endParaRPr lang="en-US"/>
        </a:p>
      </dgm:t>
    </dgm:pt>
    <dgm:pt modelId="{FEBAABB6-DDF9-453A-8188-DF6D8436CBA8}" type="pres">
      <dgm:prSet presAssocID="{E0E7E21B-DA1F-4E90-9C30-BB79763C4BBF}" presName="Name1" presStyleCnt="0"/>
      <dgm:spPr/>
    </dgm:pt>
    <dgm:pt modelId="{25A52D1D-AB03-460D-82FE-41B316E21831}" type="pres">
      <dgm:prSet presAssocID="{E0E7E21B-DA1F-4E90-9C30-BB79763C4BBF}" presName="cycle" presStyleCnt="0"/>
      <dgm:spPr/>
    </dgm:pt>
    <dgm:pt modelId="{4F8088D6-6F3F-4E75-87AB-7B79904AB9F1}" type="pres">
      <dgm:prSet presAssocID="{E0E7E21B-DA1F-4E90-9C30-BB79763C4BBF}" presName="srcNode" presStyleLbl="node1" presStyleIdx="0" presStyleCnt="6"/>
      <dgm:spPr/>
    </dgm:pt>
    <dgm:pt modelId="{29C9916F-BE11-41CD-956C-0CDFEED7A9BF}" type="pres">
      <dgm:prSet presAssocID="{E0E7E21B-DA1F-4E90-9C30-BB79763C4BBF}" presName="conn" presStyleLbl="parChTrans1D2" presStyleIdx="0" presStyleCnt="1"/>
      <dgm:spPr/>
      <dgm:t>
        <a:bodyPr/>
        <a:lstStyle/>
        <a:p>
          <a:endParaRPr lang="en-US"/>
        </a:p>
      </dgm:t>
    </dgm:pt>
    <dgm:pt modelId="{A7ADCF45-721B-4022-ABEE-D69CC2E1424A}" type="pres">
      <dgm:prSet presAssocID="{E0E7E21B-DA1F-4E90-9C30-BB79763C4BBF}" presName="extraNode" presStyleLbl="node1" presStyleIdx="0" presStyleCnt="6"/>
      <dgm:spPr/>
    </dgm:pt>
    <dgm:pt modelId="{79C5FC74-F2D5-4270-AACF-7704D6A82DE0}" type="pres">
      <dgm:prSet presAssocID="{E0E7E21B-DA1F-4E90-9C30-BB79763C4BBF}" presName="dstNode" presStyleLbl="node1" presStyleIdx="0" presStyleCnt="6"/>
      <dgm:spPr/>
    </dgm:pt>
    <dgm:pt modelId="{31EF6648-EFB9-4A00-BBE2-DB3ED84BC0AE}" type="pres">
      <dgm:prSet presAssocID="{59A9ED3A-CBC8-49A1-954A-390F31DF27DF}" presName="text_1" presStyleLbl="node1" presStyleIdx="0" presStyleCnt="6">
        <dgm:presLayoutVars>
          <dgm:bulletEnabled val="1"/>
        </dgm:presLayoutVars>
      </dgm:prSet>
      <dgm:spPr/>
      <dgm:t>
        <a:bodyPr/>
        <a:lstStyle/>
        <a:p>
          <a:endParaRPr lang="en-US"/>
        </a:p>
      </dgm:t>
    </dgm:pt>
    <dgm:pt modelId="{1CE8C1FF-96D3-4509-A885-E58AC1672296}" type="pres">
      <dgm:prSet presAssocID="{59A9ED3A-CBC8-49A1-954A-390F31DF27DF}" presName="accent_1" presStyleCnt="0"/>
      <dgm:spPr/>
    </dgm:pt>
    <dgm:pt modelId="{5DD11D87-AB26-4697-980B-855ECA8EE78F}" type="pres">
      <dgm:prSet presAssocID="{59A9ED3A-CBC8-49A1-954A-390F31DF27DF}" presName="accentRepeatNode" presStyleLbl="solidFgAcc1" presStyleIdx="0" presStyleCnt="6"/>
      <dgm:spPr/>
    </dgm:pt>
    <dgm:pt modelId="{CA4B970D-E09E-41ED-824F-42ADB332517F}" type="pres">
      <dgm:prSet presAssocID="{9D606644-C4DF-409B-AE32-BE57802B27AC}" presName="text_2" presStyleLbl="node1" presStyleIdx="1" presStyleCnt="6">
        <dgm:presLayoutVars>
          <dgm:bulletEnabled val="1"/>
        </dgm:presLayoutVars>
      </dgm:prSet>
      <dgm:spPr/>
      <dgm:t>
        <a:bodyPr/>
        <a:lstStyle/>
        <a:p>
          <a:endParaRPr lang="en-US"/>
        </a:p>
      </dgm:t>
    </dgm:pt>
    <dgm:pt modelId="{83CD4E8D-D829-4894-9C6B-DBBDC7571322}" type="pres">
      <dgm:prSet presAssocID="{9D606644-C4DF-409B-AE32-BE57802B27AC}" presName="accent_2" presStyleCnt="0"/>
      <dgm:spPr/>
    </dgm:pt>
    <dgm:pt modelId="{CB5740EE-0A95-42D7-B9CA-AB4622AEDEAA}" type="pres">
      <dgm:prSet presAssocID="{9D606644-C4DF-409B-AE32-BE57802B27AC}" presName="accentRepeatNode" presStyleLbl="solidFgAcc1" presStyleIdx="1" presStyleCnt="6"/>
      <dgm:spPr/>
    </dgm:pt>
    <dgm:pt modelId="{5C718CA5-00B1-4294-A6E4-2711D8539AE1}" type="pres">
      <dgm:prSet presAssocID="{7FCF0A65-1A20-4EED-8641-7ED8A00E6039}" presName="text_3" presStyleLbl="node1" presStyleIdx="2" presStyleCnt="6">
        <dgm:presLayoutVars>
          <dgm:bulletEnabled val="1"/>
        </dgm:presLayoutVars>
      </dgm:prSet>
      <dgm:spPr/>
      <dgm:t>
        <a:bodyPr/>
        <a:lstStyle/>
        <a:p>
          <a:endParaRPr lang="en-US"/>
        </a:p>
      </dgm:t>
    </dgm:pt>
    <dgm:pt modelId="{67A82413-4B86-4652-8E0C-A9307BF65289}" type="pres">
      <dgm:prSet presAssocID="{7FCF0A65-1A20-4EED-8641-7ED8A00E6039}" presName="accent_3" presStyleCnt="0"/>
      <dgm:spPr/>
    </dgm:pt>
    <dgm:pt modelId="{C81167DC-5F50-48C2-B66B-F14D67E8C6E5}" type="pres">
      <dgm:prSet presAssocID="{7FCF0A65-1A20-4EED-8641-7ED8A00E6039}" presName="accentRepeatNode" presStyleLbl="solidFgAcc1" presStyleIdx="2" presStyleCnt="6"/>
      <dgm:spPr/>
    </dgm:pt>
    <dgm:pt modelId="{51011EF7-B4E1-47D6-BC87-D663BA5F1A09}" type="pres">
      <dgm:prSet presAssocID="{08D59B1B-4037-4849-B1B0-D94AD5DA8E33}" presName="text_4" presStyleLbl="node1" presStyleIdx="3" presStyleCnt="6">
        <dgm:presLayoutVars>
          <dgm:bulletEnabled val="1"/>
        </dgm:presLayoutVars>
      </dgm:prSet>
      <dgm:spPr/>
      <dgm:t>
        <a:bodyPr/>
        <a:lstStyle/>
        <a:p>
          <a:endParaRPr lang="en-US"/>
        </a:p>
      </dgm:t>
    </dgm:pt>
    <dgm:pt modelId="{055D9688-33BF-45DC-96EF-2D2514B0C439}" type="pres">
      <dgm:prSet presAssocID="{08D59B1B-4037-4849-B1B0-D94AD5DA8E33}" presName="accent_4" presStyleCnt="0"/>
      <dgm:spPr/>
    </dgm:pt>
    <dgm:pt modelId="{DD2E0BBC-28E4-4C4D-9A2A-AA83C8D48280}" type="pres">
      <dgm:prSet presAssocID="{08D59B1B-4037-4849-B1B0-D94AD5DA8E33}" presName="accentRepeatNode" presStyleLbl="solidFgAcc1" presStyleIdx="3" presStyleCnt="6"/>
      <dgm:spPr/>
    </dgm:pt>
    <dgm:pt modelId="{4CCDC8DB-1978-4643-BC28-913288506B9F}" type="pres">
      <dgm:prSet presAssocID="{C60DC14C-1699-4A9F-AA16-272871F29BBD}" presName="text_5" presStyleLbl="node1" presStyleIdx="4" presStyleCnt="6">
        <dgm:presLayoutVars>
          <dgm:bulletEnabled val="1"/>
        </dgm:presLayoutVars>
      </dgm:prSet>
      <dgm:spPr/>
      <dgm:t>
        <a:bodyPr/>
        <a:lstStyle/>
        <a:p>
          <a:endParaRPr lang="en-US"/>
        </a:p>
      </dgm:t>
    </dgm:pt>
    <dgm:pt modelId="{022BD82C-3A8A-404D-909F-5050EBABA8E8}" type="pres">
      <dgm:prSet presAssocID="{C60DC14C-1699-4A9F-AA16-272871F29BBD}" presName="accent_5" presStyleCnt="0"/>
      <dgm:spPr/>
    </dgm:pt>
    <dgm:pt modelId="{0037C2E6-BC68-4B26-91D0-9F7E089809BE}" type="pres">
      <dgm:prSet presAssocID="{C60DC14C-1699-4A9F-AA16-272871F29BBD}" presName="accentRepeatNode" presStyleLbl="solidFgAcc1" presStyleIdx="4" presStyleCnt="6"/>
      <dgm:spPr/>
    </dgm:pt>
    <dgm:pt modelId="{D7B0B52B-4E20-40F6-9493-2DEF5DC1B382}" type="pres">
      <dgm:prSet presAssocID="{6D52ED2C-5DF0-496B-9FB1-89F313C8889F}" presName="text_6" presStyleLbl="node1" presStyleIdx="5" presStyleCnt="6">
        <dgm:presLayoutVars>
          <dgm:bulletEnabled val="1"/>
        </dgm:presLayoutVars>
      </dgm:prSet>
      <dgm:spPr/>
      <dgm:t>
        <a:bodyPr/>
        <a:lstStyle/>
        <a:p>
          <a:endParaRPr lang="en-US"/>
        </a:p>
      </dgm:t>
    </dgm:pt>
    <dgm:pt modelId="{C95D95CA-F58A-441B-B6A9-95B96BCFE4DF}" type="pres">
      <dgm:prSet presAssocID="{6D52ED2C-5DF0-496B-9FB1-89F313C8889F}" presName="accent_6" presStyleCnt="0"/>
      <dgm:spPr/>
    </dgm:pt>
    <dgm:pt modelId="{3FCDD1C6-6D39-47BA-9E4D-30AC88A614A3}" type="pres">
      <dgm:prSet presAssocID="{6D52ED2C-5DF0-496B-9FB1-89F313C8889F}" presName="accentRepeatNode" presStyleLbl="solidFgAcc1" presStyleIdx="5" presStyleCnt="6"/>
      <dgm:spPr/>
    </dgm:pt>
  </dgm:ptLst>
  <dgm:cxnLst>
    <dgm:cxn modelId="{0DC8E773-F79F-4932-8D73-5FE2EDFB72B8}" type="presOf" srcId="{7FCF0A65-1A20-4EED-8641-7ED8A00E6039}" destId="{5C718CA5-00B1-4294-A6E4-2711D8539AE1}" srcOrd="0" destOrd="0" presId="urn:microsoft.com/office/officeart/2008/layout/VerticalCurvedList"/>
    <dgm:cxn modelId="{F1B355BA-38B2-46E0-973A-5EE65048386B}" type="presOf" srcId="{6D52ED2C-5DF0-496B-9FB1-89F313C8889F}" destId="{D7B0B52B-4E20-40F6-9493-2DEF5DC1B382}" srcOrd="0" destOrd="0" presId="urn:microsoft.com/office/officeart/2008/layout/VerticalCurvedList"/>
    <dgm:cxn modelId="{1EFEAAB1-4323-4DA9-99FA-E8212D108B23}" type="presOf" srcId="{1A16524C-9613-4E53-8F4F-2AF895C65A24}" destId="{29C9916F-BE11-41CD-956C-0CDFEED7A9BF}" srcOrd="0" destOrd="0" presId="urn:microsoft.com/office/officeart/2008/layout/VerticalCurvedList"/>
    <dgm:cxn modelId="{0F77B91B-8FC1-4300-A150-8D637C28FB7A}" srcId="{E0E7E21B-DA1F-4E90-9C30-BB79763C4BBF}" destId="{08D59B1B-4037-4849-B1B0-D94AD5DA8E33}" srcOrd="3" destOrd="0" parTransId="{F6BA95CA-EE8D-4982-8024-C2675E70336E}" sibTransId="{46771738-CBBB-4E8C-9E61-05D323165288}"/>
    <dgm:cxn modelId="{935EC7DF-9A13-4907-AC22-C9DBE8D631DC}" type="presOf" srcId="{E0E7E21B-DA1F-4E90-9C30-BB79763C4BBF}" destId="{7E625371-02C7-43B5-89D7-FC3257D83268}" srcOrd="0" destOrd="0" presId="urn:microsoft.com/office/officeart/2008/layout/VerticalCurvedList"/>
    <dgm:cxn modelId="{AED64E69-6FBE-427E-A5C0-43841A8CCC9F}" srcId="{E0E7E21B-DA1F-4E90-9C30-BB79763C4BBF}" destId="{C60DC14C-1699-4A9F-AA16-272871F29BBD}" srcOrd="4" destOrd="0" parTransId="{E085A61C-E24F-40ED-87D1-0A5B6432BB92}" sibTransId="{C4EC1DBD-94C2-4084-BD42-8CD6A89635FE}"/>
    <dgm:cxn modelId="{53133545-B19D-4215-9028-D121F6132FE7}" srcId="{E0E7E21B-DA1F-4E90-9C30-BB79763C4BBF}" destId="{7FCF0A65-1A20-4EED-8641-7ED8A00E6039}" srcOrd="2" destOrd="0" parTransId="{6548803E-87D1-4A69-9508-C6ABD877D2AF}" sibTransId="{91AF2CC6-5BC2-4783-8971-04F733DAB002}"/>
    <dgm:cxn modelId="{87DDF695-EB62-45C5-B782-043969B6EE1D}" srcId="{E0E7E21B-DA1F-4E90-9C30-BB79763C4BBF}" destId="{59A9ED3A-CBC8-49A1-954A-390F31DF27DF}" srcOrd="0" destOrd="0" parTransId="{3F8BEF29-52E5-4FA4-A80C-D2259530B34E}" sibTransId="{1A16524C-9613-4E53-8F4F-2AF895C65A24}"/>
    <dgm:cxn modelId="{1C6FB92B-8368-4A61-BC28-7696CDDBD94E}" type="presOf" srcId="{C60DC14C-1699-4A9F-AA16-272871F29BBD}" destId="{4CCDC8DB-1978-4643-BC28-913288506B9F}" srcOrd="0" destOrd="0" presId="urn:microsoft.com/office/officeart/2008/layout/VerticalCurvedList"/>
    <dgm:cxn modelId="{80792A5C-7044-469C-ABCD-E025D1478935}" type="presOf" srcId="{59A9ED3A-CBC8-49A1-954A-390F31DF27DF}" destId="{31EF6648-EFB9-4A00-BBE2-DB3ED84BC0AE}" srcOrd="0" destOrd="0" presId="urn:microsoft.com/office/officeart/2008/layout/VerticalCurvedList"/>
    <dgm:cxn modelId="{B9D44294-A220-4722-AF04-4FFFDC208CE7}" type="presOf" srcId="{9D606644-C4DF-409B-AE32-BE57802B27AC}" destId="{CA4B970D-E09E-41ED-824F-42ADB332517F}" srcOrd="0" destOrd="0" presId="urn:microsoft.com/office/officeart/2008/layout/VerticalCurvedList"/>
    <dgm:cxn modelId="{63EBB345-0D4E-48D6-AAD8-ECF7F76F52D0}" type="presOf" srcId="{08D59B1B-4037-4849-B1B0-D94AD5DA8E33}" destId="{51011EF7-B4E1-47D6-BC87-D663BA5F1A09}" srcOrd="0" destOrd="0" presId="urn:microsoft.com/office/officeart/2008/layout/VerticalCurvedList"/>
    <dgm:cxn modelId="{6E434206-CA1B-490C-A858-964D009BBDBD}" srcId="{E0E7E21B-DA1F-4E90-9C30-BB79763C4BBF}" destId="{6D52ED2C-5DF0-496B-9FB1-89F313C8889F}" srcOrd="5" destOrd="0" parTransId="{F3F0DB10-7203-412D-940C-A0E1F9D26F08}" sibTransId="{99AD2BF1-5606-46BD-92F3-F7F505A9EEE6}"/>
    <dgm:cxn modelId="{8CAEC8AD-9288-45C6-A54C-1C44B5DE1444}" srcId="{E0E7E21B-DA1F-4E90-9C30-BB79763C4BBF}" destId="{9D606644-C4DF-409B-AE32-BE57802B27AC}" srcOrd="1" destOrd="0" parTransId="{33B38497-DF33-4700-B9B9-5DF85540C602}" sibTransId="{2C25279A-014E-4DC4-A1A0-E33C70EE55DC}"/>
    <dgm:cxn modelId="{7EC13B9A-15C5-46E4-AD11-949CAE768150}" type="presParOf" srcId="{7E625371-02C7-43B5-89D7-FC3257D83268}" destId="{FEBAABB6-DDF9-453A-8188-DF6D8436CBA8}" srcOrd="0" destOrd="0" presId="urn:microsoft.com/office/officeart/2008/layout/VerticalCurvedList"/>
    <dgm:cxn modelId="{B36FCA91-8396-45E0-8FF8-88719B81ECA7}" type="presParOf" srcId="{FEBAABB6-DDF9-453A-8188-DF6D8436CBA8}" destId="{25A52D1D-AB03-460D-82FE-41B316E21831}" srcOrd="0" destOrd="0" presId="urn:microsoft.com/office/officeart/2008/layout/VerticalCurvedList"/>
    <dgm:cxn modelId="{CB43BFC2-29B7-467F-90BC-7C69D2171BFA}" type="presParOf" srcId="{25A52D1D-AB03-460D-82FE-41B316E21831}" destId="{4F8088D6-6F3F-4E75-87AB-7B79904AB9F1}" srcOrd="0" destOrd="0" presId="urn:microsoft.com/office/officeart/2008/layout/VerticalCurvedList"/>
    <dgm:cxn modelId="{1B5C9A2F-6272-424D-B48D-BD307EEC2DCC}" type="presParOf" srcId="{25A52D1D-AB03-460D-82FE-41B316E21831}" destId="{29C9916F-BE11-41CD-956C-0CDFEED7A9BF}" srcOrd="1" destOrd="0" presId="urn:microsoft.com/office/officeart/2008/layout/VerticalCurvedList"/>
    <dgm:cxn modelId="{22B3E09A-F48E-4B2D-BB0E-1510A0611C0F}" type="presParOf" srcId="{25A52D1D-AB03-460D-82FE-41B316E21831}" destId="{A7ADCF45-721B-4022-ABEE-D69CC2E1424A}" srcOrd="2" destOrd="0" presId="urn:microsoft.com/office/officeart/2008/layout/VerticalCurvedList"/>
    <dgm:cxn modelId="{2B4E28C5-87F3-45E4-89CA-3B15714067B1}" type="presParOf" srcId="{25A52D1D-AB03-460D-82FE-41B316E21831}" destId="{79C5FC74-F2D5-4270-AACF-7704D6A82DE0}" srcOrd="3" destOrd="0" presId="urn:microsoft.com/office/officeart/2008/layout/VerticalCurvedList"/>
    <dgm:cxn modelId="{CA09B439-1434-455B-A034-1FFA9D927DBD}" type="presParOf" srcId="{FEBAABB6-DDF9-453A-8188-DF6D8436CBA8}" destId="{31EF6648-EFB9-4A00-BBE2-DB3ED84BC0AE}" srcOrd="1" destOrd="0" presId="urn:microsoft.com/office/officeart/2008/layout/VerticalCurvedList"/>
    <dgm:cxn modelId="{5DCDC6AF-AE8C-4A25-9E83-EC260E9D4A25}" type="presParOf" srcId="{FEBAABB6-DDF9-453A-8188-DF6D8436CBA8}" destId="{1CE8C1FF-96D3-4509-A885-E58AC1672296}" srcOrd="2" destOrd="0" presId="urn:microsoft.com/office/officeart/2008/layout/VerticalCurvedList"/>
    <dgm:cxn modelId="{E69D1470-4C43-4379-9B2B-D4F6187150EE}" type="presParOf" srcId="{1CE8C1FF-96D3-4509-A885-E58AC1672296}" destId="{5DD11D87-AB26-4697-980B-855ECA8EE78F}" srcOrd="0" destOrd="0" presId="urn:microsoft.com/office/officeart/2008/layout/VerticalCurvedList"/>
    <dgm:cxn modelId="{DED3BD2A-8111-46B5-B87F-D1039071F478}" type="presParOf" srcId="{FEBAABB6-DDF9-453A-8188-DF6D8436CBA8}" destId="{CA4B970D-E09E-41ED-824F-42ADB332517F}" srcOrd="3" destOrd="0" presId="urn:microsoft.com/office/officeart/2008/layout/VerticalCurvedList"/>
    <dgm:cxn modelId="{AB0B5E49-9D9C-4B9F-AB55-FF9D158453F4}" type="presParOf" srcId="{FEBAABB6-DDF9-453A-8188-DF6D8436CBA8}" destId="{83CD4E8D-D829-4894-9C6B-DBBDC7571322}" srcOrd="4" destOrd="0" presId="urn:microsoft.com/office/officeart/2008/layout/VerticalCurvedList"/>
    <dgm:cxn modelId="{5FAE8219-8802-4DBE-8C10-C1F41FD91D60}" type="presParOf" srcId="{83CD4E8D-D829-4894-9C6B-DBBDC7571322}" destId="{CB5740EE-0A95-42D7-B9CA-AB4622AEDEAA}" srcOrd="0" destOrd="0" presId="urn:microsoft.com/office/officeart/2008/layout/VerticalCurvedList"/>
    <dgm:cxn modelId="{60025C45-CB3A-4CCE-B005-BC87C257C873}" type="presParOf" srcId="{FEBAABB6-DDF9-453A-8188-DF6D8436CBA8}" destId="{5C718CA5-00B1-4294-A6E4-2711D8539AE1}" srcOrd="5" destOrd="0" presId="urn:microsoft.com/office/officeart/2008/layout/VerticalCurvedList"/>
    <dgm:cxn modelId="{963AA6F2-084E-49E9-812D-A07DF640362B}" type="presParOf" srcId="{FEBAABB6-DDF9-453A-8188-DF6D8436CBA8}" destId="{67A82413-4B86-4652-8E0C-A9307BF65289}" srcOrd="6" destOrd="0" presId="urn:microsoft.com/office/officeart/2008/layout/VerticalCurvedList"/>
    <dgm:cxn modelId="{6952B3B1-4426-4346-A6D4-C497E0D86E5B}" type="presParOf" srcId="{67A82413-4B86-4652-8E0C-A9307BF65289}" destId="{C81167DC-5F50-48C2-B66B-F14D67E8C6E5}" srcOrd="0" destOrd="0" presId="urn:microsoft.com/office/officeart/2008/layout/VerticalCurvedList"/>
    <dgm:cxn modelId="{4086164E-FB1E-4D34-B1E3-D84D24722CC5}" type="presParOf" srcId="{FEBAABB6-DDF9-453A-8188-DF6D8436CBA8}" destId="{51011EF7-B4E1-47D6-BC87-D663BA5F1A09}" srcOrd="7" destOrd="0" presId="urn:microsoft.com/office/officeart/2008/layout/VerticalCurvedList"/>
    <dgm:cxn modelId="{BD91EA47-C4A1-4374-9AAE-377FA7204E7F}" type="presParOf" srcId="{FEBAABB6-DDF9-453A-8188-DF6D8436CBA8}" destId="{055D9688-33BF-45DC-96EF-2D2514B0C439}" srcOrd="8" destOrd="0" presId="urn:microsoft.com/office/officeart/2008/layout/VerticalCurvedList"/>
    <dgm:cxn modelId="{0DC5FDEB-F0FF-40C9-82BD-F227D025D293}" type="presParOf" srcId="{055D9688-33BF-45DC-96EF-2D2514B0C439}" destId="{DD2E0BBC-28E4-4C4D-9A2A-AA83C8D48280}" srcOrd="0" destOrd="0" presId="urn:microsoft.com/office/officeart/2008/layout/VerticalCurvedList"/>
    <dgm:cxn modelId="{9FF7E6BA-84DC-4D3D-B12D-E9D3EC991246}" type="presParOf" srcId="{FEBAABB6-DDF9-453A-8188-DF6D8436CBA8}" destId="{4CCDC8DB-1978-4643-BC28-913288506B9F}" srcOrd="9" destOrd="0" presId="urn:microsoft.com/office/officeart/2008/layout/VerticalCurvedList"/>
    <dgm:cxn modelId="{4AEB5534-19C5-43D4-B5D9-3F727FDFBE57}" type="presParOf" srcId="{FEBAABB6-DDF9-453A-8188-DF6D8436CBA8}" destId="{022BD82C-3A8A-404D-909F-5050EBABA8E8}" srcOrd="10" destOrd="0" presId="urn:microsoft.com/office/officeart/2008/layout/VerticalCurvedList"/>
    <dgm:cxn modelId="{509641C9-29CC-4F98-8588-D95B52D30F86}" type="presParOf" srcId="{022BD82C-3A8A-404D-909F-5050EBABA8E8}" destId="{0037C2E6-BC68-4B26-91D0-9F7E089809BE}" srcOrd="0" destOrd="0" presId="urn:microsoft.com/office/officeart/2008/layout/VerticalCurvedList"/>
    <dgm:cxn modelId="{94BC08FE-CF4C-4344-8908-C2D6B979E72E}" type="presParOf" srcId="{FEBAABB6-DDF9-453A-8188-DF6D8436CBA8}" destId="{D7B0B52B-4E20-40F6-9493-2DEF5DC1B382}" srcOrd="11" destOrd="0" presId="urn:microsoft.com/office/officeart/2008/layout/VerticalCurvedList"/>
    <dgm:cxn modelId="{FE50482E-26E8-455A-BCED-2E07B766DE15}" type="presParOf" srcId="{FEBAABB6-DDF9-453A-8188-DF6D8436CBA8}" destId="{C95D95CA-F58A-441B-B6A9-95B96BCFE4DF}" srcOrd="12" destOrd="0" presId="urn:microsoft.com/office/officeart/2008/layout/VerticalCurvedList"/>
    <dgm:cxn modelId="{458EA02E-BBC9-46E5-A384-02390BF0DAF2}" type="presParOf" srcId="{C95D95CA-F58A-441B-B6A9-95B96BCFE4DF}" destId="{3FCDD1C6-6D39-47BA-9E4D-30AC88A614A3}" srcOrd="0" destOrd="0" presId="urn:microsoft.com/office/officeart/2008/layout/VerticalCurved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C9916F-BE11-41CD-956C-0CDFEED7A9BF}">
      <dsp:nvSpPr>
        <dsp:cNvPr id="0" name=""/>
        <dsp:cNvSpPr/>
      </dsp:nvSpPr>
      <dsp:spPr>
        <a:xfrm>
          <a:off x="-3175441" y="-488698"/>
          <a:ext cx="3787272" cy="3787272"/>
        </a:xfrm>
        <a:prstGeom prst="blockArc">
          <a:avLst>
            <a:gd name="adj1" fmla="val 18900000"/>
            <a:gd name="adj2" fmla="val 2700000"/>
            <a:gd name="adj3" fmla="val 570"/>
          </a:avLst>
        </a:pr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1EF6648-EFB9-4A00-BBE2-DB3ED84BC0AE}">
      <dsp:nvSpPr>
        <dsp:cNvPr id="0" name=""/>
        <dsp:cNvSpPr/>
      </dsp:nvSpPr>
      <dsp:spPr>
        <a:xfrm>
          <a:off x="229592" y="147968"/>
          <a:ext cx="4679168" cy="295823"/>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34810" tIns="25400" rIns="25400" bIns="25400" numCol="1" spcCol="1270" anchor="ctr" anchorCtr="0">
          <a:noAutofit/>
        </a:bodyPr>
        <a:lstStyle/>
        <a:p>
          <a:pPr lvl="0" algn="ctr" defTabSz="444500">
            <a:lnSpc>
              <a:spcPct val="90000"/>
            </a:lnSpc>
            <a:spcBef>
              <a:spcPct val="0"/>
            </a:spcBef>
            <a:spcAft>
              <a:spcPct val="35000"/>
            </a:spcAft>
          </a:pPr>
          <a:r>
            <a:rPr lang="en-US" sz="1000" b="1" i="0" kern="1200">
              <a:latin typeface="Arial Narrow" panose="020B0606020202030204" pitchFamily="34" charset="0"/>
            </a:rPr>
            <a:t> </a:t>
          </a:r>
          <a:r>
            <a:rPr lang="en-US" sz="900" b="1" i="0" kern="1200">
              <a:latin typeface="Arial Narrow" panose="020B0606020202030204" pitchFamily="34" charset="0"/>
            </a:rPr>
            <a:t>Pre-lesson Assignments on cultural practices and web resources related to the topic to be treated and v</a:t>
          </a:r>
          <a:r>
            <a:rPr lang="en-US" sz="900" b="1" kern="1200"/>
            <a:t>isit to the dedicated CTCA cultural web resources and Afrocyberlibrary </a:t>
          </a:r>
          <a:r>
            <a:rPr lang="en-US" sz="900" b="1" i="0" kern="1200">
              <a:latin typeface="Arial Narrow" panose="020B0606020202030204" pitchFamily="34" charset="0"/>
            </a:rPr>
            <a:t> </a:t>
          </a:r>
        </a:p>
      </dsp:txBody>
      <dsp:txXfrm>
        <a:off x="229592" y="147968"/>
        <a:ext cx="4679168" cy="295823"/>
      </dsp:txXfrm>
    </dsp:sp>
    <dsp:sp modelId="{5DD11D87-AB26-4697-980B-855ECA8EE78F}">
      <dsp:nvSpPr>
        <dsp:cNvPr id="0" name=""/>
        <dsp:cNvSpPr/>
      </dsp:nvSpPr>
      <dsp:spPr>
        <a:xfrm>
          <a:off x="44702" y="110990"/>
          <a:ext cx="369779" cy="369779"/>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CA4B970D-E09E-41ED-824F-42ADB332517F}">
      <dsp:nvSpPr>
        <dsp:cNvPr id="0" name=""/>
        <dsp:cNvSpPr/>
      </dsp:nvSpPr>
      <dsp:spPr>
        <a:xfrm>
          <a:off x="472927" y="591647"/>
          <a:ext cx="4435833" cy="295823"/>
        </a:xfrm>
        <a:prstGeom prst="rect">
          <a:avLst/>
        </a:prstGeom>
        <a:solidFill>
          <a:schemeClr val="accent6">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34810" tIns="25400" rIns="25400" bIns="25400" numCol="1" spcCol="1270" anchor="ctr" anchorCtr="0">
          <a:noAutofit/>
        </a:bodyPr>
        <a:lstStyle/>
        <a:p>
          <a:pPr lvl="0" algn="ctr" defTabSz="444500">
            <a:lnSpc>
              <a:spcPct val="90000"/>
            </a:lnSpc>
            <a:spcBef>
              <a:spcPct val="0"/>
            </a:spcBef>
            <a:spcAft>
              <a:spcPct val="35000"/>
            </a:spcAft>
          </a:pPr>
          <a:r>
            <a:rPr lang="en-US" sz="1000" b="1" i="0" kern="1200">
              <a:solidFill>
                <a:sysClr val="windowText" lastClr="000000"/>
              </a:solidFill>
              <a:latin typeface="Arial Narrow" panose="020B0606020202030204" pitchFamily="34" charset="0"/>
            </a:rPr>
            <a:t>Lesson begins with group task on the output generated in Step 1</a:t>
          </a:r>
          <a:endParaRPr lang="en-US" sz="1000" b="1" i="0" kern="1200">
            <a:latin typeface="Arial Narrow" panose="020B0606020202030204" pitchFamily="34" charset="0"/>
          </a:endParaRPr>
        </a:p>
      </dsp:txBody>
      <dsp:txXfrm>
        <a:off x="472927" y="591647"/>
        <a:ext cx="4435833" cy="295823"/>
      </dsp:txXfrm>
    </dsp:sp>
    <dsp:sp modelId="{CB5740EE-0A95-42D7-B9CA-AB4622AEDEAA}">
      <dsp:nvSpPr>
        <dsp:cNvPr id="0" name=""/>
        <dsp:cNvSpPr/>
      </dsp:nvSpPr>
      <dsp:spPr>
        <a:xfrm>
          <a:off x="288037" y="554669"/>
          <a:ext cx="369779" cy="369779"/>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5C718CA5-00B1-4294-A6E4-2711D8539AE1}">
      <dsp:nvSpPr>
        <dsp:cNvPr id="0" name=""/>
        <dsp:cNvSpPr/>
      </dsp:nvSpPr>
      <dsp:spPr>
        <a:xfrm>
          <a:off x="584198" y="1035326"/>
          <a:ext cx="4324562" cy="295823"/>
        </a:xfrm>
        <a:prstGeom prst="rect">
          <a:avLst/>
        </a:prstGeom>
        <a:solidFill>
          <a:schemeClr val="accent2">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34810" tIns="22860" rIns="22860" bIns="22860" numCol="1" spcCol="1270" anchor="ctr" anchorCtr="0">
          <a:noAutofit/>
        </a:bodyPr>
        <a:lstStyle/>
        <a:p>
          <a:pPr lvl="0" algn="ctr" defTabSz="400050">
            <a:lnSpc>
              <a:spcPct val="90000"/>
            </a:lnSpc>
            <a:spcBef>
              <a:spcPct val="0"/>
            </a:spcBef>
            <a:spcAft>
              <a:spcPct val="35000"/>
            </a:spcAft>
          </a:pPr>
          <a:r>
            <a:rPr lang="en-US" sz="900" b="1" i="0" kern="1200">
              <a:latin typeface="Arial Narrow" panose="020B0606020202030204" pitchFamily="34" charset="0"/>
            </a:rPr>
            <a:t>Lesson progresses with a sprinkle of humour,</a:t>
          </a:r>
          <a:r>
            <a:rPr lang="en-US" sz="900" b="1" kern="1200"/>
            <a:t> cultural analogies and metaphors and</a:t>
          </a:r>
          <a:r>
            <a:rPr lang="en-US" sz="900" b="1" i="0" kern="1200">
              <a:latin typeface="Arial Narrow" panose="020B0606020202030204" pitchFamily="34" charset="0"/>
            </a:rPr>
            <a:t> by drawing practical examples from the immediate surrounding (Context)</a:t>
          </a:r>
          <a:endParaRPr lang="en-US" sz="900" i="0" kern="1200">
            <a:latin typeface="Arial Narrow" panose="020B0606020202030204" pitchFamily="34" charset="0"/>
          </a:endParaRPr>
        </a:p>
      </dsp:txBody>
      <dsp:txXfrm>
        <a:off x="584198" y="1035326"/>
        <a:ext cx="4324562" cy="295823"/>
      </dsp:txXfrm>
    </dsp:sp>
    <dsp:sp modelId="{C81167DC-5F50-48C2-B66B-F14D67E8C6E5}">
      <dsp:nvSpPr>
        <dsp:cNvPr id="0" name=""/>
        <dsp:cNvSpPr/>
      </dsp:nvSpPr>
      <dsp:spPr>
        <a:xfrm>
          <a:off x="399308" y="998348"/>
          <a:ext cx="369779" cy="369779"/>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51011EF7-B4E1-47D6-BC87-D663BA5F1A09}">
      <dsp:nvSpPr>
        <dsp:cNvPr id="0" name=""/>
        <dsp:cNvSpPr/>
      </dsp:nvSpPr>
      <dsp:spPr>
        <a:xfrm>
          <a:off x="584198" y="1478724"/>
          <a:ext cx="4324562" cy="295823"/>
        </a:xfrm>
        <a:prstGeom prst="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34810" tIns="25400" rIns="25400" bIns="25400" numCol="1" spcCol="1270" anchor="ctr" anchorCtr="0">
          <a:noAutofit/>
        </a:bodyPr>
        <a:lstStyle/>
        <a:p>
          <a:pPr lvl="0" algn="ctr" defTabSz="444500">
            <a:lnSpc>
              <a:spcPct val="90000"/>
            </a:lnSpc>
            <a:spcBef>
              <a:spcPct val="0"/>
            </a:spcBef>
            <a:spcAft>
              <a:spcPct val="35000"/>
            </a:spcAft>
          </a:pPr>
          <a:r>
            <a:rPr lang="en-US" sz="1000" b="1" i="0" kern="1200">
              <a:latin typeface="Arial Narrow" panose="020B0606020202030204" pitchFamily="34" charset="0"/>
            </a:rPr>
            <a:t>Lesson unfolds with a touch of humour, as the teacher connects the topic to cultural practices and online resources</a:t>
          </a:r>
          <a:r>
            <a:rPr lang="en-US" sz="1000" b="0" i="0" kern="1200">
              <a:latin typeface="Arial Narrow" panose="020B0606020202030204" pitchFamily="34" charset="0"/>
            </a:rPr>
            <a:t>.</a:t>
          </a:r>
          <a:endParaRPr lang="en-US" sz="1000" b="1" i="0" kern="1200">
            <a:latin typeface="Arial Narrow" panose="020B0606020202030204" pitchFamily="34" charset="0"/>
          </a:endParaRPr>
        </a:p>
      </dsp:txBody>
      <dsp:txXfrm>
        <a:off x="584198" y="1478724"/>
        <a:ext cx="4324562" cy="295823"/>
      </dsp:txXfrm>
    </dsp:sp>
    <dsp:sp modelId="{DD2E0BBC-28E4-4C4D-9A2A-AA83C8D48280}">
      <dsp:nvSpPr>
        <dsp:cNvPr id="0" name=""/>
        <dsp:cNvSpPr/>
      </dsp:nvSpPr>
      <dsp:spPr>
        <a:xfrm>
          <a:off x="399308" y="1441746"/>
          <a:ext cx="369779" cy="369779"/>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4CCDC8DB-1978-4643-BC28-913288506B9F}">
      <dsp:nvSpPr>
        <dsp:cNvPr id="0" name=""/>
        <dsp:cNvSpPr/>
      </dsp:nvSpPr>
      <dsp:spPr>
        <a:xfrm>
          <a:off x="472927" y="1922404"/>
          <a:ext cx="4435833" cy="295823"/>
        </a:xfrm>
        <a:prstGeom prst="rect">
          <a:avLst/>
        </a:prstGeom>
        <a:solidFill>
          <a:schemeClr val="accent6">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34810" tIns="22860" rIns="22860" bIns="22860" numCol="1" spcCol="1270" anchor="ctr" anchorCtr="0">
          <a:noAutofit/>
        </a:bodyPr>
        <a:lstStyle/>
        <a:p>
          <a:pPr lvl="0" algn="ctr" defTabSz="400050">
            <a:lnSpc>
              <a:spcPct val="90000"/>
            </a:lnSpc>
            <a:spcBef>
              <a:spcPct val="0"/>
            </a:spcBef>
            <a:spcAft>
              <a:spcPct val="35000"/>
            </a:spcAft>
          </a:pPr>
          <a:r>
            <a:rPr lang="en-US" sz="900" b="1" kern="1200">
              <a:latin typeface="Arial Narrow" panose="020B0606020202030204" pitchFamily="34" charset="0"/>
            </a:rPr>
            <a:t>Lesson ends with </a:t>
          </a:r>
          <a:r>
            <a:rPr lang="en-US" sz="900" b="1" kern="1200"/>
            <a:t>the teacher conducting a short quiz (oral or written) to evaluate the students and provides the topic for the next lesson which will be the starting point of step 1</a:t>
          </a:r>
          <a:endParaRPr lang="en-US" sz="900" b="1" kern="1200">
            <a:latin typeface="Arial Narrow" panose="020B0606020202030204" pitchFamily="34" charset="0"/>
          </a:endParaRPr>
        </a:p>
      </dsp:txBody>
      <dsp:txXfrm>
        <a:off x="472927" y="1922404"/>
        <a:ext cx="4435833" cy="295823"/>
      </dsp:txXfrm>
    </dsp:sp>
    <dsp:sp modelId="{0037C2E6-BC68-4B26-91D0-9F7E089809BE}">
      <dsp:nvSpPr>
        <dsp:cNvPr id="0" name=""/>
        <dsp:cNvSpPr/>
      </dsp:nvSpPr>
      <dsp:spPr>
        <a:xfrm>
          <a:off x="288037" y="1885426"/>
          <a:ext cx="369779" cy="369779"/>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D7B0B52B-4E20-40F6-9493-2DEF5DC1B382}">
      <dsp:nvSpPr>
        <dsp:cNvPr id="0" name=""/>
        <dsp:cNvSpPr/>
      </dsp:nvSpPr>
      <dsp:spPr>
        <a:xfrm>
          <a:off x="229592" y="2366083"/>
          <a:ext cx="4679168" cy="295823"/>
        </a:xfrm>
        <a:prstGeom prst="rect">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34810" tIns="25400" rIns="25400" bIns="25400" numCol="1" spcCol="1270" anchor="ctr" anchorCtr="0">
          <a:noAutofit/>
        </a:bodyPr>
        <a:lstStyle/>
        <a:p>
          <a:pPr lvl="0" algn="ctr" defTabSz="444500">
            <a:lnSpc>
              <a:spcPct val="90000"/>
            </a:lnSpc>
            <a:spcBef>
              <a:spcPct val="0"/>
            </a:spcBef>
            <a:spcAft>
              <a:spcPct val="35000"/>
            </a:spcAft>
          </a:pPr>
          <a:r>
            <a:rPr lang="en-US" sz="1000" b="1" i="0" kern="1200">
              <a:solidFill>
                <a:schemeClr val="bg1"/>
              </a:solidFill>
            </a:rPr>
            <a:t>As a follow-up, the lesson wraps up with the teacher sending a summary of lessons to the students via SMS, WhatsApp, Telegram or any other messaging app </a:t>
          </a:r>
          <a:endParaRPr lang="en-US" sz="1000" b="0" i="0" kern="1200">
            <a:solidFill>
              <a:schemeClr val="bg1"/>
            </a:solidFill>
            <a:latin typeface="Arial Narrow" panose="020B0606020202030204" pitchFamily="34" charset="0"/>
          </a:endParaRPr>
        </a:p>
      </dsp:txBody>
      <dsp:txXfrm>
        <a:off x="229592" y="2366083"/>
        <a:ext cx="4679168" cy="295823"/>
      </dsp:txXfrm>
    </dsp:sp>
    <dsp:sp modelId="{3FCDD1C6-6D39-47BA-9E4D-30AC88A614A3}">
      <dsp:nvSpPr>
        <dsp:cNvPr id="0" name=""/>
        <dsp:cNvSpPr/>
      </dsp:nvSpPr>
      <dsp:spPr>
        <a:xfrm>
          <a:off x="44702" y="2329105"/>
          <a:ext cx="369779" cy="369779"/>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BB5DA-5885-4425-8B77-4A377DC12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17</Pages>
  <Words>8030</Words>
  <Characters>45776</Characters>
  <Application>Microsoft Office Word</Application>
  <DocSecurity>0</DocSecurity>
  <Lines>381</Lines>
  <Paragraphs>107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Abstract</vt:lpstr>
      <vt:lpstr>        1.     Introduction</vt:lpstr>
      <vt:lpstr>    </vt:lpstr>
      <vt:lpstr>    4.        Discussion</vt:lpstr>
      <vt:lpstr>        </vt:lpstr>
      <vt:lpstr>        5.        Conclusion </vt:lpstr>
      <vt:lpstr/>
      <vt:lpstr>References</vt:lpstr>
    </vt:vector>
  </TitlesOfParts>
  <Company/>
  <LinksUpToDate>false</LinksUpToDate>
  <CharactersWithSpaces>53699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dcterms:created xsi:type="dcterms:W3CDTF">2026-07-08T12:50:00Z</dcterms:created>
  <dcterms:modified xsi:type="dcterms:W3CDTF">2026-07-08T15:52:00Z</dcterms:modified>
</cp:coreProperties>
</file>