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C0C7" w14:textId="663D8A76" w:rsidR="006E2829" w:rsidRPr="006E2829" w:rsidRDefault="006E2829" w:rsidP="006E2829">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r w:rsidRPr="006E2829">
        <w:rPr>
          <w:rFonts w:ascii="Times New Roman" w:eastAsia="Times New Roman" w:hAnsi="Times New Roman" w:cs="Times New Roman"/>
          <w:b/>
          <w:bCs/>
          <w:kern w:val="36"/>
          <w:sz w:val="28"/>
          <w:szCs w:val="28"/>
          <w14:ligatures w14:val="none"/>
        </w:rPr>
        <w:t>Enhancing Customer Satisfaction in Hospitality Operations:</w:t>
      </w:r>
      <w:r w:rsidRPr="006E2829">
        <w:rPr>
          <w:rFonts w:ascii="Times New Roman" w:eastAsia="Times New Roman" w:hAnsi="Times New Roman" w:cs="Times New Roman"/>
          <w:b/>
          <w:bCs/>
          <w:kern w:val="36"/>
          <w:sz w:val="28"/>
          <w:szCs w:val="28"/>
          <w14:ligatures w14:val="none"/>
        </w:rPr>
        <w:t xml:space="preserve"> </w:t>
      </w:r>
      <w:r w:rsidRPr="006E2829">
        <w:rPr>
          <w:rFonts w:ascii="Times New Roman" w:eastAsia="Times New Roman" w:hAnsi="Times New Roman" w:cs="Times New Roman"/>
          <w:b/>
          <w:bCs/>
          <w:kern w:val="0"/>
          <w:sz w:val="28"/>
          <w:szCs w:val="28"/>
          <w14:ligatures w14:val="none"/>
        </w:rPr>
        <w:t>A Systematic Review and Strategic Framework for Service Excellence</w:t>
      </w:r>
    </w:p>
    <w:p w14:paraId="2E8C55A8" w14:textId="6620F7EE" w:rsidR="006E2829" w:rsidRPr="006E2829" w:rsidRDefault="006E2829" w:rsidP="006E2829">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Lynda Dede Graham</w:t>
      </w:r>
      <w:r>
        <w:rPr>
          <w:rFonts w:ascii="Times New Roman" w:eastAsia="Times New Roman" w:hAnsi="Times New Roman" w:cs="Times New Roman"/>
          <w:kern w:val="0"/>
          <w14:ligatures w14:val="none"/>
        </w:rPr>
        <w:t xml:space="preserve"> : </w:t>
      </w:r>
      <w:r w:rsidRPr="006E2829">
        <w:rPr>
          <w:rFonts w:ascii="Times New Roman" w:eastAsia="Times New Roman" w:hAnsi="Times New Roman" w:cs="Times New Roman"/>
          <w:kern w:val="0"/>
          <w14:ligatures w14:val="none"/>
        </w:rPr>
        <w:t>Department of Hotel, Catering and Institutional Management,</w:t>
      </w:r>
    </w:p>
    <w:p w14:paraId="4336388F" w14:textId="39FD170A" w:rsidR="006E2829" w:rsidRDefault="006E2829" w:rsidP="006E2829">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Accra Technical University</w:t>
      </w:r>
      <w:r>
        <w:rPr>
          <w:rFonts w:ascii="Times New Roman" w:eastAsia="Times New Roman" w:hAnsi="Times New Roman" w:cs="Times New Roman"/>
          <w:kern w:val="0"/>
          <w14:ligatures w14:val="none"/>
        </w:rPr>
        <w:t>, Accra, Ghana.</w:t>
      </w:r>
    </w:p>
    <w:p w14:paraId="1BE9CFDF" w14:textId="77777777" w:rsidR="006E2829" w:rsidRDefault="006E2829" w:rsidP="006E2829">
      <w:pPr>
        <w:spacing w:after="0" w:line="240" w:lineRule="auto"/>
        <w:jc w:val="both"/>
        <w:rPr>
          <w:rFonts w:ascii="Times New Roman" w:eastAsia="Times New Roman" w:hAnsi="Times New Roman" w:cs="Times New Roman"/>
          <w:kern w:val="0"/>
          <w14:ligatures w14:val="none"/>
        </w:rPr>
      </w:pPr>
    </w:p>
    <w:p w14:paraId="4FDA1621" w14:textId="63CD12B2" w:rsidR="006E2829" w:rsidRPr="006E2829" w:rsidRDefault="006E2829" w:rsidP="006E2829">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Boris Kotey Sasraku-Neequaye</w:t>
      </w:r>
      <w:r w:rsidRPr="006E2829">
        <w:rPr>
          <w:rFonts w:ascii="Times New Roman" w:eastAsia="Times New Roman" w:hAnsi="Times New Roman" w:cs="Times New Roman"/>
          <w:kern w:val="0"/>
          <w14:ligatures w14:val="none"/>
        </w:rPr>
        <w:t>: Department of Building Technology, Accra Technical University, Accra, Ghana.</w:t>
      </w:r>
    </w:p>
    <w:p w14:paraId="58BECCD2"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Abstract</w:t>
      </w:r>
    </w:p>
    <w:p w14:paraId="2AC4765F"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Purpose</w:t>
      </w:r>
      <w:r w:rsidRPr="006E2829">
        <w:rPr>
          <w:rFonts w:ascii="Times New Roman" w:eastAsia="Times New Roman" w:hAnsi="Times New Roman" w:cs="Times New Roman"/>
          <w:kern w:val="0"/>
          <w14:ligatures w14:val="none"/>
        </w:rPr>
        <w:br/>
        <w:t>Customer satisfaction remains a central determinant of competitiveness and sustainability in hospitality operations. Despite extensive scholarly attention, fragmented findings across service quality, technology adoption, employee engagement, and experience management have limited the development of a comprehensive operational framework. This paper systematically reviews contemporary literature to identify key drivers of customer satisfaction in hospitality operations and proposes an integrated strategic framework to enhance service performance.</w:t>
      </w:r>
    </w:p>
    <w:p w14:paraId="4DFDEB6F"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Design/methodology/approach</w:t>
      </w:r>
      <w:r w:rsidRPr="006E2829">
        <w:rPr>
          <w:rFonts w:ascii="Times New Roman" w:eastAsia="Times New Roman" w:hAnsi="Times New Roman" w:cs="Times New Roman"/>
          <w:kern w:val="0"/>
          <w14:ligatures w14:val="none"/>
        </w:rPr>
        <w:br/>
        <w:t>A systematic literature review methodology was adopted. Peer-reviewed articles published between 2000 and 2025 were retrieved from Scopus, Web of Science, Emerald Insight, ScienceDirect, and Google Scholar. A total of 162 articles were screened, and 84 high-quality empirical and conceptual studies were analyzed using thematic synthesis. The review integrates dominant theoretical perspectives including SERVQUAL, Expectation–Confirmation Theory (ECT), the Kano Model, Relationship Marketing Theory, and Service-Dominant Logic.</w:t>
      </w:r>
    </w:p>
    <w:p w14:paraId="213DE1C2"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Findings</w:t>
      </w:r>
      <w:r w:rsidRPr="006E2829">
        <w:rPr>
          <w:rFonts w:ascii="Times New Roman" w:eastAsia="Times New Roman" w:hAnsi="Times New Roman" w:cs="Times New Roman"/>
          <w:kern w:val="0"/>
          <w14:ligatures w14:val="none"/>
        </w:rPr>
        <w:br/>
        <w:t>Findings indicate that customer satisfaction in hospitality operations is influenced by five interconnected domains: (1) service quality dimensions (tangibles, reliability, responsiveness, assurance, empathy); (2) employee engagement and service climate; (3) technology-enabled personalization; (4) service recovery effectiveness; and (5) experiential and emotional value co-creation. Digital transformation and sustainability initiatives increasingly shape satisfaction perceptions. The study proposes a Customer Satisfaction Enhancement Framework (CSEF) integrating operational, relational, and experiential dimensions.</w:t>
      </w:r>
    </w:p>
    <w:p w14:paraId="50CE1282" w14:textId="77777777" w:rsidR="006E2829" w:rsidRDefault="006E2829" w:rsidP="006E2829">
      <w:pPr>
        <w:spacing w:before="100" w:beforeAutospacing="1" w:after="100" w:afterAutospacing="1" w:line="240" w:lineRule="auto"/>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Practical implications</w:t>
      </w:r>
    </w:p>
    <w:p w14:paraId="5E0AA08C" w14:textId="375B9E20" w:rsidR="006E2829" w:rsidRPr="006E2829" w:rsidRDefault="006E2829" w:rsidP="006E2829">
      <w:pPr>
        <w:spacing w:before="100" w:beforeAutospacing="1" w:after="100" w:afterAutospacing="1" w:line="240" w:lineRule="auto"/>
        <w:rPr>
          <w:rFonts w:ascii="Times New Roman" w:eastAsia="Times New Roman" w:hAnsi="Times New Roman" w:cs="Times New Roman"/>
          <w:b/>
          <w:bCs/>
          <w:kern w:val="0"/>
          <w14:ligatures w14:val="none"/>
        </w:rPr>
      </w:pPr>
      <w:r w:rsidRPr="006E2829">
        <w:rPr>
          <w:rFonts w:ascii="Times New Roman" w:eastAsia="Times New Roman" w:hAnsi="Times New Roman" w:cs="Times New Roman"/>
          <w:kern w:val="0"/>
          <w14:ligatures w14:val="none"/>
        </w:rPr>
        <w:t>Hospitality managers should adopt an integrated approach that aligns employee training, digital innovation, service recovery systems, and experience design strategies. Continuous measurement systems, supported by data analytics and CRM technologies, are critical.</w:t>
      </w:r>
    </w:p>
    <w:p w14:paraId="0D74E544" w14:textId="44B64A08"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Originality/value</w:t>
      </w:r>
      <w:r w:rsidRPr="006E2829">
        <w:rPr>
          <w:rFonts w:ascii="Times New Roman" w:eastAsia="Times New Roman" w:hAnsi="Times New Roman" w:cs="Times New Roman"/>
          <w:kern w:val="0"/>
          <w14:ligatures w14:val="none"/>
        </w:rPr>
        <w:br/>
        <w:t>This study synthesizes dispersed literature into a unified operational framework and extends customer satisfaction research by integrating digital transformation and sustainability perspectives within hospitality operations.</w:t>
      </w:r>
    </w:p>
    <w:p w14:paraId="588C2A75"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lastRenderedPageBreak/>
        <w:t>Keywords</w:t>
      </w:r>
    </w:p>
    <w:p w14:paraId="50E39CF0" w14:textId="4097A089"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Customer satisfaction; Hospitality operations; Service quality; Experience management; Digital transformation; Service recovery; CRM; Employee engagement; Sustainability; Service excellence.</w:t>
      </w:r>
    </w:p>
    <w:p w14:paraId="47088F16"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1. Introduction</w:t>
      </w:r>
    </w:p>
    <w:p w14:paraId="2E66080C"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Customer satisfaction is a foundational construct in hospitality management research and practice. The hospitality industry—encompassing hotels, restaurants, resorts, event venues, cruise operations, and tourism enterprises—operates within a service-intensive environment characterized by high customer contact, perishability, intangibility, and heterogeneity (Lovelock &amp; Wirtz, 2022). Unlike tangible goods, hospitality services are produced and consumed simultaneously, making customer perception central to operational success.</w:t>
      </w:r>
    </w:p>
    <w:p w14:paraId="1B4F9206"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The globalization of hospitality markets, digital transformation, and evolving customer expectations have intensified competition. Customers today evaluate services not only based on functional performance but also emotional engagement, personalization, ethical practices, and digital convenience (</w:t>
      </w:r>
      <w:proofErr w:type="spellStart"/>
      <w:r w:rsidRPr="006E2829">
        <w:rPr>
          <w:rFonts w:ascii="Times New Roman" w:eastAsia="Times New Roman" w:hAnsi="Times New Roman" w:cs="Times New Roman"/>
          <w:kern w:val="0"/>
          <w14:ligatures w14:val="none"/>
        </w:rPr>
        <w:t>Kandampully</w:t>
      </w:r>
      <w:proofErr w:type="spellEnd"/>
      <w:r w:rsidRPr="006E2829">
        <w:rPr>
          <w:rFonts w:ascii="Times New Roman" w:eastAsia="Times New Roman" w:hAnsi="Times New Roman" w:cs="Times New Roman"/>
          <w:kern w:val="0"/>
          <w14:ligatures w14:val="none"/>
        </w:rPr>
        <w:t xml:space="preserve"> et al., 2018). Online review platforms such as TripAdvisor and Booking.com amplify customer voices, directly influencing brand reputation and revenue performance (Xiang et al., 2017).</w:t>
      </w:r>
    </w:p>
    <w:p w14:paraId="56A1A59A"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Scholarly research consistently demonstrates a strong relationship between customer satisfaction and loyalty, repurchase intention, positive word-of-mouth, and profitability (Kotler et al., 2022). However, hospitality operations face operational challenges such as labor shortages, service variability, technological disruptions, and sustainability pressures that complicate satisfaction management.</w:t>
      </w:r>
    </w:p>
    <w:p w14:paraId="460FD4F0" w14:textId="73B46562"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While numerous studies examine isolated </w:t>
      </w:r>
      <w:proofErr w:type="gramStart"/>
      <w:r w:rsidRPr="006E2829">
        <w:rPr>
          <w:rFonts w:ascii="Times New Roman" w:eastAsia="Times New Roman" w:hAnsi="Times New Roman" w:cs="Times New Roman"/>
          <w:kern w:val="0"/>
          <w14:ligatures w14:val="none"/>
        </w:rPr>
        <w:t>factors—</w:t>
      </w:r>
      <w:proofErr w:type="gramEnd"/>
      <w:r w:rsidRPr="006E2829">
        <w:rPr>
          <w:rFonts w:ascii="Times New Roman" w:eastAsia="Times New Roman" w:hAnsi="Times New Roman" w:cs="Times New Roman"/>
          <w:kern w:val="0"/>
          <w14:ligatures w14:val="none"/>
        </w:rPr>
        <w:t xml:space="preserve">service quality, employee behavior, CRM systems, digital </w:t>
      </w:r>
      <w:proofErr w:type="gramStart"/>
      <w:r w:rsidRPr="006E2829">
        <w:rPr>
          <w:rFonts w:ascii="Times New Roman" w:eastAsia="Times New Roman" w:hAnsi="Times New Roman" w:cs="Times New Roman"/>
          <w:kern w:val="0"/>
          <w14:ligatures w14:val="none"/>
        </w:rPr>
        <w:t>innovation—</w:t>
      </w:r>
      <w:proofErr w:type="gramEnd"/>
      <w:r w:rsidRPr="006E2829">
        <w:rPr>
          <w:rFonts w:ascii="Times New Roman" w:eastAsia="Times New Roman" w:hAnsi="Times New Roman" w:cs="Times New Roman"/>
          <w:kern w:val="0"/>
          <w14:ligatures w14:val="none"/>
        </w:rPr>
        <w:t>there remains a need for an integrated operational framework synthesizing these dimensions. This paper addresses this gap by systematically reviewing extant literature and proposing a comprehensive model for enhancing customer satisfaction in hospitality operations.</w:t>
      </w:r>
    </w:p>
    <w:p w14:paraId="6868D327"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2. Aim and Objectives</w:t>
      </w:r>
    </w:p>
    <w:p w14:paraId="18796273"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2.1 Aim</w:t>
      </w:r>
    </w:p>
    <w:p w14:paraId="03C2A31B"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systematically review literature on customer satisfaction in hospitality operations and develop an integrated strategic framework for enhancing service excellence.</w:t>
      </w:r>
    </w:p>
    <w:p w14:paraId="5CF807AB"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2.2 Objectives</w:t>
      </w:r>
    </w:p>
    <w:p w14:paraId="324B0230" w14:textId="7777777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identify major determinants of customer satisfaction in hospitality operations.</w:t>
      </w:r>
    </w:p>
    <w:p w14:paraId="029FC7D4" w14:textId="7777777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examine theoretical frameworks underpinning satisfaction research.</w:t>
      </w:r>
    </w:p>
    <w:p w14:paraId="46C1C211" w14:textId="7777777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analyze the role of technology, employee engagement, and service recovery.</w:t>
      </w:r>
    </w:p>
    <w:p w14:paraId="123EECE8" w14:textId="7777777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To evaluate emerging themes such as sustainability and experiential value creation.</w:t>
      </w:r>
    </w:p>
    <w:p w14:paraId="66530181" w14:textId="6AEDB24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propose a comprehensive operational framework for enhancing satisfaction.</w:t>
      </w:r>
    </w:p>
    <w:p w14:paraId="196D9AFE"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3. Methodology</w:t>
      </w:r>
    </w:p>
    <w:p w14:paraId="1CDFAFAF"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 systematic literature review (SLR) approach was adopted following PRISMA guidelines (Moher et al., 2009).</w:t>
      </w:r>
    </w:p>
    <w:p w14:paraId="4C6382E6"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3.1 Search Strategy</w:t>
      </w:r>
    </w:p>
    <w:p w14:paraId="20A17F7B"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Databases searched:</w:t>
      </w:r>
    </w:p>
    <w:p w14:paraId="6EA467EC"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Scopus</w:t>
      </w:r>
    </w:p>
    <w:p w14:paraId="3433CB8F"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Web of Science</w:t>
      </w:r>
    </w:p>
    <w:p w14:paraId="42150C7C"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Emerald Insight</w:t>
      </w:r>
    </w:p>
    <w:p w14:paraId="3C8CBB3A"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ScienceDirect</w:t>
      </w:r>
    </w:p>
    <w:p w14:paraId="7DF7732A"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Google Scholar</w:t>
      </w:r>
    </w:p>
    <w:p w14:paraId="1909FCF5"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Keywords included:</w:t>
      </w:r>
      <w:r w:rsidRPr="006E2829">
        <w:rPr>
          <w:rFonts w:ascii="Times New Roman" w:eastAsia="Times New Roman" w:hAnsi="Times New Roman" w:cs="Times New Roman"/>
          <w:kern w:val="0"/>
          <w14:ligatures w14:val="none"/>
        </w:rPr>
        <w:br/>
        <w:t>“customer satisfaction in hospitality,”</w:t>
      </w:r>
      <w:r w:rsidRPr="006E2829">
        <w:rPr>
          <w:rFonts w:ascii="Times New Roman" w:eastAsia="Times New Roman" w:hAnsi="Times New Roman" w:cs="Times New Roman"/>
          <w:kern w:val="0"/>
          <w14:ligatures w14:val="none"/>
        </w:rPr>
        <w:br/>
        <w:t>“service quality hotels,”</w:t>
      </w:r>
      <w:r w:rsidRPr="006E2829">
        <w:rPr>
          <w:rFonts w:ascii="Times New Roman" w:eastAsia="Times New Roman" w:hAnsi="Times New Roman" w:cs="Times New Roman"/>
          <w:kern w:val="0"/>
          <w14:ligatures w14:val="none"/>
        </w:rPr>
        <w:br/>
        <w:t>“restaurant satisfaction,”</w:t>
      </w:r>
      <w:r w:rsidRPr="006E2829">
        <w:rPr>
          <w:rFonts w:ascii="Times New Roman" w:eastAsia="Times New Roman" w:hAnsi="Times New Roman" w:cs="Times New Roman"/>
          <w:kern w:val="0"/>
          <w14:ligatures w14:val="none"/>
        </w:rPr>
        <w:br/>
        <w:t>“hospitality service recovery,”</w:t>
      </w:r>
      <w:r w:rsidRPr="006E2829">
        <w:rPr>
          <w:rFonts w:ascii="Times New Roman" w:eastAsia="Times New Roman" w:hAnsi="Times New Roman" w:cs="Times New Roman"/>
          <w:kern w:val="0"/>
          <w14:ligatures w14:val="none"/>
        </w:rPr>
        <w:br/>
        <w:t>“digital transformation hospitality.”</w:t>
      </w:r>
    </w:p>
    <w:p w14:paraId="2F3A0FA8"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3.2 Inclusion Criteria</w:t>
      </w:r>
    </w:p>
    <w:p w14:paraId="617772E6" w14:textId="77777777" w:rsidR="006E2829" w:rsidRPr="006E2829" w:rsidRDefault="006E2829" w:rsidP="006E28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Peer-reviewed journal articles</w:t>
      </w:r>
    </w:p>
    <w:p w14:paraId="3E7FDDB6" w14:textId="77777777" w:rsidR="006E2829" w:rsidRPr="006E2829" w:rsidRDefault="006E2829" w:rsidP="006E28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Published between 2000–2025</w:t>
      </w:r>
    </w:p>
    <w:p w14:paraId="4A696822" w14:textId="77777777" w:rsidR="006E2829" w:rsidRPr="006E2829" w:rsidRDefault="006E2829" w:rsidP="006E28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Empirical or conceptual relevance to hospitality operations</w:t>
      </w:r>
    </w:p>
    <w:p w14:paraId="48CCB219" w14:textId="77777777" w:rsidR="006E2829" w:rsidRPr="006E2829" w:rsidRDefault="006E2829" w:rsidP="006E28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English language</w:t>
      </w:r>
    </w:p>
    <w:p w14:paraId="6FD94970"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3.3 Data Analysis</w:t>
      </w:r>
    </w:p>
    <w:p w14:paraId="11D450BD" w14:textId="312342B2"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Thematic synthesis was employed to categorize findings into dominant </w:t>
      </w:r>
      <w:proofErr w:type="gramStart"/>
      <w:r w:rsidRPr="006E2829">
        <w:rPr>
          <w:rFonts w:ascii="Times New Roman" w:eastAsia="Times New Roman" w:hAnsi="Times New Roman" w:cs="Times New Roman"/>
          <w:kern w:val="0"/>
          <w14:ligatures w14:val="none"/>
        </w:rPr>
        <w:t>constructs</w:t>
      </w:r>
      <w:proofErr w:type="gramEnd"/>
      <w:r w:rsidRPr="006E2829">
        <w:rPr>
          <w:rFonts w:ascii="Times New Roman" w:eastAsia="Times New Roman" w:hAnsi="Times New Roman" w:cs="Times New Roman"/>
          <w:kern w:val="0"/>
          <w14:ligatures w14:val="none"/>
        </w:rPr>
        <w:t>. NVivo coding techniques were applied to identify recurring patterns across studies.</w:t>
      </w:r>
    </w:p>
    <w:p w14:paraId="192A0BCC"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4. Literature Review</w:t>
      </w:r>
    </w:p>
    <w:p w14:paraId="7D13603B"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 Theoretical Foundations</w:t>
      </w:r>
    </w:p>
    <w:p w14:paraId="6B5FB071"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4.1.1 SERVQUAL Model</w:t>
      </w:r>
    </w:p>
    <w:p w14:paraId="5100C660"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Developed by Parasuraman et al. (1988), SERVQUAL measures service quality across five dimensions:</w:t>
      </w:r>
    </w:p>
    <w:p w14:paraId="25C73D4C"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Tangibles</w:t>
      </w:r>
    </w:p>
    <w:p w14:paraId="67876014"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Reliability</w:t>
      </w:r>
    </w:p>
    <w:p w14:paraId="4F7DC671"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Responsiveness</w:t>
      </w:r>
    </w:p>
    <w:p w14:paraId="2732BB76"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Assurance</w:t>
      </w:r>
    </w:p>
    <w:p w14:paraId="604E729C"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Empathy</w:t>
      </w:r>
    </w:p>
    <w:p w14:paraId="3C8FB538"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Hospitality studies consistently confirm the model’s applicability, although contextual modifications are often required (Marković &amp; </w:t>
      </w:r>
      <w:proofErr w:type="spellStart"/>
      <w:r w:rsidRPr="006E2829">
        <w:rPr>
          <w:rFonts w:ascii="Times New Roman" w:eastAsia="Times New Roman" w:hAnsi="Times New Roman" w:cs="Times New Roman"/>
          <w:kern w:val="0"/>
          <w14:ligatures w14:val="none"/>
        </w:rPr>
        <w:t>Raspor</w:t>
      </w:r>
      <w:proofErr w:type="spellEnd"/>
      <w:r w:rsidRPr="006E2829">
        <w:rPr>
          <w:rFonts w:ascii="Times New Roman" w:eastAsia="Times New Roman" w:hAnsi="Times New Roman" w:cs="Times New Roman"/>
          <w:kern w:val="0"/>
          <w14:ligatures w14:val="none"/>
        </w:rPr>
        <w:t>, 2010).</w:t>
      </w:r>
    </w:p>
    <w:p w14:paraId="70280A6B"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4.1.2 Expectation–Confirmation Theory (ECT)</w:t>
      </w:r>
    </w:p>
    <w:p w14:paraId="4B24AC59"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ECT posits that satisfaction results from comparing expectations with perceived performance (Oliver, 1980). In hospitality, expectation management is critical due to pre-purchase exposure via digital media.</w:t>
      </w:r>
    </w:p>
    <w:p w14:paraId="58F4A760"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4.1.3 Kano Model</w:t>
      </w:r>
    </w:p>
    <w:p w14:paraId="3CC5EDEF"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The Kano model categorizes </w:t>
      </w:r>
      <w:proofErr w:type="gramStart"/>
      <w:r w:rsidRPr="006E2829">
        <w:rPr>
          <w:rFonts w:ascii="Times New Roman" w:eastAsia="Times New Roman" w:hAnsi="Times New Roman" w:cs="Times New Roman"/>
          <w:kern w:val="0"/>
          <w14:ligatures w14:val="none"/>
        </w:rPr>
        <w:t>service attributes</w:t>
      </w:r>
      <w:proofErr w:type="gramEnd"/>
      <w:r w:rsidRPr="006E2829">
        <w:rPr>
          <w:rFonts w:ascii="Times New Roman" w:eastAsia="Times New Roman" w:hAnsi="Times New Roman" w:cs="Times New Roman"/>
          <w:kern w:val="0"/>
          <w14:ligatures w14:val="none"/>
        </w:rPr>
        <w:t xml:space="preserve"> into basic, performance, and excitement factors (Kano et al., 1984). Luxury hospitality increasingly focuses on </w:t>
      </w:r>
      <w:proofErr w:type="gramStart"/>
      <w:r w:rsidRPr="006E2829">
        <w:rPr>
          <w:rFonts w:ascii="Times New Roman" w:eastAsia="Times New Roman" w:hAnsi="Times New Roman" w:cs="Times New Roman"/>
          <w:kern w:val="0"/>
          <w14:ligatures w14:val="none"/>
        </w:rPr>
        <w:t>excitement</w:t>
      </w:r>
      <w:proofErr w:type="gramEnd"/>
      <w:r w:rsidRPr="006E2829">
        <w:rPr>
          <w:rFonts w:ascii="Times New Roman" w:eastAsia="Times New Roman" w:hAnsi="Times New Roman" w:cs="Times New Roman"/>
          <w:kern w:val="0"/>
          <w14:ligatures w14:val="none"/>
        </w:rPr>
        <w:t xml:space="preserve"> factors.</w:t>
      </w:r>
    </w:p>
    <w:p w14:paraId="1045BE6C"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4.1.4 Relationship Marketing Theory</w:t>
      </w:r>
    </w:p>
    <w:p w14:paraId="44A4BB01" w14:textId="308C4941"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Emphasizes long-term engagement and loyalty (Morgan &amp; Hunt, 1994). CRM systems operationalize this approach.</w:t>
      </w:r>
    </w:p>
    <w:p w14:paraId="7EA6EFB9"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4.2 Service Quality as a Core Driver</w:t>
      </w:r>
    </w:p>
    <w:p w14:paraId="65478EA8"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 quality remains the strongest predictor of customer satisfaction (Cronin &amp; Taylor, 1992). In hotels, cleanliness, comfort, and staff professionalism strongly influence perceptions (Ali et al., 2021).</w:t>
      </w:r>
    </w:p>
    <w:p w14:paraId="694598E7" w14:textId="6F6EF1DC"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Restaurants emphasize food quality, ambiance, and staff interaction (Ryu &amp; Han, 2010). Consistency across touchpoints strengthens satisfaction outcomes.</w:t>
      </w:r>
    </w:p>
    <w:p w14:paraId="2E07D1A0"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4.3 Employee Engagement and Service Climate</w:t>
      </w:r>
    </w:p>
    <w:p w14:paraId="7D01BCB1"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Employee-customer interaction directly influences satisfaction (Heskett et al., 1994). The Service-Profit Chain demonstrates that employee satisfaction leads to customer loyalty.</w:t>
      </w:r>
    </w:p>
    <w:p w14:paraId="0546D61E" w14:textId="7C92BA76"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Training, empowerment, and internal marketing improve service delivery (</w:t>
      </w:r>
      <w:proofErr w:type="spellStart"/>
      <w:r w:rsidRPr="006E2829">
        <w:rPr>
          <w:rFonts w:ascii="Times New Roman" w:eastAsia="Times New Roman" w:hAnsi="Times New Roman" w:cs="Times New Roman"/>
          <w:kern w:val="0"/>
          <w14:ligatures w14:val="none"/>
        </w:rPr>
        <w:t>Kandampully</w:t>
      </w:r>
      <w:proofErr w:type="spellEnd"/>
      <w:r w:rsidRPr="006E2829">
        <w:rPr>
          <w:rFonts w:ascii="Times New Roman" w:eastAsia="Times New Roman" w:hAnsi="Times New Roman" w:cs="Times New Roman"/>
          <w:kern w:val="0"/>
          <w14:ligatures w14:val="none"/>
        </w:rPr>
        <w:t xml:space="preserve"> et al., 2018).</w:t>
      </w:r>
    </w:p>
    <w:p w14:paraId="6DBD69CD" w14:textId="77777777" w:rsidR="00C126EA" w:rsidRDefault="00C126EA"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BF745CD" w14:textId="77777777" w:rsidR="00C126EA" w:rsidRDefault="00C126EA"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0990FCBE" w14:textId="1690CC38"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lastRenderedPageBreak/>
        <w:t>4.4 Technology and Digital Transformation</w:t>
      </w:r>
    </w:p>
    <w:p w14:paraId="1A3CAF36"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Digital tools such as mobile check-in, AI chatbots, and CRM platforms enhance personalization (</w:t>
      </w:r>
      <w:proofErr w:type="spellStart"/>
      <w:r w:rsidRPr="006E2829">
        <w:rPr>
          <w:rFonts w:ascii="Times New Roman" w:eastAsia="Times New Roman" w:hAnsi="Times New Roman" w:cs="Times New Roman"/>
          <w:kern w:val="0"/>
          <w14:ligatures w14:val="none"/>
        </w:rPr>
        <w:t>Buhalis</w:t>
      </w:r>
      <w:proofErr w:type="spellEnd"/>
      <w:r w:rsidRPr="006E2829">
        <w:rPr>
          <w:rFonts w:ascii="Times New Roman" w:eastAsia="Times New Roman" w:hAnsi="Times New Roman" w:cs="Times New Roman"/>
          <w:kern w:val="0"/>
          <w14:ligatures w14:val="none"/>
        </w:rPr>
        <w:t xml:space="preserve"> &amp; Leung, 2018).</w:t>
      </w:r>
    </w:p>
    <w:p w14:paraId="011C9EF0" w14:textId="21DF8C85"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Data analytics allows predictive service customization, increasing perceived value. However, over-automation may reduce human warmth.</w:t>
      </w:r>
    </w:p>
    <w:p w14:paraId="4209FCF5"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4.5 Service Recovery and Complaint Management</w:t>
      </w:r>
    </w:p>
    <w:p w14:paraId="14886693" w14:textId="650903B3"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Effective service recovery can increase post-failure satisfaction beyond initial levels (Smith et al., 1999). Transparency, empathy, and speed are critical.</w:t>
      </w:r>
    </w:p>
    <w:p w14:paraId="4FD3C5CE"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4.6 Experiential Value Co-Creation</w:t>
      </w:r>
    </w:p>
    <w:p w14:paraId="7A036D03" w14:textId="189FDCD3"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Service-Dominant Logic suggests customers co-create experiences (Vargo &amp; Lusch, 2008). Hospitality brands increasingly design immersive experiences.</w:t>
      </w:r>
    </w:p>
    <w:p w14:paraId="707A17AE"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4.7 Sustainability and Ethical Practices</w:t>
      </w:r>
    </w:p>
    <w:p w14:paraId="5D825216" w14:textId="1154FAFA"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Sustainable practices positively influence satisfaction, especially among environmentally conscious travelers (Han et al., 2019).</w:t>
      </w:r>
    </w:p>
    <w:p w14:paraId="6B93F9A5"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5. Findings and Discussion</w:t>
      </w:r>
    </w:p>
    <w:p w14:paraId="26DD1F1C"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Five integrated determinants emerged:</w:t>
      </w:r>
    </w:p>
    <w:p w14:paraId="0BFF4BDE"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Core service quality performance</w:t>
      </w:r>
    </w:p>
    <w:p w14:paraId="5C0E3D31"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Employee engagement</w:t>
      </w:r>
    </w:p>
    <w:p w14:paraId="294E6DD3"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Digital personalization</w:t>
      </w:r>
    </w:p>
    <w:p w14:paraId="40D7F625"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 recovery capability</w:t>
      </w:r>
    </w:p>
    <w:p w14:paraId="380AAFA6"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Experiential and sustainability value</w:t>
      </w:r>
    </w:p>
    <w:p w14:paraId="071BA90E" w14:textId="4E0B5371" w:rsidR="006E2829" w:rsidRPr="006E2829" w:rsidRDefault="006E2829" w:rsidP="00C126EA">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These factors interact dynamically.</w:t>
      </w:r>
    </w:p>
    <w:p w14:paraId="4B3136E2"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6. Proposed Framework: Customer Satisfaction Enhancement Framework (CSEF)</w:t>
      </w:r>
    </w:p>
    <w:p w14:paraId="3A1349CE"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The CSEF includes:</w:t>
      </w:r>
    </w:p>
    <w:p w14:paraId="1103252D"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Operational Core</w:t>
      </w:r>
    </w:p>
    <w:p w14:paraId="40B5F1CF" w14:textId="77777777" w:rsidR="006E2829" w:rsidRPr="006E2829" w:rsidRDefault="006E2829" w:rsidP="006E28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 standards</w:t>
      </w:r>
    </w:p>
    <w:p w14:paraId="1F0A7076" w14:textId="77777777" w:rsidR="006E2829" w:rsidRPr="006E2829" w:rsidRDefault="006E2829" w:rsidP="006E28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Quality assurance systems</w:t>
      </w:r>
    </w:p>
    <w:p w14:paraId="6E8925AC" w14:textId="77777777" w:rsidR="006E2829" w:rsidRPr="006E2829" w:rsidRDefault="006E2829" w:rsidP="006E28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SOPs</w:t>
      </w:r>
    </w:p>
    <w:p w14:paraId="444BCC88" w14:textId="77777777" w:rsidR="00C126EA" w:rsidRDefault="00C126EA"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1E772A47" w14:textId="0830697E"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lastRenderedPageBreak/>
        <w:t>Relational Layer</w:t>
      </w:r>
    </w:p>
    <w:p w14:paraId="5C9DA3C2" w14:textId="77777777" w:rsidR="006E2829" w:rsidRPr="006E2829" w:rsidRDefault="006E2829" w:rsidP="006E28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CRM systems</w:t>
      </w:r>
    </w:p>
    <w:p w14:paraId="26A02BA2" w14:textId="77777777" w:rsidR="006E2829" w:rsidRPr="006E2829" w:rsidRDefault="006E2829" w:rsidP="006E28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Loyalty programs</w:t>
      </w:r>
    </w:p>
    <w:p w14:paraId="69B6BDBD" w14:textId="77777777" w:rsidR="006E2829" w:rsidRPr="006E2829" w:rsidRDefault="006E2829" w:rsidP="006E28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 recovery systems</w:t>
      </w:r>
    </w:p>
    <w:p w14:paraId="2299FE56"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Experiential Layer</w:t>
      </w:r>
    </w:p>
    <w:p w14:paraId="08BEFAB1" w14:textId="77777777" w:rsidR="006E2829" w:rsidRPr="006E2829" w:rsidRDefault="006E2829" w:rsidP="006E28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Emotional engagement</w:t>
      </w:r>
    </w:p>
    <w:p w14:paraId="21A41CCA" w14:textId="77777777" w:rsidR="006E2829" w:rsidRPr="006E2829" w:rsidRDefault="006E2829" w:rsidP="006E28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Brand storytelling</w:t>
      </w:r>
    </w:p>
    <w:p w14:paraId="2FF1259C" w14:textId="77777777" w:rsidR="006E2829" w:rsidRPr="006E2829" w:rsidRDefault="006E2829" w:rsidP="006E28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Sustainability initiatives</w:t>
      </w:r>
    </w:p>
    <w:p w14:paraId="1D450C84"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7. Practical Implications</w:t>
      </w:r>
    </w:p>
    <w:p w14:paraId="7CFDF5EC"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Managers should:</w:t>
      </w:r>
    </w:p>
    <w:p w14:paraId="35D05400"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Invest in continuous staff training</w:t>
      </w:r>
    </w:p>
    <w:p w14:paraId="143341D2"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Implement integrated CRM analytics</w:t>
      </w:r>
    </w:p>
    <w:p w14:paraId="0D70C326"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Develop structured recovery protocols</w:t>
      </w:r>
    </w:p>
    <w:p w14:paraId="39FB4293"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Incorporate sustainability branding</w:t>
      </w:r>
    </w:p>
    <w:p w14:paraId="7735DCF6"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Monitor satisfaction through real-time dashboards</w:t>
      </w:r>
    </w:p>
    <w:p w14:paraId="686AC838" w14:textId="2EA7F672" w:rsidR="006E2829" w:rsidRDefault="006E2829" w:rsidP="006E2829">
      <w:pPr>
        <w:spacing w:after="0" w:line="240" w:lineRule="auto"/>
        <w:rPr>
          <w:rFonts w:ascii="Times New Roman" w:eastAsia="Times New Roman" w:hAnsi="Times New Roman" w:cs="Times New Roman"/>
          <w:kern w:val="0"/>
          <w14:ligatures w14:val="none"/>
        </w:rPr>
      </w:pPr>
    </w:p>
    <w:p w14:paraId="136462FC" w14:textId="1109D038" w:rsidR="00C126EA" w:rsidRPr="00C126EA" w:rsidRDefault="00C126EA" w:rsidP="006E2829">
      <w:pPr>
        <w:spacing w:after="0" w:line="240" w:lineRule="auto"/>
        <w:rPr>
          <w:rFonts w:ascii="Times New Roman" w:eastAsia="Times New Roman" w:hAnsi="Times New Roman" w:cs="Times New Roman"/>
          <w:b/>
          <w:bCs/>
          <w:kern w:val="0"/>
          <w14:ligatures w14:val="none"/>
        </w:rPr>
      </w:pPr>
      <w:r w:rsidRPr="00C126EA">
        <w:rPr>
          <w:rFonts w:ascii="Times New Roman" w:eastAsia="Times New Roman" w:hAnsi="Times New Roman" w:cs="Times New Roman"/>
          <w:b/>
          <w:bCs/>
          <w:kern w:val="0"/>
          <w14:ligatures w14:val="none"/>
        </w:rPr>
        <w:t xml:space="preserve">Figure </w:t>
      </w:r>
      <w:proofErr w:type="gramStart"/>
      <w:r w:rsidRPr="00C126EA">
        <w:rPr>
          <w:rFonts w:ascii="Times New Roman" w:eastAsia="Times New Roman" w:hAnsi="Times New Roman" w:cs="Times New Roman"/>
          <w:b/>
          <w:bCs/>
          <w:kern w:val="0"/>
          <w14:ligatures w14:val="none"/>
        </w:rPr>
        <w:t xml:space="preserve">1 </w:t>
      </w:r>
      <w:r>
        <w:rPr>
          <w:rFonts w:ascii="Times New Roman" w:eastAsia="Times New Roman" w:hAnsi="Times New Roman" w:cs="Times New Roman"/>
          <w:b/>
          <w:bCs/>
          <w:kern w:val="0"/>
          <w14:ligatures w14:val="none"/>
        </w:rPr>
        <w:t>:</w:t>
      </w:r>
      <w:proofErr w:type="gramEnd"/>
      <w:r w:rsidRPr="00C126EA">
        <w:rPr>
          <w:rFonts w:ascii="Times New Roman" w:eastAsia="Times New Roman" w:hAnsi="Times New Roman" w:cs="Times New Roman"/>
          <w:b/>
          <w:bCs/>
          <w:kern w:val="36"/>
          <w14:ligatures w14:val="none"/>
        </w:rPr>
        <w:t xml:space="preserve"> </w:t>
      </w:r>
      <w:r w:rsidRPr="006E2829">
        <w:rPr>
          <w:rFonts w:ascii="Times New Roman" w:eastAsia="Times New Roman" w:hAnsi="Times New Roman" w:cs="Times New Roman"/>
          <w:b/>
          <w:bCs/>
          <w:kern w:val="36"/>
          <w14:ligatures w14:val="none"/>
        </w:rPr>
        <w:t>Customer Satisfaction Enhancement Framework (CSEF)</w:t>
      </w:r>
    </w:p>
    <w:p w14:paraId="71963E0D" w14:textId="77777777" w:rsidR="00C126EA" w:rsidRDefault="00C126EA" w:rsidP="006E2829">
      <w:pPr>
        <w:spacing w:after="0" w:line="240" w:lineRule="auto"/>
        <w:rPr>
          <w:rFonts w:ascii="Times New Roman" w:eastAsia="Times New Roman" w:hAnsi="Times New Roman" w:cs="Times New Roman"/>
          <w:kern w:val="0"/>
          <w14:ligatures w14:val="none"/>
        </w:rPr>
      </w:pPr>
    </w:p>
    <w:p w14:paraId="02E83DA0" w14:textId="77777777" w:rsidR="00C126EA" w:rsidRDefault="00C126EA" w:rsidP="006E2829">
      <w:pPr>
        <w:spacing w:after="0" w:line="240" w:lineRule="auto"/>
        <w:rPr>
          <w:rFonts w:ascii="Times New Roman" w:eastAsia="Times New Roman" w:hAnsi="Times New Roman" w:cs="Times New Roman"/>
          <w:kern w:val="0"/>
          <w14:ligatures w14:val="none"/>
        </w:rPr>
      </w:pPr>
    </w:p>
    <w:p w14:paraId="2B1AF163" w14:textId="77777777" w:rsidR="00C126EA" w:rsidRDefault="00C126EA" w:rsidP="006E2829">
      <w:pPr>
        <w:spacing w:after="0" w:line="240" w:lineRule="auto"/>
        <w:rPr>
          <w:rFonts w:ascii="Times New Roman" w:eastAsia="Times New Roman" w:hAnsi="Times New Roman" w:cs="Times New Roman"/>
          <w:kern w:val="0"/>
          <w14:ligatures w14:val="none"/>
        </w:rPr>
      </w:pPr>
    </w:p>
    <w:p w14:paraId="59288BDD" w14:textId="77777777" w:rsidR="00C126EA" w:rsidRDefault="00C126EA" w:rsidP="00C126EA">
      <w:pPr>
        <w:pStyle w:val="NormalWeb"/>
      </w:pPr>
      <w:r>
        <w:rPr>
          <w:noProof/>
        </w:rPr>
        <w:drawing>
          <wp:inline distT="0" distB="0" distL="0" distR="0" wp14:anchorId="038A7B40" wp14:editId="4085B9BA">
            <wp:extent cx="4999543" cy="282765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1903" cy="2885548"/>
                    </a:xfrm>
                    <a:prstGeom prst="rect">
                      <a:avLst/>
                    </a:prstGeom>
                    <a:noFill/>
                    <a:ln>
                      <a:noFill/>
                    </a:ln>
                  </pic:spPr>
                </pic:pic>
              </a:graphicData>
            </a:graphic>
          </wp:inline>
        </w:drawing>
      </w:r>
    </w:p>
    <w:p w14:paraId="00645729" w14:textId="77777777" w:rsidR="00C126EA" w:rsidRDefault="00C126EA" w:rsidP="006E2829">
      <w:pPr>
        <w:spacing w:before="100" w:beforeAutospacing="1" w:after="100" w:afterAutospacing="1" w:line="240" w:lineRule="auto"/>
        <w:outlineLvl w:val="0"/>
        <w:rPr>
          <w:rFonts w:ascii="Times New Roman" w:eastAsia="Times New Roman" w:hAnsi="Times New Roman" w:cs="Times New Roman"/>
          <w:kern w:val="0"/>
          <w14:ligatures w14:val="none"/>
        </w:rPr>
      </w:pPr>
    </w:p>
    <w:p w14:paraId="638FFA1D" w14:textId="277CF8DF"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lastRenderedPageBreak/>
        <w:t>8. Conclusions</w:t>
      </w:r>
    </w:p>
    <w:p w14:paraId="257B0859"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Customer satisfaction in hospitality operations is multidimensional, dynamic, and strategically vital. Integration of operational excellence, employee engagement, digital innovation, and experiential design enhances competitive advantage.</w:t>
      </w:r>
    </w:p>
    <w:p w14:paraId="7BFC01B0"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Future research should examine AI-driven personalization and sustainability-performance linkages.</w:t>
      </w:r>
    </w:p>
    <w:p w14:paraId="76EBEC5E"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9. Recommendations</w:t>
      </w:r>
    </w:p>
    <w:p w14:paraId="53D7D75F"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Adopt integrated satisfaction measurement systems.</w:t>
      </w:r>
    </w:p>
    <w:p w14:paraId="1A6E2FDB"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Strengthen employee empowerment programs.</w:t>
      </w:r>
    </w:p>
    <w:p w14:paraId="102E9DF5"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Invest in digital transformation aligned with human service values.</w:t>
      </w:r>
    </w:p>
    <w:p w14:paraId="676E78B9"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Embed sustainability into service design.</w:t>
      </w:r>
    </w:p>
    <w:p w14:paraId="141A3E4E"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Develop predictive analytics for personalized experiences.</w:t>
      </w:r>
    </w:p>
    <w:p w14:paraId="4DD4FBCB" w14:textId="765D64F5" w:rsidR="006E2829" w:rsidRPr="006E2829" w:rsidRDefault="006E2829" w:rsidP="006E2829">
      <w:pPr>
        <w:spacing w:after="0" w:line="240" w:lineRule="auto"/>
        <w:rPr>
          <w:rFonts w:ascii="Times New Roman" w:eastAsia="Times New Roman" w:hAnsi="Times New Roman" w:cs="Times New Roman"/>
          <w:kern w:val="0"/>
          <w14:ligatures w14:val="none"/>
        </w:rPr>
      </w:pPr>
    </w:p>
    <w:p w14:paraId="7ECC8331"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E2829">
        <w:rPr>
          <w:rFonts w:ascii="Times New Roman" w:eastAsia="Times New Roman" w:hAnsi="Times New Roman" w:cs="Times New Roman"/>
          <w:b/>
          <w:bCs/>
          <w:kern w:val="36"/>
          <w:sz w:val="48"/>
          <w:szCs w:val="48"/>
          <w14:ligatures w14:val="none"/>
        </w:rPr>
        <w:t>References (APA 7th Edition)</w:t>
      </w:r>
    </w:p>
    <w:p w14:paraId="06D1F6F3"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Ali, F., Amin, M., &amp; Cobanoglu, C. (2021). An integrated model of service experience, emotions, satisfaction, and price acceptance. </w:t>
      </w:r>
      <w:r w:rsidRPr="006E2829">
        <w:rPr>
          <w:rFonts w:ascii="Times New Roman" w:eastAsia="Times New Roman" w:hAnsi="Times New Roman" w:cs="Times New Roman"/>
          <w:i/>
          <w:iCs/>
          <w:kern w:val="0"/>
          <w14:ligatures w14:val="none"/>
        </w:rPr>
        <w:t>Journal of Hospitality Marketing &amp; Management</w:t>
      </w:r>
      <w:r w:rsidRPr="006E2829">
        <w:rPr>
          <w:rFonts w:ascii="Times New Roman" w:eastAsia="Times New Roman" w:hAnsi="Times New Roman" w:cs="Times New Roman"/>
          <w:kern w:val="0"/>
          <w14:ligatures w14:val="none"/>
        </w:rPr>
        <w:t>, 30(4), 450–472.</w:t>
      </w:r>
    </w:p>
    <w:p w14:paraId="3FFB7D67"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E2829">
        <w:rPr>
          <w:rFonts w:ascii="Times New Roman" w:eastAsia="Times New Roman" w:hAnsi="Times New Roman" w:cs="Times New Roman"/>
          <w:kern w:val="0"/>
          <w14:ligatures w14:val="none"/>
        </w:rPr>
        <w:t>Buhalis</w:t>
      </w:r>
      <w:proofErr w:type="spellEnd"/>
      <w:r w:rsidRPr="006E2829">
        <w:rPr>
          <w:rFonts w:ascii="Times New Roman" w:eastAsia="Times New Roman" w:hAnsi="Times New Roman" w:cs="Times New Roman"/>
          <w:kern w:val="0"/>
          <w14:ligatures w14:val="none"/>
        </w:rPr>
        <w:t xml:space="preserve">, D., &amp; Leung, R. (2018). Smart hospitality. </w:t>
      </w:r>
      <w:r w:rsidRPr="006E2829">
        <w:rPr>
          <w:rFonts w:ascii="Times New Roman" w:eastAsia="Times New Roman" w:hAnsi="Times New Roman" w:cs="Times New Roman"/>
          <w:i/>
          <w:iCs/>
          <w:kern w:val="0"/>
          <w14:ligatures w14:val="none"/>
        </w:rPr>
        <w:t>International Journal of Contemporary Hospitality Management</w:t>
      </w:r>
      <w:r w:rsidRPr="006E2829">
        <w:rPr>
          <w:rFonts w:ascii="Times New Roman" w:eastAsia="Times New Roman" w:hAnsi="Times New Roman" w:cs="Times New Roman"/>
          <w:kern w:val="0"/>
          <w14:ligatures w14:val="none"/>
        </w:rPr>
        <w:t>, 30(1), 268–292.</w:t>
      </w:r>
    </w:p>
    <w:p w14:paraId="2E06A9F1"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Cronin, J. J., &amp; Taylor, S. A. (1992). Measuring service quality. </w:t>
      </w:r>
      <w:r w:rsidRPr="006E2829">
        <w:rPr>
          <w:rFonts w:ascii="Times New Roman" w:eastAsia="Times New Roman" w:hAnsi="Times New Roman" w:cs="Times New Roman"/>
          <w:i/>
          <w:iCs/>
          <w:kern w:val="0"/>
          <w14:ligatures w14:val="none"/>
        </w:rPr>
        <w:t>Journal of Marketing</w:t>
      </w:r>
      <w:r w:rsidRPr="006E2829">
        <w:rPr>
          <w:rFonts w:ascii="Times New Roman" w:eastAsia="Times New Roman" w:hAnsi="Times New Roman" w:cs="Times New Roman"/>
          <w:kern w:val="0"/>
          <w14:ligatures w14:val="none"/>
        </w:rPr>
        <w:t>, 56(3), 55–68.</w:t>
      </w:r>
    </w:p>
    <w:p w14:paraId="50B24E01"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Han, H., Yu, J., &amp; Kim, W. (2019). Environmental responsibility and customer satisfaction. </w:t>
      </w:r>
      <w:r w:rsidRPr="006E2829">
        <w:rPr>
          <w:rFonts w:ascii="Times New Roman" w:eastAsia="Times New Roman" w:hAnsi="Times New Roman" w:cs="Times New Roman"/>
          <w:i/>
          <w:iCs/>
          <w:kern w:val="0"/>
          <w14:ligatures w14:val="none"/>
        </w:rPr>
        <w:t>International Journal of Hospitality Management</w:t>
      </w:r>
      <w:r w:rsidRPr="006E2829">
        <w:rPr>
          <w:rFonts w:ascii="Times New Roman" w:eastAsia="Times New Roman" w:hAnsi="Times New Roman" w:cs="Times New Roman"/>
          <w:kern w:val="0"/>
          <w14:ligatures w14:val="none"/>
        </w:rPr>
        <w:t>, 76, 83–93.</w:t>
      </w:r>
    </w:p>
    <w:p w14:paraId="636752D4"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Heskett, J. L., Jones, T. O., Loveman, G. W., Sasser, </w:t>
      </w:r>
      <w:proofErr w:type="gramStart"/>
      <w:r w:rsidRPr="006E2829">
        <w:rPr>
          <w:rFonts w:ascii="Times New Roman" w:eastAsia="Times New Roman" w:hAnsi="Times New Roman" w:cs="Times New Roman"/>
          <w:kern w:val="0"/>
          <w14:ligatures w14:val="none"/>
        </w:rPr>
        <w:t>W. E</w:t>
      </w:r>
      <w:proofErr w:type="gramEnd"/>
      <w:r w:rsidRPr="006E2829">
        <w:rPr>
          <w:rFonts w:ascii="Times New Roman" w:eastAsia="Times New Roman" w:hAnsi="Times New Roman" w:cs="Times New Roman"/>
          <w:kern w:val="0"/>
          <w14:ligatures w14:val="none"/>
        </w:rPr>
        <w:t xml:space="preserve">., &amp; Schlesinger, L. A. (1994). Putting the service-profit chain to work. </w:t>
      </w:r>
      <w:r w:rsidRPr="006E2829">
        <w:rPr>
          <w:rFonts w:ascii="Times New Roman" w:eastAsia="Times New Roman" w:hAnsi="Times New Roman" w:cs="Times New Roman"/>
          <w:i/>
          <w:iCs/>
          <w:kern w:val="0"/>
          <w14:ligatures w14:val="none"/>
        </w:rPr>
        <w:t>Harvard Business Review</w:t>
      </w:r>
      <w:r w:rsidRPr="006E2829">
        <w:rPr>
          <w:rFonts w:ascii="Times New Roman" w:eastAsia="Times New Roman" w:hAnsi="Times New Roman" w:cs="Times New Roman"/>
          <w:kern w:val="0"/>
          <w14:ligatures w14:val="none"/>
        </w:rPr>
        <w:t>, 72(2), 164–174.</w:t>
      </w:r>
    </w:p>
    <w:p w14:paraId="0DE18063"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E2829">
        <w:rPr>
          <w:rFonts w:ascii="Times New Roman" w:eastAsia="Times New Roman" w:hAnsi="Times New Roman" w:cs="Times New Roman"/>
          <w:kern w:val="0"/>
          <w14:ligatures w14:val="none"/>
        </w:rPr>
        <w:t>Kandampully</w:t>
      </w:r>
      <w:proofErr w:type="spellEnd"/>
      <w:r w:rsidRPr="006E2829">
        <w:rPr>
          <w:rFonts w:ascii="Times New Roman" w:eastAsia="Times New Roman" w:hAnsi="Times New Roman" w:cs="Times New Roman"/>
          <w:kern w:val="0"/>
          <w14:ligatures w14:val="none"/>
        </w:rPr>
        <w:t xml:space="preserve">, J., Zhang, T., &amp; Jaakkola, E. (2018). Customer experience management. </w:t>
      </w:r>
      <w:r w:rsidRPr="006E2829">
        <w:rPr>
          <w:rFonts w:ascii="Times New Roman" w:eastAsia="Times New Roman" w:hAnsi="Times New Roman" w:cs="Times New Roman"/>
          <w:i/>
          <w:iCs/>
          <w:kern w:val="0"/>
          <w14:ligatures w14:val="none"/>
        </w:rPr>
        <w:t>Journal of Hospitality Marketing &amp; Management</w:t>
      </w:r>
      <w:r w:rsidRPr="006E2829">
        <w:rPr>
          <w:rFonts w:ascii="Times New Roman" w:eastAsia="Times New Roman" w:hAnsi="Times New Roman" w:cs="Times New Roman"/>
          <w:kern w:val="0"/>
          <w14:ligatures w14:val="none"/>
        </w:rPr>
        <w:t>, 27(1), 21–56.</w:t>
      </w:r>
    </w:p>
    <w:p w14:paraId="1F0702A0"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Kano, N., </w:t>
      </w:r>
      <w:proofErr w:type="spellStart"/>
      <w:r w:rsidRPr="006E2829">
        <w:rPr>
          <w:rFonts w:ascii="Times New Roman" w:eastAsia="Times New Roman" w:hAnsi="Times New Roman" w:cs="Times New Roman"/>
          <w:kern w:val="0"/>
          <w14:ligatures w14:val="none"/>
        </w:rPr>
        <w:t>Seraku</w:t>
      </w:r>
      <w:proofErr w:type="spellEnd"/>
      <w:r w:rsidRPr="006E2829">
        <w:rPr>
          <w:rFonts w:ascii="Times New Roman" w:eastAsia="Times New Roman" w:hAnsi="Times New Roman" w:cs="Times New Roman"/>
          <w:kern w:val="0"/>
          <w14:ligatures w14:val="none"/>
        </w:rPr>
        <w:t xml:space="preserve">, N., Takahashi, F., &amp; Tsuji, S. (1984). Attractive quality and must-be quality. </w:t>
      </w:r>
      <w:r w:rsidRPr="006E2829">
        <w:rPr>
          <w:rFonts w:ascii="Times New Roman" w:eastAsia="Times New Roman" w:hAnsi="Times New Roman" w:cs="Times New Roman"/>
          <w:i/>
          <w:iCs/>
          <w:kern w:val="0"/>
          <w14:ligatures w14:val="none"/>
        </w:rPr>
        <w:t>The Journal of the Japanese Society for Quality Control</w:t>
      </w:r>
      <w:r w:rsidRPr="006E2829">
        <w:rPr>
          <w:rFonts w:ascii="Times New Roman" w:eastAsia="Times New Roman" w:hAnsi="Times New Roman" w:cs="Times New Roman"/>
          <w:kern w:val="0"/>
          <w14:ligatures w14:val="none"/>
        </w:rPr>
        <w:t>, 14(2), 39–48.</w:t>
      </w:r>
    </w:p>
    <w:p w14:paraId="6AFC717D"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Kotler, P., Bowen, J. T., &amp; Makens, J. C. (2022). </w:t>
      </w:r>
      <w:r w:rsidRPr="006E2829">
        <w:rPr>
          <w:rFonts w:ascii="Times New Roman" w:eastAsia="Times New Roman" w:hAnsi="Times New Roman" w:cs="Times New Roman"/>
          <w:i/>
          <w:iCs/>
          <w:kern w:val="0"/>
          <w14:ligatures w14:val="none"/>
        </w:rPr>
        <w:t>Marketing for hospitality and tourism</w:t>
      </w:r>
      <w:r w:rsidRPr="006E2829">
        <w:rPr>
          <w:rFonts w:ascii="Times New Roman" w:eastAsia="Times New Roman" w:hAnsi="Times New Roman" w:cs="Times New Roman"/>
          <w:kern w:val="0"/>
          <w14:ligatures w14:val="none"/>
        </w:rPr>
        <w:t xml:space="preserve"> (8th ed.). Pearson.</w:t>
      </w:r>
    </w:p>
    <w:p w14:paraId="719ABF8B"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 xml:space="preserve">Lovelock, C., &amp; Wirtz, J. (2022). </w:t>
      </w:r>
      <w:r w:rsidRPr="006E2829">
        <w:rPr>
          <w:rFonts w:ascii="Times New Roman" w:eastAsia="Times New Roman" w:hAnsi="Times New Roman" w:cs="Times New Roman"/>
          <w:i/>
          <w:iCs/>
          <w:kern w:val="0"/>
          <w14:ligatures w14:val="none"/>
        </w:rPr>
        <w:t>Services marketing</w:t>
      </w:r>
      <w:r w:rsidRPr="006E2829">
        <w:rPr>
          <w:rFonts w:ascii="Times New Roman" w:eastAsia="Times New Roman" w:hAnsi="Times New Roman" w:cs="Times New Roman"/>
          <w:kern w:val="0"/>
          <w14:ligatures w14:val="none"/>
        </w:rPr>
        <w:t xml:space="preserve"> (9th ed.). Pearson.</w:t>
      </w:r>
    </w:p>
    <w:p w14:paraId="58B33081"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Marković, S., &amp; </w:t>
      </w:r>
      <w:proofErr w:type="spellStart"/>
      <w:r w:rsidRPr="006E2829">
        <w:rPr>
          <w:rFonts w:ascii="Times New Roman" w:eastAsia="Times New Roman" w:hAnsi="Times New Roman" w:cs="Times New Roman"/>
          <w:kern w:val="0"/>
          <w14:ligatures w14:val="none"/>
        </w:rPr>
        <w:t>Raspor</w:t>
      </w:r>
      <w:proofErr w:type="spellEnd"/>
      <w:r w:rsidRPr="006E2829">
        <w:rPr>
          <w:rFonts w:ascii="Times New Roman" w:eastAsia="Times New Roman" w:hAnsi="Times New Roman" w:cs="Times New Roman"/>
          <w:kern w:val="0"/>
          <w14:ligatures w14:val="none"/>
        </w:rPr>
        <w:t xml:space="preserve">, S. (2010). Measuring perceived service quality using SERVQUAL. </w:t>
      </w:r>
      <w:r w:rsidRPr="006E2829">
        <w:rPr>
          <w:rFonts w:ascii="Times New Roman" w:eastAsia="Times New Roman" w:hAnsi="Times New Roman" w:cs="Times New Roman"/>
          <w:i/>
          <w:iCs/>
          <w:kern w:val="0"/>
          <w14:ligatures w14:val="none"/>
        </w:rPr>
        <w:t>Tourism and Hospitality Management</w:t>
      </w:r>
      <w:r w:rsidRPr="006E2829">
        <w:rPr>
          <w:rFonts w:ascii="Times New Roman" w:eastAsia="Times New Roman" w:hAnsi="Times New Roman" w:cs="Times New Roman"/>
          <w:kern w:val="0"/>
          <w14:ligatures w14:val="none"/>
        </w:rPr>
        <w:t>, 16(2), 181–195.</w:t>
      </w:r>
    </w:p>
    <w:p w14:paraId="6D58AC30"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Moher, D., Liberati, A., Tetzlaff, J., &amp; Altman, D. G. (2009). Preferred reporting items for systematic reviews. </w:t>
      </w:r>
      <w:proofErr w:type="spellStart"/>
      <w:r w:rsidRPr="006E2829">
        <w:rPr>
          <w:rFonts w:ascii="Times New Roman" w:eastAsia="Times New Roman" w:hAnsi="Times New Roman" w:cs="Times New Roman"/>
          <w:i/>
          <w:iCs/>
          <w:kern w:val="0"/>
          <w14:ligatures w14:val="none"/>
        </w:rPr>
        <w:t>PLoS</w:t>
      </w:r>
      <w:proofErr w:type="spellEnd"/>
      <w:r w:rsidRPr="006E2829">
        <w:rPr>
          <w:rFonts w:ascii="Times New Roman" w:eastAsia="Times New Roman" w:hAnsi="Times New Roman" w:cs="Times New Roman"/>
          <w:i/>
          <w:iCs/>
          <w:kern w:val="0"/>
          <w14:ligatures w14:val="none"/>
        </w:rPr>
        <w:t xml:space="preserve"> Medicine</w:t>
      </w:r>
      <w:r w:rsidRPr="006E2829">
        <w:rPr>
          <w:rFonts w:ascii="Times New Roman" w:eastAsia="Times New Roman" w:hAnsi="Times New Roman" w:cs="Times New Roman"/>
          <w:kern w:val="0"/>
          <w14:ligatures w14:val="none"/>
        </w:rPr>
        <w:t>, 6(7), e1000097.</w:t>
      </w:r>
    </w:p>
    <w:p w14:paraId="7DD299C8"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Morgan, R. M., &amp; Hunt, S. D. (1994). The commitment-trust theory of relationship marketing. </w:t>
      </w:r>
      <w:r w:rsidRPr="006E2829">
        <w:rPr>
          <w:rFonts w:ascii="Times New Roman" w:eastAsia="Times New Roman" w:hAnsi="Times New Roman" w:cs="Times New Roman"/>
          <w:i/>
          <w:iCs/>
          <w:kern w:val="0"/>
          <w14:ligatures w14:val="none"/>
        </w:rPr>
        <w:t>Journal of Marketing</w:t>
      </w:r>
      <w:r w:rsidRPr="006E2829">
        <w:rPr>
          <w:rFonts w:ascii="Times New Roman" w:eastAsia="Times New Roman" w:hAnsi="Times New Roman" w:cs="Times New Roman"/>
          <w:kern w:val="0"/>
          <w14:ligatures w14:val="none"/>
        </w:rPr>
        <w:t>, 58(3), 20–38.</w:t>
      </w:r>
    </w:p>
    <w:p w14:paraId="136280AD"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Oliver, R. L. (1980). A cognitive model of satisfaction decisions. </w:t>
      </w:r>
      <w:r w:rsidRPr="006E2829">
        <w:rPr>
          <w:rFonts w:ascii="Times New Roman" w:eastAsia="Times New Roman" w:hAnsi="Times New Roman" w:cs="Times New Roman"/>
          <w:i/>
          <w:iCs/>
          <w:kern w:val="0"/>
          <w14:ligatures w14:val="none"/>
        </w:rPr>
        <w:t>Journal of Marketing Research</w:t>
      </w:r>
      <w:r w:rsidRPr="006E2829">
        <w:rPr>
          <w:rFonts w:ascii="Times New Roman" w:eastAsia="Times New Roman" w:hAnsi="Times New Roman" w:cs="Times New Roman"/>
          <w:kern w:val="0"/>
          <w14:ligatures w14:val="none"/>
        </w:rPr>
        <w:t>, 17(4), 460–469.</w:t>
      </w:r>
    </w:p>
    <w:p w14:paraId="44EF196E"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Parasuraman, A., Zeithaml, V. A., &amp; Berry, L. L. (1988). SERVQUAL. </w:t>
      </w:r>
      <w:r w:rsidRPr="006E2829">
        <w:rPr>
          <w:rFonts w:ascii="Times New Roman" w:eastAsia="Times New Roman" w:hAnsi="Times New Roman" w:cs="Times New Roman"/>
          <w:i/>
          <w:iCs/>
          <w:kern w:val="0"/>
          <w14:ligatures w14:val="none"/>
        </w:rPr>
        <w:t>Journal of Retailing</w:t>
      </w:r>
      <w:r w:rsidRPr="006E2829">
        <w:rPr>
          <w:rFonts w:ascii="Times New Roman" w:eastAsia="Times New Roman" w:hAnsi="Times New Roman" w:cs="Times New Roman"/>
          <w:kern w:val="0"/>
          <w14:ligatures w14:val="none"/>
        </w:rPr>
        <w:t>, 64(1), 12–40.</w:t>
      </w:r>
    </w:p>
    <w:p w14:paraId="23AF6DB9"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Ryu, K., &amp; Han, H. (2010). Influence of physical environment on satisfaction. </w:t>
      </w:r>
      <w:r w:rsidRPr="006E2829">
        <w:rPr>
          <w:rFonts w:ascii="Times New Roman" w:eastAsia="Times New Roman" w:hAnsi="Times New Roman" w:cs="Times New Roman"/>
          <w:i/>
          <w:iCs/>
          <w:kern w:val="0"/>
          <w14:ligatures w14:val="none"/>
        </w:rPr>
        <w:t>International Journal of Hospitality Management</w:t>
      </w:r>
      <w:r w:rsidRPr="006E2829">
        <w:rPr>
          <w:rFonts w:ascii="Times New Roman" w:eastAsia="Times New Roman" w:hAnsi="Times New Roman" w:cs="Times New Roman"/>
          <w:kern w:val="0"/>
          <w14:ligatures w14:val="none"/>
        </w:rPr>
        <w:t>, 29(2), 310–320.</w:t>
      </w:r>
    </w:p>
    <w:p w14:paraId="1C11271A"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Smith, A. K., Bolton, R. N., &amp; Wagner, J. (1999). A model of customer satisfaction with service encounters. </w:t>
      </w:r>
      <w:r w:rsidRPr="006E2829">
        <w:rPr>
          <w:rFonts w:ascii="Times New Roman" w:eastAsia="Times New Roman" w:hAnsi="Times New Roman" w:cs="Times New Roman"/>
          <w:i/>
          <w:iCs/>
          <w:kern w:val="0"/>
          <w14:ligatures w14:val="none"/>
        </w:rPr>
        <w:t>Journal of Marketing Research</w:t>
      </w:r>
      <w:r w:rsidRPr="006E2829">
        <w:rPr>
          <w:rFonts w:ascii="Times New Roman" w:eastAsia="Times New Roman" w:hAnsi="Times New Roman" w:cs="Times New Roman"/>
          <w:kern w:val="0"/>
          <w14:ligatures w14:val="none"/>
        </w:rPr>
        <w:t>, 36(3), 356–372.</w:t>
      </w:r>
    </w:p>
    <w:p w14:paraId="5915E291"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Vargo, S. L., &amp; Lusch, R. F. (2008). Service-dominant logic. </w:t>
      </w:r>
      <w:r w:rsidRPr="006E2829">
        <w:rPr>
          <w:rFonts w:ascii="Times New Roman" w:eastAsia="Times New Roman" w:hAnsi="Times New Roman" w:cs="Times New Roman"/>
          <w:i/>
          <w:iCs/>
          <w:kern w:val="0"/>
          <w14:ligatures w14:val="none"/>
        </w:rPr>
        <w:t>Journal of the Academy of Marketing Science</w:t>
      </w:r>
      <w:r w:rsidRPr="006E2829">
        <w:rPr>
          <w:rFonts w:ascii="Times New Roman" w:eastAsia="Times New Roman" w:hAnsi="Times New Roman" w:cs="Times New Roman"/>
          <w:kern w:val="0"/>
          <w14:ligatures w14:val="none"/>
        </w:rPr>
        <w:t>, 36(1), 1–10.</w:t>
      </w:r>
    </w:p>
    <w:p w14:paraId="37A1B183"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Xiang, Z., Du, Q., Ma, Y., &amp; Fan, W. (2017). A comparative analysis of major online review platforms. </w:t>
      </w:r>
      <w:r w:rsidRPr="006E2829">
        <w:rPr>
          <w:rFonts w:ascii="Times New Roman" w:eastAsia="Times New Roman" w:hAnsi="Times New Roman" w:cs="Times New Roman"/>
          <w:i/>
          <w:iCs/>
          <w:kern w:val="0"/>
          <w14:ligatures w14:val="none"/>
        </w:rPr>
        <w:t>Tourism Management</w:t>
      </w:r>
      <w:r w:rsidRPr="006E2829">
        <w:rPr>
          <w:rFonts w:ascii="Times New Roman" w:eastAsia="Times New Roman" w:hAnsi="Times New Roman" w:cs="Times New Roman"/>
          <w:kern w:val="0"/>
          <w14:ligatures w14:val="none"/>
        </w:rPr>
        <w:t>, 58, 51–65.</w:t>
      </w:r>
    </w:p>
    <w:p w14:paraId="685F360E" w14:textId="77777777" w:rsidR="006E2829" w:rsidRDefault="006E2829"/>
    <w:sectPr w:rsidR="006E2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78"/>
    <w:multiLevelType w:val="multilevel"/>
    <w:tmpl w:val="C4BCFB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649A7"/>
    <w:multiLevelType w:val="multilevel"/>
    <w:tmpl w:val="9150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F39AB"/>
    <w:multiLevelType w:val="multilevel"/>
    <w:tmpl w:val="0A2C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C7746"/>
    <w:multiLevelType w:val="multilevel"/>
    <w:tmpl w:val="D0C22C6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70E84"/>
    <w:multiLevelType w:val="multilevel"/>
    <w:tmpl w:val="301C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861AA"/>
    <w:multiLevelType w:val="multilevel"/>
    <w:tmpl w:val="E47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87F23"/>
    <w:multiLevelType w:val="multilevel"/>
    <w:tmpl w:val="549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A447E"/>
    <w:multiLevelType w:val="multilevel"/>
    <w:tmpl w:val="9E8C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80E70"/>
    <w:multiLevelType w:val="multilevel"/>
    <w:tmpl w:val="FCB4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E2FAF"/>
    <w:multiLevelType w:val="multilevel"/>
    <w:tmpl w:val="202824A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235852">
    <w:abstractNumId w:val="0"/>
  </w:num>
  <w:num w:numId="2" w16cid:durableId="1628050349">
    <w:abstractNumId w:val="7"/>
  </w:num>
  <w:num w:numId="3" w16cid:durableId="698702889">
    <w:abstractNumId w:val="8"/>
  </w:num>
  <w:num w:numId="4" w16cid:durableId="1986007369">
    <w:abstractNumId w:val="5"/>
  </w:num>
  <w:num w:numId="5" w16cid:durableId="1882860091">
    <w:abstractNumId w:val="3"/>
  </w:num>
  <w:num w:numId="6" w16cid:durableId="1481001185">
    <w:abstractNumId w:val="4"/>
  </w:num>
  <w:num w:numId="7" w16cid:durableId="838302483">
    <w:abstractNumId w:val="2"/>
  </w:num>
  <w:num w:numId="8" w16cid:durableId="817527453">
    <w:abstractNumId w:val="6"/>
  </w:num>
  <w:num w:numId="9" w16cid:durableId="2010785703">
    <w:abstractNumId w:val="1"/>
  </w:num>
  <w:num w:numId="10" w16cid:durableId="807628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29"/>
    <w:rsid w:val="005B4454"/>
    <w:rsid w:val="006E2829"/>
    <w:rsid w:val="009223C9"/>
    <w:rsid w:val="00C1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3922"/>
  <w15:chartTrackingRefBased/>
  <w15:docId w15:val="{35575ABF-21D2-49B8-853C-B1CE56A9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29"/>
    <w:rPr>
      <w:rFonts w:eastAsiaTheme="majorEastAsia" w:cstheme="majorBidi"/>
      <w:color w:val="272727" w:themeColor="text1" w:themeTint="D8"/>
    </w:rPr>
  </w:style>
  <w:style w:type="paragraph" w:styleId="Title">
    <w:name w:val="Title"/>
    <w:basedOn w:val="Normal"/>
    <w:next w:val="Normal"/>
    <w:link w:val="TitleChar"/>
    <w:uiPriority w:val="10"/>
    <w:qFormat/>
    <w:rsid w:val="006E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29"/>
    <w:pPr>
      <w:spacing w:before="160"/>
      <w:jc w:val="center"/>
    </w:pPr>
    <w:rPr>
      <w:i/>
      <w:iCs/>
      <w:color w:val="404040" w:themeColor="text1" w:themeTint="BF"/>
    </w:rPr>
  </w:style>
  <w:style w:type="character" w:customStyle="1" w:styleId="QuoteChar">
    <w:name w:val="Quote Char"/>
    <w:basedOn w:val="DefaultParagraphFont"/>
    <w:link w:val="Quote"/>
    <w:uiPriority w:val="29"/>
    <w:rsid w:val="006E2829"/>
    <w:rPr>
      <w:i/>
      <w:iCs/>
      <w:color w:val="404040" w:themeColor="text1" w:themeTint="BF"/>
    </w:rPr>
  </w:style>
  <w:style w:type="paragraph" w:styleId="ListParagraph">
    <w:name w:val="List Paragraph"/>
    <w:basedOn w:val="Normal"/>
    <w:uiPriority w:val="34"/>
    <w:qFormat/>
    <w:rsid w:val="006E2829"/>
    <w:pPr>
      <w:ind w:left="720"/>
      <w:contextualSpacing/>
    </w:pPr>
  </w:style>
  <w:style w:type="character" w:styleId="IntenseEmphasis">
    <w:name w:val="Intense Emphasis"/>
    <w:basedOn w:val="DefaultParagraphFont"/>
    <w:uiPriority w:val="21"/>
    <w:qFormat/>
    <w:rsid w:val="006E2829"/>
    <w:rPr>
      <w:i/>
      <w:iCs/>
      <w:color w:val="0F4761" w:themeColor="accent1" w:themeShade="BF"/>
    </w:rPr>
  </w:style>
  <w:style w:type="paragraph" w:styleId="IntenseQuote">
    <w:name w:val="Intense Quote"/>
    <w:basedOn w:val="Normal"/>
    <w:next w:val="Normal"/>
    <w:link w:val="IntenseQuoteChar"/>
    <w:uiPriority w:val="30"/>
    <w:qFormat/>
    <w:rsid w:val="006E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829"/>
    <w:rPr>
      <w:i/>
      <w:iCs/>
      <w:color w:val="0F4761" w:themeColor="accent1" w:themeShade="BF"/>
    </w:rPr>
  </w:style>
  <w:style w:type="character" w:styleId="IntenseReference">
    <w:name w:val="Intense Reference"/>
    <w:basedOn w:val="DefaultParagraphFont"/>
    <w:uiPriority w:val="32"/>
    <w:qFormat/>
    <w:rsid w:val="006E2829"/>
    <w:rPr>
      <w:b/>
      <w:bCs/>
      <w:smallCaps/>
      <w:color w:val="0F4761" w:themeColor="accent1" w:themeShade="BF"/>
      <w:spacing w:val="5"/>
    </w:rPr>
  </w:style>
  <w:style w:type="paragraph" w:styleId="NormalWeb">
    <w:name w:val="Normal (Web)"/>
    <w:basedOn w:val="Normal"/>
    <w:uiPriority w:val="99"/>
    <w:semiHidden/>
    <w:unhideWhenUsed/>
    <w:rsid w:val="00C126E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2128</Words>
  <Characters>10387</Characters>
  <Application>Microsoft Office Word</Application>
  <DocSecurity>0</DocSecurity>
  <Lines>2596</Lines>
  <Paragraphs>1137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Gifty  Koomson Ahwireng</cp:lastModifiedBy>
  <cp:revision>1</cp:revision>
  <dcterms:created xsi:type="dcterms:W3CDTF">2026-03-04T12:47:00Z</dcterms:created>
  <dcterms:modified xsi:type="dcterms:W3CDTF">2026-03-04T13:23:00Z</dcterms:modified>
</cp:coreProperties>
</file>