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84EDF"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r>
        <w:rPr>
          <w:rFonts w:ascii="Arial" w:eastAsia="Arial" w:hAnsi="Arial" w:cs="Arial"/>
          <w:b/>
          <w:bCs/>
          <w:sz w:val="24"/>
          <w:szCs w:val="24"/>
        </w:rPr>
        <w:t xml:space="preserve">Assessing </w:t>
      </w:r>
      <w:r w:rsidRPr="00D94512">
        <w:rPr>
          <w:rFonts w:ascii="Arial" w:eastAsia="Arial" w:hAnsi="Arial" w:cs="Arial"/>
          <w:b/>
          <w:bCs/>
          <w:sz w:val="24"/>
          <w:szCs w:val="24"/>
        </w:rPr>
        <w:t>Environmental Awareness</w:t>
      </w:r>
      <w:r>
        <w:rPr>
          <w:rFonts w:ascii="Arial" w:eastAsia="Arial" w:hAnsi="Arial" w:cs="Arial"/>
          <w:b/>
          <w:bCs/>
          <w:sz w:val="24"/>
          <w:szCs w:val="24"/>
        </w:rPr>
        <w:t xml:space="preserve"> of Learners Near Dumpsite Area</w:t>
      </w:r>
      <w:r w:rsidRPr="00D94512">
        <w:rPr>
          <w:rFonts w:ascii="Arial" w:eastAsia="Arial" w:hAnsi="Arial" w:cs="Arial"/>
          <w:b/>
          <w:bCs/>
          <w:sz w:val="24"/>
          <w:szCs w:val="24"/>
        </w:rPr>
        <w:t xml:space="preserve">: Foundations for Dewey-inspired Instructional Toolkit </w:t>
      </w:r>
    </w:p>
    <w:p w14:paraId="32A6BBE5"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418315D6"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5CE97DD2"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048CBB48"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25F97267"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0CAC29BA"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6F06FBF6"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79FCFA5C"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791D8E22"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7DE2B226"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7CD9491F"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36D72B10"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779BE7F1"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331DEE4E"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1E4BF397"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62CCA5BF"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5FFF6B93"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64CEC26A"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43C987C8"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256ADAE0"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42534262"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0F2682D8"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73AB6D5D"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128F780F"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24FD80E3"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p>
    <w:p w14:paraId="2C46491A" w14:textId="77777777" w:rsidR="00C81F9F" w:rsidRPr="00D94512" w:rsidRDefault="00C81F9F" w:rsidP="008F26AB">
      <w:pPr>
        <w:tabs>
          <w:tab w:val="left" w:pos="1200"/>
        </w:tabs>
        <w:spacing w:after="0" w:line="360" w:lineRule="auto"/>
        <w:rPr>
          <w:rFonts w:ascii="Arial" w:eastAsia="Arial" w:hAnsi="Arial" w:cs="Arial"/>
          <w:b/>
          <w:bCs/>
          <w:sz w:val="24"/>
          <w:szCs w:val="24"/>
        </w:rPr>
      </w:pPr>
    </w:p>
    <w:p w14:paraId="0F5B8757"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4563BE6A" w14:textId="77777777" w:rsidR="00C81F9F" w:rsidRDefault="00C81F9F" w:rsidP="008F26AB">
      <w:pPr>
        <w:tabs>
          <w:tab w:val="left" w:pos="1200"/>
        </w:tabs>
        <w:spacing w:after="0" w:line="360" w:lineRule="auto"/>
        <w:ind w:left="1200"/>
        <w:jc w:val="center"/>
        <w:rPr>
          <w:rFonts w:ascii="Arial" w:eastAsia="Arial" w:hAnsi="Arial" w:cs="Arial"/>
          <w:b/>
          <w:bCs/>
          <w:sz w:val="24"/>
          <w:szCs w:val="24"/>
        </w:rPr>
      </w:pPr>
      <w:r w:rsidRPr="00D94512">
        <w:rPr>
          <w:rFonts w:ascii="Arial" w:eastAsia="Arial" w:hAnsi="Arial" w:cs="Arial"/>
          <w:b/>
          <w:bCs/>
          <w:sz w:val="24"/>
          <w:szCs w:val="24"/>
        </w:rPr>
        <w:t xml:space="preserve">By </w:t>
      </w:r>
    </w:p>
    <w:p w14:paraId="6B053871"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p>
    <w:p w14:paraId="0BD52DFA" w14:textId="6B1B3087" w:rsidR="00C81F9F" w:rsidRDefault="00C81F9F" w:rsidP="008F26AB">
      <w:pPr>
        <w:tabs>
          <w:tab w:val="left" w:pos="1200"/>
        </w:tabs>
        <w:spacing w:after="0" w:line="360" w:lineRule="auto"/>
        <w:ind w:left="1200"/>
        <w:jc w:val="center"/>
        <w:rPr>
          <w:rFonts w:ascii="Arial" w:eastAsia="Arial" w:hAnsi="Arial" w:cs="Arial"/>
          <w:b/>
          <w:bCs/>
          <w:sz w:val="24"/>
          <w:szCs w:val="24"/>
        </w:rPr>
      </w:pPr>
      <w:r w:rsidRPr="00D94512">
        <w:rPr>
          <w:rFonts w:ascii="Arial" w:eastAsia="Arial" w:hAnsi="Arial" w:cs="Arial"/>
          <w:b/>
          <w:bCs/>
          <w:sz w:val="24"/>
          <w:szCs w:val="24"/>
        </w:rPr>
        <w:t xml:space="preserve">Jorellaine J. Gamos-Sun </w:t>
      </w:r>
    </w:p>
    <w:p w14:paraId="0D219871" w14:textId="77777777" w:rsidR="008F26AB" w:rsidRPr="00D94512" w:rsidRDefault="008F26AB" w:rsidP="008F26AB">
      <w:pPr>
        <w:tabs>
          <w:tab w:val="left" w:pos="1200"/>
        </w:tabs>
        <w:spacing w:after="0" w:line="360" w:lineRule="auto"/>
        <w:ind w:left="1200"/>
        <w:jc w:val="center"/>
        <w:rPr>
          <w:rFonts w:ascii="Arial" w:eastAsia="Arial" w:hAnsi="Arial" w:cs="Arial"/>
          <w:b/>
          <w:bCs/>
          <w:sz w:val="24"/>
          <w:szCs w:val="24"/>
        </w:rPr>
      </w:pPr>
    </w:p>
    <w:p w14:paraId="0C5179C9" w14:textId="77777777" w:rsidR="00C81F9F" w:rsidRPr="00D94512" w:rsidRDefault="00C81F9F" w:rsidP="008F26AB">
      <w:pPr>
        <w:spacing w:after="0" w:line="360" w:lineRule="auto"/>
        <w:jc w:val="center"/>
        <w:rPr>
          <w:rFonts w:ascii="Arial" w:eastAsia="Arial" w:hAnsi="Arial" w:cs="Arial"/>
          <w:b/>
          <w:bCs/>
          <w:sz w:val="24"/>
          <w:szCs w:val="24"/>
        </w:rPr>
      </w:pPr>
      <w:r w:rsidRPr="00D94512">
        <w:rPr>
          <w:rFonts w:ascii="Arial" w:eastAsia="Arial" w:hAnsi="Arial" w:cs="Arial"/>
          <w:b/>
          <w:bCs/>
          <w:sz w:val="24"/>
          <w:szCs w:val="24"/>
        </w:rPr>
        <w:lastRenderedPageBreak/>
        <w:t xml:space="preserve">Abstract </w:t>
      </w:r>
    </w:p>
    <w:p w14:paraId="2CB9BCB5" w14:textId="77777777" w:rsidR="00C81F9F" w:rsidRPr="00D94512" w:rsidRDefault="00C81F9F" w:rsidP="008F26AB">
      <w:pPr>
        <w:spacing w:line="360" w:lineRule="auto"/>
        <w:jc w:val="both"/>
        <w:rPr>
          <w:rFonts w:ascii="Arial" w:eastAsia="Arial" w:hAnsi="Arial" w:cs="Arial"/>
          <w:sz w:val="24"/>
          <w:szCs w:val="24"/>
        </w:rPr>
      </w:pPr>
    </w:p>
    <w:p w14:paraId="6C89376E" w14:textId="77777777" w:rsidR="00C81F9F" w:rsidRPr="00D94512" w:rsidRDefault="00C81F9F" w:rsidP="008F26AB">
      <w:pPr>
        <w:spacing w:line="240" w:lineRule="auto"/>
        <w:ind w:firstLine="720"/>
        <w:jc w:val="both"/>
        <w:rPr>
          <w:rFonts w:ascii="Arial" w:eastAsia="Arial" w:hAnsi="Arial" w:cs="Arial"/>
          <w:sz w:val="24"/>
          <w:szCs w:val="24"/>
        </w:rPr>
      </w:pPr>
      <w:r w:rsidRPr="00D94512">
        <w:rPr>
          <w:rFonts w:ascii="Arial" w:eastAsia="Arial" w:hAnsi="Arial" w:cs="Arial"/>
          <w:sz w:val="24"/>
          <w:szCs w:val="24"/>
        </w:rPr>
        <w:t xml:space="preserve">Environmental Education is not new to the Philippine educational system, however, environmental education has many problems such as, no stand alone subject, teacher lack of training, and most especially the gap between awareness and practice. Studies have shown that environmental education in the Philippines produces learners that are environmentally aware but lack environmental practice. Thus, this study assesses the current environmental awareness of learners in Sultan Mamarinta Panandigan Integrated School and Cabili village Elementary School which serves as the basis of  developing an instructional toolkit. Guided by John Dewey's philosophy of experiential learning and Arne Naess's deep ecology, the study uses participatory activities like picture base survey and interview, storytelling, drawing, and nature walks and observation. These approaches allow children to express their ideas and feelings about nature in ways that are engaging. The findings showed that the current environmental awareness of learners from Sultan Mamarinta Panandigan Integrated School and Cabili village Elementary School are at the surface-level; they can identify basic environmental concepts but cannot articulate a deeper understanding on the environment's concept, relationship, problems and action. Thus, the instructional toolkit developed from this study makes sure that this gap is addressed. The develop toolkit makes sure that learners learn from their experience and own inquiry. The instructional toolkit is equipped with activities that are not just engaging but has guided reflection to cultivate critical thinking which will lead learners to act based on their knowledge. Furthermore, the study with the help of the Dewey-inspired instructional toolkit seeks to assist teachers, parents, school and community in raising a generation of environmentally aware young people, whose awareness is far beyond surface level and is empowered to make a difference by taking action. </w:t>
      </w:r>
    </w:p>
    <w:p w14:paraId="67206255" w14:textId="77777777" w:rsidR="00C81F9F" w:rsidRPr="00D94512" w:rsidRDefault="00C81F9F" w:rsidP="008F26AB">
      <w:pPr>
        <w:spacing w:before="240" w:after="240" w:line="360" w:lineRule="auto"/>
        <w:jc w:val="both"/>
        <w:rPr>
          <w:rFonts w:ascii="Arial" w:eastAsia="Times New Roman" w:hAnsi="Arial" w:cs="Arial"/>
          <w:b/>
          <w:bCs/>
          <w:sz w:val="24"/>
          <w:szCs w:val="24"/>
        </w:rPr>
      </w:pPr>
    </w:p>
    <w:p w14:paraId="3FEDB0F1" w14:textId="7C0F1022" w:rsidR="00C81F9F" w:rsidRPr="00C81F9F" w:rsidRDefault="00C81F9F" w:rsidP="008F26AB">
      <w:pPr>
        <w:spacing w:before="240" w:after="240" w:line="360" w:lineRule="auto"/>
        <w:jc w:val="both"/>
        <w:rPr>
          <w:rFonts w:ascii="Arial" w:eastAsia="Times New Roman" w:hAnsi="Arial" w:cs="Arial"/>
          <w:i/>
          <w:iCs/>
          <w:sz w:val="24"/>
          <w:szCs w:val="24"/>
          <w:highlight w:val="white"/>
        </w:rPr>
        <w:sectPr w:rsidR="00C81F9F" w:rsidRPr="00C81F9F" w:rsidSect="00D94512">
          <w:headerReference w:type="default" r:id="rId9"/>
          <w:pgSz w:w="11906" w:h="16838"/>
          <w:pgMar w:top="1440" w:right="1440" w:bottom="1440" w:left="2160" w:header="0" w:footer="994" w:gutter="0"/>
          <w:pgNumType w:start="0"/>
          <w:cols w:space="720"/>
          <w:titlePg/>
        </w:sectPr>
      </w:pPr>
      <w:r w:rsidRPr="00D94512">
        <w:rPr>
          <w:rFonts w:ascii="Arial" w:eastAsia="Times New Roman" w:hAnsi="Arial" w:cs="Arial"/>
          <w:b/>
          <w:bCs/>
          <w:i/>
          <w:iCs/>
          <w:sz w:val="24"/>
          <w:szCs w:val="24"/>
        </w:rPr>
        <w:t xml:space="preserve">Keywords: </w:t>
      </w:r>
      <w:r w:rsidRPr="00D94512">
        <w:rPr>
          <w:rFonts w:ascii="Arial" w:eastAsia="Times New Roman" w:hAnsi="Arial" w:cs="Arial"/>
          <w:i/>
          <w:iCs/>
          <w:sz w:val="24"/>
          <w:szCs w:val="24"/>
        </w:rPr>
        <w:t>Environmental Education, Experiential Learning, Inquiry-based Learning, Environmental Aw</w:t>
      </w:r>
      <w:r w:rsidR="008F26AB">
        <w:rPr>
          <w:rFonts w:ascii="Arial" w:eastAsia="Times New Roman" w:hAnsi="Arial" w:cs="Arial"/>
          <w:i/>
          <w:iCs/>
          <w:sz w:val="24"/>
          <w:szCs w:val="24"/>
        </w:rPr>
        <w:t>areness, Instructional Toolki</w:t>
      </w:r>
    </w:p>
    <w:p w14:paraId="7A09C07C" w14:textId="6A84156D" w:rsidR="00BF019E" w:rsidRPr="00C81F9F" w:rsidRDefault="00CB26E4" w:rsidP="008F26AB">
      <w:pPr>
        <w:spacing w:line="360" w:lineRule="auto"/>
        <w:jc w:val="center"/>
        <w:rPr>
          <w:rFonts w:ascii="Arial" w:hAnsi="Arial" w:cs="Arial"/>
          <w:b/>
          <w:sz w:val="24"/>
        </w:rPr>
      </w:pPr>
      <w:r w:rsidRPr="00C81F9F">
        <w:rPr>
          <w:rFonts w:ascii="Arial" w:hAnsi="Arial" w:cs="Arial"/>
          <w:b/>
          <w:sz w:val="24"/>
        </w:rPr>
        <w:lastRenderedPageBreak/>
        <w:t>Chapter 1</w:t>
      </w:r>
    </w:p>
    <w:p w14:paraId="70075996" w14:textId="16020880" w:rsidR="00730471" w:rsidRDefault="00CB26E4" w:rsidP="008F26AB">
      <w:pPr>
        <w:spacing w:line="360" w:lineRule="auto"/>
        <w:jc w:val="center"/>
        <w:rPr>
          <w:rFonts w:ascii="Arial" w:hAnsi="Arial" w:cs="Arial"/>
          <w:b/>
          <w:bCs/>
          <w:sz w:val="24"/>
          <w:szCs w:val="24"/>
        </w:rPr>
      </w:pPr>
      <w:r w:rsidRPr="00730471">
        <w:rPr>
          <w:rFonts w:ascii="Arial" w:hAnsi="Arial" w:cs="Arial"/>
          <w:b/>
          <w:bCs/>
          <w:sz w:val="24"/>
          <w:szCs w:val="24"/>
        </w:rPr>
        <w:t>Introduction</w:t>
      </w:r>
    </w:p>
    <w:p w14:paraId="722B9C4A" w14:textId="77777777" w:rsidR="00730471" w:rsidRPr="00730471" w:rsidRDefault="00730471" w:rsidP="008F26AB">
      <w:pPr>
        <w:spacing w:line="360" w:lineRule="auto"/>
        <w:jc w:val="center"/>
        <w:rPr>
          <w:rFonts w:ascii="Arial" w:hAnsi="Arial" w:cs="Arial"/>
          <w:b/>
          <w:bCs/>
          <w:sz w:val="24"/>
          <w:szCs w:val="24"/>
        </w:rPr>
      </w:pPr>
    </w:p>
    <w:p w14:paraId="71D4AA8E" w14:textId="3275E60D" w:rsidR="001F428D" w:rsidRPr="00730471" w:rsidRDefault="001F428D" w:rsidP="008F26AB">
      <w:pPr>
        <w:spacing w:line="360" w:lineRule="auto"/>
        <w:jc w:val="both"/>
        <w:rPr>
          <w:rFonts w:ascii="Arial" w:hAnsi="Arial" w:cs="Arial"/>
          <w:b/>
          <w:bCs/>
          <w:sz w:val="24"/>
          <w:szCs w:val="24"/>
        </w:rPr>
      </w:pPr>
      <w:r w:rsidRPr="00730471">
        <w:rPr>
          <w:rFonts w:ascii="Arial" w:hAnsi="Arial" w:cs="Arial"/>
          <w:b/>
          <w:bCs/>
          <w:sz w:val="24"/>
          <w:szCs w:val="24"/>
        </w:rPr>
        <w:t>1.1 Background of the Study</w:t>
      </w:r>
    </w:p>
    <w:p w14:paraId="2AE0878B" w14:textId="1360DF7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 distraction of the natural environment, given that it is the source of life for all living species on the planet, can cause human inhal</w:t>
      </w:r>
      <w:r>
        <w:rPr>
          <w:rFonts w:ascii="Arial" w:hAnsi="Arial" w:cs="Arial"/>
          <w:sz w:val="24"/>
          <w:szCs w:val="24"/>
        </w:rPr>
        <w:t>ation. Environmental concerns wer</w:t>
      </w:r>
      <w:r w:rsidRPr="00730471">
        <w:rPr>
          <w:rFonts w:ascii="Arial" w:hAnsi="Arial" w:cs="Arial"/>
          <w:sz w:val="24"/>
          <w:szCs w:val="24"/>
        </w:rPr>
        <w:t>e alre</w:t>
      </w:r>
      <w:r>
        <w:rPr>
          <w:rFonts w:ascii="Arial" w:hAnsi="Arial" w:cs="Arial"/>
          <w:sz w:val="24"/>
          <w:szCs w:val="24"/>
        </w:rPr>
        <w:t xml:space="preserve">ady evident in today’s society; people </w:t>
      </w:r>
      <w:r w:rsidRPr="00730471">
        <w:rPr>
          <w:rFonts w:ascii="Arial" w:hAnsi="Arial" w:cs="Arial"/>
          <w:sz w:val="24"/>
          <w:szCs w:val="24"/>
        </w:rPr>
        <w:t>experience</w:t>
      </w:r>
      <w:r>
        <w:rPr>
          <w:rFonts w:ascii="Arial" w:hAnsi="Arial" w:cs="Arial"/>
          <w:sz w:val="24"/>
          <w:szCs w:val="24"/>
        </w:rPr>
        <w:t>d</w:t>
      </w:r>
      <w:r w:rsidRPr="00730471">
        <w:rPr>
          <w:rFonts w:ascii="Arial" w:hAnsi="Arial" w:cs="Arial"/>
          <w:sz w:val="24"/>
          <w:szCs w:val="24"/>
        </w:rPr>
        <w:t xml:space="preserve"> natural occurrences as a result of these difficulties, which have caused not just humanity to suffer but also all the living beings as well. </w:t>
      </w:r>
      <w:r>
        <w:rPr>
          <w:rFonts w:ascii="Arial" w:hAnsi="Arial" w:cs="Arial"/>
          <w:sz w:val="24"/>
          <w:szCs w:val="24"/>
        </w:rPr>
        <w:t>This environmental issue impacted</w:t>
      </w:r>
      <w:r w:rsidRPr="00730471">
        <w:rPr>
          <w:rFonts w:ascii="Arial" w:hAnsi="Arial" w:cs="Arial"/>
          <w:sz w:val="24"/>
          <w:szCs w:val="24"/>
        </w:rPr>
        <w:t xml:space="preserve"> not only people's physical health, but also their economic and political well-being. And as a result, mankind has begun to campaign for environmenta</w:t>
      </w:r>
      <w:r>
        <w:rPr>
          <w:rFonts w:ascii="Arial" w:hAnsi="Arial" w:cs="Arial"/>
          <w:sz w:val="24"/>
          <w:szCs w:val="24"/>
        </w:rPr>
        <w:t>l preservation; yet, many of people did</w:t>
      </w:r>
      <w:r w:rsidRPr="00730471">
        <w:rPr>
          <w:rFonts w:ascii="Arial" w:hAnsi="Arial" w:cs="Arial"/>
          <w:sz w:val="24"/>
          <w:szCs w:val="24"/>
        </w:rPr>
        <w:t xml:space="preserve"> not comprehend the significance of co</w:t>
      </w:r>
      <w:r>
        <w:rPr>
          <w:rFonts w:ascii="Arial" w:hAnsi="Arial" w:cs="Arial"/>
          <w:sz w:val="24"/>
          <w:szCs w:val="24"/>
        </w:rPr>
        <w:t>rrect environmental practice; people</w:t>
      </w:r>
      <w:r w:rsidRPr="00730471">
        <w:rPr>
          <w:rFonts w:ascii="Arial" w:hAnsi="Arial" w:cs="Arial"/>
          <w:sz w:val="24"/>
          <w:szCs w:val="24"/>
        </w:rPr>
        <w:t xml:space="preserve"> tend to recognize that environmental preservation is vital but do not practice environmental preservation. </w:t>
      </w:r>
    </w:p>
    <w:p w14:paraId="02BCB332"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Even with this Global effort, like the 17 Sustainable Development Goals of United nation  and the National initiatives like National Greening Program (NGP), Urban Greening Initiatives, Water Management and Protection, Renewable Energy Projects, and Grassroots and Coastal Protection, most of our actions towards the environment, it is just us wanting to save the environment just because we need the environment for survival and not because we are part of the environment. This anthropocentric -a mentality that treats humanity as a central and most important being or entity of the world (The Editors of Encyclopaedia Britannica, n.d.) - kind of mentality is the reason why humanity, even centuries of wanting to preserve environments, still fails. Our environmental consciousness should be upgraded to a kind of consciousness that sees humanity as part of the environment, this kind of consciousness called “biocentrism or deep ecology” (Naees, n.d.) , and this kind of upgrade of consciousness should be equipped by the children. As childhood is best stage where children “learn critical social and emotional skills” and a partnership and “begin to develop interests that will stay with them throughout their lives” (National University, 2019), teaching them </w:t>
      </w:r>
      <w:r w:rsidRPr="00730471">
        <w:rPr>
          <w:rFonts w:ascii="Arial" w:hAnsi="Arial" w:cs="Arial"/>
          <w:sz w:val="24"/>
          <w:szCs w:val="24"/>
        </w:rPr>
        <w:lastRenderedPageBreak/>
        <w:t xml:space="preserve">environmental awareness and information in this stage may lead them to have foundation of interest and knowledge about environment that they would carry throughout their lives being the futures mind and actors. According to Wilson (1996) that in fostering sustainable behaviors and attitudes that could contribute to a long-term ecological preservation, environmental awareness, especially on children, is an essential component. </w:t>
      </w:r>
    </w:p>
    <w:p w14:paraId="1C33348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Environmental education is not a new idea in the Philippines, since the government has already established rules and regulations that allow for its implementation into the Philippine education system, like the Republic Act No. 9512, or the Environmental Awareness Education Act of 2008, DepED Order No. 72, s.2003 also known as YES-O or the Youth for Environment in Schools Organization and  DepEd Order No. 52, s.2011. And that according to UNESCO 2021, there is still a gap in the integration of environmental education within primary school curricula. However, problems like “the absence of a sustainable and integral development program”(Turubal, 2021), and “lack of education programs, curricula, or teaching strategies that engage learners to practice environmental protection and preservation”(Turubal, 2021), especially leaning technique appears to lack environmental praxis. Portus (2024) and Klement’s (2025) studies have shown that despite increased awareness of climate issues, a significant knowledge–action gap still exists among learner. This gap may due to the insufficient instructional strategies and engagement with experiential learning (Palmer, 1998). According to Tilbury (1995) and Aribowo et al. (2025) environmental eduation use traditional instructional method which remains theoretical and lack practical engagement. these methods only rely on rote learning rather than experiential enquiry (Tilbury, 1995), limiting students ability to translate knowledge into action (Aribowo et al., 2025) Futhermore, environmental education improves knowledge and attitudes of learners, howerver, its impact on behavior is limited, suggesting the need to have a more effective approaches (van de Watering et al., 2022) </w:t>
      </w:r>
    </w:p>
    <w:p w14:paraId="7372A45D" w14:textId="4BD043DF"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To address the problem when it comes to effective pedagogy and  instructio</w:t>
      </w:r>
      <w:r>
        <w:rPr>
          <w:rFonts w:ascii="Arial" w:hAnsi="Arial" w:cs="Arial"/>
          <w:sz w:val="24"/>
          <w:szCs w:val="24"/>
        </w:rPr>
        <w:t>nal strategies, this study sought</w:t>
      </w:r>
      <w:r w:rsidRPr="00730471">
        <w:rPr>
          <w:rFonts w:ascii="Arial" w:hAnsi="Arial" w:cs="Arial"/>
          <w:sz w:val="24"/>
          <w:szCs w:val="24"/>
        </w:rPr>
        <w:t xml:space="preserve"> to develop an instructional toolkit grounded in John Dewey’s educational philosophy, which emphasizes </w:t>
      </w:r>
      <w:r w:rsidRPr="00730471">
        <w:rPr>
          <w:rFonts w:ascii="Arial" w:hAnsi="Arial" w:cs="Arial"/>
          <w:sz w:val="24"/>
          <w:szCs w:val="24"/>
        </w:rPr>
        <w:lastRenderedPageBreak/>
        <w:t>experiential learning, reflection, and real-world application (Dewey, 1938).  John Dewey’s pedagogy  of learning proposes that the bases of education should be in active engagement with real-world issues which would allow learners to develop problem solving skills and personal investment in learning (Dewey,1916). This approach of learning is aligned with constructivist theories that argue that learning should be an active process and through experience learners can construct knowledge (Piaget, 1954; Vygotsky, 1978). Applying these theories within environmental education can facilitate deeper cognitive and emotional connection with nature fostering a sense of responsibility towards the environment (Chawla, 2009). Lieflander et al (2013) have stated in his research that this hands-on and inquiry based environmental experience would significantly enhance children’s ability to internalize and apply environmental knowledge in practical contexts.  Experiential learning is an essential learning strategy in environmental education as it connects theory with real-world action and problem-solving (NAAEE, n.d.).</w:t>
      </w:r>
    </w:p>
    <w:p w14:paraId="101870A9" w14:textId="643AA9D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Thus the application of Deweyan pedagogy would help design an instructional toolkit that encourages students environmental awareness through direct or hands-on experience and a toolkit that would bridge the gap of theory and praxis in environmental education. F</w:t>
      </w:r>
      <w:r w:rsidR="00C81F9F">
        <w:rPr>
          <w:rFonts w:ascii="Arial" w:hAnsi="Arial" w:cs="Arial"/>
          <w:sz w:val="24"/>
          <w:szCs w:val="24"/>
        </w:rPr>
        <w:t>urthermore, this study also aimed</w:t>
      </w:r>
      <w:r w:rsidRPr="00730471">
        <w:rPr>
          <w:rFonts w:ascii="Arial" w:hAnsi="Arial" w:cs="Arial"/>
          <w:sz w:val="24"/>
          <w:szCs w:val="24"/>
        </w:rPr>
        <w:t xml:space="preserve"> to assess how children’s environmental awareness may vary between distinct ecological contexts — a rural-highland school (SMIS) and an urban-coastal school (CVES) — both located near dumpsite areas. Understanding these influences provides deeper insights on how place and experience shapes learners' environmental awareness. Thus, giving the study what kind of “basic” knowledge they have and designing the toolkit based on that knowledge. By integrating this study in Dewey’s learning principle back up with empirical studies, this study could contribute to the broader discourse on effective environmental education strategies. This study will not only contribute to a broader educational discourse but will also touch the topic of sustainability. </w:t>
      </w:r>
    </w:p>
    <w:p w14:paraId="0EAA0D1F" w14:textId="6112F8AA" w:rsidR="00BF019E"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aligns with Four Sustainable Development goals which are SDG 13 Climate action, SDG 14 life below water, SDG 15 life on land and SDG 6 clean water and sanitation. In relation to SDG 13, the study will </w:t>
      </w:r>
      <w:r w:rsidRPr="00730471">
        <w:rPr>
          <w:rFonts w:ascii="Arial" w:hAnsi="Arial" w:cs="Arial"/>
          <w:sz w:val="24"/>
          <w:szCs w:val="24"/>
        </w:rPr>
        <w:lastRenderedPageBreak/>
        <w:t>contribute specifically target 13.3 “</w:t>
      </w:r>
      <w:r w:rsidRPr="00730471">
        <w:rPr>
          <w:rFonts w:ascii="Arial" w:hAnsi="Arial" w:cs="Arial"/>
          <w:sz w:val="24"/>
          <w:szCs w:val="24"/>
          <w:highlight w:val="white"/>
        </w:rPr>
        <w:t xml:space="preserve">Improve education, awareness-raising and human and institutional capacity on climate change mitigation, adaptation, impact reduction and early warning” by developing an instructional toolkit that will foster deep environmental awareness to learners this will help cultivate a person aware of a sustainable action and relationship with the environment. For SDG 14, the study will address Target 14.1 “prevent and significantly reduce marine pollution of all kinds, in particular from land-based activities, including marine debris and nutrient pollution”, as one of the study locale is located in Santiago, Iligan city- a dumpsite situated near a coastal area, where waste from the dumpsite and nearby resident can be wash to the sea which could directly threatens marine ecosystem. In connection to SDG 6, the study supports target 6.3 “improve water quality by reducing pollution, eliminating dumping and minimizing release of hazardous chemicals and materials, halving the proportion of untreated wastewater and substantially increasing recycling and safe reuse globally” , considering that waste accumulation in both study areas poses risk to nearby water sources, Santiago (coastal water) and Bonbonon (waterfalls). Lastly, for SDG 15, the study is aligned with target 15.1 “ensure the conservation, restoration and sustainable use of terrestrial and inland freshwater ecosystems and their services, in particular forests, wetlands, mountains and drylands, in line with obligations under international agreements”, particularly in Bonbonon, Iligan City located near a waterfall-where improper waste management affects land ecosystem and the surrounding biodiversity. </w:t>
      </w:r>
      <w:bookmarkStart w:id="0" w:name="_t7o4yx2dl3z1" w:colFirst="0" w:colLast="0"/>
      <w:bookmarkEnd w:id="0"/>
    </w:p>
    <w:p w14:paraId="3EEC289A" w14:textId="77777777" w:rsidR="00730471" w:rsidRPr="00730471" w:rsidRDefault="00730471" w:rsidP="008F26AB">
      <w:pPr>
        <w:spacing w:line="360" w:lineRule="auto"/>
        <w:ind w:firstLine="720"/>
        <w:jc w:val="both"/>
        <w:rPr>
          <w:rFonts w:ascii="Arial" w:hAnsi="Arial" w:cs="Arial"/>
          <w:sz w:val="24"/>
          <w:szCs w:val="24"/>
        </w:rPr>
      </w:pPr>
    </w:p>
    <w:p w14:paraId="0571A1E5" w14:textId="0F6A0A0C" w:rsidR="001F428D" w:rsidRPr="00730471" w:rsidRDefault="001F428D" w:rsidP="008F26AB">
      <w:pPr>
        <w:spacing w:line="360" w:lineRule="auto"/>
        <w:ind w:left="720"/>
        <w:jc w:val="both"/>
        <w:rPr>
          <w:rFonts w:ascii="Arial" w:hAnsi="Arial" w:cs="Arial"/>
          <w:b/>
          <w:bCs/>
          <w:sz w:val="24"/>
          <w:szCs w:val="24"/>
        </w:rPr>
      </w:pPr>
      <w:r w:rsidRPr="00730471">
        <w:rPr>
          <w:rFonts w:ascii="Arial" w:hAnsi="Arial" w:cs="Arial"/>
          <w:b/>
          <w:bCs/>
          <w:sz w:val="24"/>
          <w:szCs w:val="24"/>
        </w:rPr>
        <w:t>1.1.1 Research Gap</w:t>
      </w:r>
    </w:p>
    <w:p w14:paraId="47835BBC" w14:textId="2FDA6DFF" w:rsidR="00BF019E" w:rsidRDefault="00CB26E4" w:rsidP="008F26AB">
      <w:pPr>
        <w:spacing w:line="360" w:lineRule="auto"/>
        <w:ind w:left="720"/>
        <w:jc w:val="both"/>
        <w:rPr>
          <w:rFonts w:ascii="Arial" w:hAnsi="Arial" w:cs="Arial"/>
          <w:sz w:val="24"/>
          <w:szCs w:val="24"/>
        </w:rPr>
      </w:pPr>
      <w:r w:rsidRPr="00730471">
        <w:rPr>
          <w:rFonts w:ascii="Arial" w:hAnsi="Arial" w:cs="Arial"/>
          <w:sz w:val="24"/>
          <w:szCs w:val="24"/>
        </w:rPr>
        <w:t xml:space="preserve">While various studies have explored environmental awareness and practice among learners around the world, there is limited research on the gap between theories and practice in environmental education. Furthermore, there are also limited studies exploring the development of a learning strategy through experiential pedagogy and environmental philosophy. </w:t>
      </w:r>
    </w:p>
    <w:p w14:paraId="53B76A6C" w14:textId="77777777" w:rsidR="00730471" w:rsidRPr="00730471" w:rsidRDefault="00730471" w:rsidP="008F26AB">
      <w:pPr>
        <w:spacing w:line="360" w:lineRule="auto"/>
        <w:ind w:left="720"/>
        <w:jc w:val="both"/>
        <w:rPr>
          <w:rFonts w:ascii="Arial" w:hAnsi="Arial" w:cs="Arial"/>
          <w:sz w:val="24"/>
          <w:szCs w:val="24"/>
        </w:rPr>
      </w:pPr>
    </w:p>
    <w:p w14:paraId="60D1C867" w14:textId="73BF9055" w:rsidR="001F428D" w:rsidRPr="00730471" w:rsidRDefault="001F428D" w:rsidP="008F26AB">
      <w:pPr>
        <w:spacing w:line="360" w:lineRule="auto"/>
        <w:jc w:val="both"/>
        <w:rPr>
          <w:rFonts w:ascii="Arial" w:hAnsi="Arial" w:cs="Arial"/>
          <w:b/>
          <w:bCs/>
          <w:sz w:val="24"/>
          <w:szCs w:val="24"/>
        </w:rPr>
      </w:pPr>
      <w:bookmarkStart w:id="1" w:name="_jl9x6roeynf9" w:colFirst="0" w:colLast="0"/>
      <w:bookmarkEnd w:id="1"/>
      <w:r w:rsidRPr="00730471">
        <w:rPr>
          <w:rFonts w:ascii="Arial" w:hAnsi="Arial" w:cs="Arial"/>
          <w:b/>
          <w:bCs/>
          <w:sz w:val="24"/>
          <w:szCs w:val="24"/>
        </w:rPr>
        <w:lastRenderedPageBreak/>
        <w:t>1.2 Objective of the Study</w:t>
      </w:r>
    </w:p>
    <w:p w14:paraId="15768E28" w14:textId="6E5F808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objective of this study is to assess children’s environmental knowledge which will become the basis in developing a Dewey-inspired toolkit that promotes experiential learning in environmental education. </w:t>
      </w:r>
    </w:p>
    <w:p w14:paraId="003853A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Specifically, the study aims to: </w:t>
      </w:r>
    </w:p>
    <w:p w14:paraId="0BECD25B" w14:textId="4D7B0B57" w:rsidR="00BF019E" w:rsidRP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 xml:space="preserve">Determine the current level of environmental awareness among learners in Cabili Village Elementary School and Sultan Mamarinta Panandigan Integrated School  paradigm  Integrated School in terms of their knowledge, attitudes and environmental practices. </w:t>
      </w:r>
    </w:p>
    <w:p w14:paraId="174EAD80" w14:textId="065F4B98" w:rsidR="00BF019E" w:rsidRP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 xml:space="preserve">Identify the key factors that affect children’s environmental awareness. Such as: socio-cultural, educational, and experiential influences. </w:t>
      </w:r>
    </w:p>
    <w:p w14:paraId="186CE861" w14:textId="77777777" w:rsid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Integrate John Dewey’s principle of experiential learning in developing the instructional toolkits for environmental education.</w:t>
      </w:r>
    </w:p>
    <w:p w14:paraId="2B045A8F" w14:textId="3573A2E3" w:rsid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 xml:space="preserve">Design an instructional toolkit that is grounded to John Dewey's principle of learning - experiential learning or progressive learning. </w:t>
      </w:r>
      <w:bookmarkStart w:id="2" w:name="_9u9it57w87be" w:colFirst="0" w:colLast="0"/>
      <w:bookmarkEnd w:id="2"/>
    </w:p>
    <w:p w14:paraId="64201FC9" w14:textId="77777777" w:rsidR="00730471" w:rsidRPr="00730471" w:rsidRDefault="00730471" w:rsidP="008F26AB">
      <w:pPr>
        <w:pStyle w:val="ListParagraph"/>
        <w:spacing w:line="360" w:lineRule="auto"/>
        <w:jc w:val="both"/>
        <w:rPr>
          <w:rFonts w:ascii="Arial" w:hAnsi="Arial" w:cs="Arial"/>
          <w:sz w:val="24"/>
          <w:szCs w:val="24"/>
        </w:rPr>
      </w:pPr>
    </w:p>
    <w:p w14:paraId="40B7FBCC" w14:textId="251B7FD8" w:rsidR="001F428D" w:rsidRPr="00730471" w:rsidRDefault="001F428D" w:rsidP="008F26AB">
      <w:pPr>
        <w:spacing w:line="360" w:lineRule="auto"/>
        <w:jc w:val="both"/>
        <w:rPr>
          <w:rFonts w:ascii="Arial" w:hAnsi="Arial" w:cs="Arial"/>
          <w:b/>
          <w:bCs/>
          <w:sz w:val="24"/>
          <w:szCs w:val="24"/>
        </w:rPr>
      </w:pPr>
      <w:r w:rsidRPr="00730471">
        <w:rPr>
          <w:rFonts w:ascii="Arial" w:hAnsi="Arial" w:cs="Arial"/>
          <w:b/>
          <w:bCs/>
          <w:sz w:val="24"/>
          <w:szCs w:val="24"/>
        </w:rPr>
        <w:t>1.3 Theoretical Framework</w:t>
      </w:r>
    </w:p>
    <w:p w14:paraId="22DF2C60" w14:textId="3E7AA393" w:rsidR="00730471"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would like to utilize two theories but Dewey’s Learning principle or pedagogy of learning would be the main theory and Arne Næss’s deep ecology theory would stand as a supplementary theory to strengthen the claim of the study when it comes to environmental awareness and consciousness. These theories would help provide a strong theoretical foundation in assessing children's environmental awareness and in developing a Dewey-inspired instructional toolkit. </w:t>
      </w:r>
      <w:bookmarkStart w:id="3" w:name="_e4ydc6o5kqkw" w:colFirst="0" w:colLast="0"/>
      <w:bookmarkEnd w:id="3"/>
    </w:p>
    <w:p w14:paraId="31EB3A1E" w14:textId="303CADAA" w:rsidR="001F428D" w:rsidRPr="00730471" w:rsidRDefault="001F428D" w:rsidP="008F26AB">
      <w:pPr>
        <w:spacing w:line="360" w:lineRule="auto"/>
        <w:ind w:left="720"/>
        <w:jc w:val="both"/>
        <w:rPr>
          <w:rFonts w:ascii="Arial" w:hAnsi="Arial" w:cs="Arial"/>
          <w:b/>
          <w:bCs/>
          <w:sz w:val="24"/>
          <w:szCs w:val="24"/>
        </w:rPr>
      </w:pPr>
      <w:r w:rsidRPr="00730471">
        <w:rPr>
          <w:rFonts w:ascii="Arial" w:hAnsi="Arial" w:cs="Arial"/>
          <w:b/>
          <w:bCs/>
          <w:sz w:val="24"/>
          <w:szCs w:val="24"/>
        </w:rPr>
        <w:t xml:space="preserve">Arene Naes Deep Ecology Theory </w:t>
      </w:r>
    </w:p>
    <w:p w14:paraId="5B42890A" w14:textId="0F32B315"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Arne </w:t>
      </w:r>
      <w:r w:rsidR="001F428D" w:rsidRPr="00730471">
        <w:rPr>
          <w:rFonts w:ascii="Arial" w:hAnsi="Arial" w:cs="Arial"/>
          <w:sz w:val="24"/>
          <w:szCs w:val="24"/>
        </w:rPr>
        <w:t>Naes</w:t>
      </w:r>
      <w:r w:rsidRPr="00730471">
        <w:rPr>
          <w:rFonts w:ascii="Arial" w:hAnsi="Arial" w:cs="Arial"/>
          <w:sz w:val="24"/>
          <w:szCs w:val="24"/>
        </w:rPr>
        <w:t xml:space="preserve">, an environmental philosopher who introduced deep ecology that promotes a holistic and intrinsic view of nature. Deep ecology is unlike shallow ecology or anthropocentric ecology which focuses on resource conservation for human benefit, deep ecology sees all living beings as possessing inherent value. Arne Naess's Deep Ecology talks about Biospheric Egalitarianism which emphasizes that </w:t>
      </w:r>
      <w:r w:rsidRPr="00730471">
        <w:rPr>
          <w:rFonts w:ascii="Arial" w:hAnsi="Arial" w:cs="Arial"/>
          <w:sz w:val="24"/>
          <w:szCs w:val="24"/>
        </w:rPr>
        <w:lastRenderedPageBreak/>
        <w:t>humans are not superior to nature and that all organisms in the world have equal rights to live. This idea would help the study develop a toolkit that would teach children to respect all life forms and identify the rights of ever living things (Naess, 1986). Naess's deep ecology encourages personal connection with the environment and that awareness must translate into action. Where Næss’s (1989) claims that emotional connections form the basis for empathy and potential ecological action and he calls it “personal identification with nature”. Thus, deep ecology can be supplementary theory supporting John Dewey pedagogy learning that centers on experiential learning. Furthermore, this theory will be specifically used in assessing students environmental awareness and identifying students current environmental standpoint, are they anthropocentric or are they biocentric. Identifying their current standpoint is essential to the study because this where the study would draw a foundation on what environmental topics and themes to be included on the toolkit to achieve or develop a deep ecological standpoint to the learners.</w:t>
      </w:r>
    </w:p>
    <w:p w14:paraId="353D4F20" w14:textId="4562D1CA" w:rsidR="001F428D" w:rsidRPr="00730471" w:rsidRDefault="001F428D" w:rsidP="008F26AB">
      <w:pPr>
        <w:spacing w:line="360" w:lineRule="auto"/>
        <w:ind w:left="720"/>
        <w:jc w:val="both"/>
        <w:rPr>
          <w:rFonts w:ascii="Arial" w:hAnsi="Arial" w:cs="Arial"/>
          <w:b/>
          <w:bCs/>
          <w:sz w:val="24"/>
          <w:szCs w:val="24"/>
        </w:rPr>
      </w:pPr>
      <w:bookmarkStart w:id="4" w:name="_owhhaw3lqmjm" w:colFirst="0" w:colLast="0"/>
      <w:bookmarkEnd w:id="4"/>
      <w:r w:rsidRPr="00730471">
        <w:rPr>
          <w:rFonts w:ascii="Arial" w:hAnsi="Arial" w:cs="Arial"/>
          <w:b/>
          <w:bCs/>
          <w:sz w:val="24"/>
          <w:szCs w:val="24"/>
        </w:rPr>
        <w:t>John Dewey’s Educational Theory</w:t>
      </w:r>
    </w:p>
    <w:p w14:paraId="114F12B4" w14:textId="270CE86C"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John Dewey philosophy on education is centered on what we call experientialism or progressive education, this pedagogy focuses its emphasis on experiential and inquiry-based learning. Dewey claims that the purpose of education is not to make students as a “passive recipients of establish knowledge” but as “the cultivation of thoughtful, critically reflective, and social engage individual” (Hargreaves, n.d.). “...Informational statements about things can be acquired in relative isolation by any one who previously has had enough intercourse with others to have learned language. But realization of the meaning of the linguistic signs is quite another matter. That involves a context of work and play in association with others…” (Dewey, 1916)</w:t>
      </w:r>
    </w:p>
    <w:p w14:paraId="218D4FF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Dewey’s pedagogy suggests that children learn best when they are not just a passive receive information but when they are actively engaged with their environment. Dewey rejected the rote-learning </w:t>
      </w:r>
      <w:r w:rsidRPr="00730471">
        <w:rPr>
          <w:rFonts w:ascii="Arial" w:hAnsi="Arial" w:cs="Arial"/>
          <w:sz w:val="24"/>
          <w:szCs w:val="24"/>
        </w:rPr>
        <w:lastRenderedPageBreak/>
        <w:t xml:space="preserve">approach and child-centered approaches because he believes that these approaches followed the students' uninformed interest and impulses uncritically (Hargreaves, n.d.). Dewey sees the traditional subject matter as important but it should be aligned with the strengths and interests of the learner. Thus, Dewey’s  idea of aligning interest of the student on the subject matter will be used in assessing children’s environmental awareness between distinct ecological contexts — a rural-highland school (SMIS) and an urban-coastal school (CVES) — both located near dumpsite areas, as this ecological context may give a distinct interest of learners and see whether interest really have a great influence on acquiring knowledge and putting this on action. </w:t>
      </w:r>
    </w:p>
    <w:p w14:paraId="4541A8F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will utilize three key aspects of Dewey's theory and that is Learning through Experience (education should be rooted in real-world experiences), Reflective Thinking and Inquiry-Based Learning (critical thinking, where children explore environmental problems, ask questions, and develop solutions), and Education for Social Responsibility (education as a means to cultivate active citizens who contribute to the well-being of their communities) </w:t>
      </w:r>
    </w:p>
    <w:p w14:paraId="2994FC06" w14:textId="4B5841C4" w:rsidR="001F428D"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 integration of Dewey’s experiential learning approach and Næss’s deep ecology perspective would help the study develop an instructional toolkit that encourages learners engage in an interactive experience-based learning. The develop instructional toolkit would also help learners to have a reflective inquiry by encouraging them to ask questions (may it be environmentally related or not). Thus, learners will then be expected to have a holistic ecological awareness and respect for all living things. Moreover, this theoretical framework ensures that the instructional toolkit for environmental education is experiential, ethical, and action-driven, equipping children with the knowledge and values needed for lasting environmental stewardship.</w:t>
      </w:r>
      <w:bookmarkStart w:id="5" w:name="_w7yhk9d32n45" w:colFirst="0" w:colLast="0"/>
      <w:bookmarkEnd w:id="5"/>
    </w:p>
    <w:p w14:paraId="5AD7080A" w14:textId="77777777" w:rsidR="00730471" w:rsidRDefault="00730471" w:rsidP="008F26AB">
      <w:pPr>
        <w:spacing w:line="360" w:lineRule="auto"/>
        <w:ind w:left="720" w:firstLine="720"/>
        <w:jc w:val="both"/>
        <w:rPr>
          <w:rFonts w:ascii="Arial" w:hAnsi="Arial" w:cs="Arial"/>
          <w:sz w:val="24"/>
          <w:szCs w:val="24"/>
        </w:rPr>
      </w:pPr>
    </w:p>
    <w:p w14:paraId="68EAD5D2" w14:textId="77777777" w:rsidR="008F26AB" w:rsidRDefault="008F26AB" w:rsidP="008F26AB">
      <w:pPr>
        <w:spacing w:line="360" w:lineRule="auto"/>
        <w:ind w:left="720" w:firstLine="720"/>
        <w:jc w:val="both"/>
        <w:rPr>
          <w:rFonts w:ascii="Arial" w:hAnsi="Arial" w:cs="Arial"/>
          <w:sz w:val="24"/>
          <w:szCs w:val="24"/>
        </w:rPr>
      </w:pPr>
    </w:p>
    <w:p w14:paraId="1419C1AB" w14:textId="77777777" w:rsidR="008F26AB" w:rsidRPr="00730471" w:rsidRDefault="008F26AB" w:rsidP="008F26AB">
      <w:pPr>
        <w:spacing w:line="360" w:lineRule="auto"/>
        <w:ind w:left="720" w:firstLine="720"/>
        <w:jc w:val="both"/>
        <w:rPr>
          <w:rFonts w:ascii="Arial" w:hAnsi="Arial" w:cs="Arial"/>
          <w:sz w:val="24"/>
          <w:szCs w:val="24"/>
        </w:rPr>
      </w:pPr>
    </w:p>
    <w:p w14:paraId="6BAD0715" w14:textId="26718273" w:rsidR="001F428D" w:rsidRPr="00730471" w:rsidRDefault="001F428D" w:rsidP="008F26AB">
      <w:pPr>
        <w:spacing w:line="360" w:lineRule="auto"/>
        <w:jc w:val="both"/>
        <w:rPr>
          <w:rFonts w:ascii="Arial" w:hAnsi="Arial" w:cs="Arial"/>
          <w:b/>
          <w:bCs/>
          <w:sz w:val="24"/>
          <w:szCs w:val="24"/>
        </w:rPr>
      </w:pPr>
      <w:r w:rsidRPr="00730471">
        <w:rPr>
          <w:rFonts w:ascii="Arial" w:hAnsi="Arial" w:cs="Arial"/>
          <w:b/>
          <w:bCs/>
          <w:sz w:val="24"/>
          <w:szCs w:val="24"/>
        </w:rPr>
        <w:lastRenderedPageBreak/>
        <w:t>1.4 Conceptual Framework</w:t>
      </w:r>
    </w:p>
    <w:p w14:paraId="1CEB408F" w14:textId="7B52885D"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 conceptual framework for the study “Assessing Children’s Environmental Awareness: Foundations fo</w:t>
      </w:r>
      <w:r w:rsidR="004E31EA">
        <w:rPr>
          <w:rFonts w:ascii="Arial" w:hAnsi="Arial" w:cs="Arial"/>
          <w:sz w:val="24"/>
          <w:szCs w:val="24"/>
        </w:rPr>
        <w:t>r</w:t>
      </w:r>
      <w:r w:rsidRPr="00730471">
        <w:rPr>
          <w:rFonts w:ascii="Arial" w:hAnsi="Arial" w:cs="Arial"/>
          <w:sz w:val="24"/>
          <w:szCs w:val="24"/>
        </w:rPr>
        <w:t xml:space="preserve"> Dewey-Inspired Instructional Toolkits” Integrates key Educational and environmental theories to analyze children’s understanding of environmental issues and develop effective instructional materials. This study is grounded in two key theoretical frameworks: John Dewey’s Experiential Learning and Arne Naess Deep Ecology. To assess children's environmental awareness, the study evaluates learners' knowledge in terms of environmental concepts, attitudes and </w:t>
      </w:r>
      <w:r w:rsidR="004E31EA">
        <w:rPr>
          <w:rFonts w:ascii="Arial" w:hAnsi="Arial" w:cs="Arial"/>
          <w:sz w:val="24"/>
          <w:szCs w:val="24"/>
        </w:rPr>
        <w:t>emotions</w:t>
      </w:r>
      <w:r w:rsidRPr="00730471">
        <w:rPr>
          <w:rFonts w:ascii="Arial" w:hAnsi="Arial" w:cs="Arial"/>
          <w:sz w:val="24"/>
          <w:szCs w:val="24"/>
        </w:rPr>
        <w:t xml:space="preserve"> towards the environment, and the learners willingness to engage in environmental practice. </w:t>
      </w:r>
    </w:p>
    <w:p w14:paraId="54079AB9" w14:textId="070F233C" w:rsidR="001F428D"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will develop an instructional toolkits based on John Dewey’s experiential learning and Arne Næss’s deep ecology, which aims to incorporate a hands-on activities like field observations and eco-games. The instructional toolkits aims to encourage learners to have a reflective inquiry through storytelling and problem-solving. The toolkit will also aim to encourage learners to have an active participation when it comes to environmental and sustainability initiatives at home and within the community. The anticipated outcomes of the study include learners having an enhanced environmental awareness and having a strong ethical relationship and responsibility with the environment. And the implementation of effective environmental education practices that integrates experiential learning strategies to reinforce environmental stewardship in school and communities. </w:t>
      </w:r>
      <w:bookmarkStart w:id="6" w:name="_927c5mv4t6n1" w:colFirst="0" w:colLast="0"/>
      <w:bookmarkEnd w:id="6"/>
    </w:p>
    <w:p w14:paraId="5653E316" w14:textId="77777777" w:rsidR="00730471" w:rsidRDefault="00730471" w:rsidP="008F26AB">
      <w:pPr>
        <w:spacing w:line="360" w:lineRule="auto"/>
        <w:jc w:val="both"/>
        <w:rPr>
          <w:rFonts w:ascii="Arial" w:hAnsi="Arial" w:cs="Arial"/>
          <w:sz w:val="24"/>
          <w:szCs w:val="24"/>
        </w:rPr>
      </w:pPr>
    </w:p>
    <w:p w14:paraId="3B277192" w14:textId="77777777" w:rsidR="008F26AB" w:rsidRDefault="008F26AB" w:rsidP="008F26AB">
      <w:pPr>
        <w:spacing w:line="360" w:lineRule="auto"/>
        <w:jc w:val="both"/>
        <w:rPr>
          <w:rFonts w:ascii="Arial" w:hAnsi="Arial" w:cs="Arial"/>
          <w:sz w:val="24"/>
          <w:szCs w:val="24"/>
        </w:rPr>
      </w:pPr>
    </w:p>
    <w:p w14:paraId="733CCD92" w14:textId="77777777" w:rsidR="008F26AB" w:rsidRDefault="008F26AB" w:rsidP="008F26AB">
      <w:pPr>
        <w:spacing w:line="360" w:lineRule="auto"/>
        <w:jc w:val="both"/>
        <w:rPr>
          <w:rFonts w:ascii="Arial" w:hAnsi="Arial" w:cs="Arial"/>
          <w:sz w:val="24"/>
          <w:szCs w:val="24"/>
        </w:rPr>
      </w:pPr>
    </w:p>
    <w:p w14:paraId="7EA74A94" w14:textId="77777777" w:rsidR="008F26AB" w:rsidRDefault="008F26AB" w:rsidP="008F26AB">
      <w:pPr>
        <w:spacing w:line="360" w:lineRule="auto"/>
        <w:jc w:val="both"/>
        <w:rPr>
          <w:rFonts w:ascii="Arial" w:hAnsi="Arial" w:cs="Arial"/>
          <w:sz w:val="24"/>
          <w:szCs w:val="24"/>
        </w:rPr>
      </w:pPr>
    </w:p>
    <w:p w14:paraId="72E5095F" w14:textId="77777777" w:rsidR="008F26AB" w:rsidRDefault="008F26AB" w:rsidP="008F26AB">
      <w:pPr>
        <w:spacing w:line="360" w:lineRule="auto"/>
        <w:jc w:val="both"/>
        <w:rPr>
          <w:rFonts w:ascii="Arial" w:hAnsi="Arial" w:cs="Arial"/>
          <w:sz w:val="24"/>
          <w:szCs w:val="24"/>
        </w:rPr>
      </w:pPr>
    </w:p>
    <w:p w14:paraId="57A57A38" w14:textId="77777777" w:rsidR="008F26AB" w:rsidRDefault="008F26AB" w:rsidP="008F26AB">
      <w:pPr>
        <w:spacing w:line="360" w:lineRule="auto"/>
        <w:jc w:val="both"/>
        <w:rPr>
          <w:rFonts w:ascii="Arial" w:hAnsi="Arial" w:cs="Arial"/>
          <w:sz w:val="24"/>
          <w:szCs w:val="24"/>
        </w:rPr>
      </w:pPr>
    </w:p>
    <w:p w14:paraId="024EA82A" w14:textId="77777777" w:rsidR="008F26AB" w:rsidRDefault="008F26AB" w:rsidP="008F26AB">
      <w:pPr>
        <w:spacing w:line="360" w:lineRule="auto"/>
        <w:jc w:val="both"/>
        <w:rPr>
          <w:rFonts w:ascii="Arial" w:hAnsi="Arial" w:cs="Arial"/>
          <w:sz w:val="24"/>
          <w:szCs w:val="24"/>
        </w:rPr>
      </w:pPr>
    </w:p>
    <w:p w14:paraId="6C91DEBF" w14:textId="07604AC4" w:rsid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Flowchart: Development of Dewey-Inspired Instructional Toolkit</w:t>
      </w:r>
    </w:p>
    <w:p w14:paraId="34B48CC9" w14:textId="4C3C933D" w:rsidR="00730471" w:rsidRDefault="00730471" w:rsidP="008F26AB">
      <w:pPr>
        <w:spacing w:line="360" w:lineRule="auto"/>
        <w:jc w:val="both"/>
        <w:rPr>
          <w:rFonts w:ascii="Arial" w:hAnsi="Arial" w:cs="Arial"/>
          <w:sz w:val="24"/>
          <w:szCs w:val="24"/>
        </w:rPr>
      </w:pPr>
      <w:r>
        <w:rPr>
          <w:rFonts w:ascii="Arial" w:hAnsi="Arial" w:cs="Arial"/>
          <w:noProof/>
          <w:sz w:val="24"/>
          <w:szCs w:val="24"/>
          <w:lang w:val="en-US"/>
        </w:rPr>
        <w:drawing>
          <wp:inline distT="0" distB="0" distL="0" distR="0" wp14:anchorId="4AE95BB5" wp14:editId="2DEAE0A8">
            <wp:extent cx="5443855" cy="6739255"/>
            <wp:effectExtent l="76200" t="57150" r="80645" b="99695"/>
            <wp:docPr id="158995736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2E00545" w14:textId="77777777" w:rsidR="001F428D" w:rsidRPr="004E31EA" w:rsidRDefault="001F428D" w:rsidP="008F26AB">
      <w:pPr>
        <w:spacing w:line="360" w:lineRule="auto"/>
        <w:jc w:val="both"/>
        <w:rPr>
          <w:rFonts w:ascii="Arial" w:hAnsi="Arial" w:cs="Arial"/>
          <w:b/>
          <w:bCs/>
          <w:sz w:val="24"/>
          <w:szCs w:val="24"/>
        </w:rPr>
      </w:pPr>
      <w:r w:rsidRPr="004E31EA">
        <w:rPr>
          <w:rFonts w:ascii="Arial" w:hAnsi="Arial" w:cs="Arial"/>
          <w:b/>
          <w:bCs/>
          <w:sz w:val="24"/>
          <w:szCs w:val="24"/>
        </w:rPr>
        <w:t>1.5 Statement of the Problem</w:t>
      </w:r>
    </w:p>
    <w:p w14:paraId="3C9379F4" w14:textId="7B4AE27E"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Sustainable development is a Global Goal that aims to have a sustainable practice to achieve a sustainable future. Environmental awareness and bridging the gap between environmental theories and practice is crucial to achieve sustainable development. However, the gap between </w:t>
      </w:r>
      <w:r w:rsidRPr="00730471">
        <w:rPr>
          <w:rFonts w:ascii="Arial" w:hAnsi="Arial" w:cs="Arial"/>
          <w:sz w:val="24"/>
          <w:szCs w:val="24"/>
        </w:rPr>
        <w:lastRenderedPageBreak/>
        <w:t xml:space="preserve">theory and practice in environmental education is still a problem as current learning approaches lack the necessary tool or strategy to instill long-term and deep environmental connection.  Despite the integration of environmental education in the Philippine education system, there is still a gap when it comes to the strength of implementation and learning strategies. </w:t>
      </w:r>
    </w:p>
    <w:p w14:paraId="00BA6986"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study aims to assess children's environmental awareness which would then become the basis in developing Dewey-inspired instructional toolkits which promote experiential learning and critical thinking in environmental education. Specifically this study aims to answer the following question:</w:t>
      </w:r>
    </w:p>
    <w:p w14:paraId="0A6EF208" w14:textId="17D8E80A" w:rsidR="00BF019E" w:rsidRPr="004E31EA" w:rsidRDefault="00CB26E4" w:rsidP="00531930">
      <w:pPr>
        <w:pStyle w:val="ListParagraph"/>
        <w:numPr>
          <w:ilvl w:val="0"/>
          <w:numId w:val="2"/>
        </w:numPr>
        <w:spacing w:line="360" w:lineRule="auto"/>
        <w:jc w:val="both"/>
        <w:rPr>
          <w:rFonts w:ascii="Arial" w:hAnsi="Arial" w:cs="Arial"/>
          <w:sz w:val="24"/>
          <w:szCs w:val="24"/>
        </w:rPr>
      </w:pPr>
      <w:r w:rsidRPr="004E31EA">
        <w:rPr>
          <w:rFonts w:ascii="Arial" w:hAnsi="Arial" w:cs="Arial"/>
          <w:sz w:val="24"/>
          <w:szCs w:val="24"/>
        </w:rPr>
        <w:t>What is the current level of environmental awareness among learners of Tomas Cabili Village Elementary School and Sultan Mamarinta Elementary School in terms of Knowledge, attitudes and practice?</w:t>
      </w:r>
    </w:p>
    <w:p w14:paraId="5D47C0CC" w14:textId="563301FA" w:rsidR="00BF019E" w:rsidRPr="004E31EA" w:rsidRDefault="00CB26E4" w:rsidP="00531930">
      <w:pPr>
        <w:pStyle w:val="ListParagraph"/>
        <w:numPr>
          <w:ilvl w:val="0"/>
          <w:numId w:val="2"/>
        </w:numPr>
        <w:spacing w:line="360" w:lineRule="auto"/>
        <w:jc w:val="both"/>
        <w:rPr>
          <w:rFonts w:ascii="Arial" w:hAnsi="Arial" w:cs="Arial"/>
          <w:sz w:val="24"/>
          <w:szCs w:val="24"/>
        </w:rPr>
      </w:pPr>
      <w:r w:rsidRPr="004E31EA">
        <w:rPr>
          <w:rFonts w:ascii="Arial" w:hAnsi="Arial" w:cs="Arial"/>
          <w:sz w:val="24"/>
          <w:szCs w:val="24"/>
        </w:rPr>
        <w:t>What are the factors influencing children’s environmental awareness, including socio-cultural, educational, and experiential factors?</w:t>
      </w:r>
    </w:p>
    <w:p w14:paraId="60B97CD9" w14:textId="77777777" w:rsidR="004E31EA" w:rsidRDefault="00CB26E4" w:rsidP="00531930">
      <w:pPr>
        <w:pStyle w:val="ListParagraph"/>
        <w:numPr>
          <w:ilvl w:val="0"/>
          <w:numId w:val="3"/>
        </w:numPr>
        <w:spacing w:line="360" w:lineRule="auto"/>
        <w:jc w:val="both"/>
        <w:rPr>
          <w:rFonts w:ascii="Arial" w:hAnsi="Arial" w:cs="Arial"/>
          <w:sz w:val="24"/>
          <w:szCs w:val="24"/>
        </w:rPr>
      </w:pPr>
      <w:r w:rsidRPr="004E31EA">
        <w:rPr>
          <w:rFonts w:ascii="Arial" w:hAnsi="Arial" w:cs="Arial"/>
          <w:sz w:val="24"/>
          <w:szCs w:val="24"/>
        </w:rPr>
        <w:t>What differences can be observed in the level of environmental awareness between learners from Tomas Cabili Village Elementary School (urban-coastal) and Sultan Mamarinta Integrated School (rural-highland), both situated near dumpsite areas, in terms of knowledge, attitudes, and practices?</w:t>
      </w:r>
    </w:p>
    <w:p w14:paraId="63B0B6AC" w14:textId="430CE4FC" w:rsidR="00BF019E" w:rsidRPr="004E31EA" w:rsidRDefault="00CB26E4" w:rsidP="00531930">
      <w:pPr>
        <w:pStyle w:val="ListParagraph"/>
        <w:numPr>
          <w:ilvl w:val="0"/>
          <w:numId w:val="3"/>
        </w:numPr>
        <w:spacing w:line="360" w:lineRule="auto"/>
        <w:jc w:val="both"/>
        <w:rPr>
          <w:rFonts w:ascii="Arial" w:hAnsi="Arial" w:cs="Arial"/>
          <w:sz w:val="24"/>
          <w:szCs w:val="24"/>
        </w:rPr>
      </w:pPr>
      <w:r w:rsidRPr="004E31EA">
        <w:rPr>
          <w:rFonts w:ascii="Arial" w:hAnsi="Arial" w:cs="Arial"/>
          <w:sz w:val="24"/>
          <w:szCs w:val="24"/>
        </w:rPr>
        <w:t>What context and experiential factors may explain the observed differences in environmental awareness between Tomas Cabili Village Elementary School and Sultan Mamarinta Elementary School?</w:t>
      </w:r>
    </w:p>
    <w:p w14:paraId="0D5CC1A0" w14:textId="6C0260C2" w:rsidR="00BF019E" w:rsidRPr="004E31EA" w:rsidRDefault="00CB26E4" w:rsidP="00531930">
      <w:pPr>
        <w:pStyle w:val="ListParagraph"/>
        <w:numPr>
          <w:ilvl w:val="0"/>
          <w:numId w:val="2"/>
        </w:numPr>
        <w:spacing w:line="360" w:lineRule="auto"/>
        <w:jc w:val="both"/>
        <w:rPr>
          <w:rFonts w:ascii="Arial" w:hAnsi="Arial" w:cs="Arial"/>
          <w:sz w:val="24"/>
          <w:szCs w:val="24"/>
        </w:rPr>
      </w:pPr>
      <w:r w:rsidRPr="004E31EA">
        <w:rPr>
          <w:rFonts w:ascii="Arial" w:hAnsi="Arial" w:cs="Arial"/>
          <w:sz w:val="24"/>
          <w:szCs w:val="24"/>
        </w:rPr>
        <w:t xml:space="preserve">What pedagogical implication can inform the development of a Deweyan-inspired instructional toolkit for environmental education? </w:t>
      </w:r>
    </w:p>
    <w:p w14:paraId="3A7CC222" w14:textId="3C154F99" w:rsidR="00BF019E" w:rsidRDefault="00CB26E4" w:rsidP="008F26AB">
      <w:pPr>
        <w:spacing w:line="360" w:lineRule="auto"/>
        <w:ind w:firstLine="360"/>
        <w:jc w:val="both"/>
        <w:rPr>
          <w:rFonts w:ascii="Arial" w:hAnsi="Arial" w:cs="Arial"/>
          <w:sz w:val="24"/>
          <w:szCs w:val="24"/>
        </w:rPr>
      </w:pPr>
      <w:r w:rsidRPr="00730471">
        <w:rPr>
          <w:rFonts w:ascii="Arial" w:hAnsi="Arial" w:cs="Arial"/>
          <w:sz w:val="24"/>
          <w:szCs w:val="24"/>
        </w:rPr>
        <w:t>By addressing these questions, this study aims to provide empirical data that will guide the development of experience-based instructional materials aligned with Dewey’s Learning Principle. The findings will contribute to enhancing environmental education strategies, ensuring that children not only learn about environmental issues but also develop the skills and motivation to take meaningful action.</w:t>
      </w:r>
    </w:p>
    <w:p w14:paraId="569292BE" w14:textId="77777777" w:rsidR="004E31EA" w:rsidRPr="00730471" w:rsidRDefault="004E31EA" w:rsidP="008F26AB">
      <w:pPr>
        <w:spacing w:line="360" w:lineRule="auto"/>
        <w:ind w:firstLine="360"/>
        <w:jc w:val="both"/>
        <w:rPr>
          <w:rFonts w:ascii="Arial" w:hAnsi="Arial" w:cs="Arial"/>
          <w:sz w:val="24"/>
          <w:szCs w:val="24"/>
        </w:rPr>
      </w:pPr>
    </w:p>
    <w:p w14:paraId="5647EFE5" w14:textId="45E8CF41" w:rsidR="001F428D" w:rsidRPr="004E31EA" w:rsidRDefault="001F428D" w:rsidP="008F26AB">
      <w:pPr>
        <w:spacing w:line="360" w:lineRule="auto"/>
        <w:jc w:val="both"/>
        <w:rPr>
          <w:rFonts w:ascii="Arial" w:hAnsi="Arial" w:cs="Arial"/>
          <w:b/>
          <w:bCs/>
          <w:sz w:val="24"/>
          <w:szCs w:val="24"/>
        </w:rPr>
      </w:pPr>
      <w:bookmarkStart w:id="7" w:name="_aluruufmkrmd" w:colFirst="0" w:colLast="0"/>
      <w:bookmarkEnd w:id="7"/>
      <w:r w:rsidRPr="004E31EA">
        <w:rPr>
          <w:rFonts w:ascii="Arial" w:hAnsi="Arial" w:cs="Arial"/>
          <w:b/>
          <w:bCs/>
          <w:sz w:val="24"/>
          <w:szCs w:val="24"/>
        </w:rPr>
        <w:lastRenderedPageBreak/>
        <w:t xml:space="preserve">1.6 Significance of the Study </w:t>
      </w:r>
    </w:p>
    <w:p w14:paraId="61349424" w14:textId="7EB3E43D"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is significant as it provides insight into Children’s environmental awareness and contributes to the development of effective instructional strategies grounded in John Dewey’s experiential learning philosophy. The findings will have implications for various stakeholders, including educators, curriculum developers, policymakers, parents, and researcher. </w:t>
      </w:r>
    </w:p>
    <w:p w14:paraId="392419B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Educators – The study will help teachers understand children's existing environmental awareness levels. The developed instructional toolkits will help them implement hands-on, inquiry-based learning. Which will enhance learners' engagement and foster a deeper connection with environmental issues.</w:t>
      </w:r>
    </w:p>
    <w:p w14:paraId="38FA9BB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Curriculum Developers – The study will offer a new educational framework that integrates experiential learning into environmental education. In this way lessons are not only theoretical but also practic which would encourage active participation and real-world application.</w:t>
      </w:r>
    </w:p>
    <w:p w14:paraId="013515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Policymakers - The research findings can inform educational policies and programs focused on environmental education, supporting initiatives that promote sustainability and environmental consciousness among young learners.</w:t>
      </w:r>
    </w:p>
    <w:p w14:paraId="6C791FD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For parents and Guardians- Understanding children’s environmental awareness can help parents reinforce environmental values at home, fostering eco-friendly habits and behaviours beyond the classroom. </w:t>
      </w:r>
    </w:p>
    <w:p w14:paraId="7DC6FDB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For Researchers - The study will contribute to the existing body of knowledge on environmental education, providing a foundation for further research on instructional innovations and the effectiveness of experiential learning strategies in promoting sustainability </w:t>
      </w:r>
    </w:p>
    <w:p w14:paraId="5600BBB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By addressing the gap in children's environmental awareness and developing relevant instructional materials, this study aims to enhance environmental education practices, ultimately shaping a generation of environmentally  responsible individuals and achieve a sustainable future. </w:t>
      </w:r>
    </w:p>
    <w:p w14:paraId="20862978" w14:textId="77777777" w:rsidR="004E31EA" w:rsidRDefault="004E31EA" w:rsidP="008F26AB">
      <w:pPr>
        <w:spacing w:line="360" w:lineRule="auto"/>
        <w:jc w:val="both"/>
        <w:rPr>
          <w:rFonts w:ascii="Arial" w:hAnsi="Arial" w:cs="Arial"/>
          <w:b/>
          <w:bCs/>
          <w:sz w:val="24"/>
          <w:szCs w:val="24"/>
        </w:rPr>
      </w:pPr>
      <w:bookmarkStart w:id="8" w:name="_73l3485jow00" w:colFirst="0" w:colLast="0"/>
      <w:bookmarkEnd w:id="8"/>
    </w:p>
    <w:p w14:paraId="02C4F108" w14:textId="189B7FE5" w:rsidR="001F428D" w:rsidRPr="004E31EA" w:rsidRDefault="001F428D" w:rsidP="008F26AB">
      <w:pPr>
        <w:spacing w:line="360" w:lineRule="auto"/>
        <w:jc w:val="both"/>
        <w:rPr>
          <w:rFonts w:ascii="Arial" w:hAnsi="Arial" w:cs="Arial"/>
          <w:b/>
          <w:bCs/>
          <w:sz w:val="24"/>
          <w:szCs w:val="24"/>
        </w:rPr>
      </w:pPr>
      <w:r w:rsidRPr="004E31EA">
        <w:rPr>
          <w:rFonts w:ascii="Arial" w:hAnsi="Arial" w:cs="Arial"/>
          <w:b/>
          <w:bCs/>
          <w:sz w:val="24"/>
          <w:szCs w:val="24"/>
        </w:rPr>
        <w:t>1.7 Scope and Delimitation of the Study</w:t>
      </w:r>
    </w:p>
    <w:p w14:paraId="268D453B" w14:textId="0F63CD3A"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focuses on assessing children's environmental awareness as a foundation for developing Dewey-inspired instructional toolkits that enhance environmental education through experiential learning. The study will primarily examine children's knowledge, attitudes, and practice related to environmental awareness and while also identifying socio-cultural, educational, and experiential factors that shapes their awareness. The target participants of the study are Grade 5 and 6 elementary students aging 10-12 years old. The study will be conducted in Sultan Mamarinta Panandigan Integrated School, Bonbonon, Iligan City and Tomas Cabili Village Elementary School, Santiago, Iligan City, where both schools are located near dumpsites. Based on the findings, the study will design a prototype of Dewey-inspired instructional toolkits aimed at enhancing environmental education through experiential, hands-on learning activities. </w:t>
      </w:r>
    </w:p>
    <w:p w14:paraId="14A5BE1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has several delimitations that may affect the scope and applicability of its findings. It will focus solely on children aging 10 - 12 in Grade 5 and 6 from Sultan Mamarinta Panandigan Integrated School, Bonbonon, Iligan City  and Tomas Cabili Village Elementary School, Santiago, Iligan City, which may limit the generalisability of the results to a much broader population. This study is limited in two Elementary School which are both are located near dumpsite areas, where Sultan Mamarinta Panandigan Integrated School is a located in a rural highland area and Tomas Cabili Village Elementary School is located in an urban-coastal area, this will allow the study for a comparative analysis of environmental awareness among children exposed to different ecological and socio-cultural context. Additionally the research will examine environmental awareness but will not assess long-term behavioural changes following the use of instructional toolkit. The methodology will rely primarily on surveys, interviews and observation , without incorporating experimental intervention to measure the toolkits effectiveness. Furthermore, the study will be grounded in Dewey's experiential Learning Framework and will not explore other educational philosophies or </w:t>
      </w:r>
      <w:r w:rsidRPr="00730471">
        <w:rPr>
          <w:rFonts w:ascii="Arial" w:hAnsi="Arial" w:cs="Arial"/>
          <w:sz w:val="24"/>
          <w:szCs w:val="24"/>
        </w:rPr>
        <w:lastRenderedPageBreak/>
        <w:t xml:space="preserve">pedagogical approaches in depth. Despite this limitations, the study aims to provide a meaningful insights into children's environmental awareness and contribute to the advancement of environmental education through an innovative, experience-based learning strategies </w:t>
      </w:r>
    </w:p>
    <w:p w14:paraId="30A1DE83" w14:textId="77777777" w:rsidR="004E31EA" w:rsidRDefault="004E31EA" w:rsidP="008F26AB">
      <w:pPr>
        <w:spacing w:line="360" w:lineRule="auto"/>
        <w:jc w:val="both"/>
        <w:rPr>
          <w:rFonts w:ascii="Arial" w:hAnsi="Arial" w:cs="Arial"/>
          <w:b/>
          <w:bCs/>
          <w:sz w:val="24"/>
          <w:szCs w:val="24"/>
        </w:rPr>
      </w:pPr>
      <w:bookmarkStart w:id="9" w:name="_y1i9am2971ud" w:colFirst="0" w:colLast="0"/>
      <w:bookmarkEnd w:id="9"/>
    </w:p>
    <w:p w14:paraId="22733956" w14:textId="55F199B0" w:rsidR="001F428D" w:rsidRPr="004E31EA" w:rsidRDefault="001F428D" w:rsidP="008F26AB">
      <w:pPr>
        <w:spacing w:line="360" w:lineRule="auto"/>
        <w:jc w:val="both"/>
        <w:rPr>
          <w:rFonts w:ascii="Arial" w:hAnsi="Arial" w:cs="Arial"/>
          <w:b/>
          <w:bCs/>
          <w:sz w:val="24"/>
          <w:szCs w:val="24"/>
        </w:rPr>
      </w:pPr>
      <w:r w:rsidRPr="004E31EA">
        <w:rPr>
          <w:rFonts w:ascii="Arial" w:hAnsi="Arial" w:cs="Arial"/>
          <w:b/>
          <w:bCs/>
          <w:sz w:val="24"/>
          <w:szCs w:val="24"/>
        </w:rPr>
        <w:t xml:space="preserve">1.8 Definition of Terms </w:t>
      </w:r>
    </w:p>
    <w:p w14:paraId="1D3A99F6" w14:textId="0A420980"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section provides both conceptual and operational definitions of key terms used in the study.</w:t>
      </w:r>
    </w:p>
    <w:p w14:paraId="6C312B9C"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Environmental awareness </w:t>
      </w:r>
    </w:p>
    <w:p w14:paraId="3562F72F" w14:textId="665B0BD8"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Refers to a person's understanding of the environment. Which</w:t>
      </w:r>
      <w:r w:rsidR="004E31EA">
        <w:rPr>
          <w:rFonts w:ascii="Arial" w:hAnsi="Arial" w:cs="Arial"/>
          <w:sz w:val="24"/>
          <w:szCs w:val="24"/>
        </w:rPr>
        <w:t xml:space="preserve"> </w:t>
      </w:r>
      <w:r w:rsidRPr="00730471">
        <w:rPr>
          <w:rFonts w:ascii="Arial" w:hAnsi="Arial" w:cs="Arial"/>
          <w:sz w:val="24"/>
          <w:szCs w:val="24"/>
        </w:rPr>
        <w:t xml:space="preserve">includes the person's understanding on the cause and solutions of environmental issues and a person's knowledge of sustainable practices and ecological responsibility (UNESCO, 2021). </w:t>
      </w:r>
    </w:p>
    <w:p w14:paraId="30B1952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Operational Definition: In this study environmental awareness is defined as the children's knowledge, attitudes, and behaviours toward environmental issues through surveys and interviews.</w:t>
      </w:r>
    </w:p>
    <w:p w14:paraId="27B2B84E"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Experiential Learning</w:t>
      </w:r>
    </w:p>
    <w:p w14:paraId="0E554D5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Experiential learning is a learning process where individuals acquire knowledge through direct experience, reflection, and application, as proposed by Dewey (1938) and later expanded by Kolb (1984).</w:t>
      </w:r>
    </w:p>
    <w:p w14:paraId="79850DF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This study applies Dewey’s experiential learning framework in developing instructional toolkits that engage children in hands-on environmental activities. </w:t>
      </w:r>
    </w:p>
    <w:p w14:paraId="74F56ED1" w14:textId="77777777" w:rsidR="004E31EA" w:rsidRDefault="004E31EA" w:rsidP="008F26AB">
      <w:pPr>
        <w:spacing w:line="360" w:lineRule="auto"/>
        <w:jc w:val="both"/>
        <w:rPr>
          <w:rFonts w:ascii="Arial" w:hAnsi="Arial" w:cs="Arial"/>
          <w:b/>
          <w:bCs/>
          <w:sz w:val="24"/>
          <w:szCs w:val="24"/>
        </w:rPr>
      </w:pPr>
    </w:p>
    <w:p w14:paraId="0075DD9B" w14:textId="1641CA2A"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Instructional toolkits </w:t>
      </w:r>
    </w:p>
    <w:p w14:paraId="44C3362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Instructional toolkits are structures sets of educational resources, including lesson plans, activities, and materials, designed to support teaching and learning (Merrill, 2002).</w:t>
      </w:r>
    </w:p>
    <w:p w14:paraId="10028FB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Operational Definition: The Instructional toolkits in this study consist of interactive, experiential-based activities that aim to enhance children's environmental awareness in school settings. </w:t>
      </w:r>
    </w:p>
    <w:p w14:paraId="4D50B207"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Sustainability</w:t>
      </w:r>
    </w:p>
    <w:p w14:paraId="2BCAA01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Conceptual Definition: Sustainability refers to meeting present needs without compromising the ability of future generation to meet their own needs, as defined by the Brundtland Report (WCED,1987). </w:t>
      </w:r>
    </w:p>
    <w:p w14:paraId="176D761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In this study, sustainability is understood as children's ability to recognize and practice environmentally responsible behaviours in their daily lives. </w:t>
      </w:r>
    </w:p>
    <w:p w14:paraId="5D5920DB"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Dewey-inspired Instruction</w:t>
      </w:r>
    </w:p>
    <w:p w14:paraId="3F4E681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Dewey-inspired Instruction is an educational approach that emphasizes active, inquiry-based, and experience-driven learning as advocated by John Dewey (1938).</w:t>
      </w:r>
    </w:p>
    <w:p w14:paraId="26E21014" w14:textId="1E96035D" w:rsidR="004E31EA" w:rsidRPr="008F26AB"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This study incorporates Dewey's Principle into environmental education by designing activities that encourage children to engage with real world environmental problems through hands-on learning experience. </w:t>
      </w:r>
    </w:p>
    <w:p w14:paraId="126A7A16" w14:textId="06A945A9"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Ecological Literacy</w:t>
      </w:r>
    </w:p>
    <w:p w14:paraId="19DA624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Conceptual Definition: Ecological literacy refers to an individual's ability to understand the principles of ecological systems and apply that knowledge to make informed decisions that support environmental sustainability (Orr, 1992). </w:t>
      </w:r>
    </w:p>
    <w:p w14:paraId="69F81D4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In this study, ecological literacy is assessed based on children's ability to recognize environmental problems and propose appropriate actions for sustainability. </w:t>
      </w:r>
    </w:p>
    <w:p w14:paraId="705A9C84" w14:textId="77777777" w:rsidR="008F26AB" w:rsidRDefault="008F26AB" w:rsidP="008F26AB">
      <w:pPr>
        <w:spacing w:line="360" w:lineRule="auto"/>
        <w:jc w:val="both"/>
        <w:rPr>
          <w:rFonts w:ascii="Arial" w:hAnsi="Arial" w:cs="Arial"/>
          <w:b/>
          <w:bCs/>
          <w:sz w:val="24"/>
          <w:szCs w:val="24"/>
        </w:rPr>
      </w:pPr>
    </w:p>
    <w:p w14:paraId="5F3372F4" w14:textId="77777777" w:rsidR="008F26AB" w:rsidRDefault="008F26AB" w:rsidP="008F26AB">
      <w:pPr>
        <w:spacing w:line="360" w:lineRule="auto"/>
        <w:jc w:val="both"/>
        <w:rPr>
          <w:rFonts w:ascii="Arial" w:hAnsi="Arial" w:cs="Arial"/>
          <w:b/>
          <w:bCs/>
          <w:sz w:val="24"/>
          <w:szCs w:val="24"/>
        </w:rPr>
      </w:pPr>
    </w:p>
    <w:p w14:paraId="53CDF659" w14:textId="77777777" w:rsidR="008F26AB" w:rsidRDefault="008F26AB" w:rsidP="008F26AB">
      <w:pPr>
        <w:spacing w:line="360" w:lineRule="auto"/>
        <w:jc w:val="both"/>
        <w:rPr>
          <w:rFonts w:ascii="Arial" w:hAnsi="Arial" w:cs="Arial"/>
          <w:b/>
          <w:bCs/>
          <w:sz w:val="24"/>
          <w:szCs w:val="24"/>
        </w:rPr>
      </w:pPr>
    </w:p>
    <w:p w14:paraId="6E88C399"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lastRenderedPageBreak/>
        <w:t xml:space="preserve">Environmental Education </w:t>
      </w:r>
    </w:p>
    <w:p w14:paraId="0FC4C05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environmental education is a process that enables individuals to explore environmental issues, engage in problem-solving and take action to improve the environment (UNESCO, 1977)</w:t>
      </w:r>
    </w:p>
    <w:p w14:paraId="0A148C5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This study examines how environmental education is implemented in selected elementary schools and how it influences children's environmental awareness. </w:t>
      </w:r>
    </w:p>
    <w:p w14:paraId="51580C24"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Inquiry-Based Learning </w:t>
      </w:r>
    </w:p>
    <w:p w14:paraId="39D69F9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Inquiry-based learning is an educational strategy where students develop knowledge through questioning, exploration, and investigation of real-world problems (Hmelo-SIlver et al., 2007).</w:t>
      </w:r>
    </w:p>
    <w:p w14:paraId="26BEE956" w14:textId="7C0BD1CA" w:rsidR="004E31EA" w:rsidRPr="008F26AB"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The study incorporates inquiry-based learning in the instructional toolkits by encouraging children to ask questions and explore solution to environmental challenges. </w:t>
      </w:r>
    </w:p>
    <w:p w14:paraId="1116539C" w14:textId="498FA522"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Child-Centered Learning </w:t>
      </w:r>
    </w:p>
    <w:p w14:paraId="209246D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Child-Centered learning is an educational approach that prioritised students interest, experience, and active participation in the learning process (Dewey, 1902).</w:t>
      </w:r>
    </w:p>
    <w:p w14:paraId="26B45E4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The Instructional toolkits that will going to develop in this study are designed to be Child-Centered, ensuring that activities align with children’s interests, cognitive abilities and real-world experiences. </w:t>
      </w:r>
    </w:p>
    <w:p w14:paraId="709292A7"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These additional terms provide clarity on key concepts and frameworks that guide the study, ensuring a comprehensive understanding of its objectives and methodologies.</w:t>
      </w:r>
    </w:p>
    <w:p w14:paraId="788D0661" w14:textId="77777777" w:rsidR="004E31EA" w:rsidRDefault="004E31EA" w:rsidP="008F26AB">
      <w:pPr>
        <w:spacing w:line="360" w:lineRule="auto"/>
        <w:jc w:val="center"/>
        <w:rPr>
          <w:rFonts w:ascii="Arial" w:hAnsi="Arial" w:cs="Arial"/>
          <w:b/>
          <w:bCs/>
          <w:sz w:val="24"/>
          <w:szCs w:val="24"/>
        </w:rPr>
      </w:pPr>
    </w:p>
    <w:p w14:paraId="45B97D1C" w14:textId="77777777" w:rsidR="004E31EA" w:rsidRDefault="004E31EA" w:rsidP="008F26AB">
      <w:pPr>
        <w:spacing w:line="360" w:lineRule="auto"/>
        <w:jc w:val="center"/>
        <w:rPr>
          <w:rFonts w:ascii="Arial" w:hAnsi="Arial" w:cs="Arial"/>
          <w:b/>
          <w:bCs/>
          <w:sz w:val="24"/>
          <w:szCs w:val="24"/>
        </w:rPr>
      </w:pPr>
    </w:p>
    <w:p w14:paraId="27B86D2E" w14:textId="77777777" w:rsidR="004E31EA" w:rsidRDefault="004E31EA" w:rsidP="008F26AB">
      <w:pPr>
        <w:spacing w:line="360" w:lineRule="auto"/>
        <w:rPr>
          <w:rFonts w:ascii="Arial" w:hAnsi="Arial" w:cs="Arial"/>
          <w:b/>
          <w:bCs/>
          <w:sz w:val="24"/>
          <w:szCs w:val="24"/>
        </w:rPr>
      </w:pPr>
    </w:p>
    <w:p w14:paraId="6C7C1C67" w14:textId="77777777" w:rsidR="008F26AB" w:rsidRDefault="008F26AB" w:rsidP="008F26AB">
      <w:pPr>
        <w:spacing w:line="360" w:lineRule="auto"/>
        <w:rPr>
          <w:rFonts w:ascii="Arial" w:hAnsi="Arial" w:cs="Arial"/>
          <w:b/>
          <w:bCs/>
          <w:sz w:val="24"/>
          <w:szCs w:val="24"/>
        </w:rPr>
      </w:pPr>
    </w:p>
    <w:p w14:paraId="67DBDC1F" w14:textId="77777777" w:rsidR="00CB26E4" w:rsidRDefault="00CB26E4" w:rsidP="008F26AB">
      <w:pPr>
        <w:spacing w:line="360" w:lineRule="auto"/>
        <w:rPr>
          <w:rFonts w:ascii="Arial" w:hAnsi="Arial" w:cs="Arial"/>
          <w:b/>
          <w:bCs/>
          <w:sz w:val="24"/>
          <w:szCs w:val="24"/>
        </w:rPr>
      </w:pPr>
    </w:p>
    <w:p w14:paraId="4210F2F9" w14:textId="63AE1069" w:rsidR="00BF019E" w:rsidRPr="004E31EA" w:rsidRDefault="00CB26E4" w:rsidP="008F26AB">
      <w:pPr>
        <w:spacing w:line="360" w:lineRule="auto"/>
        <w:jc w:val="center"/>
        <w:rPr>
          <w:rFonts w:ascii="Arial" w:hAnsi="Arial" w:cs="Arial"/>
          <w:b/>
          <w:bCs/>
          <w:sz w:val="24"/>
          <w:szCs w:val="24"/>
        </w:rPr>
      </w:pPr>
      <w:r w:rsidRPr="004E31EA">
        <w:rPr>
          <w:rFonts w:ascii="Arial" w:hAnsi="Arial" w:cs="Arial"/>
          <w:b/>
          <w:bCs/>
          <w:sz w:val="24"/>
          <w:szCs w:val="24"/>
        </w:rPr>
        <w:t>Chapter 2</w:t>
      </w:r>
    </w:p>
    <w:p w14:paraId="0653613E" w14:textId="28664EDD" w:rsidR="004E31EA" w:rsidRPr="00965567" w:rsidRDefault="00CB26E4" w:rsidP="008F26AB">
      <w:pPr>
        <w:spacing w:line="360" w:lineRule="auto"/>
        <w:jc w:val="center"/>
        <w:rPr>
          <w:rFonts w:ascii="Arial" w:hAnsi="Arial" w:cs="Arial"/>
          <w:b/>
          <w:bCs/>
          <w:sz w:val="24"/>
          <w:szCs w:val="24"/>
        </w:rPr>
      </w:pPr>
      <w:r w:rsidRPr="004E31EA">
        <w:rPr>
          <w:rFonts w:ascii="Arial" w:hAnsi="Arial" w:cs="Arial"/>
          <w:b/>
          <w:bCs/>
          <w:sz w:val="24"/>
          <w:szCs w:val="24"/>
        </w:rPr>
        <w:t>REVIEW OF RELATED LITERATURE</w:t>
      </w:r>
    </w:p>
    <w:p w14:paraId="0CBD2188" w14:textId="694139CD"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literature will present the current condition of environmental education in the Philippines. The literature will also present the problems present in environmental education in the Philippines. Thus, presenting this will give the idea on how environmental education is needed in the Philippines and why it is the Children who should be the subject of this education. The literature then will define what is environmental awareness and consciousness. And will discuss John Dewey and Arne Naes and how their theory fits to be the basis for the development of the Toolkit. </w:t>
      </w:r>
    </w:p>
    <w:p w14:paraId="4EBC0FC9" w14:textId="77777777" w:rsidR="00BF019E" w:rsidRPr="004E31EA" w:rsidRDefault="00CB26E4" w:rsidP="008F26AB">
      <w:pPr>
        <w:spacing w:line="360" w:lineRule="auto"/>
        <w:jc w:val="both"/>
        <w:rPr>
          <w:rFonts w:ascii="Arial" w:hAnsi="Arial" w:cs="Arial"/>
          <w:b/>
          <w:bCs/>
          <w:sz w:val="24"/>
          <w:szCs w:val="24"/>
        </w:rPr>
      </w:pPr>
      <w:bookmarkStart w:id="10" w:name="_b36zxsfljqim" w:colFirst="0" w:colLast="0"/>
      <w:bookmarkEnd w:id="10"/>
      <w:r w:rsidRPr="004E31EA">
        <w:rPr>
          <w:rFonts w:ascii="Arial" w:hAnsi="Arial" w:cs="Arial"/>
          <w:b/>
          <w:bCs/>
          <w:sz w:val="24"/>
          <w:szCs w:val="24"/>
        </w:rPr>
        <w:t>2.1 Philippines and its Environment</w:t>
      </w:r>
    </w:p>
    <w:p w14:paraId="1FB66066" w14:textId="77777777" w:rsidR="00BF019E" w:rsidRPr="00730471" w:rsidRDefault="00CB26E4" w:rsidP="008F26AB">
      <w:pPr>
        <w:spacing w:line="360" w:lineRule="auto"/>
        <w:ind w:firstLine="720"/>
        <w:jc w:val="both"/>
        <w:rPr>
          <w:rFonts w:ascii="Arial" w:hAnsi="Arial" w:cs="Arial"/>
          <w:sz w:val="24"/>
          <w:szCs w:val="24"/>
          <w:highlight w:val="white"/>
        </w:rPr>
      </w:pPr>
      <w:r w:rsidRPr="00730471">
        <w:rPr>
          <w:rFonts w:ascii="Arial" w:hAnsi="Arial" w:cs="Arial"/>
          <w:sz w:val="24"/>
          <w:szCs w:val="24"/>
          <w:highlight w:val="white"/>
        </w:rPr>
        <w:t>According to Myer (2009), deforestation, soil erosion, disturbance of hydrological systems, over-exploitation of fisheries, loss of coral reefs, and extinction of species are all examples of environmental degradation in the Philippines.Aside from that, the</w:t>
      </w:r>
      <w:r w:rsidRPr="00730471">
        <w:rPr>
          <w:rFonts w:ascii="Arial" w:hAnsi="Arial" w:cs="Arial"/>
          <w:sz w:val="24"/>
          <w:szCs w:val="24"/>
        </w:rPr>
        <w:t xml:space="preserve"> country is also considered as one of the most vulnerable to the effects of natural disasters in the world </w:t>
      </w:r>
      <w:r w:rsidRPr="00730471">
        <w:rPr>
          <w:rFonts w:ascii="Arial" w:hAnsi="Arial" w:cs="Arial"/>
          <w:sz w:val="24"/>
          <w:szCs w:val="24"/>
          <w:highlight w:val="white"/>
        </w:rPr>
        <w:t xml:space="preserve">(USAID;World Risk Index as cited by Mina 2021, as the country’s placement is along the path of tropical storms brewing in the western Pacific as well as the Ring of Fire (Mina 2021). Reason why the country must become more environmentally resilient and capable of coping with and recovering fast from natural calamities (USAID). Agriculture, fishery, and forestry contribute for around 10% of GDP and about 30% of employment in the Philippines, hence natural resources are vital. Natural capital is also significant since it provides electricity, water, flood control, storm mitigation, and other environmental services to the entire country, including cities (USAID). </w:t>
      </w:r>
    </w:p>
    <w:p w14:paraId="329CDC62" w14:textId="77777777" w:rsidR="00BF019E" w:rsidRPr="00730471" w:rsidRDefault="00CB26E4" w:rsidP="008F26AB">
      <w:pPr>
        <w:spacing w:line="360" w:lineRule="auto"/>
        <w:ind w:firstLine="720"/>
        <w:jc w:val="both"/>
        <w:rPr>
          <w:rFonts w:ascii="Arial" w:hAnsi="Arial" w:cs="Arial"/>
          <w:sz w:val="24"/>
          <w:szCs w:val="24"/>
          <w:highlight w:val="white"/>
        </w:rPr>
      </w:pPr>
      <w:r w:rsidRPr="00730471">
        <w:rPr>
          <w:rFonts w:ascii="Arial" w:hAnsi="Arial" w:cs="Arial"/>
          <w:sz w:val="24"/>
          <w:szCs w:val="24"/>
          <w:highlight w:val="white"/>
        </w:rPr>
        <w:t xml:space="preserve">One of the highlighted environmental problem in this study is waste management. Both the study locale is situated near dumpsites. According to Creencia (2017) Iligan generates more or less 165 tons of waste everyday, given this amount of waste Iligan City is seen to fail in terms of waste management.  The implementation of waste management in Iligan City, as </w:t>
      </w:r>
      <w:r w:rsidRPr="00730471">
        <w:rPr>
          <w:rFonts w:ascii="Arial" w:hAnsi="Arial" w:cs="Arial"/>
          <w:sz w:val="24"/>
          <w:szCs w:val="24"/>
          <w:highlight w:val="white"/>
        </w:rPr>
        <w:lastRenderedPageBreak/>
        <w:t>stated by (Cuizon 2012) in his study,  is not consistent across the 44 barangays and highlighted that there is a need for improvement on the programs and community participation in terms of waste management. Araña et al. (n.d.) evaluated that the implementation of the Ecological Solid Waste Management Act (RA 9003) Iligan City has a gap when it comes to enforcement and compliance at the barangay level, thus, indicates challenges in implementation and monitoring in waste management.  In school level, the study of Magdugo et al. (2024) have shown that students have strong institutional effort when it comes to waste management, however still requires continuous engagement.</w:t>
      </w:r>
    </w:p>
    <w:p w14:paraId="46BF5F56" w14:textId="77777777" w:rsidR="00BF019E" w:rsidRPr="00730471" w:rsidRDefault="00CB26E4" w:rsidP="008F26AB">
      <w:pPr>
        <w:spacing w:line="360" w:lineRule="auto"/>
        <w:ind w:firstLine="720"/>
        <w:jc w:val="both"/>
        <w:rPr>
          <w:rFonts w:ascii="Arial" w:hAnsi="Arial" w:cs="Arial"/>
          <w:sz w:val="24"/>
          <w:szCs w:val="24"/>
          <w:highlight w:val="white"/>
        </w:rPr>
      </w:pPr>
      <w:r w:rsidRPr="00730471">
        <w:rPr>
          <w:rFonts w:ascii="Arial" w:hAnsi="Arial" w:cs="Arial"/>
          <w:sz w:val="24"/>
          <w:szCs w:val="24"/>
          <w:highlight w:val="white"/>
        </w:rPr>
        <w:t xml:space="preserve">One of the initiative of the local the local government of Iligan City is its Central Material Recovery and Composting Facility (CMRCF) -a waste processing system, this waste management project aims to have a sustainable and City-wide waste management (City Government of Iligan, n.d.).  However, according to Creencia (2017), waste management fails because of factors like poor waste facility design, weak information campaigns and mismanagement of the waste facility. Ellos (2025) claims resident behavior affects plastic waste generation and suggests that the Local Government of Iligan City should have a better sustainable waste management system. Environmental education is needed to instill environmental awareness to the young learners of Iligan City  as the problem of environmental degradation is not something that should be taken lightly, especially waste management. </w:t>
      </w:r>
    </w:p>
    <w:p w14:paraId="36B947E0" w14:textId="77777777" w:rsidR="00BF019E" w:rsidRPr="00965567" w:rsidRDefault="00CB26E4" w:rsidP="008F26AB">
      <w:pPr>
        <w:spacing w:line="360" w:lineRule="auto"/>
        <w:jc w:val="both"/>
        <w:rPr>
          <w:rFonts w:ascii="Arial" w:hAnsi="Arial" w:cs="Arial"/>
          <w:b/>
          <w:bCs/>
          <w:sz w:val="24"/>
          <w:szCs w:val="24"/>
        </w:rPr>
      </w:pPr>
      <w:bookmarkStart w:id="11" w:name="_cjon9pbbd5eg" w:colFirst="0" w:colLast="0"/>
      <w:bookmarkEnd w:id="11"/>
      <w:r w:rsidRPr="00965567">
        <w:rPr>
          <w:rFonts w:ascii="Arial" w:hAnsi="Arial" w:cs="Arial"/>
          <w:b/>
          <w:bCs/>
          <w:sz w:val="24"/>
          <w:szCs w:val="24"/>
        </w:rPr>
        <w:t>2.2 Environmental education in the Philippines</w:t>
      </w:r>
    </w:p>
    <w:p w14:paraId="7D0729D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w:t>
      </w:r>
      <w:r w:rsidRPr="00730471">
        <w:rPr>
          <w:rFonts w:ascii="Arial" w:hAnsi="Arial" w:cs="Arial"/>
          <w:sz w:val="24"/>
          <w:szCs w:val="24"/>
        </w:rPr>
        <w:tab/>
        <w:t xml:space="preserve">Environmental education in the Philippines is not new where in fact there are policies enacted in line with this. The Republic Act No. 9512, or the Environmental Awareness Education Act of 2008, was enacted in response to a United Nations declaration on climate change, the law requires the three educational agencies – DepEd, CHED, and TESDA – to integrate environmental education into all subject areas, use various teaching strategies to introduce environment education to learners, and enable students to develop their own sense of values and commitment to solve </w:t>
      </w:r>
      <w:r w:rsidRPr="00730471">
        <w:rPr>
          <w:rFonts w:ascii="Arial" w:hAnsi="Arial" w:cs="Arial"/>
          <w:sz w:val="24"/>
          <w:szCs w:val="24"/>
        </w:rPr>
        <w:lastRenderedPageBreak/>
        <w:t>problems and make decisions concerning the environment in collaboration with other agencies such as DENR and DOST (Republic Act No. 9512, 2008). Another is DepED Order No. 72, s.2003 also known as YES-O or the Youth for Environment in Schools Organization, an avenue for students to do environmental actions such as tree-planting activities, clean-up drives , and other environmental activities in the community (DepEd Order No. 72, 2003) . Furthermore, in light of strengthening environment education in public and private schools DepEd lunches DepEd Order No. 52, s.2011, which necessitates effective school-based activities that promote, protect, and preserve the environment (DepEd Order No. 52, 2011). While, on the tertiary level, some higher education institutions have started to offer environment-related courses; most HEIs have integrated environment protection into the NSTP courses; others, especially the private HEIs, even conduct community and extension programs regarding environment protection (Tarubal, 2021)</w:t>
      </w:r>
    </w:p>
    <w:p w14:paraId="16DD62FE" w14:textId="77777777" w:rsidR="00BF019E" w:rsidRPr="00965567" w:rsidRDefault="00CB26E4" w:rsidP="008F26AB">
      <w:pPr>
        <w:spacing w:line="360" w:lineRule="auto"/>
        <w:jc w:val="both"/>
        <w:rPr>
          <w:rFonts w:ascii="Arial" w:hAnsi="Arial" w:cs="Arial"/>
          <w:b/>
          <w:bCs/>
          <w:sz w:val="24"/>
          <w:szCs w:val="24"/>
        </w:rPr>
      </w:pPr>
      <w:bookmarkStart w:id="12" w:name="_9d7tl4r42i9c" w:colFirst="0" w:colLast="0"/>
      <w:bookmarkEnd w:id="12"/>
      <w:r w:rsidRPr="00965567">
        <w:rPr>
          <w:rFonts w:ascii="Arial" w:hAnsi="Arial" w:cs="Arial"/>
          <w:b/>
          <w:bCs/>
          <w:sz w:val="24"/>
          <w:szCs w:val="24"/>
        </w:rPr>
        <w:t>2.3 The problem of environmental education in the Philippines</w:t>
      </w:r>
    </w:p>
    <w:p w14:paraId="462B792C"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According to Tarubal (2021), there are two main problems with environmental education in the Philippines, first is “the absence of a sustainable and integral development program”. The Philippines has always been at the core of several ecological catastrophes, owing to both human and natural forces, the reason why development that is both sustainable and integrated, as well as genuine for the greater benefit is a great need (Aguas, 2019). According to Esa (2010), educational institutions must work harder to prepare their students for a sustainable future and that teachers have the greatest impact on preparing children and teenagers to be future environmental leaders. However, according to Tarubal (2021), policies such as integrative environmental education would be pointless if they were not accompanied by other policies and programs aimed at improving employment and social welfare. </w:t>
      </w:r>
    </w:p>
    <w:p w14:paraId="0CD47118"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second problem with environmental education in the Philippines is the “lack of education programs, curricula, or teaching strategies that engage learners to practice environmental protection and preservation” (Turubal, 2021). According to Punzalan (2020), the result of assessment of the senior </w:t>
      </w:r>
      <w:r w:rsidRPr="00730471">
        <w:rPr>
          <w:rFonts w:ascii="Arial" w:hAnsi="Arial" w:cs="Arial"/>
          <w:sz w:val="24"/>
          <w:szCs w:val="24"/>
        </w:rPr>
        <w:lastRenderedPageBreak/>
        <w:t>high school students' environmental awareness and practices revealed that while they had a high level of environmental knowledge, they were lacking in environmental praxis, in where, as a result, he advocated for school-based programs and activities that raise both the degree of environmental knowledge and the level of practice in resolving environmental issues and promoting sustainable development.</w:t>
      </w:r>
    </w:p>
    <w:p w14:paraId="4D034C9B" w14:textId="77777777" w:rsidR="00BF019E" w:rsidRPr="00E87451" w:rsidRDefault="00CB26E4" w:rsidP="008F26AB">
      <w:pPr>
        <w:spacing w:line="360" w:lineRule="auto"/>
        <w:jc w:val="both"/>
        <w:rPr>
          <w:rFonts w:ascii="Arial" w:hAnsi="Arial" w:cs="Arial"/>
          <w:b/>
          <w:bCs/>
          <w:sz w:val="24"/>
          <w:szCs w:val="24"/>
        </w:rPr>
      </w:pPr>
      <w:bookmarkStart w:id="13" w:name="_6pk2q7rp5kbq" w:colFirst="0" w:colLast="0"/>
      <w:bookmarkEnd w:id="13"/>
      <w:r w:rsidRPr="00E87451">
        <w:rPr>
          <w:rFonts w:ascii="Arial" w:hAnsi="Arial" w:cs="Arial"/>
          <w:b/>
          <w:bCs/>
          <w:sz w:val="24"/>
          <w:szCs w:val="24"/>
        </w:rPr>
        <w:t>2.4 Ecological Awareness in Filipino Education Students</w:t>
      </w:r>
    </w:p>
    <w:p w14:paraId="129EBA91"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highlight w:val="white"/>
        </w:rPr>
        <w:t xml:space="preserve">According to Project Learning (n.d.), “environmental education provides important opportunities for students to become engaged in real world issues that transcend classroom walls. They can see the relevance of their classroom studies to the complex environmental issues confronting our planet and they can acquire the skills they’ll need to be creative problem solvers and powerful advocates”.  According to </w:t>
      </w:r>
      <w:r w:rsidRPr="00730471">
        <w:rPr>
          <w:rFonts w:ascii="Arial" w:hAnsi="Arial" w:cs="Arial"/>
          <w:sz w:val="24"/>
          <w:szCs w:val="24"/>
        </w:rPr>
        <w:t xml:space="preserve">Tarubal (2021), forming students’ minds and equipping them with skills will not only raise their awareness, but will encourage them seek alternatives when they have to make key decisions when dealing with the environment around them. For instance, the student who resorted to kaingin to make a living, if taught properly, could instead find an environment-friendly, alternative means of living. </w:t>
      </w:r>
    </w:p>
    <w:p w14:paraId="270E6784" w14:textId="46E05B0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One way to promote environmental awareness is to incorporate environmental education throughout the curriculum (Hollweg et. al., 2011; Burns and Kavacs, 2014 Tomar, 2017). One way to accomplish this, according to Hadzigeorgiou and Skoumios (2013), is through a pedagogical approach that keeps the natural environment front and center during the teaching-learning process. Recent studies have examined the environmental awareness and practice among Filipino students particularly on highschool students and they have notice a consistent pattern of students to be aware of the ecological issues, particularly in caring and practical competency which levels of this awareness are influenced by socioeconomic factors (Lualhati et al., 2018). Moreover, students generally demonstrate good to very high levels of environmental awareness but their environmental practice appears to be in a poor to moderate level (Punzalan, 2020; Escatron et al., 2023; Galorio and Naling, 2024; Buot and Manalo, 2024). While students recognize their </w:t>
      </w:r>
      <w:r w:rsidRPr="00730471">
        <w:rPr>
          <w:rFonts w:ascii="Arial" w:hAnsi="Arial" w:cs="Arial"/>
          <w:sz w:val="24"/>
          <w:szCs w:val="24"/>
        </w:rPr>
        <w:lastRenderedPageBreak/>
        <w:t>obligation to conserve the environment and preserve finite resources, there remains room for improvement in addressing environmental change and promotimg outdoor activities (Escatron et al., 2023). The disparity between awareness and practice is particularly evident in the concept of nutrient cycling, where students show high awareness in attitude but low awareness in knowledge and practice (Buot &amp; Manalo, 2024). These findings highlight the need for developing and implementing effective environmental education programs and instructional materials that aim to bridge the gap between awareness and practice, ultimately fostering sustainable behaviors among students (Punzalan, 2020; Galorio &amp; Naling, 2024). “Learning about… environmental processes feeds into… appreciation for nature and… environmental protection.”  (Anne, n.d.)</w:t>
      </w:r>
    </w:p>
    <w:p w14:paraId="6EA5E886"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gap between awareness and practice is also seen to be a result of the least competent pre-service elementary student teacher in terms of ecological foundation (Panganiban-Lualhati, 217). Filipino pre-service elementary teachers showed varying of competencies across different environmental education content areas (Panganiban-Lualhati, 217). however, in the study of Garcia and Cobar-Garcia’s (2018) shows that elementary teachers particularly in Manila and Nueva Ecija Province have “scored very low on environmental issues and climate change” (Garcia &amp; Cobar-Garcia, 2018). In India, a study of </w:t>
      </w:r>
      <w:hyperlink r:id="rId15">
        <w:r w:rsidR="00BF019E" w:rsidRPr="00730471">
          <w:rPr>
            <w:rStyle w:val="Hyperlink"/>
            <w:rFonts w:ascii="Arial" w:hAnsi="Arial" w:cs="Arial"/>
            <w:sz w:val="24"/>
            <w:szCs w:val="24"/>
          </w:rPr>
          <w:t>Basic Ed</w:t>
        </w:r>
      </w:hyperlink>
      <w:r w:rsidRPr="00730471">
        <w:rPr>
          <w:rFonts w:ascii="Arial" w:hAnsi="Arial" w:cs="Arial"/>
          <w:sz w:val="24"/>
          <w:szCs w:val="24"/>
        </w:rPr>
        <w:t xml:space="preserve">ucation Teacher trainees revealed that most possessed moderate levels of environment competencies, with significant differences based on gender and education background (Kumar and Rani, 2021). According to Garcia and Cobar-Garcia (2018) this may be result that most of the teachers teaching environmental education may have taken at least one to none environmental science course during their undergraduate/graduate studies, being not active in participating environmental groups, and not being too invested on reading publications and news about the environment may cause the incompetencies of elementary teachers. These findings underscores the importance of enhancing environmental education in teacher training programs to improve overall competencies. “…there is a need for curriculum development of pre-service teacher education leaning toward the pedagogy to improve the teaching of </w:t>
      </w:r>
      <w:r w:rsidRPr="00730471">
        <w:rPr>
          <w:rFonts w:ascii="Arial" w:hAnsi="Arial" w:cs="Arial"/>
          <w:sz w:val="24"/>
          <w:szCs w:val="24"/>
        </w:rPr>
        <w:lastRenderedPageBreak/>
        <w:t xml:space="preserve">science, i.e., science process skills; on the assumption that RA 9512 is strictly implemented” (Garcia &amp; Cobar-Garcia, 2018). Teacher competencies directly affect how children engage in environmental activities; hence, designing Dewey-inspired toolkits for children must consider teacher facilitation skills. </w:t>
      </w:r>
    </w:p>
    <w:p w14:paraId="6DD65802" w14:textId="77777777" w:rsidR="00BF019E" w:rsidRPr="00E87451" w:rsidRDefault="00CB26E4" w:rsidP="008F26AB">
      <w:pPr>
        <w:spacing w:line="360" w:lineRule="auto"/>
        <w:jc w:val="both"/>
        <w:rPr>
          <w:rFonts w:ascii="Arial" w:hAnsi="Arial" w:cs="Arial"/>
          <w:b/>
          <w:bCs/>
          <w:sz w:val="24"/>
          <w:szCs w:val="24"/>
        </w:rPr>
      </w:pPr>
      <w:bookmarkStart w:id="14" w:name="_kpx38xoozaag" w:colFirst="0" w:colLast="0"/>
      <w:bookmarkEnd w:id="14"/>
      <w:r w:rsidRPr="00E87451">
        <w:rPr>
          <w:rFonts w:ascii="Arial" w:hAnsi="Arial" w:cs="Arial"/>
          <w:b/>
          <w:bCs/>
          <w:sz w:val="24"/>
          <w:szCs w:val="24"/>
        </w:rPr>
        <w:t>2.5 Cultivating Environmental Consciousness in Filipino Youth</w:t>
      </w:r>
    </w:p>
    <w:p w14:paraId="52FB445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Environmental consciousness in Filipino children can be developed through various educational approaches. Study of Lualhati et al. (2018) have shown that Filipino education students demonstrate ecological awareness, particularly in caring and practical competency. Outdoor experiences play a crucial role in raising environmental consciousness by connecting people to their environment, fostering care, and building agency (Nazir &amp; Pedretti, 2016) and that outdoor recreation and nature based experiences significantly support youth development, including environmental awareness and social/psychological well being (</w:t>
      </w:r>
      <w:r w:rsidRPr="00730471">
        <w:rPr>
          <w:rFonts w:ascii="Arial" w:hAnsi="Arial" w:cs="Arial"/>
          <w:sz w:val="24"/>
          <w:szCs w:val="24"/>
          <w:highlight w:val="white"/>
        </w:rPr>
        <w:t>Aphamis, 2025)</w:t>
      </w:r>
    </w:p>
    <w:p w14:paraId="0C79313F"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Workshops that engage children in visualizing and designing their ideal world can help evaluate and improve their environmental consciousness (Guller and Tukuc, 2020). Moreover, a study shows that school gardens used with early childhood would enhance children’s environmental and scientific skills (Canon-Vargas, Melo-Mora and Sosa, 2025). According to Collado et al. (2020) nature exposure is more effective in terms of instilling good environmental attitude than traditional instructions. In the Philippines, efforts to promote  environmental education are not only centered to learners but are also implemented in teacher training programs through curriculum guides and various instructional strategies (Lopez, 2020). Moreover, nature-based environmental education improves children's environmental attitudes, however, behavior change is seen to be moderate which highlights both the potential and limitations of environmental education (Ararwal, et al., 2024). These approaches in promoting environmental education collectively contributed in the formation of environmental consciousness in Filipino children. Focusing on care, knowledge, and action to promote environmental participation. However there is still a need for enhanced environmental education programs in schools to improve student’s environmental awareness </w:t>
      </w:r>
      <w:r w:rsidRPr="00730471">
        <w:rPr>
          <w:rFonts w:ascii="Arial" w:hAnsi="Arial" w:cs="Arial"/>
          <w:sz w:val="24"/>
          <w:szCs w:val="24"/>
        </w:rPr>
        <w:lastRenderedPageBreak/>
        <w:t xml:space="preserve">and practices. Studies recommended to implement a information dissemination programs in environmental education, institutionalizing environmental advocacies, and develop training modules to strengthen environmental competencies among students and future teachers (Lualhati et al., 2018; Punzalan, 2020; Rogayan &amp; Nebrida, 2019; Panganiban-Lualhati, 2017). </w:t>
      </w:r>
    </w:p>
    <w:p w14:paraId="2062F27D"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aim of implementing environmental education is to awaken the awareness of the student on environmental matters, and being aware means being conscious. But what is environmental consciousnes? </w:t>
      </w:r>
      <w:r w:rsidRPr="00730471">
        <w:rPr>
          <w:rFonts w:ascii="Arial" w:hAnsi="Arial" w:cs="Arial"/>
          <w:sz w:val="24"/>
          <w:szCs w:val="24"/>
          <w:highlight w:val="white"/>
        </w:rPr>
        <w:t xml:space="preserve"> According to </w:t>
      </w:r>
      <w:r w:rsidRPr="00730471">
        <w:rPr>
          <w:rFonts w:ascii="Arial" w:hAnsi="Arial" w:cs="Arial"/>
          <w:sz w:val="24"/>
          <w:szCs w:val="24"/>
        </w:rPr>
        <w:t xml:space="preserve">Pachmama Alliance (n.d.), environmental consciousness is </w:t>
      </w:r>
      <w:r w:rsidRPr="00730471">
        <w:rPr>
          <w:rFonts w:ascii="Arial" w:hAnsi="Arial" w:cs="Arial"/>
          <w:sz w:val="24"/>
          <w:szCs w:val="24"/>
          <w:highlight w:val="white"/>
        </w:rPr>
        <w:t>to understand the fragility of our environment and the importance of its protection. And that to define environmental awareness we must first understand the environmentalist movement. Environmentalism is an ideology that evokes the necessity and responsibility of humans to respect, protect, and preserve the natural world from its anthropogenic (caused by humans) afflictions (</w:t>
      </w:r>
      <w:r w:rsidRPr="00730471">
        <w:rPr>
          <w:rFonts w:ascii="Arial" w:hAnsi="Arial" w:cs="Arial"/>
          <w:sz w:val="24"/>
          <w:szCs w:val="24"/>
        </w:rPr>
        <w:t>Pachmama Alliance, n.d.). According to Zelezny and Schultz (2000) as cited by (Mathur and Kumari, 2013) , “ ‘environmental consciousness’ refers to specific psychological factors related to an individuals’ inclination to engage in pro-environmental behaviours of various kinds. This leads to a ‘change of heart’ such that the individual now views the Earth to restore it through his experience and education rather than as a resource to be exploited”.</w:t>
      </w:r>
    </w:p>
    <w:p w14:paraId="0EFD6C8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And if we constitute environmental consciousness on the lenses of production and consumption, consumers who care about environmental well-being, according to abkar and Hosta (2013) as cited by Aragao (2021), have changed their lifestyles, shifting from an immediate and individual-focused type of consumption to one that considers the collective interests, thinking in the long term and in the longevity of the planet's natural resources, as a result, the development of ecological consciousness could be regarded as a shift from the former to the latter, with a greater emphasis on collective issues. </w:t>
      </w:r>
      <w:r w:rsidRPr="00730471">
        <w:rPr>
          <w:rFonts w:ascii="Arial" w:hAnsi="Arial" w:cs="Arial"/>
          <w:sz w:val="24"/>
          <w:szCs w:val="24"/>
          <w:highlight w:val="white"/>
        </w:rPr>
        <w:t xml:space="preserve">As we are all accountable for environmental damage, it is critical that everyone enhance their environmental consciousness, to guarantee that future generations' lives are safe, it is especially important to teach youngsters about the need for environmental awareness. As things stand, our actions will </w:t>
      </w:r>
      <w:r w:rsidRPr="00730471">
        <w:rPr>
          <w:rFonts w:ascii="Arial" w:hAnsi="Arial" w:cs="Arial"/>
          <w:sz w:val="24"/>
          <w:szCs w:val="24"/>
          <w:highlight w:val="white"/>
        </w:rPr>
        <w:lastRenderedPageBreak/>
        <w:t>have the greatest impact on future generations, in which we must provide our children with the tools they need to be environmentally responsible and educated (DeltaNet International, n.d.)</w:t>
      </w:r>
      <w:r w:rsidRPr="00730471">
        <w:rPr>
          <w:rFonts w:ascii="Arial" w:hAnsi="Arial" w:cs="Arial"/>
          <w:sz w:val="24"/>
          <w:szCs w:val="24"/>
        </w:rPr>
        <w:t xml:space="preserve">. </w:t>
      </w:r>
      <w:r w:rsidRPr="00730471">
        <w:rPr>
          <w:rFonts w:ascii="Arial" w:hAnsi="Arial" w:cs="Arial"/>
          <w:sz w:val="24"/>
          <w:szCs w:val="24"/>
          <w:highlight w:val="white"/>
        </w:rPr>
        <w:t>“Environmental awareness is an integral part of the movement’s success. By teaching our friends and family that the physical environment is fragile and indispensable, we can begin fixing the problems that threaten it” (</w:t>
      </w:r>
      <w:r w:rsidRPr="00730471">
        <w:rPr>
          <w:rFonts w:ascii="Arial" w:hAnsi="Arial" w:cs="Arial"/>
          <w:sz w:val="24"/>
          <w:szCs w:val="24"/>
        </w:rPr>
        <w:t xml:space="preserve">Pachmama Alliance, n.d.). According to Mathur and Kumari (2013), “People who show high values in the affective dimension of environmental consciousness, or those who have environmental information identify with ecological beliefs about human-environment interaction. They have an altruistic or biospheric attitude and express feelings of moral obligation and engage in pro-environmental behaviours  to a greater extent than those who have an egoistic attitude.” </w:t>
      </w:r>
      <w:r w:rsidRPr="00730471">
        <w:rPr>
          <w:rFonts w:ascii="Arial" w:hAnsi="Arial" w:cs="Arial"/>
          <w:sz w:val="24"/>
          <w:szCs w:val="24"/>
          <w:highlight w:val="white"/>
        </w:rPr>
        <w:t>There are several resources available to enhance environmental awareness and education, including group learning (inside or outside of the classroom), instructional and inspiring seminars, online courses, books, articles, films, and brochures, to name a few, stay up to date on environmental news, read books and other resources, and learn about the issues affecting your own community, as it is much easier to talk to others about the environment if you’ve already taken the time to educate yourself  (</w:t>
      </w:r>
      <w:r w:rsidRPr="00730471">
        <w:rPr>
          <w:rFonts w:ascii="Arial" w:hAnsi="Arial" w:cs="Arial"/>
          <w:sz w:val="24"/>
          <w:szCs w:val="24"/>
        </w:rPr>
        <w:t>Pachmama Alliancen, n.d.).</w:t>
      </w:r>
    </w:p>
    <w:p w14:paraId="2B38EC41"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Furthermore, the result of assessment made by Mathur and Kumari (2013), showcase the relation of the kind of attitude of the person towards the environment and the kind of community it belongs to. According to Mathur and Kumari (2013), “urban respondents exhibit egoistic attitudes while suburban participants who are in close contact with nature show biospheric attitudes. Significant correlations are seen between egoistic attitude and value of self-enhancement (0.73) in case of urban participants and between biospheric attitude and the value of self-transcendence (0.59) for suburban participants. This is probably because the value of Self transcendence is a form of environmental consciousness which may develop into Higher Consciousness”.  Where, even the knowledge and practice of waste management is seen to different according to the person’s socioeconomic status (Cuizon, 2012). </w:t>
      </w:r>
    </w:p>
    <w:p w14:paraId="41CC4D75" w14:textId="77777777" w:rsidR="00BF019E" w:rsidRPr="004E31EA" w:rsidRDefault="00CB26E4" w:rsidP="008F26AB">
      <w:pPr>
        <w:spacing w:line="360" w:lineRule="auto"/>
        <w:jc w:val="both"/>
        <w:rPr>
          <w:rFonts w:ascii="Arial" w:hAnsi="Arial" w:cs="Arial"/>
          <w:b/>
          <w:bCs/>
          <w:sz w:val="24"/>
          <w:szCs w:val="24"/>
        </w:rPr>
      </w:pPr>
      <w:bookmarkStart w:id="15" w:name="_maa5xzvtuben" w:colFirst="0" w:colLast="0"/>
      <w:bookmarkEnd w:id="15"/>
      <w:r w:rsidRPr="004E31EA">
        <w:rPr>
          <w:rFonts w:ascii="Arial" w:hAnsi="Arial" w:cs="Arial"/>
          <w:b/>
          <w:bCs/>
          <w:sz w:val="24"/>
          <w:szCs w:val="24"/>
        </w:rPr>
        <w:lastRenderedPageBreak/>
        <w:t>2.6 The need of understanding Naess’s deep ecology and environmental consciousness</w:t>
      </w:r>
    </w:p>
    <w:p w14:paraId="55C46528"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Two of the most important concepts that are related to environmental care and our present ecological situation are sustainable development and integral ecology (Aguas, 2019). The things that children should understand in terms of the environment should be biocentric and not anthropocentric. Why?  As Madsen, (n.d.), argue that anthropocentrism, a worldview that includes an instrumentalist view of nature and sees humanity as the conqueror of nature, has resulted in environmental degradation around the world, and that it should be replaced with ecocentric (ecology-centered) or biocentric (life-centered) worldviews, in which the biosphere is the primary concern.</w:t>
      </w:r>
    </w:p>
    <w:p w14:paraId="6A699FB2"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paper aims to change the anthropocentric and “the shallow ecology movement” (</w:t>
      </w:r>
      <w:r w:rsidRPr="00730471">
        <w:rPr>
          <w:rFonts w:ascii="Arial" w:hAnsi="Arial" w:cs="Arial"/>
          <w:sz w:val="24"/>
          <w:szCs w:val="24"/>
          <w:highlight w:val="white"/>
        </w:rPr>
        <w:t xml:space="preserve">as Næss calls it; is the “fight against pollution and resource depletion”, the central objective of which is “the health and affluence of people in the developed countries”) into a biocentric and “deep ecology movement”(endorses “biospheric egalitarianism”, the view that all living things are alike in having value in their own right, independent of their usefulness to others) (Stanford </w:t>
      </w:r>
      <w:r w:rsidRPr="00730471">
        <w:rPr>
          <w:rFonts w:ascii="Arial" w:hAnsi="Arial" w:cs="Arial"/>
          <w:sz w:val="24"/>
          <w:szCs w:val="24"/>
        </w:rPr>
        <w:t>Encyclopedia of Philosophy, 2015), through developing an instructional toolkit. According to Mathur and Kumari (2013), “the process of change in outlook is called ecological conversion. The individual understands that human estrangement from the natural world has given rise to its destruction without conscience. The individual realizes the need for renewing and restoring the Earth because it belongs to God, because it is our home and provider of our needs and must not be exploited. This leads to the development of an intimate interconnectedness, balance and harmony with nature. The observation of the Earth and Universe as sacred and acknowledging the beauty, complexity and fragility of the Earth with awe and wonder is Higher Consciousness”.</w:t>
      </w:r>
    </w:p>
    <w:p w14:paraId="71206CA4" w14:textId="4D2BC479" w:rsidR="00BF019E" w:rsidRPr="004E31EA" w:rsidRDefault="004E31EA" w:rsidP="008F26AB">
      <w:pPr>
        <w:spacing w:line="360" w:lineRule="auto"/>
        <w:jc w:val="both"/>
        <w:rPr>
          <w:rFonts w:ascii="Arial" w:hAnsi="Arial" w:cs="Arial"/>
          <w:b/>
          <w:bCs/>
          <w:sz w:val="24"/>
          <w:szCs w:val="24"/>
        </w:rPr>
      </w:pPr>
      <w:r>
        <w:rPr>
          <w:rFonts w:ascii="Arial" w:hAnsi="Arial" w:cs="Arial"/>
          <w:b/>
          <w:bCs/>
          <w:sz w:val="24"/>
          <w:szCs w:val="24"/>
        </w:rPr>
        <w:t xml:space="preserve">2.7 </w:t>
      </w:r>
      <w:r w:rsidRPr="004E31EA">
        <w:rPr>
          <w:rFonts w:ascii="Arial" w:hAnsi="Arial" w:cs="Arial"/>
          <w:b/>
          <w:bCs/>
          <w:sz w:val="24"/>
          <w:szCs w:val="24"/>
        </w:rPr>
        <w:t>John Dewey’s Pedagogy Of learning</w:t>
      </w:r>
    </w:p>
    <w:p w14:paraId="03F4CEE3"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William James, John Dewey, Kurt Lewin, Jean Piaget, and Carl Rogers are among the major twentieth-century researchers who contributed to Experiential Learning Theory. These philosophers promoted education as </w:t>
      </w:r>
      <w:r w:rsidRPr="00730471">
        <w:rPr>
          <w:rFonts w:ascii="Arial" w:hAnsi="Arial" w:cs="Arial"/>
          <w:sz w:val="24"/>
          <w:szCs w:val="24"/>
        </w:rPr>
        <w:lastRenderedPageBreak/>
        <w:t>learner-centered, emphasizing the importance of experiences in learning (Kolb &amp; Kolb, 2012). As per the result of Punzalan (2020) assessment of the senior high school students' environmental awareness and practices revealed that students lacking in environmental praxis and his advocacy for a school-based programs and activities that raise both the degree of environmental knowledge and the level of practice in resolving environmental issues and promoting sustainable, is saying much of promoting an experience-base education.John Dewey (1987), in his book My Pedagogic Creed  emphasizes the importance of children learning via experiences. Dewey (1897) outlined the educational system in which he reduced the goals of individual education and advocated the notion of social interaction and group learning as a teaching and learning approach for the current American educational system he also argued that instructors should actively involve pupils in the experiential learning process, setting the highest standards for teaching in complicated social situations. The importance of John Dewey cannot be stressed, as Kolb's experiential learning theory is founded on Dewey's work, particularly on the importance of experience in the learning process. (Clark, Threeton &amp; Ewing, 2010).</w:t>
      </w:r>
    </w:p>
    <w:p w14:paraId="61B17EF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“I believe that ideas (intellectual and rational processes) also result from action and devolve for the sake of the better control of action. What we term reason is primarily the law of orderly or effective action. To attempt to develop the reasoning powers, the powers of judgment, without reference to the selection and arrangement of means in action, is the fundamental fallacy in our present methods of dealing with this matter. As a result we present the child with arbitrary symbols. Symbols are a necessity in mental development, but they have their place as tools for economizing effort; presented by themselves they are a mass of meaningless and arbitrary ideas imposed from without. I believe that the image is the great instrument of instruction. What a child gets out of any subject presented to him is simply the images which he himself forms with regard to it (Dewey, 1987).”</w:t>
      </w:r>
    </w:p>
    <w:p w14:paraId="71604216" w14:textId="3CE29696"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John Dewey viewed the system of education as a sophisticated blend of different disciplines and the role of teacher as a selfless person in society. </w:t>
      </w:r>
      <w:r w:rsidRPr="00730471">
        <w:rPr>
          <w:rFonts w:ascii="Arial" w:hAnsi="Arial" w:cs="Arial"/>
          <w:sz w:val="24"/>
          <w:szCs w:val="24"/>
          <w:highlight w:val="white"/>
        </w:rPr>
        <w:t xml:space="preserve">Early education is generally established to have a significant impact on the </w:t>
      </w:r>
      <w:r w:rsidRPr="00730471">
        <w:rPr>
          <w:rFonts w:ascii="Arial" w:hAnsi="Arial" w:cs="Arial"/>
          <w:sz w:val="24"/>
          <w:szCs w:val="24"/>
          <w:highlight w:val="white"/>
        </w:rPr>
        <w:lastRenderedPageBreak/>
        <w:t xml:space="preserve">brain development of children. Children learn best when they are not pushed too hard and are allowed room to express themselves (Mrunal. 2018). Most childhood education experts agree that young children learn best when they aren't pushed too hard, (have opportunities to connect with their peers, and are treated with kindness by their parents and teachers) children learn best when instruction and educational activities make up a tiny part of their daily routine (as being apart from their parents for long periods of time is not healthy for young children)and having an unskilled teachers and big class sizes, are reasons why children frequently do not learn (Loveless,n.d.) and also “trust or building  trust — and studies have shown that when children are comfortable and trust the people around them, they learn more quickly and successfully” (National University, n.d.). Furthermore, An intervention study among primary school aged children (5–11 years) have showed that integrating active learning and environmental biology experiments within a formal curriculum increases environmental awareness and intention to act (Bulbert et al., 2025). </w:t>
      </w:r>
      <w:r w:rsidRPr="00730471">
        <w:rPr>
          <w:rFonts w:ascii="Arial" w:hAnsi="Arial" w:cs="Arial"/>
          <w:sz w:val="24"/>
          <w:szCs w:val="24"/>
        </w:rPr>
        <w:t xml:space="preserve">Furthermore according to Granato et al. (2025), active and experiential approach increased students' environmental awareness and strengthened their willingness to engage in environmental practices. </w:t>
      </w:r>
    </w:p>
    <w:p w14:paraId="14D431F8" w14:textId="4EFE63A7" w:rsidR="00BF019E" w:rsidRPr="004E31EA" w:rsidRDefault="00CB26E4" w:rsidP="008F26AB">
      <w:pPr>
        <w:spacing w:line="360" w:lineRule="auto"/>
        <w:jc w:val="both"/>
        <w:rPr>
          <w:rFonts w:ascii="Arial" w:hAnsi="Arial" w:cs="Arial"/>
          <w:b/>
          <w:bCs/>
          <w:sz w:val="24"/>
          <w:szCs w:val="24"/>
        </w:rPr>
      </w:pPr>
      <w:bookmarkStart w:id="16" w:name="_mk1koqcad5tm" w:colFirst="0" w:colLast="0"/>
      <w:bookmarkEnd w:id="16"/>
      <w:r w:rsidRPr="004E31EA">
        <w:rPr>
          <w:rFonts w:ascii="Arial" w:hAnsi="Arial" w:cs="Arial"/>
          <w:b/>
          <w:bCs/>
          <w:sz w:val="24"/>
          <w:szCs w:val="24"/>
        </w:rPr>
        <w:t>2.</w:t>
      </w:r>
      <w:r w:rsidR="004E31EA">
        <w:rPr>
          <w:rFonts w:ascii="Arial" w:hAnsi="Arial" w:cs="Arial"/>
          <w:b/>
          <w:bCs/>
          <w:sz w:val="24"/>
          <w:szCs w:val="24"/>
        </w:rPr>
        <w:t xml:space="preserve">8 </w:t>
      </w:r>
      <w:r w:rsidRPr="004E31EA">
        <w:rPr>
          <w:rFonts w:ascii="Arial" w:hAnsi="Arial" w:cs="Arial"/>
          <w:b/>
          <w:bCs/>
          <w:sz w:val="24"/>
          <w:szCs w:val="24"/>
        </w:rPr>
        <w:t>Synthesis</w:t>
      </w:r>
    </w:p>
    <w:p w14:paraId="2B8DA0D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reviewed literature has shown that environmental education on Filipino children has a critical role in addressing the growing environmental problems in the Philippines. Environmental Awareness is considered to be one of the factors responsible for fostering good environmental education among Filipino Children, however, it reveals that there is a consistent gap between environmental knowledge and environmental practice among children. While children demonstrate a high level of environmental knowledge, this does not consistently translate to willingness to engage in environmental practices. Thus, this gap underscores the fact that cognitive understanding on environmental concepts is not enough to foster sustainable engagement in environmental practices. </w:t>
      </w:r>
    </w:p>
    <w:p w14:paraId="735FC58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In the Philippines, the intensified urgency to strengthen environmental education is because of the ongoing environmental issues such as </w:t>
      </w:r>
      <w:r w:rsidRPr="00730471">
        <w:rPr>
          <w:rFonts w:ascii="Arial" w:hAnsi="Arial" w:cs="Arial"/>
          <w:sz w:val="24"/>
          <w:szCs w:val="24"/>
        </w:rPr>
        <w:lastRenderedPageBreak/>
        <w:t xml:space="preserve">deforestation, waste management and its vulnerability to natural disasters. The implementation of Environmental policies in the Philippines education system is seen to be uneven and limited in curriculum design, program sustainability, and contextual relevance. Socioeconomic factors also emerge as a significant basis on the extent to which level environmental knowledge is translated into practice, thus, highlighting the need for more inclusive educational approaches. </w:t>
      </w:r>
    </w:p>
    <w:p w14:paraId="3C297DB9"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literature has also highlighted the importance of experiential learning in bridging the gap between knowledge and action. Which is drawn from John Dewey’s educational philosophy that emphasizes active participation, reflection, and real-world engagement as essential components to have an effective education. This idea is further complemented with Arne Naess environmental philosophy which claims that there should be a shift of consciousness from anthropocentric to biocentric, which according to Naess’s would foster a deeper sense of connection between human beings and the natural environment. Studies mentioned in the literature have supported this theoretical framework by demonstrating that structure, experience-based environmental education can significantly enhance children's environmental attitude, awareness and engagement. This approach not only strengthen children's environmental knowledge but also seen as effective in strengthening children’s good behavior towards the natural environment. Thus, claiming that environmental education should shift from traditional, classroom-based approach of learning to a more holistic, participatory and experience based learning strategy.  </w:t>
      </w:r>
    </w:p>
    <w:p w14:paraId="4A263892" w14:textId="15D8A79A"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Moreover, these findings put educational institutions as one of the vital agents of fostering an environmentally responsible citizen through an effective environmental education. Developing an instructional toolkit grounded in John Dewey’s experiential leaning principle and Arne Naess’s Deep Ecology offers a promising path in addressing the existing gap between knowledge and practice in environmental education. </w:t>
      </w:r>
    </w:p>
    <w:p w14:paraId="299347A5" w14:textId="77777777" w:rsidR="00E87451" w:rsidRDefault="00E87451" w:rsidP="008F26AB">
      <w:pPr>
        <w:spacing w:line="360" w:lineRule="auto"/>
        <w:jc w:val="center"/>
        <w:rPr>
          <w:rFonts w:ascii="Arial" w:hAnsi="Arial" w:cs="Arial"/>
          <w:b/>
          <w:bCs/>
          <w:sz w:val="24"/>
          <w:szCs w:val="24"/>
        </w:rPr>
      </w:pPr>
    </w:p>
    <w:p w14:paraId="66BE15FD" w14:textId="77777777" w:rsidR="00E87451" w:rsidRDefault="00E87451" w:rsidP="008F26AB">
      <w:pPr>
        <w:spacing w:line="360" w:lineRule="auto"/>
        <w:rPr>
          <w:rFonts w:ascii="Arial" w:hAnsi="Arial" w:cs="Arial"/>
          <w:b/>
          <w:bCs/>
          <w:sz w:val="24"/>
          <w:szCs w:val="24"/>
        </w:rPr>
      </w:pPr>
    </w:p>
    <w:p w14:paraId="56D32720" w14:textId="7EC500D6" w:rsidR="00BF019E" w:rsidRPr="00E87451" w:rsidRDefault="00CB26E4" w:rsidP="008F26AB">
      <w:pPr>
        <w:spacing w:line="360" w:lineRule="auto"/>
        <w:jc w:val="center"/>
        <w:rPr>
          <w:rFonts w:ascii="Arial" w:hAnsi="Arial" w:cs="Arial"/>
          <w:b/>
          <w:bCs/>
          <w:sz w:val="24"/>
          <w:szCs w:val="24"/>
        </w:rPr>
      </w:pPr>
      <w:r w:rsidRPr="00E87451">
        <w:rPr>
          <w:rFonts w:ascii="Arial" w:hAnsi="Arial" w:cs="Arial"/>
          <w:b/>
          <w:bCs/>
          <w:sz w:val="24"/>
          <w:szCs w:val="24"/>
        </w:rPr>
        <w:lastRenderedPageBreak/>
        <w:t>CHAPTER 3</w:t>
      </w:r>
    </w:p>
    <w:p w14:paraId="365B2542" w14:textId="255E7BAE" w:rsidR="00BF019E" w:rsidRPr="00E87451" w:rsidRDefault="00CB26E4" w:rsidP="008F26AB">
      <w:pPr>
        <w:spacing w:line="360" w:lineRule="auto"/>
        <w:jc w:val="center"/>
        <w:rPr>
          <w:rFonts w:ascii="Arial" w:hAnsi="Arial" w:cs="Arial"/>
          <w:b/>
          <w:bCs/>
          <w:sz w:val="24"/>
          <w:szCs w:val="24"/>
        </w:rPr>
      </w:pPr>
      <w:r w:rsidRPr="00E87451">
        <w:rPr>
          <w:rFonts w:ascii="Arial" w:hAnsi="Arial" w:cs="Arial"/>
          <w:b/>
          <w:bCs/>
          <w:sz w:val="24"/>
          <w:szCs w:val="24"/>
        </w:rPr>
        <w:t>RESEARCH DESIGN AND METHODOLOGY</w:t>
      </w:r>
    </w:p>
    <w:p w14:paraId="61B12B8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chapter presents the research design and methodology to be employed in this study. This includes the research setting, sampling procedure, data gathering procedure, research instruments,and statistical statement. </w:t>
      </w:r>
    </w:p>
    <w:p w14:paraId="7AEE0B7E" w14:textId="77777777" w:rsidR="00E87451" w:rsidRDefault="00E87451" w:rsidP="008F26AB">
      <w:pPr>
        <w:spacing w:line="360" w:lineRule="auto"/>
        <w:jc w:val="both"/>
        <w:rPr>
          <w:rFonts w:ascii="Arial" w:hAnsi="Arial" w:cs="Arial"/>
          <w:b/>
          <w:bCs/>
          <w:sz w:val="24"/>
          <w:szCs w:val="24"/>
        </w:rPr>
      </w:pPr>
      <w:bookmarkStart w:id="17" w:name="_744i6j6p7a9h" w:colFirst="0" w:colLast="0"/>
      <w:bookmarkEnd w:id="17"/>
    </w:p>
    <w:p w14:paraId="7CE969ED" w14:textId="64826F20" w:rsidR="003651C8" w:rsidRPr="00E87451" w:rsidRDefault="003651C8" w:rsidP="008F26AB">
      <w:pPr>
        <w:spacing w:line="360" w:lineRule="auto"/>
        <w:jc w:val="both"/>
        <w:rPr>
          <w:rFonts w:ascii="Arial" w:hAnsi="Arial" w:cs="Arial"/>
          <w:b/>
          <w:bCs/>
          <w:sz w:val="24"/>
          <w:szCs w:val="24"/>
        </w:rPr>
      </w:pPr>
      <w:r w:rsidRPr="00E87451">
        <w:rPr>
          <w:rFonts w:ascii="Arial" w:hAnsi="Arial" w:cs="Arial"/>
          <w:b/>
          <w:bCs/>
          <w:sz w:val="24"/>
          <w:szCs w:val="24"/>
        </w:rPr>
        <w:t xml:space="preserve">3.1 Research Design </w:t>
      </w:r>
    </w:p>
    <w:p w14:paraId="7C5BA4C2" w14:textId="33A2858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uses qualitative and quantitative research design, specifically, a developmental research design to assess children's environmental awareness and develop a Dewey-inspired instructional Toolkit. In assessing children's environmental awareness, participatory research approaches will be use to ensure that children actively engage in the assessment process rather than being passive respondents. These approaches align with John Dewey’s experiential learning theory, which emphasizes learning through experience and reflection. </w:t>
      </w:r>
    </w:p>
    <w:p w14:paraId="62CC9A1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Below are key participatory approaches that are be utilized in this study:</w:t>
      </w:r>
    </w:p>
    <w:p w14:paraId="298B6729" w14:textId="64F9A1ED" w:rsidR="003651C8" w:rsidRPr="00E87451" w:rsidRDefault="003651C8" w:rsidP="008F26AB">
      <w:pPr>
        <w:spacing w:line="360" w:lineRule="auto"/>
        <w:ind w:firstLine="720"/>
        <w:jc w:val="both"/>
        <w:rPr>
          <w:rFonts w:ascii="Arial" w:hAnsi="Arial" w:cs="Arial"/>
          <w:b/>
          <w:bCs/>
          <w:sz w:val="24"/>
          <w:szCs w:val="24"/>
        </w:rPr>
      </w:pPr>
      <w:bookmarkStart w:id="18" w:name="_ue1rs36wyl75" w:colFirst="0" w:colLast="0"/>
      <w:bookmarkEnd w:id="18"/>
      <w:r w:rsidRPr="00E87451">
        <w:rPr>
          <w:rFonts w:ascii="Arial" w:hAnsi="Arial" w:cs="Arial"/>
          <w:b/>
          <w:bCs/>
          <w:sz w:val="24"/>
          <w:szCs w:val="24"/>
        </w:rPr>
        <w:t xml:space="preserve">Surveys and Interviews </w:t>
      </w:r>
    </w:p>
    <w:p w14:paraId="18BDFA2B" w14:textId="28100709" w:rsidR="00E87451" w:rsidRPr="007D28E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Aged appropriate survey questionnaires -picture based- and structured interviews are used to evaluate the students knowledge, attitudes, and behaviours regarding environmental issues. Students are then encouraged to freely express their thoughts using interactive tools like pictures and drawings about the environment that will help them articulate and communicate their ideas. </w:t>
      </w:r>
      <w:bookmarkStart w:id="19" w:name="_5uu31hlpg87k" w:colFirst="0" w:colLast="0"/>
      <w:bookmarkEnd w:id="19"/>
    </w:p>
    <w:p w14:paraId="743B755F" w14:textId="34BB83D9" w:rsidR="003651C8" w:rsidRPr="00E87451" w:rsidRDefault="003651C8"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Focus Group Discussion (FDGs) with Children </w:t>
      </w:r>
    </w:p>
    <w:p w14:paraId="46F75EF7" w14:textId="3431C410"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Small group discussions are conducted to facilitate peer learning and collective knowledge-building among participants, which will allow students to explore their perception and practices related to the environment. This will help the study identify common themes in children's environmental awareness and behaviours. </w:t>
      </w:r>
    </w:p>
    <w:p w14:paraId="31BC3D7D" w14:textId="674098C6" w:rsidR="003651C8" w:rsidRPr="00E87451" w:rsidRDefault="003651C8" w:rsidP="008F26AB">
      <w:pPr>
        <w:spacing w:line="360" w:lineRule="auto"/>
        <w:ind w:firstLine="720"/>
        <w:jc w:val="both"/>
        <w:rPr>
          <w:rFonts w:ascii="Arial" w:hAnsi="Arial" w:cs="Arial"/>
          <w:b/>
          <w:bCs/>
          <w:sz w:val="24"/>
          <w:szCs w:val="24"/>
        </w:rPr>
      </w:pPr>
      <w:bookmarkStart w:id="20" w:name="_pxg6didxy72r" w:colFirst="0" w:colLast="0"/>
      <w:bookmarkEnd w:id="20"/>
      <w:r w:rsidRPr="00E87451">
        <w:rPr>
          <w:rFonts w:ascii="Arial" w:hAnsi="Arial" w:cs="Arial"/>
          <w:b/>
          <w:bCs/>
          <w:sz w:val="24"/>
          <w:szCs w:val="24"/>
        </w:rPr>
        <w:lastRenderedPageBreak/>
        <w:t>Storytelling and Role-Playing</w:t>
      </w:r>
    </w:p>
    <w:p w14:paraId="5C6AD832" w14:textId="3CD425D5"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Students are encouraged to dramatize or storytell their knowledge and perception of the environment, including environmental issues and practices. This method will help the study to identify the students conceptual understanding of the environment and the emotions connected to this. </w:t>
      </w:r>
    </w:p>
    <w:p w14:paraId="5CEA2A64" w14:textId="5053E063" w:rsidR="003651C8" w:rsidRPr="00E87451" w:rsidRDefault="003651C8" w:rsidP="008F26AB">
      <w:pPr>
        <w:spacing w:line="360" w:lineRule="auto"/>
        <w:ind w:firstLine="720"/>
        <w:jc w:val="both"/>
        <w:rPr>
          <w:rFonts w:ascii="Arial" w:hAnsi="Arial" w:cs="Arial"/>
          <w:b/>
          <w:bCs/>
          <w:sz w:val="24"/>
          <w:szCs w:val="24"/>
        </w:rPr>
      </w:pPr>
      <w:bookmarkStart w:id="21" w:name="_wakmyz3760so" w:colFirst="0" w:colLast="0"/>
      <w:bookmarkEnd w:id="21"/>
      <w:r w:rsidRPr="00E87451">
        <w:rPr>
          <w:rFonts w:ascii="Arial" w:hAnsi="Arial" w:cs="Arial"/>
          <w:b/>
          <w:bCs/>
          <w:sz w:val="24"/>
          <w:szCs w:val="24"/>
        </w:rPr>
        <w:t xml:space="preserve">Observation and Eco-walks </w:t>
      </w:r>
    </w:p>
    <w:p w14:paraId="28C28D8A" w14:textId="09EABDAA" w:rsidR="00E87451" w:rsidRPr="007D28E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students will participate in guided eco-walks, this will allow students to have an opportunity for an experiential learning through observation and discussions of the environmental conditions they observe during the walk. Students will record their observations on a paper and share this with the facilitators. This method will help the study have an experience and analysis on what an experiential learning can cause and how to better facilitate it. Thus, helping the study develop a more realistic experience-based toolkit. </w:t>
      </w:r>
      <w:bookmarkStart w:id="22" w:name="_bf6znzvltqk5" w:colFirst="0" w:colLast="0"/>
      <w:bookmarkEnd w:id="22"/>
    </w:p>
    <w:p w14:paraId="1AD43C43" w14:textId="193BDE0E" w:rsidR="003651C8" w:rsidRPr="00E87451" w:rsidRDefault="003651C8"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Participatory Mapping and Drawing Activities </w:t>
      </w:r>
    </w:p>
    <w:p w14:paraId="684435A5" w14:textId="47797D99"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Students are instructed to create drawings and maps to visually represent their understanding of the environment and local ecological challenges. This method will allow students to express their perceptions of environmental issues and share their thoughts on the things they see as potential solutions of these issues non-verbally and creatively. </w:t>
      </w:r>
    </w:p>
    <w:p w14:paraId="1BCAF03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Children capture will draw the environment outside their house  they will storytell or explain what they draw. In this way the study will identify what are the common environmental features and problems they have. Through this learners will express their perspective about their environment. </w:t>
      </w:r>
    </w:p>
    <w:p w14:paraId="7A748E42" w14:textId="4ABCA16D" w:rsidR="00E87451" w:rsidRPr="00E8745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By integrating these participatory methods, the study ensures that children play an active role in the research process. These approach align with Dewey's experiential learning principles, making the assessment process more meaning, engaging, and reflective of children's lived experience.</w:t>
      </w:r>
      <w:bookmarkStart w:id="23" w:name="_h3ra4d1shklj" w:colFirst="0" w:colLast="0"/>
      <w:bookmarkEnd w:id="23"/>
    </w:p>
    <w:p w14:paraId="7B195C9E" w14:textId="0C783421" w:rsidR="003651C8" w:rsidRPr="00E87451" w:rsidRDefault="003651C8" w:rsidP="008F26AB">
      <w:pPr>
        <w:spacing w:line="360" w:lineRule="auto"/>
        <w:jc w:val="both"/>
        <w:rPr>
          <w:rFonts w:ascii="Arial" w:hAnsi="Arial" w:cs="Arial"/>
          <w:b/>
          <w:bCs/>
          <w:sz w:val="24"/>
          <w:szCs w:val="24"/>
        </w:rPr>
      </w:pPr>
      <w:r w:rsidRPr="00E87451">
        <w:rPr>
          <w:rFonts w:ascii="Arial" w:hAnsi="Arial" w:cs="Arial"/>
          <w:b/>
          <w:bCs/>
          <w:sz w:val="24"/>
          <w:szCs w:val="24"/>
        </w:rPr>
        <w:lastRenderedPageBreak/>
        <w:t xml:space="preserve">3.2 Sampling Procedure </w:t>
      </w:r>
    </w:p>
    <w:p w14:paraId="3EEC8711" w14:textId="0A094D99" w:rsidR="003651C8"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will utilize purposive sampling and stratified sampling as a sampling procedure. The study will purposely target young learners aging 10-12, from Sultan Mamarinta Panandigan Integrated School and Cabili Village Elementary School.  Purposive sampling is used to identify children who meet specific age and participants criteria, ensuring that they can actively engage in the activities. Meanwhile, stratified sampling categorised participants according to their school, allowing for a diverse range of developmental perspectives in assessing environmental awareness. This approach enhances the study’s ability to capture variations in understanding and engagement across different genres levels. </w:t>
      </w:r>
    </w:p>
    <w:p w14:paraId="237C6709" w14:textId="2B217E06"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Target Population</w:t>
      </w:r>
    </w:p>
    <w:p w14:paraId="768979E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target population of this study is consist of all elementary learners aging 10-12 years old from Sultan Mamarinta Panandigan Integrated School and Cabili Village Elementary School. </w:t>
      </w:r>
    </w:p>
    <w:tbl>
      <w:tblPr>
        <w:tblStyle w:val="a"/>
        <w:tblW w:w="733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6"/>
        <w:gridCol w:w="3668"/>
      </w:tblGrid>
      <w:tr w:rsidR="00BF019E" w:rsidRPr="00730471" w14:paraId="127EC016" w14:textId="77777777" w:rsidTr="00E87451">
        <w:trPr>
          <w:trHeight w:val="339"/>
        </w:trPr>
        <w:tc>
          <w:tcPr>
            <w:tcW w:w="3666" w:type="dxa"/>
            <w:tcMar>
              <w:top w:w="100" w:type="dxa"/>
              <w:left w:w="100" w:type="dxa"/>
              <w:bottom w:w="100" w:type="dxa"/>
              <w:right w:w="100" w:type="dxa"/>
            </w:tcMar>
          </w:tcPr>
          <w:p w14:paraId="1317085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Name of School</w:t>
            </w:r>
          </w:p>
        </w:tc>
        <w:tc>
          <w:tcPr>
            <w:tcW w:w="3668" w:type="dxa"/>
            <w:tcMar>
              <w:top w:w="100" w:type="dxa"/>
              <w:left w:w="100" w:type="dxa"/>
              <w:bottom w:w="100" w:type="dxa"/>
              <w:right w:w="100" w:type="dxa"/>
            </w:tcMar>
          </w:tcPr>
          <w:p w14:paraId="75A693B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Number of students </w:t>
            </w:r>
          </w:p>
        </w:tc>
      </w:tr>
      <w:tr w:rsidR="00BF019E" w:rsidRPr="00730471" w14:paraId="2F4D5987" w14:textId="77777777" w:rsidTr="00E87451">
        <w:trPr>
          <w:trHeight w:val="607"/>
        </w:trPr>
        <w:tc>
          <w:tcPr>
            <w:tcW w:w="3666" w:type="dxa"/>
            <w:tcMar>
              <w:top w:w="100" w:type="dxa"/>
              <w:left w:w="100" w:type="dxa"/>
              <w:bottom w:w="100" w:type="dxa"/>
              <w:right w:w="100" w:type="dxa"/>
            </w:tcMar>
          </w:tcPr>
          <w:p w14:paraId="239BBA6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Sultan Mamarinta Panandigan Integrated School </w:t>
            </w:r>
          </w:p>
        </w:tc>
        <w:tc>
          <w:tcPr>
            <w:tcW w:w="3668" w:type="dxa"/>
            <w:tcMar>
              <w:top w:w="100" w:type="dxa"/>
              <w:left w:w="100" w:type="dxa"/>
              <w:bottom w:w="100" w:type="dxa"/>
              <w:right w:w="100" w:type="dxa"/>
            </w:tcMar>
          </w:tcPr>
          <w:p w14:paraId="2849B91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 124 students </w:t>
            </w:r>
          </w:p>
        </w:tc>
      </w:tr>
      <w:tr w:rsidR="00BF019E" w:rsidRPr="00730471" w14:paraId="158E9177" w14:textId="77777777" w:rsidTr="00E87451">
        <w:trPr>
          <w:trHeight w:val="339"/>
        </w:trPr>
        <w:tc>
          <w:tcPr>
            <w:tcW w:w="3666" w:type="dxa"/>
            <w:tcMar>
              <w:top w:w="100" w:type="dxa"/>
              <w:left w:w="100" w:type="dxa"/>
              <w:bottom w:w="100" w:type="dxa"/>
              <w:right w:w="100" w:type="dxa"/>
            </w:tcMar>
          </w:tcPr>
          <w:p w14:paraId="45706B2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Cabili Village Elementary School.</w:t>
            </w:r>
          </w:p>
        </w:tc>
        <w:tc>
          <w:tcPr>
            <w:tcW w:w="3668" w:type="dxa"/>
            <w:tcMar>
              <w:top w:w="100" w:type="dxa"/>
              <w:left w:w="100" w:type="dxa"/>
              <w:bottom w:w="100" w:type="dxa"/>
              <w:right w:w="100" w:type="dxa"/>
            </w:tcMar>
          </w:tcPr>
          <w:p w14:paraId="04CBB294"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157 students</w:t>
            </w:r>
          </w:p>
        </w:tc>
      </w:tr>
      <w:tr w:rsidR="00BF019E" w:rsidRPr="00730471" w14:paraId="5C9664A4" w14:textId="77777777" w:rsidTr="00E87451">
        <w:trPr>
          <w:trHeight w:val="346"/>
        </w:trPr>
        <w:tc>
          <w:tcPr>
            <w:tcW w:w="3666" w:type="dxa"/>
            <w:tcMar>
              <w:top w:w="100" w:type="dxa"/>
              <w:left w:w="100" w:type="dxa"/>
              <w:bottom w:w="100" w:type="dxa"/>
              <w:right w:w="100" w:type="dxa"/>
            </w:tcMar>
          </w:tcPr>
          <w:p w14:paraId="196F3077"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Total </w:t>
            </w:r>
          </w:p>
        </w:tc>
        <w:tc>
          <w:tcPr>
            <w:tcW w:w="3668" w:type="dxa"/>
            <w:tcMar>
              <w:top w:w="100" w:type="dxa"/>
              <w:left w:w="100" w:type="dxa"/>
              <w:bottom w:w="100" w:type="dxa"/>
              <w:right w:w="100" w:type="dxa"/>
            </w:tcMar>
          </w:tcPr>
          <w:p w14:paraId="59A2FB7A"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281 students</w:t>
            </w:r>
          </w:p>
        </w:tc>
      </w:tr>
    </w:tbl>
    <w:p w14:paraId="71ADC8A4" w14:textId="77777777" w:rsidR="003651C8" w:rsidRPr="00730471" w:rsidRDefault="003651C8" w:rsidP="008F26AB">
      <w:pPr>
        <w:spacing w:line="360" w:lineRule="auto"/>
        <w:jc w:val="both"/>
        <w:rPr>
          <w:rFonts w:ascii="Arial" w:hAnsi="Arial" w:cs="Arial"/>
          <w:sz w:val="24"/>
          <w:szCs w:val="24"/>
        </w:rPr>
      </w:pPr>
      <w:bookmarkStart w:id="24" w:name="_bpzacha2q2qn" w:colFirst="0" w:colLast="0"/>
      <w:bookmarkStart w:id="25" w:name="_kp8dd3h84t8t" w:colFirst="0" w:colLast="0"/>
      <w:bookmarkEnd w:id="24"/>
      <w:bookmarkEnd w:id="25"/>
    </w:p>
    <w:p w14:paraId="0B2A4FDB" w14:textId="2AA40703" w:rsidR="001F428D" w:rsidRPr="00E87451" w:rsidRDefault="001F428D" w:rsidP="008F26AB">
      <w:pPr>
        <w:spacing w:line="360" w:lineRule="auto"/>
        <w:ind w:firstLine="720"/>
        <w:jc w:val="both"/>
        <w:rPr>
          <w:rFonts w:ascii="Arial" w:hAnsi="Arial" w:cs="Arial"/>
          <w:b/>
          <w:bCs/>
          <w:sz w:val="24"/>
          <w:szCs w:val="24"/>
        </w:rPr>
      </w:pPr>
      <w:r w:rsidRPr="00E87451">
        <w:rPr>
          <w:rFonts w:ascii="Arial" w:hAnsi="Arial" w:cs="Arial"/>
          <w:b/>
          <w:bCs/>
          <w:sz w:val="24"/>
          <w:szCs w:val="24"/>
        </w:rPr>
        <w:t>Inclusion and Exclusion Criteria</w:t>
      </w:r>
    </w:p>
    <w:p w14:paraId="3ED14E1F" w14:textId="5E9B697A"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To ensure a proper selection of the participants, the study follows a specific criteria on what kind of participant is included and excluded in the data gathering procedure. </w:t>
      </w:r>
    </w:p>
    <w:p w14:paraId="7EAECC1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Children must be between 10 and 12 years old and enrolled in either Sultan Mamarinta Panandigan Integrated School, Bonbonon, Iligan City and Cabili Village Elementary School, Santiago, Iligan City. </w:t>
      </w:r>
      <w:r w:rsidRPr="00730471">
        <w:rPr>
          <w:rFonts w:ascii="Arial" w:hAnsi="Arial" w:cs="Arial"/>
          <w:sz w:val="24"/>
          <w:szCs w:val="24"/>
        </w:rPr>
        <w:lastRenderedPageBreak/>
        <w:t xml:space="preserve">Parental or guardian consent must be provided, and participants should express a willingness to engage in interactive environmental awareness activities. </w:t>
      </w:r>
      <w:r w:rsidRPr="00730471">
        <w:rPr>
          <w:rFonts w:ascii="Arial" w:hAnsi="Arial" w:cs="Arial"/>
          <w:sz w:val="24"/>
          <w:szCs w:val="24"/>
        </w:rPr>
        <w:tab/>
        <w:t xml:space="preserve">Children with severe cognitive or speech impairment that may hinder their participation are considered to be excluded in the data gathering procedure the same with children whose parents or guardians do not provide consent will not be included in the study. These criteria help maintain the integrity and feasibility of the research while ensuring ethical considerations are met. </w:t>
      </w:r>
    </w:p>
    <w:p w14:paraId="12D927A4"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Ethical considerations </w:t>
      </w:r>
    </w:p>
    <w:p w14:paraId="2FD26D8F" w14:textId="77777777" w:rsidR="00BF019E"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 study adheres to strict ethical guidelines to ensure the well-being and comfort of all participants. Before participation, parents or guardians must provide informed consent, while researchers seek verbal and non-verbal assent from the children to respect their autonomy.  A child-friendly approach is employed, designing research activities to be engaging, age-appropriate, and non-intimidating. Confidentiality is also a priority, with participants’ identities kept anonymous and all collected data used strictly for research purposes.</w:t>
      </w:r>
    </w:p>
    <w:p w14:paraId="64B886E6" w14:textId="77777777" w:rsidR="008F26AB" w:rsidRPr="00730471" w:rsidRDefault="008F26AB" w:rsidP="008F26AB">
      <w:pPr>
        <w:spacing w:line="360" w:lineRule="auto"/>
        <w:ind w:left="720" w:firstLine="720"/>
        <w:jc w:val="both"/>
        <w:rPr>
          <w:rFonts w:ascii="Arial" w:hAnsi="Arial" w:cs="Arial"/>
          <w:sz w:val="24"/>
          <w:szCs w:val="24"/>
        </w:rPr>
      </w:pPr>
    </w:p>
    <w:p w14:paraId="36C1DC85" w14:textId="77777777" w:rsidR="00BF019E" w:rsidRPr="00E87451" w:rsidRDefault="00CB26E4" w:rsidP="008F26AB">
      <w:pPr>
        <w:spacing w:line="360" w:lineRule="auto"/>
        <w:jc w:val="both"/>
        <w:rPr>
          <w:rFonts w:ascii="Arial" w:hAnsi="Arial" w:cs="Arial"/>
          <w:b/>
          <w:bCs/>
          <w:sz w:val="24"/>
          <w:szCs w:val="24"/>
        </w:rPr>
      </w:pPr>
      <w:bookmarkStart w:id="26" w:name="_hzx54guexr4k" w:colFirst="0" w:colLast="0"/>
      <w:bookmarkEnd w:id="26"/>
      <w:r w:rsidRPr="00E87451">
        <w:rPr>
          <w:rFonts w:ascii="Arial" w:hAnsi="Arial" w:cs="Arial"/>
          <w:b/>
          <w:bCs/>
          <w:sz w:val="24"/>
          <w:szCs w:val="24"/>
        </w:rPr>
        <w:t>3.3  Data Gathering Procedure</w:t>
      </w:r>
    </w:p>
    <w:p w14:paraId="46359E6D"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data collection process is designed to be child-friendly, interactive, and participatory, ensuring that children aged 10 to 12 can meaningfully engage while maintaining ethical and developmental appropriateness. The study will integrate multiple participatory research instruments to assess children's environmental awareness using both qualitative and quantitative approaches. </w:t>
      </w:r>
    </w:p>
    <w:p w14:paraId="120B99B6" w14:textId="77777777" w:rsidR="00BF019E" w:rsidRPr="00E87451" w:rsidRDefault="00CB26E4" w:rsidP="008F26AB">
      <w:pPr>
        <w:spacing w:line="360" w:lineRule="auto"/>
        <w:ind w:left="720"/>
        <w:jc w:val="both"/>
        <w:rPr>
          <w:rFonts w:ascii="Arial" w:hAnsi="Arial" w:cs="Arial"/>
          <w:b/>
          <w:bCs/>
          <w:sz w:val="24"/>
          <w:szCs w:val="24"/>
        </w:rPr>
      </w:pPr>
      <w:r w:rsidRPr="00E87451">
        <w:rPr>
          <w:rFonts w:ascii="Arial" w:hAnsi="Arial" w:cs="Arial"/>
          <w:b/>
          <w:bCs/>
          <w:sz w:val="24"/>
          <w:szCs w:val="24"/>
        </w:rPr>
        <w:t>Preparatory Phase</w:t>
      </w:r>
    </w:p>
    <w:p w14:paraId="621493FC"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follows a strict ethical and preparatory process to ensure the safety, well-being, and meaningful participation of young learners. Ethical clearance and permissions are obtained by seeking approval from the institute Research Integrity and Compliance Office,  DepEd, school principal, and teachers. Additionally, informed consent </w:t>
      </w:r>
      <w:r w:rsidRPr="00730471">
        <w:rPr>
          <w:rFonts w:ascii="Arial" w:hAnsi="Arial" w:cs="Arial"/>
          <w:sz w:val="24"/>
          <w:szCs w:val="24"/>
        </w:rPr>
        <w:lastRenderedPageBreak/>
        <w:t xml:space="preserve">from parents or guardians is required, along with verbal assent from the learner who is participating in the study as a respect to their autonomy. Facilitators are experienced and equiped with essential knowledge of basic child rights, proper child handling, and age-apropriate communication to ensure a safe and supportive research environment, especially, this study aims to gather learners' perspectives without the facilitators interventions. To refine the methodology, a pilot testing phase is implemented, involving the facilitator, college students and 10 learners aging 10-12 years old. This step ensures clarity, engagement, appropriateness for young participants, allowing for necessary adjustments before full implementation. </w:t>
      </w:r>
    </w:p>
    <w:p w14:paraId="4A7E2594"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Data Collection Phase</w:t>
      </w:r>
    </w:p>
    <w:p w14:paraId="6474825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employs a multi-method approach that integrates inquiry-based and participatory research tools to assess learners' environmental awareness in an engaging and developmentally appreciated manner. Child-appropriate surveys and interviews involve pictures, structured interviews, simple questions, and story-based questioning. Responses are transcribed and coded for thematic analysis. through field notes. These participatory methods ensure that learners can actively contribute to the study, making the assessment process aligned with experiential learning principle. </w:t>
      </w:r>
    </w:p>
    <w:p w14:paraId="7A11B579" w14:textId="77777777" w:rsid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Data Analysis and Interpretation</w:t>
      </w:r>
    </w:p>
    <w:p w14:paraId="34B8735C" w14:textId="450F613A" w:rsidR="00BF019E" w:rsidRPr="00E87451" w:rsidRDefault="00CB26E4" w:rsidP="008F26AB">
      <w:pPr>
        <w:spacing w:line="360" w:lineRule="auto"/>
        <w:ind w:left="720" w:firstLine="720"/>
        <w:jc w:val="both"/>
        <w:rPr>
          <w:rFonts w:ascii="Arial" w:hAnsi="Arial" w:cs="Arial"/>
          <w:b/>
          <w:bCs/>
          <w:sz w:val="24"/>
          <w:szCs w:val="24"/>
        </w:rPr>
      </w:pPr>
      <w:r w:rsidRPr="00730471">
        <w:rPr>
          <w:rFonts w:ascii="Arial" w:hAnsi="Arial" w:cs="Arial"/>
          <w:sz w:val="24"/>
          <w:szCs w:val="24"/>
        </w:rPr>
        <w:t xml:space="preserve">The study employs a comprehensive data analysis and validation process to ensure the accuracy and reliability of findings. Qualitative data collected through focus group discussions (FGDs), drawings, storytelling, ang observations. This data undergoes thematic analysis to identify patterns in childrens environmental awarenes, perception and attitudes. </w:t>
      </w:r>
    </w:p>
    <w:p w14:paraId="232E68FD"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Quantitative data, gathered through surveys and ecowalk checklists, is analyzed using simple statistical methods such as frequency and percentage calculations to measure levels of </w:t>
      </w:r>
      <w:r w:rsidRPr="00730471">
        <w:rPr>
          <w:rFonts w:ascii="Arial" w:hAnsi="Arial" w:cs="Arial"/>
          <w:sz w:val="24"/>
          <w:szCs w:val="24"/>
        </w:rPr>
        <w:lastRenderedPageBreak/>
        <w:t>environmental knowledge and behavior. To enhance the credibility of results, triangulation is applied by comparing data from multiple instruments, ensuring validity and reliability.</w:t>
      </w:r>
    </w:p>
    <w:p w14:paraId="467E8036" w14:textId="77777777" w:rsidR="00BF019E" w:rsidRPr="00E87451" w:rsidRDefault="00CB26E4" w:rsidP="008F26AB">
      <w:pPr>
        <w:spacing w:line="360" w:lineRule="auto"/>
        <w:ind w:firstLine="720"/>
        <w:jc w:val="both"/>
        <w:rPr>
          <w:rFonts w:ascii="Arial" w:hAnsi="Arial" w:cs="Arial"/>
          <w:b/>
          <w:bCs/>
          <w:sz w:val="24"/>
          <w:szCs w:val="24"/>
        </w:rPr>
      </w:pPr>
      <w:r w:rsidRPr="00730471">
        <w:rPr>
          <w:rFonts w:ascii="Arial" w:hAnsi="Arial" w:cs="Arial"/>
          <w:sz w:val="24"/>
          <w:szCs w:val="24"/>
        </w:rPr>
        <w:t xml:space="preserve"> </w:t>
      </w:r>
      <w:r w:rsidRPr="00E87451">
        <w:rPr>
          <w:rFonts w:ascii="Arial" w:hAnsi="Arial" w:cs="Arial"/>
          <w:b/>
          <w:bCs/>
          <w:sz w:val="24"/>
          <w:szCs w:val="24"/>
        </w:rPr>
        <w:t>Post-Data Collection Phrase</w:t>
      </w:r>
    </w:p>
    <w:p w14:paraId="7E096A56" w14:textId="77777777" w:rsidR="00BF019E"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result are then integrated into Dewey-inspired instructional toolkit, designed to enhance environmental education through engagement, experience-based learning materials tailored to children's development needs. Finally, ethical data storage and confidentiality measures are strictly followed, ensuring that all recorded responses, drawings, and other data are securely stored and anonymized to protect participants identities and maintain research integrity. </w:t>
      </w:r>
    </w:p>
    <w:p w14:paraId="7F5115A6" w14:textId="77777777" w:rsidR="008F26AB" w:rsidRPr="00730471" w:rsidRDefault="008F26AB" w:rsidP="008F26AB">
      <w:pPr>
        <w:spacing w:line="360" w:lineRule="auto"/>
        <w:ind w:left="720" w:firstLine="720"/>
        <w:jc w:val="both"/>
        <w:rPr>
          <w:rFonts w:ascii="Arial" w:hAnsi="Arial" w:cs="Arial"/>
          <w:sz w:val="24"/>
          <w:szCs w:val="24"/>
        </w:rPr>
      </w:pPr>
    </w:p>
    <w:p w14:paraId="4A415376" w14:textId="77777777" w:rsidR="00BF019E" w:rsidRPr="00E87451" w:rsidRDefault="00CB26E4" w:rsidP="008F26AB">
      <w:pPr>
        <w:spacing w:line="360" w:lineRule="auto"/>
        <w:jc w:val="both"/>
        <w:rPr>
          <w:rFonts w:ascii="Arial" w:hAnsi="Arial" w:cs="Arial"/>
          <w:b/>
          <w:bCs/>
          <w:sz w:val="24"/>
          <w:szCs w:val="24"/>
        </w:rPr>
      </w:pPr>
      <w:r w:rsidRPr="00E87451">
        <w:rPr>
          <w:rFonts w:ascii="Arial" w:hAnsi="Arial" w:cs="Arial"/>
          <w:b/>
          <w:bCs/>
          <w:sz w:val="24"/>
          <w:szCs w:val="24"/>
        </w:rPr>
        <w:t xml:space="preserve">3.4 Research Instrument </w:t>
      </w:r>
    </w:p>
    <w:p w14:paraId="472BB733"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To effectively assess the current environmental awareness of learners from Sultan Mamarinta Panandigan Integrated School and Cabili Village Elementary School and develop an instructional toolkits inspired by John Dewey's educational philosophy, this study employs a combination of qualitative research instruments to measure learners knowledge, attitudes, and behavior regarding environmental coconcept. Survey questionnaires (age-appropriate, visual, story-based), semi-structured interviews, FGDs, observations, draw-and-tell, performance-based assessments ( role-playing) will be used. </w:t>
      </w:r>
    </w:p>
    <w:p w14:paraId="5B7AC168" w14:textId="1F7089E7" w:rsidR="00E8745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Survey questionnaires serve as a primary data collection tool, these questionnaires include multi-choice questions assessing factual knowledge on environmental topics such as pollution, climate change, and biodiversity. Questionnaires also include likert-scale questions measuring environmental attitudes and behaviors; and picture-based questions which enables learners to express thier thoughts on the environment. The semi-structured interviews and focus group discussions (FGDs) will be conducted to explore children's perception and emotional connections to the environment and would also help the study in identifying learners' preferred learning methods. Classroom and </w:t>
      </w:r>
      <w:r w:rsidRPr="00730471">
        <w:rPr>
          <w:rFonts w:ascii="Arial" w:hAnsi="Arial" w:cs="Arial"/>
          <w:sz w:val="24"/>
          <w:szCs w:val="24"/>
        </w:rPr>
        <w:lastRenderedPageBreak/>
        <w:t xml:space="preserve">outdoor observations will assess real-life environmental behaviors, including reactions to environmental story telling or lessons. The draw and tell activity will allow learners to illustrate their understanding of environmental concepts through drawing, which they will then explain to research ers, providing qualitative insights into thier perception and values. Futhermore, performance-based assessments like roleplaying environmental problem-solving scenarios, will evaluate learners ability to apply environmental concepts in real-life situations. Through all this research instruments, the study aims to provide a understanding of the learners environmental knowledge which will contribute in designing an effective, experiential and inquiry based environmental instructional toolkit. </w:t>
      </w:r>
    </w:p>
    <w:p w14:paraId="3B672707" w14:textId="77777777" w:rsidR="008F26AB" w:rsidRPr="008F26AB" w:rsidRDefault="008F26AB" w:rsidP="008F26AB">
      <w:pPr>
        <w:spacing w:line="360" w:lineRule="auto"/>
        <w:ind w:firstLine="720"/>
        <w:jc w:val="both"/>
        <w:rPr>
          <w:rFonts w:ascii="Arial" w:hAnsi="Arial" w:cs="Arial"/>
          <w:sz w:val="24"/>
          <w:szCs w:val="24"/>
        </w:rPr>
      </w:pPr>
    </w:p>
    <w:p w14:paraId="2C66800E" w14:textId="4189B893" w:rsidR="00BF019E" w:rsidRPr="00E87451" w:rsidRDefault="00CB26E4" w:rsidP="008F26AB">
      <w:pPr>
        <w:spacing w:line="360" w:lineRule="auto"/>
        <w:jc w:val="both"/>
        <w:rPr>
          <w:rFonts w:ascii="Arial" w:hAnsi="Arial" w:cs="Arial"/>
          <w:b/>
          <w:bCs/>
          <w:sz w:val="24"/>
          <w:szCs w:val="24"/>
        </w:rPr>
      </w:pPr>
      <w:r w:rsidRPr="00E87451">
        <w:rPr>
          <w:rFonts w:ascii="Arial" w:hAnsi="Arial" w:cs="Arial"/>
          <w:b/>
          <w:bCs/>
          <w:sz w:val="24"/>
          <w:szCs w:val="24"/>
        </w:rPr>
        <w:t>3.5 Data Analysis</w:t>
      </w:r>
    </w:p>
    <w:p w14:paraId="7788FB5B" w14:textId="41D7F964" w:rsidR="003651C8"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To analyze the data collected from various research instruments, the study use a mix-method approach. Integrating both quantitative and qualitative methods to ensure a understanding of learners current environmental awareness that will help in the development of Dewey-inspired instructional toolkits. Quantitative data, derived from questionnaires, observation checklists and performance based assessment will be analyzed using descriptive statistics. Descriptive statistic, will determine overall awareness score and will provide insights into multiple-ch</w:t>
      </w:r>
      <w:r w:rsidR="00C81F9F">
        <w:rPr>
          <w:rFonts w:ascii="Arial" w:hAnsi="Arial" w:cs="Arial"/>
          <w:sz w:val="24"/>
          <w:szCs w:val="24"/>
        </w:rPr>
        <w:t>oice and Likert-scale responses</w:t>
      </w:r>
      <w:r w:rsidRPr="00730471">
        <w:rPr>
          <w:rFonts w:ascii="Arial" w:hAnsi="Arial" w:cs="Arial"/>
          <w:sz w:val="24"/>
          <w:szCs w:val="24"/>
        </w:rPr>
        <w:t xml:space="preserve">. Qualitative data from interviews, focus group discussions (FGDs), draw-and-tell sessions, and content analysis of learning materials will be examined through thematic analysis. Pattern recognition will be applied to analyze how learners' environmental awareness is influenced by their home, school, and community environment. The findings will be mapped to Dewey's learning principle to align themes with experiential and inquiry-based  learning principle. Visual content analysis will be conducted to evaluate learners drawing and explanations to uncover thier perceptions of environmental issues. to ensure validity and reliability, triangulation will be employed by comparing survey data with observational findings to verify self-reported behaviors and Focus Group Discussions results with quantitative data to </w:t>
      </w:r>
      <w:r w:rsidRPr="00730471">
        <w:rPr>
          <w:rFonts w:ascii="Arial" w:hAnsi="Arial" w:cs="Arial"/>
          <w:sz w:val="24"/>
          <w:szCs w:val="24"/>
        </w:rPr>
        <w:lastRenderedPageBreak/>
        <w:t xml:space="preserve">identify consistencies or discrepancies, and aligning learners drawings with their survey responses to assess coherence in their survey responses to assess coherence in their environmental perceptions. By integrating these analytical techniques, the study will provide both measurable insights and deeper interpretative understanding of learners current environmental awareness, ultimately guiding the development of experiential, inquiry-based, and problem-solving learning strategies in accordance with Dewey's learning principle. </w:t>
      </w:r>
    </w:p>
    <w:p w14:paraId="161C20AA" w14:textId="77777777" w:rsidR="008F26AB" w:rsidRPr="00730471" w:rsidRDefault="008F26AB" w:rsidP="008F26AB">
      <w:pPr>
        <w:spacing w:line="360" w:lineRule="auto"/>
        <w:ind w:firstLine="720"/>
        <w:jc w:val="both"/>
        <w:rPr>
          <w:rFonts w:ascii="Arial" w:hAnsi="Arial" w:cs="Arial"/>
          <w:sz w:val="24"/>
          <w:szCs w:val="24"/>
        </w:rPr>
      </w:pPr>
    </w:p>
    <w:p w14:paraId="2EA7953D" w14:textId="2E8429EE" w:rsidR="00BF019E" w:rsidRPr="00E87451" w:rsidRDefault="00E87451" w:rsidP="008F26AB">
      <w:pPr>
        <w:spacing w:line="360" w:lineRule="auto"/>
        <w:jc w:val="both"/>
        <w:rPr>
          <w:rFonts w:ascii="Arial" w:hAnsi="Arial" w:cs="Arial"/>
          <w:b/>
          <w:bCs/>
          <w:sz w:val="24"/>
          <w:szCs w:val="24"/>
        </w:rPr>
      </w:pPr>
      <w:r w:rsidRPr="00E87451">
        <w:rPr>
          <w:rFonts w:ascii="Arial" w:hAnsi="Arial" w:cs="Arial"/>
          <w:b/>
          <w:bCs/>
          <w:sz w:val="24"/>
          <w:szCs w:val="24"/>
        </w:rPr>
        <w:t>3.6 Ethical Considerations</w:t>
      </w:r>
    </w:p>
    <w:p w14:paraId="6E15181A"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study involves children who are considered a vulnerable group, strict ethical consideration will be observed. Prior to participation, informed consent will be obtained from parents or guardians, while children will be provided with age appropriate assent form to ensure voluntary participation. All research tools and activities will use child-friendly language, visuals, and participatory methods to minimize stress while ensuring enjoyment. Activities will be conducted in safe and familiar settings such as classrooms or within the school premises under the supervision of teachers or guardians. When a child displays discomfort or unwillingness, they will be allowed to withdraw without any consequence. To uphold confidentiality, learners' identities will be protected through pseudonyms and secure data handling. The research will also adopt culturally sensitive and gender-responsive approaches to ensure inclusivity. Through this the study ensures that learners participation remains safe, ethical, and empowering while fostering environmental awareness in line with Dewey's experiential pedagogy and the Arne Naess deep ecology</w:t>
      </w:r>
    </w:p>
    <w:p w14:paraId="3A4AA092" w14:textId="77777777" w:rsidR="00BF019E" w:rsidRPr="00E87451" w:rsidRDefault="00CB26E4" w:rsidP="008F26AB">
      <w:pPr>
        <w:spacing w:line="360" w:lineRule="auto"/>
        <w:jc w:val="both"/>
        <w:rPr>
          <w:rFonts w:ascii="Arial" w:hAnsi="Arial" w:cs="Arial"/>
          <w:b/>
          <w:bCs/>
          <w:sz w:val="24"/>
          <w:szCs w:val="24"/>
        </w:rPr>
      </w:pPr>
      <w:r w:rsidRPr="00730471">
        <w:rPr>
          <w:rFonts w:ascii="Arial" w:hAnsi="Arial" w:cs="Arial"/>
          <w:sz w:val="24"/>
          <w:szCs w:val="24"/>
        </w:rPr>
        <w:t xml:space="preserve">       </w:t>
      </w:r>
      <w:r w:rsidRPr="00E87451">
        <w:rPr>
          <w:rFonts w:ascii="Arial" w:hAnsi="Arial" w:cs="Arial"/>
          <w:b/>
          <w:bCs/>
          <w:sz w:val="24"/>
          <w:szCs w:val="24"/>
        </w:rPr>
        <w:t xml:space="preserve">Measures to mitigate the risks </w:t>
      </w:r>
    </w:p>
    <w:p w14:paraId="5BFED61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To ensure ethical participation of children, the study will provide appropriate remuneration in the form of non-monetary tokens such as school supplies and educational materials that both recognize their contribution and support their learning. All activities will be conducted in a conducive environment that fosters active engagement through child-friendly methods such as storytelling, roleplay, nature observation. </w:t>
      </w:r>
      <w:r w:rsidRPr="00730471">
        <w:rPr>
          <w:rFonts w:ascii="Arial" w:hAnsi="Arial" w:cs="Arial"/>
          <w:sz w:val="24"/>
          <w:szCs w:val="24"/>
        </w:rPr>
        <w:lastRenderedPageBreak/>
        <w:t xml:space="preserve">Moreover, a safe environment will be guaranteed by holding sessions in secure familiar settings (e.g., classroom and school premises) under the supervision of teachers and guardians. This is done in accordance with the study's commitment to protect children's welfare while cultivating deep environmental awareness. </w:t>
      </w:r>
    </w:p>
    <w:p w14:paraId="5A67C3B0"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Disclosure of Conflict of Interest (COU) </w:t>
      </w:r>
    </w:p>
    <w:p w14:paraId="59CB0B8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researcher hereby declares that there is no conflict of interest in the conceptualization, conduct, and potential publication of this study. The study solely for academic purposes and is not influenced by any financial, personal, or organizational interests. No external funding agency, commercial entity, or stakeholder has exerted influence over the design, methodology, analysis, or expected outcomes of this study. </w:t>
      </w:r>
    </w:p>
    <w:p w14:paraId="5D863D04"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Data Protection Plan</w:t>
      </w:r>
    </w:p>
    <w:p w14:paraId="01DFAFC7"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All data collected in this study will be treated with strict confidentiality. Personal identifiers of child participants will be removed and placed with codes. Digital files will be password protected and stored in device accessible only by the researcher and copy will be kept away from accessibility of anyone. Data will be retained for five years for academic purposes and will be destroyed after. Information shared in reports or publication will be presented in an aggregated form to ensure anonymity and participants privacy.</w:t>
      </w:r>
    </w:p>
    <w:p w14:paraId="232FDAA3" w14:textId="77777777" w:rsidR="00E87451" w:rsidRDefault="00E87451" w:rsidP="008F26AB">
      <w:pPr>
        <w:spacing w:line="360" w:lineRule="auto"/>
        <w:ind w:firstLine="720"/>
        <w:jc w:val="both"/>
        <w:rPr>
          <w:rFonts w:ascii="Arial" w:hAnsi="Arial" w:cs="Arial"/>
          <w:b/>
          <w:bCs/>
          <w:sz w:val="24"/>
          <w:szCs w:val="24"/>
        </w:rPr>
      </w:pPr>
    </w:p>
    <w:p w14:paraId="7D67194A" w14:textId="0F5AA31A"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Discomfort and inconveniences</w:t>
      </w:r>
    </w:p>
    <w:p w14:paraId="77422E5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anticipates minimal discomfort and inconveniences, which will be addressed by using child-friendly and participatory (active) activities, while ensuring that participation is voluntary and learners may withdraw anytime they want. </w:t>
      </w:r>
    </w:p>
    <w:p w14:paraId="40F86CCA"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Compensation and /or medical treatment in case of injury</w:t>
      </w:r>
    </w:p>
    <w:p w14:paraId="1572493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 xml:space="preserve">In the unlikely event of injury during activities, participants will be provided with immediate medical treatment and appropriate compensation to ensure their safety and well-being. </w:t>
      </w:r>
    </w:p>
    <w:p w14:paraId="5C708A6A" w14:textId="77777777" w:rsidR="00BF019E" w:rsidRPr="00730471" w:rsidRDefault="00BF019E" w:rsidP="008F26AB">
      <w:pPr>
        <w:spacing w:line="360" w:lineRule="auto"/>
        <w:jc w:val="both"/>
        <w:rPr>
          <w:rFonts w:ascii="Arial" w:hAnsi="Arial" w:cs="Arial"/>
          <w:sz w:val="24"/>
          <w:szCs w:val="24"/>
        </w:rPr>
      </w:pPr>
    </w:p>
    <w:p w14:paraId="647AFBDE" w14:textId="77777777" w:rsidR="00BF019E" w:rsidRPr="00730471" w:rsidRDefault="00BF019E" w:rsidP="008F26AB">
      <w:pPr>
        <w:spacing w:line="360" w:lineRule="auto"/>
        <w:jc w:val="both"/>
        <w:rPr>
          <w:rFonts w:ascii="Arial" w:hAnsi="Arial" w:cs="Arial"/>
          <w:sz w:val="24"/>
          <w:szCs w:val="24"/>
        </w:rPr>
      </w:pPr>
    </w:p>
    <w:p w14:paraId="5D1D5B0C" w14:textId="77777777" w:rsidR="00BF019E" w:rsidRPr="00730471" w:rsidRDefault="00BF019E" w:rsidP="008F26AB">
      <w:pPr>
        <w:spacing w:line="360" w:lineRule="auto"/>
        <w:jc w:val="both"/>
        <w:rPr>
          <w:rFonts w:ascii="Arial" w:hAnsi="Arial" w:cs="Arial"/>
          <w:sz w:val="24"/>
          <w:szCs w:val="24"/>
        </w:rPr>
      </w:pPr>
    </w:p>
    <w:p w14:paraId="1FCDBCCE" w14:textId="77777777" w:rsidR="003651C8" w:rsidRPr="00730471" w:rsidRDefault="003651C8" w:rsidP="008F26AB">
      <w:pPr>
        <w:spacing w:line="360" w:lineRule="auto"/>
        <w:jc w:val="both"/>
        <w:rPr>
          <w:rFonts w:ascii="Arial" w:hAnsi="Arial" w:cs="Arial"/>
          <w:sz w:val="24"/>
          <w:szCs w:val="24"/>
        </w:rPr>
      </w:pPr>
    </w:p>
    <w:p w14:paraId="24E2A374" w14:textId="77777777" w:rsidR="003651C8" w:rsidRPr="00730471" w:rsidRDefault="003651C8" w:rsidP="008F26AB">
      <w:pPr>
        <w:spacing w:line="360" w:lineRule="auto"/>
        <w:jc w:val="both"/>
        <w:rPr>
          <w:rFonts w:ascii="Arial" w:hAnsi="Arial" w:cs="Arial"/>
          <w:sz w:val="24"/>
          <w:szCs w:val="24"/>
        </w:rPr>
      </w:pPr>
    </w:p>
    <w:p w14:paraId="0208FC08" w14:textId="77777777" w:rsidR="008B4C22" w:rsidRDefault="008B4C22" w:rsidP="008F26AB">
      <w:pPr>
        <w:spacing w:line="360" w:lineRule="auto"/>
        <w:jc w:val="center"/>
        <w:rPr>
          <w:rFonts w:ascii="Arial" w:hAnsi="Arial" w:cs="Arial"/>
          <w:b/>
          <w:bCs/>
          <w:sz w:val="24"/>
          <w:szCs w:val="24"/>
        </w:rPr>
      </w:pPr>
    </w:p>
    <w:p w14:paraId="3C46A3B8" w14:textId="77777777" w:rsidR="008B4C22" w:rsidRDefault="008B4C22" w:rsidP="008F26AB">
      <w:pPr>
        <w:spacing w:line="360" w:lineRule="auto"/>
        <w:jc w:val="center"/>
        <w:rPr>
          <w:rFonts w:ascii="Arial" w:hAnsi="Arial" w:cs="Arial"/>
          <w:b/>
          <w:bCs/>
          <w:sz w:val="24"/>
          <w:szCs w:val="24"/>
        </w:rPr>
      </w:pPr>
    </w:p>
    <w:p w14:paraId="0F0A497E" w14:textId="77777777" w:rsidR="008B4C22" w:rsidRDefault="008B4C22" w:rsidP="008F26AB">
      <w:pPr>
        <w:spacing w:line="360" w:lineRule="auto"/>
        <w:jc w:val="center"/>
        <w:rPr>
          <w:rFonts w:ascii="Arial" w:hAnsi="Arial" w:cs="Arial"/>
          <w:b/>
          <w:bCs/>
          <w:sz w:val="24"/>
          <w:szCs w:val="24"/>
        </w:rPr>
      </w:pPr>
    </w:p>
    <w:p w14:paraId="03B15A69" w14:textId="77777777" w:rsidR="008B4C22" w:rsidRDefault="008B4C22" w:rsidP="008F26AB">
      <w:pPr>
        <w:spacing w:line="360" w:lineRule="auto"/>
        <w:jc w:val="center"/>
        <w:rPr>
          <w:rFonts w:ascii="Arial" w:hAnsi="Arial" w:cs="Arial"/>
          <w:b/>
          <w:bCs/>
          <w:sz w:val="24"/>
          <w:szCs w:val="24"/>
        </w:rPr>
      </w:pPr>
    </w:p>
    <w:p w14:paraId="261AFFAA" w14:textId="77777777" w:rsidR="008B4C22" w:rsidRDefault="008B4C22" w:rsidP="008F26AB">
      <w:pPr>
        <w:spacing w:line="360" w:lineRule="auto"/>
        <w:jc w:val="center"/>
        <w:rPr>
          <w:rFonts w:ascii="Arial" w:hAnsi="Arial" w:cs="Arial"/>
          <w:b/>
          <w:bCs/>
          <w:sz w:val="24"/>
          <w:szCs w:val="24"/>
        </w:rPr>
      </w:pPr>
    </w:p>
    <w:p w14:paraId="19492F8A" w14:textId="77777777" w:rsidR="00E87451" w:rsidRDefault="00E87451" w:rsidP="008F26AB">
      <w:pPr>
        <w:spacing w:line="360" w:lineRule="auto"/>
        <w:jc w:val="center"/>
        <w:rPr>
          <w:rFonts w:ascii="Arial" w:hAnsi="Arial" w:cs="Arial"/>
          <w:b/>
          <w:bCs/>
          <w:sz w:val="24"/>
          <w:szCs w:val="24"/>
        </w:rPr>
      </w:pPr>
    </w:p>
    <w:p w14:paraId="5E5D5022" w14:textId="77777777" w:rsidR="00E87451" w:rsidRDefault="00E87451" w:rsidP="008F26AB">
      <w:pPr>
        <w:spacing w:line="360" w:lineRule="auto"/>
        <w:jc w:val="center"/>
        <w:rPr>
          <w:rFonts w:ascii="Arial" w:hAnsi="Arial" w:cs="Arial"/>
          <w:b/>
          <w:bCs/>
          <w:sz w:val="24"/>
          <w:szCs w:val="24"/>
        </w:rPr>
      </w:pPr>
    </w:p>
    <w:p w14:paraId="501DDDF1" w14:textId="77777777" w:rsidR="008F26AB" w:rsidRDefault="008F26AB" w:rsidP="008F26AB">
      <w:pPr>
        <w:spacing w:line="360" w:lineRule="auto"/>
        <w:jc w:val="center"/>
        <w:rPr>
          <w:rFonts w:ascii="Arial" w:hAnsi="Arial" w:cs="Arial"/>
          <w:b/>
          <w:bCs/>
          <w:sz w:val="24"/>
          <w:szCs w:val="24"/>
        </w:rPr>
      </w:pPr>
    </w:p>
    <w:p w14:paraId="24D84BA2" w14:textId="77777777" w:rsidR="008F26AB" w:rsidRDefault="008F26AB" w:rsidP="008F26AB">
      <w:pPr>
        <w:spacing w:line="360" w:lineRule="auto"/>
        <w:jc w:val="center"/>
        <w:rPr>
          <w:rFonts w:ascii="Arial" w:hAnsi="Arial" w:cs="Arial"/>
          <w:b/>
          <w:bCs/>
          <w:sz w:val="24"/>
          <w:szCs w:val="24"/>
        </w:rPr>
      </w:pPr>
    </w:p>
    <w:p w14:paraId="18DA3A9B" w14:textId="77777777" w:rsidR="008F26AB" w:rsidRDefault="008F26AB" w:rsidP="008F26AB">
      <w:pPr>
        <w:spacing w:line="360" w:lineRule="auto"/>
        <w:jc w:val="center"/>
        <w:rPr>
          <w:rFonts w:ascii="Arial" w:hAnsi="Arial" w:cs="Arial"/>
          <w:b/>
          <w:bCs/>
          <w:sz w:val="24"/>
          <w:szCs w:val="24"/>
        </w:rPr>
      </w:pPr>
    </w:p>
    <w:p w14:paraId="0706FAFE" w14:textId="77777777" w:rsidR="008F26AB" w:rsidRDefault="008F26AB" w:rsidP="008F26AB">
      <w:pPr>
        <w:spacing w:line="360" w:lineRule="auto"/>
        <w:jc w:val="center"/>
        <w:rPr>
          <w:rFonts w:ascii="Arial" w:hAnsi="Arial" w:cs="Arial"/>
          <w:b/>
          <w:bCs/>
          <w:sz w:val="24"/>
          <w:szCs w:val="24"/>
        </w:rPr>
      </w:pPr>
    </w:p>
    <w:p w14:paraId="31D79BF8" w14:textId="77777777" w:rsidR="008F26AB" w:rsidRDefault="008F26AB" w:rsidP="008F26AB">
      <w:pPr>
        <w:spacing w:line="360" w:lineRule="auto"/>
        <w:jc w:val="center"/>
        <w:rPr>
          <w:rFonts w:ascii="Arial" w:hAnsi="Arial" w:cs="Arial"/>
          <w:b/>
          <w:bCs/>
          <w:sz w:val="24"/>
          <w:szCs w:val="24"/>
        </w:rPr>
      </w:pPr>
    </w:p>
    <w:p w14:paraId="37874DB0" w14:textId="77777777" w:rsidR="008F26AB" w:rsidRDefault="008F26AB" w:rsidP="008F26AB">
      <w:pPr>
        <w:spacing w:line="360" w:lineRule="auto"/>
        <w:jc w:val="center"/>
        <w:rPr>
          <w:rFonts w:ascii="Arial" w:hAnsi="Arial" w:cs="Arial"/>
          <w:b/>
          <w:bCs/>
          <w:sz w:val="24"/>
          <w:szCs w:val="24"/>
        </w:rPr>
      </w:pPr>
    </w:p>
    <w:p w14:paraId="5CBC358C" w14:textId="77777777" w:rsidR="008F26AB" w:rsidRDefault="008F26AB" w:rsidP="008F26AB">
      <w:pPr>
        <w:spacing w:line="360" w:lineRule="auto"/>
        <w:jc w:val="center"/>
        <w:rPr>
          <w:rFonts w:ascii="Arial" w:hAnsi="Arial" w:cs="Arial"/>
          <w:b/>
          <w:bCs/>
          <w:sz w:val="24"/>
          <w:szCs w:val="24"/>
        </w:rPr>
      </w:pPr>
    </w:p>
    <w:p w14:paraId="3B5F292E" w14:textId="77777777" w:rsidR="008F26AB" w:rsidRDefault="008F26AB" w:rsidP="008F26AB">
      <w:pPr>
        <w:spacing w:line="360" w:lineRule="auto"/>
        <w:jc w:val="center"/>
        <w:rPr>
          <w:rFonts w:ascii="Arial" w:hAnsi="Arial" w:cs="Arial"/>
          <w:b/>
          <w:bCs/>
          <w:sz w:val="24"/>
          <w:szCs w:val="24"/>
        </w:rPr>
      </w:pPr>
    </w:p>
    <w:p w14:paraId="4CBBA413" w14:textId="77777777" w:rsidR="008F26AB" w:rsidRDefault="008F26AB" w:rsidP="008F26AB">
      <w:pPr>
        <w:spacing w:line="360" w:lineRule="auto"/>
        <w:jc w:val="center"/>
        <w:rPr>
          <w:rFonts w:ascii="Arial" w:hAnsi="Arial" w:cs="Arial"/>
          <w:b/>
          <w:bCs/>
          <w:sz w:val="24"/>
          <w:szCs w:val="24"/>
        </w:rPr>
      </w:pPr>
    </w:p>
    <w:p w14:paraId="559248FD" w14:textId="77777777" w:rsidR="008F26AB" w:rsidRDefault="008F26AB" w:rsidP="008F26AB">
      <w:pPr>
        <w:spacing w:line="360" w:lineRule="auto"/>
        <w:jc w:val="center"/>
        <w:rPr>
          <w:rFonts w:ascii="Arial" w:hAnsi="Arial" w:cs="Arial"/>
          <w:b/>
          <w:bCs/>
          <w:sz w:val="24"/>
          <w:szCs w:val="24"/>
        </w:rPr>
      </w:pPr>
    </w:p>
    <w:p w14:paraId="45462289" w14:textId="45E610B0" w:rsidR="00BF019E" w:rsidRPr="008B4C22" w:rsidRDefault="00CB26E4" w:rsidP="008F26AB">
      <w:pPr>
        <w:spacing w:line="360" w:lineRule="auto"/>
        <w:jc w:val="center"/>
        <w:rPr>
          <w:rFonts w:ascii="Arial" w:hAnsi="Arial" w:cs="Arial"/>
          <w:b/>
          <w:bCs/>
          <w:sz w:val="24"/>
          <w:szCs w:val="24"/>
        </w:rPr>
      </w:pPr>
      <w:r w:rsidRPr="008B4C22">
        <w:rPr>
          <w:rFonts w:ascii="Arial" w:hAnsi="Arial" w:cs="Arial"/>
          <w:b/>
          <w:bCs/>
          <w:sz w:val="24"/>
          <w:szCs w:val="24"/>
        </w:rPr>
        <w:lastRenderedPageBreak/>
        <w:t>CHAPTER 4</w:t>
      </w:r>
    </w:p>
    <w:p w14:paraId="2EA7CBCB" w14:textId="77777777" w:rsidR="00BF019E" w:rsidRPr="008B4C22" w:rsidRDefault="00CB26E4" w:rsidP="008F26AB">
      <w:pPr>
        <w:spacing w:line="360" w:lineRule="auto"/>
        <w:jc w:val="center"/>
        <w:rPr>
          <w:rFonts w:ascii="Arial" w:hAnsi="Arial" w:cs="Arial"/>
          <w:b/>
          <w:bCs/>
          <w:sz w:val="24"/>
          <w:szCs w:val="24"/>
        </w:rPr>
      </w:pPr>
      <w:r w:rsidRPr="008B4C22">
        <w:rPr>
          <w:rFonts w:ascii="Arial" w:hAnsi="Arial" w:cs="Arial"/>
          <w:b/>
          <w:bCs/>
          <w:sz w:val="24"/>
          <w:szCs w:val="24"/>
        </w:rPr>
        <w:t>RESULTS AND DISCUSSION</w:t>
      </w:r>
    </w:p>
    <w:p w14:paraId="3E9E4DE1" w14:textId="77777777" w:rsidR="008B4C22" w:rsidRDefault="008B4C22" w:rsidP="008F26AB">
      <w:pPr>
        <w:spacing w:line="360" w:lineRule="auto"/>
        <w:ind w:firstLine="720"/>
        <w:jc w:val="both"/>
        <w:rPr>
          <w:rFonts w:ascii="Arial" w:hAnsi="Arial" w:cs="Arial"/>
          <w:sz w:val="24"/>
          <w:szCs w:val="24"/>
        </w:rPr>
      </w:pPr>
    </w:p>
    <w:p w14:paraId="76420568" w14:textId="74CEDA6C"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chapter presents, analyzes, and interprets the findings of the study in relation to the stated problems. The results are organized according to each research question to ensure clarity and alignment with the Statement of the Problem. Data were gathered from learners of Sultan Mamarinta Panandigan Integrated School (SMPIS) and Cabili Village Elementary School (CVES), representing rural-highland and urban-coastal contexts, respectively.</w:t>
      </w:r>
    </w:p>
    <w:p w14:paraId="56B77EAD" w14:textId="7209FBCE" w:rsidR="003651C8" w:rsidRPr="008B4C22" w:rsidRDefault="003651C8" w:rsidP="008F26AB">
      <w:pPr>
        <w:spacing w:line="360" w:lineRule="auto"/>
        <w:jc w:val="both"/>
        <w:rPr>
          <w:rFonts w:ascii="Arial" w:hAnsi="Arial" w:cs="Arial"/>
          <w:b/>
          <w:bCs/>
          <w:sz w:val="24"/>
          <w:szCs w:val="24"/>
        </w:rPr>
      </w:pPr>
      <w:bookmarkStart w:id="27" w:name="_wa7eu9twlq8v" w:colFirst="0" w:colLast="0"/>
      <w:bookmarkEnd w:id="27"/>
      <w:r w:rsidRPr="008B4C22">
        <w:rPr>
          <w:rFonts w:ascii="Arial" w:hAnsi="Arial" w:cs="Arial"/>
          <w:b/>
          <w:bCs/>
          <w:sz w:val="24"/>
          <w:szCs w:val="24"/>
        </w:rPr>
        <w:t>4.1 Level of Environmental Awareness</w:t>
      </w:r>
    </w:p>
    <w:p w14:paraId="03FD7186" w14:textId="25A56F9C"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section answers the first research problem: What is the current level of environmental awareness among learners of Tomas Cabili Village Elementary School and Sultan Mamarinta Panandigan Integrated School in terms of Knowledge, attitudes and practice?</w:t>
      </w:r>
    </w:p>
    <w:p w14:paraId="26DC2E62" w14:textId="663B05AB" w:rsidR="003651C8" w:rsidRPr="008B4C22" w:rsidRDefault="003651C8" w:rsidP="008F26AB">
      <w:pPr>
        <w:spacing w:line="360" w:lineRule="auto"/>
        <w:ind w:left="720"/>
        <w:jc w:val="both"/>
        <w:rPr>
          <w:rFonts w:ascii="Arial" w:hAnsi="Arial" w:cs="Arial"/>
          <w:b/>
          <w:bCs/>
          <w:sz w:val="24"/>
          <w:szCs w:val="24"/>
        </w:rPr>
      </w:pPr>
      <w:bookmarkStart w:id="28" w:name="_jm6adlk05sig" w:colFirst="0" w:colLast="0"/>
      <w:bookmarkEnd w:id="28"/>
      <w:r w:rsidRPr="008B4C22">
        <w:rPr>
          <w:rFonts w:ascii="Arial" w:hAnsi="Arial" w:cs="Arial"/>
          <w:b/>
          <w:bCs/>
          <w:sz w:val="24"/>
          <w:szCs w:val="24"/>
        </w:rPr>
        <w:t>4.1.1 Environmental Knowledge</w:t>
      </w:r>
    </w:p>
    <w:p w14:paraId="277D8C0C" w14:textId="01556B42"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subsection shows the learner's environmental knowledge that is based on the data gathered through participatory approaches utilized by this study, specifically the picture-based surveys and interviews. Level of environmental knowledge is identified using their ability to identify environmental concepts like environmental issues, the cause and effect of human and natural environment relationship, and their understanding and usage of scientific words. This finding will help the study showcase the “knowledge” dimension of awareness. </w:t>
      </w:r>
    </w:p>
    <w:p w14:paraId="167273F7" w14:textId="77777777"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1</w:t>
      </w:r>
    </w:p>
    <w:p w14:paraId="3FD788C5" w14:textId="77777777" w:rsidR="00BF019E" w:rsidRPr="00730471" w:rsidRDefault="00CB26E4" w:rsidP="008F26AB">
      <w:pPr>
        <w:spacing w:line="360" w:lineRule="auto"/>
        <w:ind w:left="720"/>
        <w:jc w:val="both"/>
        <w:rPr>
          <w:rFonts w:ascii="Arial" w:hAnsi="Arial" w:cs="Arial"/>
          <w:sz w:val="24"/>
          <w:szCs w:val="24"/>
        </w:rPr>
      </w:pPr>
      <w:r w:rsidRPr="00730471">
        <w:rPr>
          <w:rFonts w:ascii="Arial" w:hAnsi="Arial" w:cs="Arial"/>
          <w:sz w:val="24"/>
          <w:szCs w:val="24"/>
        </w:rPr>
        <w:t xml:space="preserve">Distribution of Performance Levels in Environmental Knowledge </w:t>
      </w:r>
    </w:p>
    <w:tbl>
      <w:tblPr>
        <w:tblStyle w:val="a0"/>
        <w:tblW w:w="7650"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1560"/>
        <w:gridCol w:w="1425"/>
        <w:gridCol w:w="885"/>
        <w:gridCol w:w="1170"/>
        <w:gridCol w:w="1080"/>
        <w:gridCol w:w="1530"/>
      </w:tblGrid>
      <w:tr w:rsidR="00BF019E" w:rsidRPr="008B4C22" w14:paraId="08FE711E" w14:textId="77777777" w:rsidTr="008B4C22">
        <w:trPr>
          <w:trHeight w:val="526"/>
        </w:trPr>
        <w:tc>
          <w:tcPr>
            <w:tcW w:w="1560" w:type="dxa"/>
            <w:tcBorders>
              <w:top w:val="single" w:sz="9" w:space="0" w:color="000000"/>
              <w:left w:val="nil"/>
              <w:bottom w:val="single" w:sz="9" w:space="0" w:color="000000"/>
              <w:right w:val="nil"/>
            </w:tcBorders>
            <w:tcMar>
              <w:top w:w="100" w:type="dxa"/>
              <w:left w:w="100" w:type="dxa"/>
              <w:bottom w:w="100" w:type="dxa"/>
              <w:right w:w="100" w:type="dxa"/>
            </w:tcMar>
          </w:tcPr>
          <w:p w14:paraId="4AA6D6B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425" w:type="dxa"/>
            <w:tcBorders>
              <w:top w:val="single" w:sz="9" w:space="0" w:color="000000"/>
              <w:left w:val="nil"/>
              <w:bottom w:val="single" w:sz="9" w:space="0" w:color="000000"/>
              <w:right w:val="nil"/>
            </w:tcBorders>
            <w:tcMar>
              <w:top w:w="100" w:type="dxa"/>
              <w:left w:w="100" w:type="dxa"/>
              <w:bottom w:w="100" w:type="dxa"/>
              <w:right w:w="100" w:type="dxa"/>
            </w:tcMar>
          </w:tcPr>
          <w:p w14:paraId="7D87181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885" w:type="dxa"/>
            <w:tcBorders>
              <w:top w:val="single" w:sz="9" w:space="0" w:color="000000"/>
              <w:left w:val="nil"/>
              <w:bottom w:val="single" w:sz="9" w:space="0" w:color="000000"/>
              <w:right w:val="nil"/>
            </w:tcBorders>
            <w:tcMar>
              <w:top w:w="100" w:type="dxa"/>
              <w:left w:w="100" w:type="dxa"/>
              <w:bottom w:w="100" w:type="dxa"/>
              <w:right w:w="100" w:type="dxa"/>
            </w:tcMar>
          </w:tcPr>
          <w:p w14:paraId="42B3473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170" w:type="dxa"/>
            <w:tcBorders>
              <w:top w:val="single" w:sz="9" w:space="0" w:color="000000"/>
              <w:left w:val="nil"/>
              <w:bottom w:val="single" w:sz="9" w:space="0" w:color="000000"/>
              <w:right w:val="nil"/>
            </w:tcBorders>
            <w:tcMar>
              <w:top w:w="100" w:type="dxa"/>
              <w:left w:w="100" w:type="dxa"/>
              <w:bottom w:w="100" w:type="dxa"/>
              <w:right w:w="100" w:type="dxa"/>
            </w:tcMar>
          </w:tcPr>
          <w:p w14:paraId="72C04A1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w:t>
            </w:r>
          </w:p>
        </w:tc>
        <w:tc>
          <w:tcPr>
            <w:tcW w:w="1080" w:type="dxa"/>
            <w:tcBorders>
              <w:top w:val="single" w:sz="9" w:space="0" w:color="000000"/>
              <w:left w:val="nil"/>
              <w:bottom w:val="single" w:sz="9" w:space="0" w:color="000000"/>
              <w:right w:val="nil"/>
            </w:tcBorders>
            <w:tcMar>
              <w:top w:w="100" w:type="dxa"/>
              <w:left w:w="100" w:type="dxa"/>
              <w:bottom w:w="100" w:type="dxa"/>
              <w:right w:w="100" w:type="dxa"/>
            </w:tcMar>
          </w:tcPr>
          <w:p w14:paraId="55E671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530" w:type="dxa"/>
            <w:tcBorders>
              <w:top w:val="single" w:sz="9" w:space="0" w:color="000000"/>
              <w:left w:val="nil"/>
              <w:bottom w:val="single" w:sz="9" w:space="0" w:color="000000"/>
              <w:right w:val="nil"/>
            </w:tcBorders>
            <w:tcMar>
              <w:top w:w="100" w:type="dxa"/>
              <w:left w:w="100" w:type="dxa"/>
              <w:bottom w:w="100" w:type="dxa"/>
              <w:right w:w="100" w:type="dxa"/>
            </w:tcMar>
          </w:tcPr>
          <w:p w14:paraId="04A6AB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3F46F82B" w14:textId="77777777" w:rsidTr="008B4C22">
        <w:trPr>
          <w:trHeight w:val="305"/>
        </w:trPr>
        <w:tc>
          <w:tcPr>
            <w:tcW w:w="1560" w:type="dxa"/>
            <w:vMerge w:val="restart"/>
            <w:tcBorders>
              <w:top w:val="nil"/>
              <w:left w:val="nil"/>
              <w:bottom w:val="single" w:sz="9" w:space="0" w:color="000000"/>
              <w:right w:val="nil"/>
            </w:tcBorders>
            <w:tcMar>
              <w:top w:w="100" w:type="dxa"/>
              <w:left w:w="100" w:type="dxa"/>
              <w:bottom w:w="100" w:type="dxa"/>
              <w:right w:w="100" w:type="dxa"/>
            </w:tcMar>
          </w:tcPr>
          <w:p w14:paraId="2446449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36C34E7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lastRenderedPageBreak/>
              <w:t xml:space="preserve"> </w:t>
            </w:r>
          </w:p>
          <w:p w14:paraId="7DA7239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Identification of Environmental Issues    </w:t>
            </w:r>
            <w:r w:rsidRPr="008B4C22">
              <w:rPr>
                <w:rFonts w:ascii="Arial" w:hAnsi="Arial" w:cs="Arial"/>
                <w:sz w:val="20"/>
                <w:szCs w:val="20"/>
              </w:rPr>
              <w:tab/>
            </w:r>
          </w:p>
        </w:tc>
        <w:tc>
          <w:tcPr>
            <w:tcW w:w="1425" w:type="dxa"/>
            <w:tcBorders>
              <w:top w:val="nil"/>
              <w:left w:val="nil"/>
              <w:bottom w:val="single" w:sz="4" w:space="0" w:color="000000"/>
              <w:right w:val="nil"/>
            </w:tcBorders>
            <w:tcMar>
              <w:top w:w="100" w:type="dxa"/>
              <w:left w:w="100" w:type="dxa"/>
              <w:bottom w:w="100" w:type="dxa"/>
              <w:right w:w="100" w:type="dxa"/>
            </w:tcMar>
          </w:tcPr>
          <w:p w14:paraId="100D66A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lastRenderedPageBreak/>
              <w:t>4</w:t>
            </w:r>
          </w:p>
        </w:tc>
        <w:tc>
          <w:tcPr>
            <w:tcW w:w="885" w:type="dxa"/>
            <w:tcBorders>
              <w:top w:val="nil"/>
              <w:left w:val="nil"/>
              <w:bottom w:val="single" w:sz="4" w:space="0" w:color="000000"/>
              <w:right w:val="nil"/>
            </w:tcBorders>
            <w:tcMar>
              <w:top w:w="0" w:type="dxa"/>
              <w:left w:w="40" w:type="dxa"/>
              <w:bottom w:w="0" w:type="dxa"/>
              <w:right w:w="40" w:type="dxa"/>
            </w:tcMar>
          </w:tcPr>
          <w:p w14:paraId="6D28900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482B2C1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3B46975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1530" w:type="dxa"/>
            <w:tcBorders>
              <w:top w:val="nil"/>
              <w:left w:val="nil"/>
              <w:bottom w:val="single" w:sz="4" w:space="0" w:color="000000"/>
              <w:right w:val="nil"/>
            </w:tcBorders>
            <w:tcMar>
              <w:top w:w="0" w:type="dxa"/>
              <w:left w:w="40" w:type="dxa"/>
              <w:bottom w:w="0" w:type="dxa"/>
              <w:right w:w="40" w:type="dxa"/>
            </w:tcMar>
          </w:tcPr>
          <w:p w14:paraId="1E29A90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3071AD03" w14:textId="77777777" w:rsidTr="008B4C22">
        <w:trPr>
          <w:trHeight w:val="206"/>
        </w:trPr>
        <w:tc>
          <w:tcPr>
            <w:tcW w:w="1560" w:type="dxa"/>
            <w:vMerge/>
            <w:tcBorders>
              <w:top w:val="nil"/>
              <w:left w:val="nil"/>
              <w:bottom w:val="single" w:sz="9" w:space="0" w:color="000000"/>
              <w:right w:val="nil"/>
            </w:tcBorders>
            <w:tcMar>
              <w:top w:w="100" w:type="dxa"/>
              <w:left w:w="100" w:type="dxa"/>
              <w:bottom w:w="100" w:type="dxa"/>
              <w:right w:w="100" w:type="dxa"/>
            </w:tcMar>
          </w:tcPr>
          <w:p w14:paraId="20AB560D"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6810EEB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885" w:type="dxa"/>
            <w:tcBorders>
              <w:top w:val="nil"/>
              <w:left w:val="nil"/>
              <w:bottom w:val="single" w:sz="4" w:space="0" w:color="000000"/>
              <w:right w:val="nil"/>
            </w:tcBorders>
            <w:tcMar>
              <w:top w:w="0" w:type="dxa"/>
              <w:left w:w="40" w:type="dxa"/>
              <w:bottom w:w="0" w:type="dxa"/>
              <w:right w:w="40" w:type="dxa"/>
            </w:tcMar>
          </w:tcPr>
          <w:p w14:paraId="6CA1B81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114</w:t>
            </w:r>
          </w:p>
        </w:tc>
        <w:tc>
          <w:tcPr>
            <w:tcW w:w="1170" w:type="dxa"/>
            <w:tcBorders>
              <w:top w:val="nil"/>
              <w:left w:val="nil"/>
              <w:bottom w:val="single" w:sz="4" w:space="0" w:color="000000"/>
              <w:right w:val="nil"/>
            </w:tcBorders>
            <w:tcMar>
              <w:top w:w="0" w:type="dxa"/>
              <w:left w:w="40" w:type="dxa"/>
              <w:bottom w:w="0" w:type="dxa"/>
              <w:right w:w="40" w:type="dxa"/>
            </w:tcMar>
          </w:tcPr>
          <w:p w14:paraId="1320489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91.94%</w:t>
            </w:r>
          </w:p>
        </w:tc>
        <w:tc>
          <w:tcPr>
            <w:tcW w:w="1080" w:type="dxa"/>
            <w:tcBorders>
              <w:top w:val="nil"/>
              <w:left w:val="nil"/>
              <w:bottom w:val="single" w:sz="4" w:space="0" w:color="000000"/>
              <w:right w:val="nil"/>
            </w:tcBorders>
            <w:tcMar>
              <w:top w:w="0" w:type="dxa"/>
              <w:left w:w="40" w:type="dxa"/>
              <w:bottom w:w="0" w:type="dxa"/>
              <w:right w:w="40" w:type="dxa"/>
            </w:tcMar>
          </w:tcPr>
          <w:p w14:paraId="588E65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530" w:type="dxa"/>
            <w:tcBorders>
              <w:top w:val="nil"/>
              <w:left w:val="nil"/>
              <w:bottom w:val="single" w:sz="4" w:space="0" w:color="000000"/>
              <w:right w:val="nil"/>
            </w:tcBorders>
            <w:tcMar>
              <w:top w:w="0" w:type="dxa"/>
              <w:left w:w="40" w:type="dxa"/>
              <w:bottom w:w="0" w:type="dxa"/>
              <w:right w:w="40" w:type="dxa"/>
            </w:tcMar>
          </w:tcPr>
          <w:p w14:paraId="69C7C8D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023A1E8D" w14:textId="77777777" w:rsidTr="008B4C22">
        <w:trPr>
          <w:trHeight w:val="269"/>
        </w:trPr>
        <w:tc>
          <w:tcPr>
            <w:tcW w:w="1560" w:type="dxa"/>
            <w:vMerge/>
            <w:tcBorders>
              <w:top w:val="nil"/>
              <w:left w:val="nil"/>
              <w:bottom w:val="single" w:sz="9" w:space="0" w:color="000000"/>
              <w:right w:val="nil"/>
            </w:tcBorders>
            <w:tcMar>
              <w:top w:w="100" w:type="dxa"/>
              <w:left w:w="100" w:type="dxa"/>
              <w:bottom w:w="100" w:type="dxa"/>
              <w:right w:w="100" w:type="dxa"/>
            </w:tcMar>
          </w:tcPr>
          <w:p w14:paraId="1407270E"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71720B3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885" w:type="dxa"/>
            <w:tcBorders>
              <w:top w:val="nil"/>
              <w:left w:val="nil"/>
              <w:bottom w:val="single" w:sz="4" w:space="0" w:color="000000"/>
              <w:right w:val="nil"/>
            </w:tcBorders>
            <w:tcMar>
              <w:top w:w="0" w:type="dxa"/>
              <w:left w:w="40" w:type="dxa"/>
              <w:bottom w:w="0" w:type="dxa"/>
              <w:right w:w="40" w:type="dxa"/>
            </w:tcMar>
          </w:tcPr>
          <w:p w14:paraId="3F243F1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6C959C4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4299A68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1530" w:type="dxa"/>
            <w:tcBorders>
              <w:top w:val="nil"/>
              <w:left w:val="nil"/>
              <w:bottom w:val="single" w:sz="4" w:space="0" w:color="000000"/>
              <w:right w:val="nil"/>
            </w:tcBorders>
            <w:tcMar>
              <w:top w:w="0" w:type="dxa"/>
              <w:left w:w="40" w:type="dxa"/>
              <w:bottom w:w="0" w:type="dxa"/>
              <w:right w:w="40" w:type="dxa"/>
            </w:tcMar>
          </w:tcPr>
          <w:p w14:paraId="1B96C61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09EB197C" w14:textId="77777777" w:rsidTr="008B4C22">
        <w:trPr>
          <w:trHeight w:val="206"/>
        </w:trPr>
        <w:tc>
          <w:tcPr>
            <w:tcW w:w="1560" w:type="dxa"/>
            <w:vMerge/>
            <w:tcBorders>
              <w:top w:val="nil"/>
              <w:left w:val="nil"/>
              <w:bottom w:val="single" w:sz="9" w:space="0" w:color="000000"/>
              <w:right w:val="nil"/>
            </w:tcBorders>
            <w:tcMar>
              <w:top w:w="100" w:type="dxa"/>
              <w:left w:w="100" w:type="dxa"/>
              <w:bottom w:w="100" w:type="dxa"/>
              <w:right w:w="100" w:type="dxa"/>
            </w:tcMar>
          </w:tcPr>
          <w:p w14:paraId="0AB2B190"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12" w:space="0" w:color="000000"/>
              <w:right w:val="nil"/>
            </w:tcBorders>
            <w:tcMar>
              <w:top w:w="100" w:type="dxa"/>
              <w:left w:w="100" w:type="dxa"/>
              <w:bottom w:w="100" w:type="dxa"/>
              <w:right w:w="100" w:type="dxa"/>
            </w:tcMar>
          </w:tcPr>
          <w:p w14:paraId="0452867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885" w:type="dxa"/>
            <w:tcBorders>
              <w:top w:val="nil"/>
              <w:left w:val="nil"/>
              <w:bottom w:val="single" w:sz="9" w:space="0" w:color="000000"/>
              <w:right w:val="nil"/>
            </w:tcBorders>
            <w:tcMar>
              <w:top w:w="0" w:type="dxa"/>
              <w:left w:w="40" w:type="dxa"/>
              <w:bottom w:w="0" w:type="dxa"/>
              <w:right w:w="40" w:type="dxa"/>
            </w:tcMar>
          </w:tcPr>
          <w:p w14:paraId="6CFDEAB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64239CA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9" w:space="0" w:color="000000"/>
              <w:right w:val="nil"/>
            </w:tcBorders>
            <w:tcMar>
              <w:top w:w="0" w:type="dxa"/>
              <w:left w:w="40" w:type="dxa"/>
              <w:bottom w:w="0" w:type="dxa"/>
              <w:right w:w="40" w:type="dxa"/>
            </w:tcMar>
          </w:tcPr>
          <w:p w14:paraId="453E4C0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530" w:type="dxa"/>
            <w:tcBorders>
              <w:top w:val="nil"/>
              <w:left w:val="nil"/>
              <w:bottom w:val="single" w:sz="9" w:space="0" w:color="000000"/>
              <w:right w:val="nil"/>
            </w:tcBorders>
            <w:tcMar>
              <w:top w:w="0" w:type="dxa"/>
              <w:left w:w="40" w:type="dxa"/>
              <w:bottom w:w="0" w:type="dxa"/>
              <w:right w:w="40" w:type="dxa"/>
            </w:tcMar>
          </w:tcPr>
          <w:p w14:paraId="01F75E5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7D90C5E4" w14:textId="77777777" w:rsidTr="008B4C22">
        <w:trPr>
          <w:trHeight w:val="284"/>
        </w:trPr>
        <w:tc>
          <w:tcPr>
            <w:tcW w:w="1560" w:type="dxa"/>
            <w:vMerge w:val="restart"/>
            <w:tcBorders>
              <w:top w:val="nil"/>
              <w:left w:val="nil"/>
              <w:bottom w:val="single" w:sz="9" w:space="0" w:color="000000"/>
              <w:right w:val="nil"/>
            </w:tcBorders>
            <w:tcMar>
              <w:top w:w="100" w:type="dxa"/>
              <w:left w:w="100" w:type="dxa"/>
              <w:bottom w:w="100" w:type="dxa"/>
              <w:right w:w="100" w:type="dxa"/>
            </w:tcMar>
          </w:tcPr>
          <w:p w14:paraId="1B3D506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A42BCF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D58A28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Cause-and-Effect Relationships</w:t>
            </w:r>
          </w:p>
        </w:tc>
        <w:tc>
          <w:tcPr>
            <w:tcW w:w="1425" w:type="dxa"/>
            <w:tcBorders>
              <w:top w:val="single" w:sz="12" w:space="0" w:color="000000"/>
              <w:left w:val="nil"/>
              <w:bottom w:val="single" w:sz="4" w:space="0" w:color="000000"/>
              <w:right w:val="nil"/>
            </w:tcBorders>
            <w:tcMar>
              <w:top w:w="100" w:type="dxa"/>
              <w:left w:w="100" w:type="dxa"/>
              <w:bottom w:w="100" w:type="dxa"/>
              <w:right w:w="100" w:type="dxa"/>
            </w:tcMar>
          </w:tcPr>
          <w:p w14:paraId="1C6076E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885" w:type="dxa"/>
            <w:tcBorders>
              <w:top w:val="nil"/>
              <w:left w:val="nil"/>
              <w:bottom w:val="single" w:sz="4" w:space="0" w:color="000000"/>
              <w:right w:val="nil"/>
            </w:tcBorders>
            <w:tcMar>
              <w:top w:w="0" w:type="dxa"/>
              <w:left w:w="40" w:type="dxa"/>
              <w:bottom w:w="0" w:type="dxa"/>
              <w:right w:w="40" w:type="dxa"/>
            </w:tcMar>
          </w:tcPr>
          <w:p w14:paraId="3BBECAF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110</w:t>
            </w:r>
          </w:p>
        </w:tc>
        <w:tc>
          <w:tcPr>
            <w:tcW w:w="1170" w:type="dxa"/>
            <w:tcBorders>
              <w:top w:val="nil"/>
              <w:left w:val="nil"/>
              <w:bottom w:val="single" w:sz="4" w:space="0" w:color="000000"/>
              <w:right w:val="nil"/>
            </w:tcBorders>
            <w:tcMar>
              <w:top w:w="0" w:type="dxa"/>
              <w:left w:w="40" w:type="dxa"/>
              <w:bottom w:w="0" w:type="dxa"/>
              <w:right w:w="40" w:type="dxa"/>
            </w:tcMar>
          </w:tcPr>
          <w:p w14:paraId="217DEAD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88.71%</w:t>
            </w:r>
          </w:p>
        </w:tc>
        <w:tc>
          <w:tcPr>
            <w:tcW w:w="1080" w:type="dxa"/>
            <w:tcBorders>
              <w:top w:val="nil"/>
              <w:left w:val="nil"/>
              <w:bottom w:val="single" w:sz="4" w:space="0" w:color="000000"/>
              <w:right w:val="nil"/>
            </w:tcBorders>
            <w:tcMar>
              <w:top w:w="0" w:type="dxa"/>
              <w:left w:w="40" w:type="dxa"/>
              <w:bottom w:w="0" w:type="dxa"/>
              <w:right w:w="40" w:type="dxa"/>
            </w:tcMar>
          </w:tcPr>
          <w:p w14:paraId="76A63E2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530" w:type="dxa"/>
            <w:tcBorders>
              <w:top w:val="nil"/>
              <w:left w:val="nil"/>
              <w:bottom w:val="single" w:sz="4" w:space="0" w:color="000000"/>
              <w:right w:val="nil"/>
            </w:tcBorders>
            <w:tcMar>
              <w:top w:w="0" w:type="dxa"/>
              <w:left w:w="40" w:type="dxa"/>
              <w:bottom w:w="0" w:type="dxa"/>
              <w:right w:w="40" w:type="dxa"/>
            </w:tcMar>
          </w:tcPr>
          <w:p w14:paraId="62AC0D8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73.25%</w:t>
            </w:r>
          </w:p>
        </w:tc>
      </w:tr>
      <w:tr w:rsidR="00BF019E" w:rsidRPr="008B4C22" w14:paraId="358B46D3" w14:textId="77777777" w:rsidTr="008B4C22">
        <w:trPr>
          <w:trHeight w:val="341"/>
        </w:trPr>
        <w:tc>
          <w:tcPr>
            <w:tcW w:w="1560" w:type="dxa"/>
            <w:vMerge/>
            <w:tcBorders>
              <w:top w:val="nil"/>
              <w:left w:val="nil"/>
              <w:bottom w:val="single" w:sz="9" w:space="0" w:color="000000"/>
              <w:right w:val="nil"/>
            </w:tcBorders>
            <w:tcMar>
              <w:top w:w="100" w:type="dxa"/>
              <w:left w:w="100" w:type="dxa"/>
              <w:bottom w:w="100" w:type="dxa"/>
              <w:right w:w="100" w:type="dxa"/>
            </w:tcMar>
          </w:tcPr>
          <w:p w14:paraId="3604BCB5"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6EC82F6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885" w:type="dxa"/>
            <w:tcBorders>
              <w:top w:val="nil"/>
              <w:left w:val="nil"/>
              <w:bottom w:val="single" w:sz="4" w:space="0" w:color="000000"/>
              <w:right w:val="nil"/>
            </w:tcBorders>
            <w:tcMar>
              <w:top w:w="0" w:type="dxa"/>
              <w:left w:w="40" w:type="dxa"/>
              <w:bottom w:w="0" w:type="dxa"/>
              <w:right w:w="40" w:type="dxa"/>
            </w:tcMar>
          </w:tcPr>
          <w:p w14:paraId="10CFD02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0F71F9B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22865B4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1530" w:type="dxa"/>
            <w:tcBorders>
              <w:top w:val="nil"/>
              <w:left w:val="nil"/>
              <w:bottom w:val="single" w:sz="4" w:space="0" w:color="000000"/>
              <w:right w:val="nil"/>
            </w:tcBorders>
            <w:tcMar>
              <w:top w:w="0" w:type="dxa"/>
              <w:left w:w="40" w:type="dxa"/>
              <w:bottom w:w="0" w:type="dxa"/>
              <w:right w:w="40" w:type="dxa"/>
            </w:tcMar>
          </w:tcPr>
          <w:p w14:paraId="1769165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4ABFC6B7" w14:textId="77777777" w:rsidTr="008B4C22">
        <w:trPr>
          <w:trHeight w:val="242"/>
        </w:trPr>
        <w:tc>
          <w:tcPr>
            <w:tcW w:w="1560" w:type="dxa"/>
            <w:vMerge/>
            <w:tcBorders>
              <w:top w:val="nil"/>
              <w:left w:val="nil"/>
              <w:bottom w:val="single" w:sz="9" w:space="0" w:color="000000"/>
              <w:right w:val="nil"/>
            </w:tcBorders>
            <w:tcMar>
              <w:top w:w="100" w:type="dxa"/>
              <w:left w:w="100" w:type="dxa"/>
              <w:bottom w:w="100" w:type="dxa"/>
              <w:right w:w="100" w:type="dxa"/>
            </w:tcMar>
          </w:tcPr>
          <w:p w14:paraId="3B28D51C"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28845F7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885" w:type="dxa"/>
            <w:tcBorders>
              <w:top w:val="nil"/>
              <w:left w:val="nil"/>
              <w:bottom w:val="single" w:sz="4" w:space="0" w:color="000000"/>
              <w:right w:val="nil"/>
            </w:tcBorders>
            <w:tcMar>
              <w:top w:w="0" w:type="dxa"/>
              <w:left w:w="40" w:type="dxa"/>
              <w:bottom w:w="0" w:type="dxa"/>
              <w:right w:w="40" w:type="dxa"/>
            </w:tcMar>
          </w:tcPr>
          <w:p w14:paraId="794E952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70" w:type="dxa"/>
            <w:tcBorders>
              <w:top w:val="nil"/>
              <w:left w:val="nil"/>
              <w:bottom w:val="single" w:sz="4" w:space="0" w:color="000000"/>
              <w:right w:val="nil"/>
            </w:tcBorders>
            <w:tcMar>
              <w:top w:w="0" w:type="dxa"/>
              <w:left w:w="40" w:type="dxa"/>
              <w:bottom w:w="0" w:type="dxa"/>
              <w:right w:w="40" w:type="dxa"/>
            </w:tcMar>
          </w:tcPr>
          <w:p w14:paraId="56BD7D0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1080" w:type="dxa"/>
            <w:tcBorders>
              <w:top w:val="nil"/>
              <w:left w:val="nil"/>
              <w:bottom w:val="single" w:sz="4" w:space="0" w:color="000000"/>
              <w:right w:val="nil"/>
            </w:tcBorders>
            <w:tcMar>
              <w:top w:w="0" w:type="dxa"/>
              <w:left w:w="40" w:type="dxa"/>
              <w:bottom w:w="0" w:type="dxa"/>
              <w:right w:w="40" w:type="dxa"/>
            </w:tcMar>
          </w:tcPr>
          <w:p w14:paraId="3E71FFF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w:t>
            </w:r>
          </w:p>
        </w:tc>
        <w:tc>
          <w:tcPr>
            <w:tcW w:w="1530" w:type="dxa"/>
            <w:tcBorders>
              <w:top w:val="nil"/>
              <w:left w:val="nil"/>
              <w:bottom w:val="single" w:sz="4" w:space="0" w:color="000000"/>
              <w:right w:val="nil"/>
            </w:tcBorders>
            <w:tcMar>
              <w:top w:w="0" w:type="dxa"/>
              <w:left w:w="40" w:type="dxa"/>
              <w:bottom w:w="0" w:type="dxa"/>
              <w:right w:w="40" w:type="dxa"/>
            </w:tcMar>
          </w:tcPr>
          <w:p w14:paraId="36753D5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w:t>
            </w:r>
          </w:p>
        </w:tc>
      </w:tr>
      <w:tr w:rsidR="00BF019E" w:rsidRPr="008B4C22" w14:paraId="5C453FFF" w14:textId="77777777" w:rsidTr="008B4C22">
        <w:trPr>
          <w:trHeight w:val="224"/>
        </w:trPr>
        <w:tc>
          <w:tcPr>
            <w:tcW w:w="1560" w:type="dxa"/>
            <w:vMerge/>
            <w:tcBorders>
              <w:top w:val="nil"/>
              <w:left w:val="nil"/>
              <w:bottom w:val="single" w:sz="9" w:space="0" w:color="000000"/>
              <w:right w:val="nil"/>
            </w:tcBorders>
            <w:tcMar>
              <w:top w:w="100" w:type="dxa"/>
              <w:left w:w="100" w:type="dxa"/>
              <w:bottom w:w="100" w:type="dxa"/>
              <w:right w:w="100" w:type="dxa"/>
            </w:tcMar>
          </w:tcPr>
          <w:p w14:paraId="3A374195"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12" w:space="0" w:color="000000"/>
              <w:right w:val="nil"/>
            </w:tcBorders>
            <w:tcMar>
              <w:top w:w="100" w:type="dxa"/>
              <w:left w:w="100" w:type="dxa"/>
              <w:bottom w:w="100" w:type="dxa"/>
              <w:right w:w="100" w:type="dxa"/>
            </w:tcMar>
          </w:tcPr>
          <w:p w14:paraId="74DBC89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885" w:type="dxa"/>
            <w:tcBorders>
              <w:top w:val="nil"/>
              <w:left w:val="nil"/>
              <w:bottom w:val="single" w:sz="9" w:space="0" w:color="000000"/>
              <w:right w:val="nil"/>
            </w:tcBorders>
            <w:tcMar>
              <w:top w:w="0" w:type="dxa"/>
              <w:left w:w="40" w:type="dxa"/>
              <w:bottom w:w="0" w:type="dxa"/>
              <w:right w:w="40" w:type="dxa"/>
            </w:tcMar>
          </w:tcPr>
          <w:p w14:paraId="2EAA61E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597AC53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9" w:space="0" w:color="000000"/>
              <w:right w:val="nil"/>
            </w:tcBorders>
            <w:tcMar>
              <w:top w:w="0" w:type="dxa"/>
              <w:left w:w="40" w:type="dxa"/>
              <w:bottom w:w="0" w:type="dxa"/>
              <w:right w:w="40" w:type="dxa"/>
            </w:tcMar>
          </w:tcPr>
          <w:p w14:paraId="55EDABB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530" w:type="dxa"/>
            <w:tcBorders>
              <w:top w:val="nil"/>
              <w:left w:val="nil"/>
              <w:bottom w:val="single" w:sz="9" w:space="0" w:color="000000"/>
              <w:right w:val="nil"/>
            </w:tcBorders>
            <w:tcMar>
              <w:top w:w="0" w:type="dxa"/>
              <w:left w:w="40" w:type="dxa"/>
              <w:bottom w:w="0" w:type="dxa"/>
              <w:right w:w="40" w:type="dxa"/>
            </w:tcMar>
          </w:tcPr>
          <w:p w14:paraId="19E0B32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714DA99F" w14:textId="77777777" w:rsidTr="008B4C22">
        <w:trPr>
          <w:trHeight w:val="257"/>
        </w:trPr>
        <w:tc>
          <w:tcPr>
            <w:tcW w:w="1560" w:type="dxa"/>
            <w:vMerge w:val="restart"/>
            <w:tcBorders>
              <w:top w:val="nil"/>
              <w:left w:val="nil"/>
              <w:bottom w:val="single" w:sz="9" w:space="0" w:color="000000"/>
              <w:right w:val="nil"/>
            </w:tcBorders>
            <w:tcMar>
              <w:top w:w="100" w:type="dxa"/>
              <w:left w:w="100" w:type="dxa"/>
              <w:bottom w:w="100" w:type="dxa"/>
              <w:right w:w="100" w:type="dxa"/>
            </w:tcMar>
          </w:tcPr>
          <w:p w14:paraId="67B5044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2671440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24B712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3417A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Use of Scientific Terms</w:t>
            </w:r>
          </w:p>
        </w:tc>
        <w:tc>
          <w:tcPr>
            <w:tcW w:w="1425" w:type="dxa"/>
            <w:tcBorders>
              <w:top w:val="single" w:sz="12" w:space="0" w:color="000000"/>
              <w:left w:val="nil"/>
              <w:bottom w:val="single" w:sz="4" w:space="0" w:color="000000"/>
              <w:right w:val="nil"/>
            </w:tcBorders>
            <w:tcMar>
              <w:top w:w="100" w:type="dxa"/>
              <w:left w:w="100" w:type="dxa"/>
              <w:bottom w:w="100" w:type="dxa"/>
              <w:right w:w="100" w:type="dxa"/>
            </w:tcMar>
          </w:tcPr>
          <w:p w14:paraId="02019DF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885" w:type="dxa"/>
            <w:tcBorders>
              <w:top w:val="nil"/>
              <w:left w:val="nil"/>
              <w:bottom w:val="single" w:sz="4" w:space="0" w:color="000000"/>
              <w:right w:val="nil"/>
            </w:tcBorders>
            <w:tcMar>
              <w:top w:w="0" w:type="dxa"/>
              <w:left w:w="40" w:type="dxa"/>
              <w:bottom w:w="0" w:type="dxa"/>
              <w:right w:w="40" w:type="dxa"/>
            </w:tcMar>
          </w:tcPr>
          <w:p w14:paraId="1315800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4" w:space="0" w:color="000000"/>
              <w:right w:val="nil"/>
            </w:tcBorders>
            <w:tcMar>
              <w:top w:w="0" w:type="dxa"/>
              <w:left w:w="40" w:type="dxa"/>
              <w:bottom w:w="0" w:type="dxa"/>
              <w:right w:w="40" w:type="dxa"/>
            </w:tcMar>
          </w:tcPr>
          <w:p w14:paraId="3ADC28C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4" w:space="0" w:color="000000"/>
              <w:right w:val="nil"/>
            </w:tcBorders>
            <w:tcMar>
              <w:top w:w="0" w:type="dxa"/>
              <w:left w:w="40" w:type="dxa"/>
              <w:bottom w:w="0" w:type="dxa"/>
              <w:right w:w="40" w:type="dxa"/>
            </w:tcMar>
          </w:tcPr>
          <w:p w14:paraId="2B14658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530" w:type="dxa"/>
            <w:tcBorders>
              <w:top w:val="nil"/>
              <w:left w:val="nil"/>
              <w:bottom w:val="single" w:sz="4" w:space="0" w:color="000000"/>
              <w:right w:val="nil"/>
            </w:tcBorders>
            <w:tcMar>
              <w:top w:w="0" w:type="dxa"/>
              <w:left w:w="40" w:type="dxa"/>
              <w:bottom w:w="0" w:type="dxa"/>
              <w:right w:w="40" w:type="dxa"/>
            </w:tcMar>
          </w:tcPr>
          <w:p w14:paraId="4886AAA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1.27%</w:t>
            </w:r>
          </w:p>
        </w:tc>
      </w:tr>
      <w:tr w:rsidR="00BF019E" w:rsidRPr="008B4C22" w14:paraId="3EF28F91" w14:textId="77777777" w:rsidTr="008B4C22">
        <w:trPr>
          <w:trHeight w:val="224"/>
        </w:trPr>
        <w:tc>
          <w:tcPr>
            <w:tcW w:w="1560" w:type="dxa"/>
            <w:vMerge/>
            <w:tcBorders>
              <w:top w:val="nil"/>
              <w:left w:val="nil"/>
              <w:bottom w:val="single" w:sz="9" w:space="0" w:color="000000"/>
              <w:right w:val="nil"/>
            </w:tcBorders>
            <w:tcMar>
              <w:top w:w="100" w:type="dxa"/>
              <w:left w:w="100" w:type="dxa"/>
              <w:bottom w:w="100" w:type="dxa"/>
              <w:right w:w="100" w:type="dxa"/>
            </w:tcMar>
          </w:tcPr>
          <w:p w14:paraId="4B713A9D"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51E26AA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885" w:type="dxa"/>
            <w:tcBorders>
              <w:top w:val="nil"/>
              <w:left w:val="nil"/>
              <w:bottom w:val="single" w:sz="4" w:space="0" w:color="000000"/>
              <w:right w:val="nil"/>
            </w:tcBorders>
            <w:tcMar>
              <w:top w:w="0" w:type="dxa"/>
              <w:left w:w="40" w:type="dxa"/>
              <w:bottom w:w="0" w:type="dxa"/>
              <w:right w:w="40" w:type="dxa"/>
            </w:tcMar>
          </w:tcPr>
          <w:p w14:paraId="76219B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119</w:t>
            </w:r>
          </w:p>
        </w:tc>
        <w:tc>
          <w:tcPr>
            <w:tcW w:w="1170" w:type="dxa"/>
            <w:tcBorders>
              <w:top w:val="nil"/>
              <w:left w:val="nil"/>
              <w:bottom w:val="single" w:sz="4" w:space="0" w:color="000000"/>
              <w:right w:val="nil"/>
            </w:tcBorders>
            <w:tcMar>
              <w:top w:w="0" w:type="dxa"/>
              <w:left w:w="40" w:type="dxa"/>
              <w:bottom w:w="0" w:type="dxa"/>
              <w:right w:w="40" w:type="dxa"/>
            </w:tcMar>
          </w:tcPr>
          <w:p w14:paraId="024E9E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95.97%</w:t>
            </w:r>
          </w:p>
        </w:tc>
        <w:tc>
          <w:tcPr>
            <w:tcW w:w="1080" w:type="dxa"/>
            <w:tcBorders>
              <w:top w:val="nil"/>
              <w:left w:val="nil"/>
              <w:bottom w:val="single" w:sz="4" w:space="0" w:color="000000"/>
              <w:right w:val="nil"/>
            </w:tcBorders>
            <w:tcMar>
              <w:top w:w="0" w:type="dxa"/>
              <w:left w:w="40" w:type="dxa"/>
              <w:bottom w:w="0" w:type="dxa"/>
              <w:right w:w="40" w:type="dxa"/>
            </w:tcMar>
          </w:tcPr>
          <w:p w14:paraId="1D2E03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145</w:t>
            </w:r>
          </w:p>
        </w:tc>
        <w:tc>
          <w:tcPr>
            <w:tcW w:w="1530" w:type="dxa"/>
            <w:tcBorders>
              <w:top w:val="nil"/>
              <w:left w:val="nil"/>
              <w:bottom w:val="single" w:sz="4" w:space="0" w:color="000000"/>
              <w:right w:val="nil"/>
            </w:tcBorders>
            <w:tcMar>
              <w:top w:w="0" w:type="dxa"/>
              <w:left w:w="40" w:type="dxa"/>
              <w:bottom w:w="0" w:type="dxa"/>
              <w:right w:w="40" w:type="dxa"/>
            </w:tcMar>
          </w:tcPr>
          <w:p w14:paraId="09528CD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92.36%</w:t>
            </w:r>
          </w:p>
        </w:tc>
      </w:tr>
      <w:tr w:rsidR="00BF019E" w:rsidRPr="008B4C22" w14:paraId="678C1221" w14:textId="77777777" w:rsidTr="008B4C22">
        <w:trPr>
          <w:trHeight w:val="206"/>
        </w:trPr>
        <w:tc>
          <w:tcPr>
            <w:tcW w:w="1560" w:type="dxa"/>
            <w:vMerge/>
            <w:tcBorders>
              <w:top w:val="nil"/>
              <w:left w:val="nil"/>
              <w:bottom w:val="single" w:sz="9" w:space="0" w:color="000000"/>
              <w:right w:val="nil"/>
            </w:tcBorders>
            <w:tcMar>
              <w:top w:w="100" w:type="dxa"/>
              <w:left w:w="100" w:type="dxa"/>
              <w:bottom w:w="100" w:type="dxa"/>
              <w:right w:w="100" w:type="dxa"/>
            </w:tcMar>
          </w:tcPr>
          <w:p w14:paraId="7A7A77A0"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474C40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885" w:type="dxa"/>
            <w:tcBorders>
              <w:top w:val="nil"/>
              <w:left w:val="nil"/>
              <w:bottom w:val="single" w:sz="4" w:space="0" w:color="000000"/>
              <w:right w:val="nil"/>
            </w:tcBorders>
            <w:tcMar>
              <w:top w:w="0" w:type="dxa"/>
              <w:left w:w="40" w:type="dxa"/>
              <w:bottom w:w="0" w:type="dxa"/>
              <w:right w:w="40" w:type="dxa"/>
            </w:tcMar>
          </w:tcPr>
          <w:p w14:paraId="5341B6D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1B1055F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5CBD870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530" w:type="dxa"/>
            <w:tcBorders>
              <w:top w:val="nil"/>
              <w:left w:val="nil"/>
              <w:bottom w:val="single" w:sz="4" w:space="0" w:color="000000"/>
              <w:right w:val="nil"/>
            </w:tcBorders>
            <w:tcMar>
              <w:top w:w="0" w:type="dxa"/>
              <w:left w:w="40" w:type="dxa"/>
              <w:bottom w:w="0" w:type="dxa"/>
              <w:right w:w="40" w:type="dxa"/>
            </w:tcMar>
          </w:tcPr>
          <w:p w14:paraId="6DF1927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6.37%</w:t>
            </w:r>
          </w:p>
        </w:tc>
      </w:tr>
      <w:tr w:rsidR="00BF019E" w:rsidRPr="008B4C22" w14:paraId="6742913B" w14:textId="77777777" w:rsidTr="008B4C22">
        <w:trPr>
          <w:trHeight w:val="269"/>
        </w:trPr>
        <w:tc>
          <w:tcPr>
            <w:tcW w:w="1560" w:type="dxa"/>
            <w:vMerge/>
            <w:tcBorders>
              <w:top w:val="nil"/>
              <w:left w:val="nil"/>
              <w:bottom w:val="single" w:sz="9" w:space="0" w:color="000000"/>
              <w:right w:val="nil"/>
            </w:tcBorders>
            <w:tcMar>
              <w:top w:w="100" w:type="dxa"/>
              <w:left w:w="100" w:type="dxa"/>
              <w:bottom w:w="100" w:type="dxa"/>
              <w:right w:w="100" w:type="dxa"/>
            </w:tcMar>
          </w:tcPr>
          <w:p w14:paraId="03A0596E"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9" w:space="0" w:color="000000"/>
              <w:right w:val="nil"/>
            </w:tcBorders>
            <w:tcMar>
              <w:top w:w="100" w:type="dxa"/>
              <w:left w:w="100" w:type="dxa"/>
              <w:bottom w:w="100" w:type="dxa"/>
              <w:right w:w="100" w:type="dxa"/>
            </w:tcMar>
          </w:tcPr>
          <w:p w14:paraId="3993717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885" w:type="dxa"/>
            <w:tcBorders>
              <w:top w:val="nil"/>
              <w:left w:val="nil"/>
              <w:bottom w:val="single" w:sz="9" w:space="0" w:color="000000"/>
              <w:right w:val="nil"/>
            </w:tcBorders>
            <w:tcMar>
              <w:top w:w="0" w:type="dxa"/>
              <w:left w:w="40" w:type="dxa"/>
              <w:bottom w:w="0" w:type="dxa"/>
              <w:right w:w="40" w:type="dxa"/>
            </w:tcMar>
          </w:tcPr>
          <w:p w14:paraId="68754F1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7767927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9" w:space="0" w:color="000000"/>
              <w:right w:val="nil"/>
            </w:tcBorders>
            <w:tcMar>
              <w:top w:w="0" w:type="dxa"/>
              <w:left w:w="40" w:type="dxa"/>
              <w:bottom w:w="0" w:type="dxa"/>
              <w:right w:w="40" w:type="dxa"/>
            </w:tcMar>
          </w:tcPr>
          <w:p w14:paraId="5B6B0E7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530" w:type="dxa"/>
            <w:tcBorders>
              <w:top w:val="nil"/>
              <w:left w:val="nil"/>
              <w:bottom w:val="single" w:sz="9" w:space="0" w:color="000000"/>
              <w:right w:val="nil"/>
            </w:tcBorders>
            <w:tcMar>
              <w:top w:w="0" w:type="dxa"/>
              <w:left w:w="40" w:type="dxa"/>
              <w:bottom w:w="0" w:type="dxa"/>
              <w:right w:w="40" w:type="dxa"/>
            </w:tcMar>
          </w:tcPr>
          <w:p w14:paraId="3517A5D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7FCA79FE"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29514B62"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 results of the picture-based survey are further reinforced by the distribution of performance levels (correct answer) in basic environmental concepts presented in Table 1. The findings show that both schools demonstrated strong awareness of basic environmental concepts. However, notable differences emerged in the depth and accuracy of students’ explanations during the Cause and Effect interview.</w:t>
      </w:r>
    </w:p>
    <w:p w14:paraId="2EC5ADF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identifying basic environmental issues- deforestation, flood, improper waste  disposal, and water and air  pollution- both learners from Sultan Mamarinta Panandigan Integrated School and Cabili Village Elementary School showed strong performance, with the majority identified to be on the “Proficient level”. However, 19.11% of Cabili Village Elementary School learners are at the “Developing level” compared to the 4.03% of Sultan Mamarinta Panandigan Integrated School. While this finding underscores that both groups of learners are knowledgeable in identifying basic environmental issues, Sultan </w:t>
      </w:r>
      <w:r w:rsidRPr="00730471">
        <w:rPr>
          <w:rFonts w:ascii="Arial" w:hAnsi="Arial" w:cs="Arial"/>
          <w:sz w:val="24"/>
          <w:szCs w:val="24"/>
        </w:rPr>
        <w:lastRenderedPageBreak/>
        <w:t xml:space="preserve">Mamarinta Panandigan Integrated School learners showcased more levels of performance in this skill. </w:t>
      </w:r>
    </w:p>
    <w:p w14:paraId="70B0B65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 clear difference between the two groups of learners have emerged during the examination understanding of cause-and-effect relationships common (interview) in the environment. For example, on the survey question asking “What do trees do for us?” and “What happens when we throw trash on the ground?”, 88.71% of Sultan Mamarinta Panandigan Integrated School learners achieved “excellent level”, thus, indicating that these learners have a strong knowledge and ability to clearly and correctly explain environmental processes. In contrast, only 73.25% Cabili Village Elementary School learners “excellent level”, with (19.11%) in “proficient Level” and 7.64% at “Developing.” This findings are align with the previous result stating that while Sultan Mamarinta Panandigan Integrated School learners are more likely to provide complete and accurate explanations on the cause-and-effect scenarios given to them, Cabili Village Elementary School learners only provided partial and incomplete responses, highlighting differences in depth of environmental education between the two schools. </w:t>
      </w:r>
    </w:p>
    <w:p w14:paraId="46515731"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Furthermore, in terms of the use of scientific terms, both learners from both schools fell within the “Proficient” level (95.97% in SMPIS and 92.36% in CVES), with a very few achieving “Excellent” level (0% in SMIS and 1.27% in CVES). This finding shows that both groups has a limited knowledge in terms of precise scientific terminologies in environmental education. This gap underscores that although foundational knowledge in environmental concepts are present there is still a need to strengthen learners' knowledge on environmental science, which would help learners articulate their knowledge and understanding of their environment more confidently and accurately. Thus, the three survey results reveal that while both schools demonstrate strong fundamental knowledge of environmental issues, scientific vocabulary and deep casual reasoning skills still lacks. Moreover, the difference between knowledge in identifying basic </w:t>
      </w:r>
      <w:r w:rsidRPr="00730471">
        <w:rPr>
          <w:rFonts w:ascii="Arial" w:hAnsi="Arial" w:cs="Arial"/>
          <w:sz w:val="24"/>
          <w:szCs w:val="24"/>
        </w:rPr>
        <w:lastRenderedPageBreak/>
        <w:t xml:space="preserve">environmental issues and the articulation of the cause and effect may be due to different physical environmental and environmental exposure. </w:t>
      </w:r>
    </w:p>
    <w:p w14:paraId="398AD63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These findings underscore the need for more effective learning strategies that will emphasize not just basic identification of environmental concepts and terminologies but will also focus on teaching students to analyze and reflect,  and develop learners' willingness to engage on applying  this knowledge into a practice. John Dewey’s experiential learning strategies highlight these skills, allowing students to know through experience and reflection which would foster more holistic environmental awareness.  Learning Instruction must shift from naming phenomena to experiential inquiry—journals, outdoor observation, guided explanation, and explicit vocabulary enrichment—to support Dewey’s view that knowledge emerges through action and reflection.</w:t>
      </w:r>
    </w:p>
    <w:p w14:paraId="46ADF10A" w14:textId="60DDD18D" w:rsidR="00DC16E9" w:rsidRPr="00A81BA8" w:rsidRDefault="00DC16E9" w:rsidP="008F26AB">
      <w:pPr>
        <w:spacing w:line="360" w:lineRule="auto"/>
        <w:ind w:left="720"/>
        <w:jc w:val="both"/>
        <w:rPr>
          <w:rFonts w:ascii="Arial" w:hAnsi="Arial" w:cs="Arial"/>
          <w:b/>
          <w:bCs/>
          <w:sz w:val="24"/>
          <w:szCs w:val="24"/>
        </w:rPr>
      </w:pPr>
      <w:bookmarkStart w:id="29" w:name="_nwp3y43kmmcf" w:colFirst="0" w:colLast="0"/>
      <w:bookmarkEnd w:id="29"/>
      <w:r w:rsidRPr="00A81BA8">
        <w:rPr>
          <w:rFonts w:ascii="Arial" w:hAnsi="Arial" w:cs="Arial"/>
          <w:b/>
          <w:bCs/>
          <w:sz w:val="24"/>
          <w:szCs w:val="24"/>
        </w:rPr>
        <w:t xml:space="preserve">4.1.2 Environmental Attitudes </w:t>
      </w:r>
    </w:p>
    <w:p w14:paraId="02753FA6" w14:textId="46897E78"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subsection shows learners environmental attitudes, based on the data gathered through participatory approaches utilized by this study, specifically Focus Group Discussions (FGDs), Storytelling and Role-Playing. Learners' environmental attitude is identified using their emotional responses, level of engagement and their individual behavior during the participatory activities. These attitudes reflect the learner's way of valuing and relating to their environment or surroundings, which is seen by this study as a crucial component in shaping their willingness to act on environmental issues. Aside from this these activities will also provide valuable insights on how children perceive environmental problems in line with their knowledge about it.   </w:t>
      </w:r>
    </w:p>
    <w:p w14:paraId="6806F4D0" w14:textId="77777777" w:rsidR="008F26AB" w:rsidRDefault="008F26AB" w:rsidP="008F26AB">
      <w:pPr>
        <w:spacing w:line="360" w:lineRule="auto"/>
        <w:ind w:left="720"/>
        <w:jc w:val="both"/>
        <w:rPr>
          <w:rFonts w:ascii="Arial" w:hAnsi="Arial" w:cs="Arial"/>
          <w:sz w:val="24"/>
          <w:szCs w:val="24"/>
        </w:rPr>
      </w:pPr>
    </w:p>
    <w:p w14:paraId="6DEAC6C5" w14:textId="77777777" w:rsidR="008F26AB" w:rsidRDefault="008F26AB" w:rsidP="008F26AB">
      <w:pPr>
        <w:spacing w:line="360" w:lineRule="auto"/>
        <w:ind w:left="720"/>
        <w:jc w:val="both"/>
        <w:rPr>
          <w:rFonts w:ascii="Arial" w:hAnsi="Arial" w:cs="Arial"/>
          <w:sz w:val="24"/>
          <w:szCs w:val="24"/>
        </w:rPr>
      </w:pPr>
    </w:p>
    <w:p w14:paraId="62D87364" w14:textId="77777777" w:rsidR="008F26AB" w:rsidRDefault="008F26AB" w:rsidP="008F26AB">
      <w:pPr>
        <w:spacing w:line="360" w:lineRule="auto"/>
        <w:ind w:left="720"/>
        <w:jc w:val="both"/>
        <w:rPr>
          <w:rFonts w:ascii="Arial" w:hAnsi="Arial" w:cs="Arial"/>
          <w:sz w:val="24"/>
          <w:szCs w:val="24"/>
        </w:rPr>
      </w:pPr>
    </w:p>
    <w:p w14:paraId="24CFBF09" w14:textId="77777777" w:rsidR="008F26AB" w:rsidRDefault="008F26AB" w:rsidP="008F26AB">
      <w:pPr>
        <w:spacing w:line="360" w:lineRule="auto"/>
        <w:ind w:left="720"/>
        <w:jc w:val="both"/>
        <w:rPr>
          <w:rFonts w:ascii="Arial" w:hAnsi="Arial" w:cs="Arial"/>
          <w:sz w:val="24"/>
          <w:szCs w:val="24"/>
        </w:rPr>
      </w:pPr>
    </w:p>
    <w:p w14:paraId="671774C1" w14:textId="77777777"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lastRenderedPageBreak/>
        <w:t>Table 2</w:t>
      </w:r>
    </w:p>
    <w:p w14:paraId="09E70BD3" w14:textId="77777777" w:rsidR="00BF019E" w:rsidRPr="008B4C22" w:rsidRDefault="00CB26E4" w:rsidP="008F26AB">
      <w:pPr>
        <w:spacing w:line="360" w:lineRule="auto"/>
        <w:ind w:left="720"/>
        <w:jc w:val="both"/>
        <w:rPr>
          <w:rFonts w:ascii="Arial" w:hAnsi="Arial" w:cs="Arial"/>
          <w:i/>
          <w:iCs/>
          <w:sz w:val="24"/>
          <w:szCs w:val="24"/>
        </w:rPr>
      </w:pPr>
      <w:r w:rsidRPr="008B4C22">
        <w:rPr>
          <w:rFonts w:ascii="Arial" w:hAnsi="Arial" w:cs="Arial"/>
          <w:i/>
          <w:iCs/>
          <w:sz w:val="24"/>
          <w:szCs w:val="24"/>
        </w:rPr>
        <w:t>Distribution of Performance Levels in Participation during FGDs and Storytelling Activities</w:t>
      </w:r>
    </w:p>
    <w:tbl>
      <w:tblPr>
        <w:tblStyle w:val="a1"/>
        <w:tblW w:w="7620"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1530"/>
        <w:gridCol w:w="1470"/>
        <w:gridCol w:w="1155"/>
        <w:gridCol w:w="1260"/>
        <w:gridCol w:w="1065"/>
        <w:gridCol w:w="1140"/>
      </w:tblGrid>
      <w:tr w:rsidR="00BF019E" w:rsidRPr="008B4C22" w14:paraId="1BA36B16" w14:textId="77777777">
        <w:trPr>
          <w:trHeight w:val="495"/>
        </w:trPr>
        <w:tc>
          <w:tcPr>
            <w:tcW w:w="1530" w:type="dxa"/>
            <w:tcBorders>
              <w:top w:val="single" w:sz="9" w:space="0" w:color="000000"/>
              <w:left w:val="nil"/>
              <w:bottom w:val="single" w:sz="9" w:space="0" w:color="000000"/>
              <w:right w:val="nil"/>
            </w:tcBorders>
            <w:tcMar>
              <w:top w:w="100" w:type="dxa"/>
              <w:left w:w="100" w:type="dxa"/>
              <w:bottom w:w="100" w:type="dxa"/>
              <w:right w:w="100" w:type="dxa"/>
            </w:tcMar>
          </w:tcPr>
          <w:p w14:paraId="7FBD63D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470" w:type="dxa"/>
            <w:tcBorders>
              <w:top w:val="single" w:sz="9" w:space="0" w:color="000000"/>
              <w:left w:val="nil"/>
              <w:bottom w:val="single" w:sz="9" w:space="0" w:color="000000"/>
              <w:right w:val="nil"/>
            </w:tcBorders>
            <w:tcMar>
              <w:top w:w="100" w:type="dxa"/>
              <w:left w:w="100" w:type="dxa"/>
              <w:bottom w:w="100" w:type="dxa"/>
              <w:right w:w="100" w:type="dxa"/>
            </w:tcMar>
          </w:tcPr>
          <w:p w14:paraId="1FACD05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1155" w:type="dxa"/>
            <w:tcBorders>
              <w:top w:val="single" w:sz="9" w:space="0" w:color="000000"/>
              <w:left w:val="nil"/>
              <w:bottom w:val="single" w:sz="9" w:space="0" w:color="000000"/>
              <w:right w:val="nil"/>
            </w:tcBorders>
            <w:tcMar>
              <w:top w:w="100" w:type="dxa"/>
              <w:left w:w="100" w:type="dxa"/>
              <w:bottom w:w="100" w:type="dxa"/>
              <w:right w:w="100" w:type="dxa"/>
            </w:tcMar>
          </w:tcPr>
          <w:p w14:paraId="43C1057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260" w:type="dxa"/>
            <w:tcBorders>
              <w:top w:val="single" w:sz="9" w:space="0" w:color="000000"/>
              <w:left w:val="nil"/>
              <w:bottom w:val="single" w:sz="9" w:space="0" w:color="000000"/>
              <w:right w:val="nil"/>
            </w:tcBorders>
            <w:tcMar>
              <w:top w:w="100" w:type="dxa"/>
              <w:left w:w="100" w:type="dxa"/>
              <w:bottom w:w="100" w:type="dxa"/>
              <w:right w:w="100" w:type="dxa"/>
            </w:tcMar>
          </w:tcPr>
          <w:p w14:paraId="5EFAEBE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w:t>
            </w:r>
          </w:p>
        </w:tc>
        <w:tc>
          <w:tcPr>
            <w:tcW w:w="1065" w:type="dxa"/>
            <w:tcBorders>
              <w:top w:val="single" w:sz="9" w:space="0" w:color="000000"/>
              <w:left w:val="nil"/>
              <w:bottom w:val="single" w:sz="9" w:space="0" w:color="000000"/>
              <w:right w:val="nil"/>
            </w:tcBorders>
            <w:tcMar>
              <w:top w:w="100" w:type="dxa"/>
              <w:left w:w="100" w:type="dxa"/>
              <w:bottom w:w="100" w:type="dxa"/>
              <w:right w:w="100" w:type="dxa"/>
            </w:tcMar>
          </w:tcPr>
          <w:p w14:paraId="5B3A23E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140" w:type="dxa"/>
            <w:tcBorders>
              <w:top w:val="single" w:sz="9" w:space="0" w:color="000000"/>
              <w:left w:val="nil"/>
              <w:bottom w:val="single" w:sz="9" w:space="0" w:color="000000"/>
              <w:right w:val="nil"/>
            </w:tcBorders>
            <w:tcMar>
              <w:top w:w="100" w:type="dxa"/>
              <w:left w:w="100" w:type="dxa"/>
              <w:bottom w:w="100" w:type="dxa"/>
              <w:right w:w="100" w:type="dxa"/>
            </w:tcMar>
          </w:tcPr>
          <w:p w14:paraId="607FA3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1C7195F5" w14:textId="77777777" w:rsidTr="008B4C22">
        <w:trPr>
          <w:trHeight w:val="251"/>
        </w:trPr>
        <w:tc>
          <w:tcPr>
            <w:tcW w:w="1530" w:type="dxa"/>
            <w:vMerge w:val="restart"/>
            <w:tcBorders>
              <w:top w:val="nil"/>
              <w:left w:val="nil"/>
              <w:bottom w:val="single" w:sz="9" w:space="0" w:color="000000"/>
              <w:right w:val="nil"/>
            </w:tcBorders>
            <w:tcMar>
              <w:top w:w="100" w:type="dxa"/>
              <w:left w:w="100" w:type="dxa"/>
              <w:bottom w:w="100" w:type="dxa"/>
              <w:right w:w="100" w:type="dxa"/>
            </w:tcMar>
          </w:tcPr>
          <w:p w14:paraId="674FE2E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7EC00BA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288B38A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Engagement in Discussion    </w:t>
            </w:r>
            <w:r w:rsidRPr="008B4C22">
              <w:rPr>
                <w:rFonts w:ascii="Arial" w:hAnsi="Arial" w:cs="Arial"/>
                <w:sz w:val="20"/>
                <w:szCs w:val="20"/>
              </w:rPr>
              <w:tab/>
            </w:r>
          </w:p>
        </w:tc>
        <w:tc>
          <w:tcPr>
            <w:tcW w:w="1470" w:type="dxa"/>
            <w:tcBorders>
              <w:top w:val="nil"/>
              <w:left w:val="nil"/>
              <w:bottom w:val="single" w:sz="4" w:space="0" w:color="000000"/>
              <w:right w:val="nil"/>
            </w:tcBorders>
            <w:tcMar>
              <w:top w:w="100" w:type="dxa"/>
              <w:left w:w="100" w:type="dxa"/>
              <w:bottom w:w="100" w:type="dxa"/>
              <w:right w:w="100" w:type="dxa"/>
            </w:tcMar>
          </w:tcPr>
          <w:p w14:paraId="0008CFE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55" w:type="dxa"/>
            <w:tcBorders>
              <w:top w:val="nil"/>
              <w:left w:val="nil"/>
              <w:bottom w:val="single" w:sz="4" w:space="0" w:color="000000"/>
              <w:right w:val="nil"/>
            </w:tcBorders>
            <w:tcMar>
              <w:top w:w="0" w:type="dxa"/>
              <w:left w:w="40" w:type="dxa"/>
              <w:bottom w:w="0" w:type="dxa"/>
              <w:right w:w="40" w:type="dxa"/>
            </w:tcMar>
          </w:tcPr>
          <w:p w14:paraId="6D1CD96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260" w:type="dxa"/>
            <w:tcBorders>
              <w:top w:val="nil"/>
              <w:left w:val="nil"/>
              <w:bottom w:val="single" w:sz="4" w:space="0" w:color="000000"/>
              <w:right w:val="nil"/>
            </w:tcBorders>
            <w:tcMar>
              <w:top w:w="0" w:type="dxa"/>
              <w:left w:w="40" w:type="dxa"/>
              <w:bottom w:w="0" w:type="dxa"/>
              <w:right w:w="40" w:type="dxa"/>
            </w:tcMar>
          </w:tcPr>
          <w:p w14:paraId="06CE75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65" w:type="dxa"/>
            <w:tcBorders>
              <w:top w:val="nil"/>
              <w:left w:val="nil"/>
              <w:bottom w:val="single" w:sz="4" w:space="0" w:color="000000"/>
              <w:right w:val="nil"/>
            </w:tcBorders>
            <w:tcMar>
              <w:top w:w="0" w:type="dxa"/>
              <w:left w:w="40" w:type="dxa"/>
              <w:bottom w:w="0" w:type="dxa"/>
              <w:right w:w="40" w:type="dxa"/>
            </w:tcMar>
          </w:tcPr>
          <w:p w14:paraId="398198C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1140" w:type="dxa"/>
            <w:tcBorders>
              <w:top w:val="nil"/>
              <w:left w:val="nil"/>
              <w:bottom w:val="single" w:sz="4" w:space="0" w:color="000000"/>
              <w:right w:val="nil"/>
            </w:tcBorders>
            <w:tcMar>
              <w:top w:w="0" w:type="dxa"/>
              <w:left w:w="40" w:type="dxa"/>
              <w:bottom w:w="0" w:type="dxa"/>
              <w:right w:w="40" w:type="dxa"/>
            </w:tcMar>
          </w:tcPr>
          <w:p w14:paraId="3BCF580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42D7970D" w14:textId="77777777" w:rsidTr="008B4C22">
        <w:trPr>
          <w:trHeight w:val="251"/>
        </w:trPr>
        <w:tc>
          <w:tcPr>
            <w:tcW w:w="1530" w:type="dxa"/>
            <w:vMerge/>
            <w:tcBorders>
              <w:top w:val="nil"/>
              <w:left w:val="nil"/>
              <w:bottom w:val="single" w:sz="9" w:space="0" w:color="000000"/>
              <w:right w:val="nil"/>
            </w:tcBorders>
            <w:tcMar>
              <w:top w:w="100" w:type="dxa"/>
              <w:left w:w="100" w:type="dxa"/>
              <w:bottom w:w="100" w:type="dxa"/>
              <w:right w:w="100" w:type="dxa"/>
            </w:tcMar>
          </w:tcPr>
          <w:p w14:paraId="4C92AA6D"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31A0E9F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155" w:type="dxa"/>
            <w:tcBorders>
              <w:top w:val="nil"/>
              <w:left w:val="nil"/>
              <w:bottom w:val="single" w:sz="4" w:space="0" w:color="000000"/>
              <w:right w:val="nil"/>
            </w:tcBorders>
            <w:tcMar>
              <w:top w:w="0" w:type="dxa"/>
              <w:left w:w="40" w:type="dxa"/>
              <w:bottom w:w="0" w:type="dxa"/>
              <w:right w:w="40" w:type="dxa"/>
            </w:tcMar>
          </w:tcPr>
          <w:p w14:paraId="053BB44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260" w:type="dxa"/>
            <w:tcBorders>
              <w:top w:val="nil"/>
              <w:left w:val="nil"/>
              <w:bottom w:val="single" w:sz="4" w:space="0" w:color="000000"/>
              <w:right w:val="nil"/>
            </w:tcBorders>
            <w:tcMar>
              <w:top w:w="0" w:type="dxa"/>
              <w:left w:w="40" w:type="dxa"/>
              <w:bottom w:w="0" w:type="dxa"/>
              <w:right w:w="40" w:type="dxa"/>
            </w:tcMar>
          </w:tcPr>
          <w:p w14:paraId="5E8070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92.74%</w:t>
            </w:r>
          </w:p>
        </w:tc>
        <w:tc>
          <w:tcPr>
            <w:tcW w:w="1065" w:type="dxa"/>
            <w:tcBorders>
              <w:top w:val="nil"/>
              <w:left w:val="nil"/>
              <w:bottom w:val="single" w:sz="4" w:space="0" w:color="000000"/>
              <w:right w:val="nil"/>
            </w:tcBorders>
            <w:tcMar>
              <w:top w:w="0" w:type="dxa"/>
              <w:left w:w="40" w:type="dxa"/>
              <w:bottom w:w="0" w:type="dxa"/>
              <w:right w:w="40" w:type="dxa"/>
            </w:tcMar>
          </w:tcPr>
          <w:p w14:paraId="00721E8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140" w:type="dxa"/>
            <w:tcBorders>
              <w:top w:val="nil"/>
              <w:left w:val="nil"/>
              <w:bottom w:val="single" w:sz="4" w:space="0" w:color="000000"/>
              <w:right w:val="nil"/>
            </w:tcBorders>
            <w:tcMar>
              <w:top w:w="0" w:type="dxa"/>
              <w:left w:w="40" w:type="dxa"/>
              <w:bottom w:w="0" w:type="dxa"/>
              <w:right w:w="40" w:type="dxa"/>
            </w:tcMar>
          </w:tcPr>
          <w:p w14:paraId="35095A3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35FE5761" w14:textId="77777777" w:rsidTr="008B4C22">
        <w:trPr>
          <w:trHeight w:val="215"/>
        </w:trPr>
        <w:tc>
          <w:tcPr>
            <w:tcW w:w="1530" w:type="dxa"/>
            <w:vMerge/>
            <w:tcBorders>
              <w:top w:val="nil"/>
              <w:left w:val="nil"/>
              <w:bottom w:val="single" w:sz="9" w:space="0" w:color="000000"/>
              <w:right w:val="nil"/>
            </w:tcBorders>
            <w:tcMar>
              <w:top w:w="100" w:type="dxa"/>
              <w:left w:w="100" w:type="dxa"/>
              <w:bottom w:w="100" w:type="dxa"/>
              <w:right w:w="100" w:type="dxa"/>
            </w:tcMar>
          </w:tcPr>
          <w:p w14:paraId="63CA983D"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6E3F3B7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155" w:type="dxa"/>
            <w:tcBorders>
              <w:top w:val="nil"/>
              <w:left w:val="nil"/>
              <w:bottom w:val="single" w:sz="4" w:space="0" w:color="000000"/>
              <w:right w:val="nil"/>
            </w:tcBorders>
            <w:tcMar>
              <w:top w:w="0" w:type="dxa"/>
              <w:left w:w="40" w:type="dxa"/>
              <w:bottom w:w="0" w:type="dxa"/>
              <w:right w:w="40" w:type="dxa"/>
            </w:tcMar>
          </w:tcPr>
          <w:p w14:paraId="0AD946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260" w:type="dxa"/>
            <w:tcBorders>
              <w:top w:val="nil"/>
              <w:left w:val="nil"/>
              <w:bottom w:val="single" w:sz="4" w:space="0" w:color="000000"/>
              <w:right w:val="nil"/>
            </w:tcBorders>
            <w:tcMar>
              <w:top w:w="0" w:type="dxa"/>
              <w:left w:w="40" w:type="dxa"/>
              <w:bottom w:w="0" w:type="dxa"/>
              <w:right w:w="40" w:type="dxa"/>
            </w:tcMar>
          </w:tcPr>
          <w:p w14:paraId="4C6824F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1065" w:type="dxa"/>
            <w:tcBorders>
              <w:top w:val="nil"/>
              <w:left w:val="nil"/>
              <w:bottom w:val="single" w:sz="4" w:space="0" w:color="000000"/>
              <w:right w:val="nil"/>
            </w:tcBorders>
            <w:tcMar>
              <w:top w:w="0" w:type="dxa"/>
              <w:left w:w="40" w:type="dxa"/>
              <w:bottom w:w="0" w:type="dxa"/>
              <w:right w:w="40" w:type="dxa"/>
            </w:tcMar>
          </w:tcPr>
          <w:p w14:paraId="525F084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4" w:space="0" w:color="000000"/>
              <w:right w:val="nil"/>
            </w:tcBorders>
            <w:tcMar>
              <w:top w:w="0" w:type="dxa"/>
              <w:left w:w="40" w:type="dxa"/>
              <w:bottom w:w="0" w:type="dxa"/>
              <w:right w:w="40" w:type="dxa"/>
            </w:tcMar>
          </w:tcPr>
          <w:p w14:paraId="22CD388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5517ABC0" w14:textId="77777777" w:rsidTr="008B4C22">
        <w:trPr>
          <w:trHeight w:val="233"/>
        </w:trPr>
        <w:tc>
          <w:tcPr>
            <w:tcW w:w="1530" w:type="dxa"/>
            <w:vMerge/>
            <w:tcBorders>
              <w:top w:val="nil"/>
              <w:left w:val="nil"/>
              <w:bottom w:val="single" w:sz="9" w:space="0" w:color="000000"/>
              <w:right w:val="nil"/>
            </w:tcBorders>
            <w:tcMar>
              <w:top w:w="100" w:type="dxa"/>
              <w:left w:w="100" w:type="dxa"/>
              <w:bottom w:w="100" w:type="dxa"/>
              <w:right w:w="100" w:type="dxa"/>
            </w:tcMar>
          </w:tcPr>
          <w:p w14:paraId="796AF0E3"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12" w:space="0" w:color="000000"/>
              <w:right w:val="nil"/>
            </w:tcBorders>
            <w:tcMar>
              <w:top w:w="100" w:type="dxa"/>
              <w:left w:w="100" w:type="dxa"/>
              <w:bottom w:w="100" w:type="dxa"/>
              <w:right w:w="100" w:type="dxa"/>
            </w:tcMar>
          </w:tcPr>
          <w:p w14:paraId="16A82DB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155" w:type="dxa"/>
            <w:tcBorders>
              <w:top w:val="nil"/>
              <w:left w:val="nil"/>
              <w:bottom w:val="single" w:sz="9" w:space="0" w:color="000000"/>
              <w:right w:val="nil"/>
            </w:tcBorders>
            <w:tcMar>
              <w:top w:w="0" w:type="dxa"/>
              <w:left w:w="40" w:type="dxa"/>
              <w:bottom w:w="0" w:type="dxa"/>
              <w:right w:w="40" w:type="dxa"/>
            </w:tcMar>
          </w:tcPr>
          <w:p w14:paraId="4CEE01F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9" w:space="0" w:color="000000"/>
              <w:right w:val="nil"/>
            </w:tcBorders>
            <w:tcMar>
              <w:top w:w="0" w:type="dxa"/>
              <w:left w:w="40" w:type="dxa"/>
              <w:bottom w:w="0" w:type="dxa"/>
              <w:right w:w="40" w:type="dxa"/>
            </w:tcMar>
          </w:tcPr>
          <w:p w14:paraId="61CE6E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9" w:space="0" w:color="000000"/>
              <w:right w:val="nil"/>
            </w:tcBorders>
            <w:tcMar>
              <w:top w:w="0" w:type="dxa"/>
              <w:left w:w="40" w:type="dxa"/>
              <w:bottom w:w="0" w:type="dxa"/>
              <w:right w:w="40" w:type="dxa"/>
            </w:tcMar>
          </w:tcPr>
          <w:p w14:paraId="47608BD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single" w:sz="4" w:space="0" w:color="000000"/>
              <w:left w:val="nil"/>
              <w:bottom w:val="single" w:sz="9" w:space="0" w:color="000000"/>
              <w:right w:val="nil"/>
            </w:tcBorders>
            <w:tcMar>
              <w:top w:w="0" w:type="dxa"/>
              <w:left w:w="40" w:type="dxa"/>
              <w:bottom w:w="0" w:type="dxa"/>
              <w:right w:w="40" w:type="dxa"/>
            </w:tcMar>
          </w:tcPr>
          <w:p w14:paraId="5DE27E6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4B0E408F" w14:textId="77777777" w:rsidTr="008B4C22">
        <w:trPr>
          <w:trHeight w:val="230"/>
        </w:trPr>
        <w:tc>
          <w:tcPr>
            <w:tcW w:w="1530" w:type="dxa"/>
            <w:vMerge w:val="restart"/>
            <w:tcBorders>
              <w:top w:val="nil"/>
              <w:left w:val="nil"/>
              <w:bottom w:val="single" w:sz="4" w:space="0" w:color="000000"/>
              <w:right w:val="nil"/>
            </w:tcBorders>
            <w:tcMar>
              <w:top w:w="100" w:type="dxa"/>
              <w:left w:w="100" w:type="dxa"/>
              <w:bottom w:w="100" w:type="dxa"/>
              <w:right w:w="100" w:type="dxa"/>
            </w:tcMar>
          </w:tcPr>
          <w:p w14:paraId="0824D46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7F4F2E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B170A9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Clarity of Expressions</w:t>
            </w:r>
          </w:p>
        </w:tc>
        <w:tc>
          <w:tcPr>
            <w:tcW w:w="1470" w:type="dxa"/>
            <w:tcBorders>
              <w:top w:val="single" w:sz="12" w:space="0" w:color="000000"/>
              <w:left w:val="nil"/>
              <w:bottom w:val="single" w:sz="4" w:space="0" w:color="000000"/>
              <w:right w:val="nil"/>
            </w:tcBorders>
            <w:tcMar>
              <w:top w:w="100" w:type="dxa"/>
              <w:left w:w="100" w:type="dxa"/>
              <w:bottom w:w="100" w:type="dxa"/>
              <w:right w:w="100" w:type="dxa"/>
            </w:tcMar>
          </w:tcPr>
          <w:p w14:paraId="1DFF178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55" w:type="dxa"/>
            <w:tcBorders>
              <w:top w:val="nil"/>
              <w:left w:val="nil"/>
              <w:bottom w:val="single" w:sz="4" w:space="0" w:color="000000"/>
              <w:right w:val="nil"/>
            </w:tcBorders>
            <w:tcMar>
              <w:top w:w="0" w:type="dxa"/>
              <w:left w:w="40" w:type="dxa"/>
              <w:bottom w:w="0" w:type="dxa"/>
              <w:right w:w="40" w:type="dxa"/>
            </w:tcMar>
          </w:tcPr>
          <w:p w14:paraId="5E37795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4" w:space="0" w:color="000000"/>
              <w:right w:val="nil"/>
            </w:tcBorders>
            <w:tcMar>
              <w:top w:w="0" w:type="dxa"/>
              <w:left w:w="40" w:type="dxa"/>
              <w:bottom w:w="0" w:type="dxa"/>
              <w:right w:w="40" w:type="dxa"/>
            </w:tcMar>
          </w:tcPr>
          <w:p w14:paraId="1137589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4" w:space="0" w:color="000000"/>
              <w:right w:val="nil"/>
            </w:tcBorders>
            <w:tcMar>
              <w:top w:w="0" w:type="dxa"/>
              <w:left w:w="40" w:type="dxa"/>
              <w:bottom w:w="0" w:type="dxa"/>
              <w:right w:w="40" w:type="dxa"/>
            </w:tcMar>
          </w:tcPr>
          <w:p w14:paraId="134DC1F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4" w:space="0" w:color="000000"/>
              <w:right w:val="nil"/>
            </w:tcBorders>
            <w:tcMar>
              <w:top w:w="0" w:type="dxa"/>
              <w:left w:w="40" w:type="dxa"/>
              <w:bottom w:w="0" w:type="dxa"/>
              <w:right w:w="40" w:type="dxa"/>
            </w:tcMar>
          </w:tcPr>
          <w:p w14:paraId="2915F96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5642D018" w14:textId="77777777" w:rsidTr="008B4C22">
        <w:trPr>
          <w:trHeight w:val="340"/>
        </w:trPr>
        <w:tc>
          <w:tcPr>
            <w:tcW w:w="1530" w:type="dxa"/>
            <w:vMerge/>
            <w:tcBorders>
              <w:top w:val="single" w:sz="4" w:space="0" w:color="000000"/>
              <w:bottom w:val="single" w:sz="4" w:space="0" w:color="000000"/>
            </w:tcBorders>
            <w:tcMar>
              <w:top w:w="100" w:type="dxa"/>
              <w:left w:w="100" w:type="dxa"/>
              <w:bottom w:w="100" w:type="dxa"/>
              <w:right w:w="100" w:type="dxa"/>
            </w:tcMar>
          </w:tcPr>
          <w:p w14:paraId="7CCF7ABF"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bottom w:val="single" w:sz="4" w:space="0" w:color="000000"/>
              <w:right w:val="nil"/>
            </w:tcBorders>
            <w:tcMar>
              <w:top w:w="100" w:type="dxa"/>
              <w:left w:w="100" w:type="dxa"/>
              <w:bottom w:w="100" w:type="dxa"/>
              <w:right w:w="100" w:type="dxa"/>
            </w:tcMar>
          </w:tcPr>
          <w:p w14:paraId="3EA4F88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155" w:type="dxa"/>
            <w:tcBorders>
              <w:top w:val="nil"/>
              <w:left w:val="nil"/>
              <w:bottom w:val="single" w:sz="4" w:space="0" w:color="000000"/>
              <w:right w:val="nil"/>
            </w:tcBorders>
            <w:tcMar>
              <w:top w:w="0" w:type="dxa"/>
              <w:left w:w="40" w:type="dxa"/>
              <w:bottom w:w="0" w:type="dxa"/>
              <w:right w:w="40" w:type="dxa"/>
            </w:tcMar>
          </w:tcPr>
          <w:p w14:paraId="59E0538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124</w:t>
            </w:r>
          </w:p>
        </w:tc>
        <w:tc>
          <w:tcPr>
            <w:tcW w:w="1260" w:type="dxa"/>
            <w:tcBorders>
              <w:top w:val="nil"/>
              <w:left w:val="nil"/>
              <w:bottom w:val="single" w:sz="4" w:space="0" w:color="000000"/>
              <w:right w:val="nil"/>
            </w:tcBorders>
            <w:tcMar>
              <w:top w:w="0" w:type="dxa"/>
              <w:left w:w="40" w:type="dxa"/>
              <w:bottom w:w="0" w:type="dxa"/>
              <w:right w:w="40" w:type="dxa"/>
            </w:tcMar>
          </w:tcPr>
          <w:p w14:paraId="0DF02F4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100.00%</w:t>
            </w:r>
          </w:p>
        </w:tc>
        <w:tc>
          <w:tcPr>
            <w:tcW w:w="1065" w:type="dxa"/>
            <w:tcBorders>
              <w:top w:val="nil"/>
              <w:left w:val="nil"/>
              <w:bottom w:val="single" w:sz="4" w:space="0" w:color="000000"/>
              <w:right w:val="nil"/>
            </w:tcBorders>
            <w:tcMar>
              <w:top w:w="0" w:type="dxa"/>
              <w:left w:w="40" w:type="dxa"/>
              <w:bottom w:w="0" w:type="dxa"/>
              <w:right w:w="40" w:type="dxa"/>
            </w:tcMar>
          </w:tcPr>
          <w:p w14:paraId="52520E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150</w:t>
            </w:r>
          </w:p>
        </w:tc>
        <w:tc>
          <w:tcPr>
            <w:tcW w:w="1140" w:type="dxa"/>
            <w:tcBorders>
              <w:top w:val="nil"/>
              <w:left w:val="nil"/>
              <w:bottom w:val="single" w:sz="4" w:space="0" w:color="000000"/>
              <w:right w:val="nil"/>
            </w:tcBorders>
            <w:tcMar>
              <w:top w:w="0" w:type="dxa"/>
              <w:left w:w="40" w:type="dxa"/>
              <w:bottom w:w="0" w:type="dxa"/>
              <w:right w:w="40" w:type="dxa"/>
            </w:tcMar>
          </w:tcPr>
          <w:p w14:paraId="30FF894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95.54%</w:t>
            </w:r>
          </w:p>
        </w:tc>
      </w:tr>
      <w:tr w:rsidR="00BF019E" w:rsidRPr="008B4C22" w14:paraId="3690B142" w14:textId="77777777" w:rsidTr="008B4C22">
        <w:trPr>
          <w:trHeight w:val="241"/>
        </w:trPr>
        <w:tc>
          <w:tcPr>
            <w:tcW w:w="1530" w:type="dxa"/>
            <w:vMerge/>
            <w:tcBorders>
              <w:top w:val="single" w:sz="4" w:space="0" w:color="000000"/>
              <w:left w:val="nil"/>
              <w:bottom w:val="single" w:sz="9" w:space="0" w:color="000000"/>
              <w:right w:val="nil"/>
            </w:tcBorders>
            <w:tcMar>
              <w:top w:w="100" w:type="dxa"/>
              <w:left w:w="100" w:type="dxa"/>
              <w:bottom w:w="100" w:type="dxa"/>
              <w:right w:w="100" w:type="dxa"/>
            </w:tcMar>
          </w:tcPr>
          <w:p w14:paraId="5C361E5B"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233769A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155" w:type="dxa"/>
            <w:tcBorders>
              <w:top w:val="nil"/>
              <w:left w:val="nil"/>
              <w:bottom w:val="single" w:sz="4" w:space="0" w:color="000000"/>
              <w:right w:val="nil"/>
            </w:tcBorders>
            <w:tcMar>
              <w:top w:w="0" w:type="dxa"/>
              <w:left w:w="40" w:type="dxa"/>
              <w:bottom w:w="0" w:type="dxa"/>
              <w:right w:w="40" w:type="dxa"/>
            </w:tcMar>
          </w:tcPr>
          <w:p w14:paraId="1FDC979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4" w:space="0" w:color="000000"/>
              <w:right w:val="nil"/>
            </w:tcBorders>
            <w:tcMar>
              <w:top w:w="0" w:type="dxa"/>
              <w:left w:w="40" w:type="dxa"/>
              <w:bottom w:w="0" w:type="dxa"/>
              <w:right w:w="40" w:type="dxa"/>
            </w:tcMar>
          </w:tcPr>
          <w:p w14:paraId="6CB03B9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4" w:space="0" w:color="000000"/>
              <w:right w:val="nil"/>
            </w:tcBorders>
            <w:tcMar>
              <w:top w:w="0" w:type="dxa"/>
              <w:left w:w="40" w:type="dxa"/>
              <w:bottom w:w="0" w:type="dxa"/>
              <w:right w:w="40" w:type="dxa"/>
            </w:tcMar>
          </w:tcPr>
          <w:p w14:paraId="3FEC0C5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1140" w:type="dxa"/>
            <w:tcBorders>
              <w:top w:val="nil"/>
              <w:left w:val="nil"/>
              <w:bottom w:val="single" w:sz="4" w:space="0" w:color="000000"/>
              <w:right w:val="nil"/>
            </w:tcBorders>
            <w:tcMar>
              <w:top w:w="0" w:type="dxa"/>
              <w:left w:w="40" w:type="dxa"/>
              <w:bottom w:w="0" w:type="dxa"/>
              <w:right w:w="40" w:type="dxa"/>
            </w:tcMar>
          </w:tcPr>
          <w:p w14:paraId="5DA24DD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58EB344D" w14:textId="77777777" w:rsidTr="008B4C22">
        <w:trPr>
          <w:trHeight w:val="260"/>
        </w:trPr>
        <w:tc>
          <w:tcPr>
            <w:tcW w:w="1530" w:type="dxa"/>
            <w:vMerge/>
            <w:tcBorders>
              <w:top w:val="nil"/>
              <w:left w:val="nil"/>
              <w:bottom w:val="single" w:sz="9" w:space="0" w:color="000000"/>
              <w:right w:val="nil"/>
            </w:tcBorders>
            <w:tcMar>
              <w:top w:w="100" w:type="dxa"/>
              <w:left w:w="100" w:type="dxa"/>
              <w:bottom w:w="100" w:type="dxa"/>
              <w:right w:w="100" w:type="dxa"/>
            </w:tcMar>
          </w:tcPr>
          <w:p w14:paraId="67ECF263"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12" w:space="0" w:color="000000"/>
              <w:right w:val="nil"/>
            </w:tcBorders>
            <w:tcMar>
              <w:top w:w="100" w:type="dxa"/>
              <w:left w:w="100" w:type="dxa"/>
              <w:bottom w:w="100" w:type="dxa"/>
              <w:right w:w="100" w:type="dxa"/>
            </w:tcMar>
          </w:tcPr>
          <w:p w14:paraId="081BAFC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155" w:type="dxa"/>
            <w:tcBorders>
              <w:top w:val="nil"/>
              <w:left w:val="nil"/>
              <w:bottom w:val="single" w:sz="9" w:space="0" w:color="000000"/>
              <w:right w:val="nil"/>
            </w:tcBorders>
            <w:tcMar>
              <w:top w:w="0" w:type="dxa"/>
              <w:left w:w="40" w:type="dxa"/>
              <w:bottom w:w="0" w:type="dxa"/>
              <w:right w:w="40" w:type="dxa"/>
            </w:tcMar>
          </w:tcPr>
          <w:p w14:paraId="29327F9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9" w:space="0" w:color="000000"/>
              <w:right w:val="nil"/>
            </w:tcBorders>
            <w:tcMar>
              <w:top w:w="0" w:type="dxa"/>
              <w:left w:w="40" w:type="dxa"/>
              <w:bottom w:w="0" w:type="dxa"/>
              <w:right w:w="40" w:type="dxa"/>
            </w:tcMar>
          </w:tcPr>
          <w:p w14:paraId="115697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9" w:space="0" w:color="000000"/>
              <w:right w:val="nil"/>
            </w:tcBorders>
            <w:tcMar>
              <w:top w:w="0" w:type="dxa"/>
              <w:left w:w="40" w:type="dxa"/>
              <w:bottom w:w="0" w:type="dxa"/>
              <w:right w:w="40" w:type="dxa"/>
            </w:tcMar>
          </w:tcPr>
          <w:p w14:paraId="4201F80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9" w:space="0" w:color="000000"/>
              <w:right w:val="nil"/>
            </w:tcBorders>
            <w:tcMar>
              <w:top w:w="0" w:type="dxa"/>
              <w:left w:w="40" w:type="dxa"/>
              <w:bottom w:w="0" w:type="dxa"/>
              <w:right w:w="40" w:type="dxa"/>
            </w:tcMar>
          </w:tcPr>
          <w:p w14:paraId="609540F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1D906092" w14:textId="77777777" w:rsidTr="008B4C22">
        <w:trPr>
          <w:trHeight w:val="230"/>
        </w:trPr>
        <w:tc>
          <w:tcPr>
            <w:tcW w:w="1530" w:type="dxa"/>
            <w:vMerge w:val="restart"/>
            <w:tcBorders>
              <w:top w:val="nil"/>
              <w:left w:val="nil"/>
              <w:bottom w:val="single" w:sz="9" w:space="0" w:color="000000"/>
              <w:right w:val="nil"/>
            </w:tcBorders>
            <w:tcMar>
              <w:top w:w="100" w:type="dxa"/>
              <w:left w:w="100" w:type="dxa"/>
              <w:bottom w:w="100" w:type="dxa"/>
              <w:right w:w="100" w:type="dxa"/>
            </w:tcMar>
          </w:tcPr>
          <w:p w14:paraId="52425A9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69B47C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E1D51B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5D5C58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Respect for Others' Ideas</w:t>
            </w:r>
          </w:p>
        </w:tc>
        <w:tc>
          <w:tcPr>
            <w:tcW w:w="1470" w:type="dxa"/>
            <w:tcBorders>
              <w:top w:val="single" w:sz="12" w:space="0" w:color="000000"/>
              <w:left w:val="nil"/>
              <w:bottom w:val="single" w:sz="4" w:space="0" w:color="000000"/>
              <w:right w:val="nil"/>
            </w:tcBorders>
            <w:tcMar>
              <w:top w:w="100" w:type="dxa"/>
              <w:left w:w="100" w:type="dxa"/>
              <w:bottom w:w="100" w:type="dxa"/>
              <w:right w:w="100" w:type="dxa"/>
            </w:tcMar>
          </w:tcPr>
          <w:p w14:paraId="5508C92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55" w:type="dxa"/>
            <w:tcBorders>
              <w:top w:val="nil"/>
              <w:left w:val="nil"/>
              <w:bottom w:val="single" w:sz="4" w:space="0" w:color="000000"/>
              <w:right w:val="nil"/>
            </w:tcBorders>
            <w:tcMar>
              <w:top w:w="0" w:type="dxa"/>
              <w:left w:w="40" w:type="dxa"/>
              <w:bottom w:w="0" w:type="dxa"/>
              <w:right w:w="40" w:type="dxa"/>
            </w:tcMar>
          </w:tcPr>
          <w:p w14:paraId="4D18CA1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260" w:type="dxa"/>
            <w:tcBorders>
              <w:top w:val="nil"/>
              <w:left w:val="nil"/>
              <w:bottom w:val="single" w:sz="4" w:space="0" w:color="000000"/>
              <w:right w:val="nil"/>
            </w:tcBorders>
            <w:tcMar>
              <w:top w:w="0" w:type="dxa"/>
              <w:left w:w="40" w:type="dxa"/>
              <w:bottom w:w="0" w:type="dxa"/>
              <w:right w:w="40" w:type="dxa"/>
            </w:tcMar>
          </w:tcPr>
          <w:p w14:paraId="4B0D725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1065" w:type="dxa"/>
            <w:tcBorders>
              <w:top w:val="nil"/>
              <w:left w:val="nil"/>
              <w:bottom w:val="single" w:sz="4" w:space="0" w:color="000000"/>
              <w:right w:val="nil"/>
            </w:tcBorders>
            <w:tcMar>
              <w:top w:w="0" w:type="dxa"/>
              <w:left w:w="40" w:type="dxa"/>
              <w:bottom w:w="0" w:type="dxa"/>
              <w:right w:w="40" w:type="dxa"/>
            </w:tcMar>
          </w:tcPr>
          <w:p w14:paraId="5DE7CD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w:t>
            </w:r>
          </w:p>
        </w:tc>
        <w:tc>
          <w:tcPr>
            <w:tcW w:w="1140" w:type="dxa"/>
            <w:tcBorders>
              <w:top w:val="nil"/>
              <w:left w:val="nil"/>
              <w:bottom w:val="single" w:sz="4" w:space="0" w:color="000000"/>
              <w:right w:val="nil"/>
            </w:tcBorders>
            <w:tcMar>
              <w:top w:w="0" w:type="dxa"/>
              <w:left w:w="40" w:type="dxa"/>
              <w:bottom w:w="0" w:type="dxa"/>
              <w:right w:w="40" w:type="dxa"/>
            </w:tcMar>
          </w:tcPr>
          <w:p w14:paraId="20B6BD7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10.83%</w:t>
            </w:r>
          </w:p>
        </w:tc>
      </w:tr>
      <w:tr w:rsidR="00BF019E" w:rsidRPr="008B4C22" w14:paraId="7406676F" w14:textId="77777777" w:rsidTr="008B4C22">
        <w:trPr>
          <w:trHeight w:val="215"/>
        </w:trPr>
        <w:tc>
          <w:tcPr>
            <w:tcW w:w="1530" w:type="dxa"/>
            <w:vMerge/>
            <w:tcBorders>
              <w:top w:val="nil"/>
              <w:left w:val="nil"/>
              <w:bottom w:val="single" w:sz="9" w:space="0" w:color="000000"/>
              <w:right w:val="nil"/>
            </w:tcBorders>
            <w:tcMar>
              <w:top w:w="100" w:type="dxa"/>
              <w:left w:w="100" w:type="dxa"/>
              <w:bottom w:w="100" w:type="dxa"/>
              <w:right w:w="100" w:type="dxa"/>
            </w:tcMar>
          </w:tcPr>
          <w:p w14:paraId="46D573B1"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05C41F0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155" w:type="dxa"/>
            <w:tcBorders>
              <w:top w:val="nil"/>
              <w:left w:val="nil"/>
              <w:bottom w:val="single" w:sz="4" w:space="0" w:color="000000"/>
              <w:right w:val="nil"/>
            </w:tcBorders>
            <w:tcMar>
              <w:top w:w="0" w:type="dxa"/>
              <w:left w:w="40" w:type="dxa"/>
              <w:bottom w:w="0" w:type="dxa"/>
              <w:right w:w="40" w:type="dxa"/>
            </w:tcMar>
          </w:tcPr>
          <w:p w14:paraId="4FE7EFB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260" w:type="dxa"/>
            <w:tcBorders>
              <w:top w:val="nil"/>
              <w:left w:val="nil"/>
              <w:bottom w:val="single" w:sz="4" w:space="0" w:color="000000"/>
              <w:right w:val="nil"/>
            </w:tcBorders>
            <w:tcMar>
              <w:top w:w="0" w:type="dxa"/>
              <w:left w:w="40" w:type="dxa"/>
              <w:bottom w:w="0" w:type="dxa"/>
              <w:right w:w="40" w:type="dxa"/>
            </w:tcMar>
          </w:tcPr>
          <w:p w14:paraId="0FE42FF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65" w:type="dxa"/>
            <w:tcBorders>
              <w:top w:val="nil"/>
              <w:left w:val="nil"/>
              <w:bottom w:val="single" w:sz="4" w:space="0" w:color="000000"/>
              <w:right w:val="nil"/>
            </w:tcBorders>
            <w:tcMar>
              <w:top w:w="0" w:type="dxa"/>
              <w:left w:w="40" w:type="dxa"/>
              <w:bottom w:w="0" w:type="dxa"/>
              <w:right w:w="40" w:type="dxa"/>
            </w:tcMar>
          </w:tcPr>
          <w:p w14:paraId="401049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20</w:t>
            </w:r>
          </w:p>
        </w:tc>
        <w:tc>
          <w:tcPr>
            <w:tcW w:w="1140" w:type="dxa"/>
            <w:tcBorders>
              <w:top w:val="nil"/>
              <w:left w:val="nil"/>
              <w:bottom w:val="single" w:sz="4" w:space="0" w:color="000000"/>
              <w:right w:val="nil"/>
            </w:tcBorders>
            <w:tcMar>
              <w:top w:w="0" w:type="dxa"/>
              <w:left w:w="40" w:type="dxa"/>
              <w:bottom w:w="0" w:type="dxa"/>
              <w:right w:w="40" w:type="dxa"/>
            </w:tcMar>
          </w:tcPr>
          <w:p w14:paraId="4BDCE33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12.74%</w:t>
            </w:r>
          </w:p>
        </w:tc>
      </w:tr>
      <w:tr w:rsidR="00BF019E" w:rsidRPr="008B4C22" w14:paraId="12E3C63C" w14:textId="77777777" w:rsidTr="008B4C22">
        <w:trPr>
          <w:trHeight w:val="269"/>
        </w:trPr>
        <w:tc>
          <w:tcPr>
            <w:tcW w:w="1530" w:type="dxa"/>
            <w:vMerge/>
            <w:tcBorders>
              <w:top w:val="nil"/>
              <w:left w:val="nil"/>
              <w:bottom w:val="single" w:sz="9" w:space="0" w:color="000000"/>
              <w:right w:val="nil"/>
            </w:tcBorders>
            <w:tcMar>
              <w:top w:w="100" w:type="dxa"/>
              <w:left w:w="100" w:type="dxa"/>
              <w:bottom w:w="100" w:type="dxa"/>
              <w:right w:w="100" w:type="dxa"/>
            </w:tcMar>
          </w:tcPr>
          <w:p w14:paraId="34BB0A15"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067E8B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155" w:type="dxa"/>
            <w:tcBorders>
              <w:top w:val="nil"/>
              <w:left w:val="nil"/>
              <w:bottom w:val="single" w:sz="4" w:space="0" w:color="000000"/>
              <w:right w:val="nil"/>
            </w:tcBorders>
            <w:tcMar>
              <w:top w:w="0" w:type="dxa"/>
              <w:left w:w="40" w:type="dxa"/>
              <w:bottom w:w="0" w:type="dxa"/>
              <w:right w:w="40" w:type="dxa"/>
            </w:tcMar>
          </w:tcPr>
          <w:p w14:paraId="3FC3AFC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260" w:type="dxa"/>
            <w:tcBorders>
              <w:top w:val="nil"/>
              <w:left w:val="nil"/>
              <w:bottom w:val="single" w:sz="4" w:space="0" w:color="000000"/>
              <w:right w:val="nil"/>
            </w:tcBorders>
            <w:tcMar>
              <w:top w:w="0" w:type="dxa"/>
              <w:left w:w="40" w:type="dxa"/>
              <w:bottom w:w="0" w:type="dxa"/>
              <w:right w:w="40" w:type="dxa"/>
            </w:tcMar>
          </w:tcPr>
          <w:p w14:paraId="513AF7C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92.74%</w:t>
            </w:r>
          </w:p>
        </w:tc>
        <w:tc>
          <w:tcPr>
            <w:tcW w:w="1065" w:type="dxa"/>
            <w:tcBorders>
              <w:top w:val="nil"/>
              <w:left w:val="nil"/>
              <w:bottom w:val="single" w:sz="4" w:space="0" w:color="000000"/>
              <w:right w:val="nil"/>
            </w:tcBorders>
            <w:tcMar>
              <w:top w:w="0" w:type="dxa"/>
              <w:left w:w="40" w:type="dxa"/>
              <w:bottom w:w="0" w:type="dxa"/>
              <w:right w:w="40" w:type="dxa"/>
            </w:tcMar>
          </w:tcPr>
          <w:p w14:paraId="5E41482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140" w:type="dxa"/>
            <w:tcBorders>
              <w:top w:val="nil"/>
              <w:left w:val="nil"/>
              <w:bottom w:val="single" w:sz="4" w:space="0" w:color="000000"/>
              <w:right w:val="nil"/>
            </w:tcBorders>
            <w:tcMar>
              <w:top w:w="0" w:type="dxa"/>
              <w:left w:w="40" w:type="dxa"/>
              <w:bottom w:w="0" w:type="dxa"/>
              <w:right w:w="40" w:type="dxa"/>
            </w:tcMar>
          </w:tcPr>
          <w:p w14:paraId="097970A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6E1A7815" w14:textId="77777777" w:rsidTr="008B4C22">
        <w:trPr>
          <w:trHeight w:val="152"/>
        </w:trPr>
        <w:tc>
          <w:tcPr>
            <w:tcW w:w="1530" w:type="dxa"/>
            <w:vMerge/>
            <w:tcBorders>
              <w:top w:val="nil"/>
              <w:left w:val="nil"/>
              <w:bottom w:val="single" w:sz="9" w:space="0" w:color="000000"/>
              <w:right w:val="nil"/>
            </w:tcBorders>
            <w:tcMar>
              <w:top w:w="100" w:type="dxa"/>
              <w:left w:w="100" w:type="dxa"/>
              <w:bottom w:w="100" w:type="dxa"/>
              <w:right w:w="100" w:type="dxa"/>
            </w:tcMar>
          </w:tcPr>
          <w:p w14:paraId="4738A02C"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9" w:space="0" w:color="000000"/>
              <w:right w:val="nil"/>
            </w:tcBorders>
            <w:tcMar>
              <w:top w:w="100" w:type="dxa"/>
              <w:left w:w="100" w:type="dxa"/>
              <w:bottom w:w="100" w:type="dxa"/>
              <w:right w:w="100" w:type="dxa"/>
            </w:tcMar>
          </w:tcPr>
          <w:p w14:paraId="6265908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155" w:type="dxa"/>
            <w:tcBorders>
              <w:top w:val="nil"/>
              <w:left w:val="nil"/>
              <w:bottom w:val="single" w:sz="9" w:space="0" w:color="000000"/>
              <w:right w:val="nil"/>
            </w:tcBorders>
            <w:tcMar>
              <w:top w:w="0" w:type="dxa"/>
              <w:left w:w="40" w:type="dxa"/>
              <w:bottom w:w="0" w:type="dxa"/>
              <w:right w:w="40" w:type="dxa"/>
            </w:tcMar>
          </w:tcPr>
          <w:p w14:paraId="6D673F8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9" w:space="0" w:color="000000"/>
              <w:right w:val="nil"/>
            </w:tcBorders>
            <w:tcMar>
              <w:top w:w="0" w:type="dxa"/>
              <w:left w:w="40" w:type="dxa"/>
              <w:bottom w:w="0" w:type="dxa"/>
              <w:right w:w="40" w:type="dxa"/>
            </w:tcMar>
          </w:tcPr>
          <w:p w14:paraId="2CFCCA6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9" w:space="0" w:color="000000"/>
              <w:right w:val="nil"/>
            </w:tcBorders>
            <w:tcMar>
              <w:top w:w="0" w:type="dxa"/>
              <w:left w:w="40" w:type="dxa"/>
              <w:bottom w:w="0" w:type="dxa"/>
              <w:right w:w="40" w:type="dxa"/>
            </w:tcMar>
          </w:tcPr>
          <w:p w14:paraId="78ED99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9" w:space="0" w:color="000000"/>
              <w:right w:val="nil"/>
            </w:tcBorders>
            <w:tcMar>
              <w:top w:w="0" w:type="dxa"/>
              <w:left w:w="40" w:type="dxa"/>
              <w:bottom w:w="0" w:type="dxa"/>
              <w:right w:w="40" w:type="dxa"/>
            </w:tcMar>
          </w:tcPr>
          <w:p w14:paraId="4E1DF3B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087DB2F8"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594798F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During FGDs, storytelling and role-playing, both learners from Sultan Mamarinta Panandigan Integrated School and Cabili Village Elementary School express strong emotion towards their response to the environmental scenarios given to them - Have you ever seen someone throw trash on the ground? What did you think about it?; How do you feel when you play outside in a clean place?- where happiness is always linked to a clean and green environment, and pollution and littering makes them feel sad and frustrated. Common answers like “I like trees because they give fresh air” or “It's sad when people throw garbage on the river” emphasizes that children connect environmental </w:t>
      </w:r>
      <w:r w:rsidRPr="00730471">
        <w:rPr>
          <w:rFonts w:ascii="Arial" w:hAnsi="Arial" w:cs="Arial"/>
          <w:sz w:val="24"/>
          <w:szCs w:val="24"/>
        </w:rPr>
        <w:lastRenderedPageBreak/>
        <w:t xml:space="preserve">conditions with their personal will-being and benefit, which is a manifestation of an anthropocentric environmental worldview. The facilitator also observed that both learners from both schools manifested what Naess called “personal Identification with nature” where students are observed to show animated reactions in telling their personal experience with the environments -playing outdoors and seeing polluted rivers and oceans-. The findings from the table concretize these qualitative observations. </w:t>
      </w:r>
    </w:p>
    <w:p w14:paraId="2AC39FB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engagement, the majority of the participants/ learners achieved the “Proficient” level (92.74% in SMIS and 76.43% in CVES), which indicates consistent willingness of the learners to participate. A higher proportion of learners from Cabili Village Elementary School  (19.11%) have reached the “Excellent” level compared to reached the “Excellent” level compared to Sultan Mamarinta Panandigan Integrated School learners where they only have a 4.03% of learners achieved “Excellent” level, which entails that while Sultan Mamarinta Panandigan Integrated School learners were engaged, Cabili Village Elementary School learners showed more passion and interest. Moreover, in terms of  clarity of expressions 100% in SMIS and 95.54% in CVES have achieved "Proficient" level, however, the absence of an “Excellent” level indicates that both learners replied using simple language rather than a more operational, precise description of the experience. </w:t>
      </w:r>
    </w:p>
    <w:p w14:paraId="600C5176" w14:textId="64521AB1"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“Respect for others ideas” emerges as an area for growth as majority of the student from both schools rated as “Developing” ((92.74% in SMIS and 76.43% in CVES), which indicates the need for a structured facilitation to strengthen collaboration and reflective listening.</w:t>
      </w:r>
      <w:r w:rsidR="00A81BA8">
        <w:rPr>
          <w:rFonts w:ascii="Arial" w:hAnsi="Arial" w:cs="Arial"/>
          <w:sz w:val="24"/>
          <w:szCs w:val="24"/>
        </w:rPr>
        <w:t xml:space="preserve"> </w:t>
      </w:r>
      <w:r w:rsidRPr="00730471">
        <w:rPr>
          <w:rFonts w:ascii="Arial" w:hAnsi="Arial" w:cs="Arial"/>
          <w:sz w:val="24"/>
          <w:szCs w:val="24"/>
        </w:rPr>
        <w:t xml:space="preserve">Overall, in both domain, knowledges and attitude, children demonstrate strong surface-level of awareness and positive emotional ties to the environment. However, there is are clear gaps in terms of depth of understanding, use of precise language, and reflective articulation. This findings suggest that while children have environmental awareness it is often at an intuitive or emotional level. </w:t>
      </w:r>
      <w:r w:rsidRPr="00730471">
        <w:rPr>
          <w:rFonts w:ascii="Arial" w:hAnsi="Arial" w:cs="Arial"/>
          <w:sz w:val="24"/>
          <w:szCs w:val="24"/>
        </w:rPr>
        <w:lastRenderedPageBreak/>
        <w:t>Children value the environment positively but cannot yet translate emotional concern into critical discourse. Moreover,  findings also suggest that  Cabili Village Elementary School learners (urban) showed expressive engagement possibly due to exposure to socially dynamic environments; Sultan Mamarinta Panandigan Integrated School learners (rural) were more uniform but less expressive. Hence, activities must go beyond emotional sharing by teaching turn-taking, respectful discussion protocols, and reflective dialogue—essential components of Dewey’s democratic learning environment.</w:t>
      </w:r>
    </w:p>
    <w:p w14:paraId="539E0956" w14:textId="77777777"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3</w:t>
      </w:r>
    </w:p>
    <w:p w14:paraId="70D9108A" w14:textId="50E091D6" w:rsidR="00BF019E" w:rsidRPr="008F26AB" w:rsidRDefault="00CB26E4" w:rsidP="008F26AB">
      <w:pPr>
        <w:spacing w:line="360" w:lineRule="auto"/>
        <w:ind w:left="720"/>
        <w:jc w:val="both"/>
        <w:rPr>
          <w:rFonts w:ascii="Arial" w:hAnsi="Arial" w:cs="Arial"/>
          <w:i/>
          <w:iCs/>
          <w:sz w:val="24"/>
          <w:szCs w:val="24"/>
        </w:rPr>
      </w:pPr>
      <w:r w:rsidRPr="008B4C22">
        <w:rPr>
          <w:rFonts w:ascii="Arial" w:hAnsi="Arial" w:cs="Arial"/>
          <w:i/>
          <w:iCs/>
          <w:sz w:val="24"/>
          <w:szCs w:val="24"/>
        </w:rPr>
        <w:t xml:space="preserve">Distribution of Performance Levels in Participatory Mapping and Drawing </w:t>
      </w:r>
      <w:r w:rsidRPr="00730471">
        <w:rPr>
          <w:rFonts w:ascii="Arial" w:hAnsi="Arial" w:cs="Arial"/>
          <w:sz w:val="24"/>
          <w:szCs w:val="24"/>
        </w:rPr>
        <w:t>Activities</w:t>
      </w:r>
    </w:p>
    <w:tbl>
      <w:tblPr>
        <w:tblStyle w:val="a2"/>
        <w:tblW w:w="7515"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2025"/>
        <w:gridCol w:w="1530"/>
        <w:gridCol w:w="900"/>
        <w:gridCol w:w="1170"/>
        <w:gridCol w:w="810"/>
        <w:gridCol w:w="1080"/>
      </w:tblGrid>
      <w:tr w:rsidR="00BF019E" w:rsidRPr="008B4C22" w14:paraId="5A197531" w14:textId="77777777">
        <w:trPr>
          <w:trHeight w:val="495"/>
        </w:trPr>
        <w:tc>
          <w:tcPr>
            <w:tcW w:w="2025" w:type="dxa"/>
            <w:tcBorders>
              <w:top w:val="single" w:sz="9" w:space="0" w:color="000000"/>
              <w:left w:val="nil"/>
              <w:bottom w:val="single" w:sz="9" w:space="0" w:color="000000"/>
              <w:right w:val="nil"/>
            </w:tcBorders>
            <w:tcMar>
              <w:top w:w="100" w:type="dxa"/>
              <w:left w:w="100" w:type="dxa"/>
              <w:bottom w:w="100" w:type="dxa"/>
              <w:right w:w="100" w:type="dxa"/>
            </w:tcMar>
          </w:tcPr>
          <w:p w14:paraId="525C785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530" w:type="dxa"/>
            <w:tcBorders>
              <w:top w:val="single" w:sz="9" w:space="0" w:color="000000"/>
              <w:left w:val="nil"/>
              <w:bottom w:val="single" w:sz="9" w:space="0" w:color="000000"/>
              <w:right w:val="nil"/>
            </w:tcBorders>
            <w:tcMar>
              <w:top w:w="100" w:type="dxa"/>
              <w:left w:w="100" w:type="dxa"/>
              <w:bottom w:w="100" w:type="dxa"/>
              <w:right w:w="100" w:type="dxa"/>
            </w:tcMar>
          </w:tcPr>
          <w:p w14:paraId="4081855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900" w:type="dxa"/>
            <w:tcBorders>
              <w:top w:val="single" w:sz="9" w:space="0" w:color="000000"/>
              <w:left w:val="nil"/>
              <w:bottom w:val="single" w:sz="9" w:space="0" w:color="000000"/>
              <w:right w:val="nil"/>
            </w:tcBorders>
            <w:tcMar>
              <w:top w:w="100" w:type="dxa"/>
              <w:left w:w="100" w:type="dxa"/>
              <w:bottom w:w="100" w:type="dxa"/>
              <w:right w:w="100" w:type="dxa"/>
            </w:tcMar>
          </w:tcPr>
          <w:p w14:paraId="43E5050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170" w:type="dxa"/>
            <w:tcBorders>
              <w:top w:val="single" w:sz="9" w:space="0" w:color="000000"/>
              <w:left w:val="nil"/>
              <w:bottom w:val="single" w:sz="9" w:space="0" w:color="000000"/>
              <w:right w:val="nil"/>
            </w:tcBorders>
            <w:tcMar>
              <w:top w:w="100" w:type="dxa"/>
              <w:left w:w="100" w:type="dxa"/>
              <w:bottom w:w="100" w:type="dxa"/>
              <w:right w:w="100" w:type="dxa"/>
            </w:tcMar>
          </w:tcPr>
          <w:p w14:paraId="43FE3CF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w:t>
            </w:r>
          </w:p>
        </w:tc>
        <w:tc>
          <w:tcPr>
            <w:tcW w:w="810" w:type="dxa"/>
            <w:tcBorders>
              <w:top w:val="single" w:sz="9" w:space="0" w:color="000000"/>
              <w:left w:val="nil"/>
              <w:bottom w:val="single" w:sz="9" w:space="0" w:color="000000"/>
              <w:right w:val="nil"/>
            </w:tcBorders>
            <w:tcMar>
              <w:top w:w="100" w:type="dxa"/>
              <w:left w:w="100" w:type="dxa"/>
              <w:bottom w:w="100" w:type="dxa"/>
              <w:right w:w="100" w:type="dxa"/>
            </w:tcMar>
          </w:tcPr>
          <w:p w14:paraId="0B750F9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080" w:type="dxa"/>
            <w:tcBorders>
              <w:top w:val="single" w:sz="9" w:space="0" w:color="000000"/>
              <w:left w:val="nil"/>
              <w:bottom w:val="single" w:sz="9" w:space="0" w:color="000000"/>
              <w:right w:val="nil"/>
            </w:tcBorders>
            <w:tcMar>
              <w:top w:w="100" w:type="dxa"/>
              <w:left w:w="100" w:type="dxa"/>
              <w:bottom w:w="100" w:type="dxa"/>
              <w:right w:w="100" w:type="dxa"/>
            </w:tcMar>
          </w:tcPr>
          <w:p w14:paraId="24E4017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25666857" w14:textId="77777777" w:rsidTr="008B4C22">
        <w:trPr>
          <w:trHeight w:val="278"/>
        </w:trPr>
        <w:tc>
          <w:tcPr>
            <w:tcW w:w="2025" w:type="dxa"/>
            <w:vMerge w:val="restart"/>
            <w:tcBorders>
              <w:top w:val="nil"/>
              <w:left w:val="nil"/>
              <w:bottom w:val="single" w:sz="9" w:space="0" w:color="000000"/>
              <w:right w:val="nil"/>
            </w:tcBorders>
            <w:tcMar>
              <w:top w:w="100" w:type="dxa"/>
              <w:left w:w="100" w:type="dxa"/>
              <w:bottom w:w="100" w:type="dxa"/>
              <w:right w:w="100" w:type="dxa"/>
            </w:tcMar>
          </w:tcPr>
          <w:p w14:paraId="1DB1CAC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48BCA59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82A14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Accuracy of Environmental Representation</w:t>
            </w:r>
          </w:p>
        </w:tc>
        <w:tc>
          <w:tcPr>
            <w:tcW w:w="1530" w:type="dxa"/>
            <w:tcBorders>
              <w:top w:val="nil"/>
              <w:left w:val="nil"/>
              <w:bottom w:val="single" w:sz="4" w:space="0" w:color="000000"/>
              <w:right w:val="nil"/>
            </w:tcBorders>
            <w:tcMar>
              <w:top w:w="100" w:type="dxa"/>
              <w:left w:w="100" w:type="dxa"/>
              <w:bottom w:w="100" w:type="dxa"/>
              <w:right w:w="100" w:type="dxa"/>
            </w:tcMar>
          </w:tcPr>
          <w:p w14:paraId="515EBA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00" w:type="dxa"/>
            <w:tcBorders>
              <w:top w:val="nil"/>
              <w:left w:val="nil"/>
              <w:bottom w:val="single" w:sz="4" w:space="0" w:color="000000"/>
              <w:right w:val="nil"/>
            </w:tcBorders>
            <w:tcMar>
              <w:top w:w="0" w:type="dxa"/>
              <w:left w:w="40" w:type="dxa"/>
              <w:bottom w:w="0" w:type="dxa"/>
              <w:right w:w="40" w:type="dxa"/>
            </w:tcMar>
          </w:tcPr>
          <w:p w14:paraId="3A1607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170" w:type="dxa"/>
            <w:tcBorders>
              <w:top w:val="nil"/>
              <w:left w:val="nil"/>
              <w:bottom w:val="single" w:sz="4" w:space="0" w:color="000000"/>
              <w:right w:val="nil"/>
            </w:tcBorders>
            <w:tcMar>
              <w:top w:w="0" w:type="dxa"/>
              <w:left w:w="40" w:type="dxa"/>
              <w:bottom w:w="0" w:type="dxa"/>
              <w:right w:w="40" w:type="dxa"/>
            </w:tcMar>
          </w:tcPr>
          <w:p w14:paraId="7A26EEB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10" w:type="dxa"/>
            <w:tcBorders>
              <w:top w:val="nil"/>
              <w:left w:val="nil"/>
              <w:bottom w:val="single" w:sz="4" w:space="0" w:color="000000"/>
              <w:right w:val="nil"/>
            </w:tcBorders>
            <w:tcMar>
              <w:top w:w="0" w:type="dxa"/>
              <w:left w:w="40" w:type="dxa"/>
              <w:bottom w:w="0" w:type="dxa"/>
              <w:right w:w="40" w:type="dxa"/>
            </w:tcMar>
          </w:tcPr>
          <w:p w14:paraId="42A06BF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1080" w:type="dxa"/>
            <w:tcBorders>
              <w:top w:val="nil"/>
              <w:left w:val="nil"/>
              <w:bottom w:val="single" w:sz="4" w:space="0" w:color="000000"/>
              <w:right w:val="nil"/>
            </w:tcBorders>
            <w:tcMar>
              <w:top w:w="0" w:type="dxa"/>
              <w:left w:w="40" w:type="dxa"/>
              <w:bottom w:w="0" w:type="dxa"/>
              <w:right w:w="40" w:type="dxa"/>
            </w:tcMar>
          </w:tcPr>
          <w:p w14:paraId="1F5BF22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2D65A0E0" w14:textId="77777777" w:rsidTr="008B4C22">
        <w:trPr>
          <w:trHeight w:val="251"/>
        </w:trPr>
        <w:tc>
          <w:tcPr>
            <w:tcW w:w="2025" w:type="dxa"/>
            <w:vMerge/>
            <w:tcBorders>
              <w:top w:val="nil"/>
              <w:left w:val="nil"/>
              <w:bottom w:val="single" w:sz="9" w:space="0" w:color="000000"/>
              <w:right w:val="nil"/>
            </w:tcBorders>
            <w:tcMar>
              <w:top w:w="100" w:type="dxa"/>
              <w:left w:w="100" w:type="dxa"/>
              <w:bottom w:w="100" w:type="dxa"/>
              <w:right w:w="100" w:type="dxa"/>
            </w:tcMar>
          </w:tcPr>
          <w:p w14:paraId="64BD89BA"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5659804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00" w:type="dxa"/>
            <w:tcBorders>
              <w:top w:val="nil"/>
              <w:left w:val="nil"/>
              <w:bottom w:val="single" w:sz="4" w:space="0" w:color="000000"/>
              <w:right w:val="nil"/>
            </w:tcBorders>
            <w:tcMar>
              <w:top w:w="0" w:type="dxa"/>
              <w:left w:w="40" w:type="dxa"/>
              <w:bottom w:w="0" w:type="dxa"/>
              <w:right w:w="40" w:type="dxa"/>
            </w:tcMar>
          </w:tcPr>
          <w:p w14:paraId="429B30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100</w:t>
            </w:r>
          </w:p>
        </w:tc>
        <w:tc>
          <w:tcPr>
            <w:tcW w:w="1170" w:type="dxa"/>
            <w:tcBorders>
              <w:top w:val="nil"/>
              <w:left w:val="nil"/>
              <w:bottom w:val="single" w:sz="4" w:space="0" w:color="000000"/>
              <w:right w:val="nil"/>
            </w:tcBorders>
            <w:tcMar>
              <w:top w:w="0" w:type="dxa"/>
              <w:left w:w="40" w:type="dxa"/>
              <w:bottom w:w="0" w:type="dxa"/>
              <w:right w:w="40" w:type="dxa"/>
            </w:tcMar>
          </w:tcPr>
          <w:p w14:paraId="56A3A9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80.65%</w:t>
            </w:r>
          </w:p>
        </w:tc>
        <w:tc>
          <w:tcPr>
            <w:tcW w:w="810" w:type="dxa"/>
            <w:tcBorders>
              <w:top w:val="nil"/>
              <w:left w:val="nil"/>
              <w:bottom w:val="single" w:sz="4" w:space="0" w:color="000000"/>
              <w:right w:val="nil"/>
            </w:tcBorders>
            <w:tcMar>
              <w:top w:w="0" w:type="dxa"/>
              <w:left w:w="40" w:type="dxa"/>
              <w:bottom w:w="0" w:type="dxa"/>
              <w:right w:w="40" w:type="dxa"/>
            </w:tcMar>
          </w:tcPr>
          <w:p w14:paraId="5FAD90B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107</w:t>
            </w:r>
          </w:p>
        </w:tc>
        <w:tc>
          <w:tcPr>
            <w:tcW w:w="1080" w:type="dxa"/>
            <w:tcBorders>
              <w:top w:val="nil"/>
              <w:left w:val="nil"/>
              <w:bottom w:val="single" w:sz="4" w:space="0" w:color="000000"/>
              <w:right w:val="nil"/>
            </w:tcBorders>
            <w:tcMar>
              <w:top w:w="0" w:type="dxa"/>
              <w:left w:w="40" w:type="dxa"/>
              <w:bottom w:w="0" w:type="dxa"/>
              <w:right w:w="40" w:type="dxa"/>
            </w:tcMar>
          </w:tcPr>
          <w:p w14:paraId="2095C9A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68.15%</w:t>
            </w:r>
          </w:p>
        </w:tc>
      </w:tr>
      <w:tr w:rsidR="00BF019E" w:rsidRPr="008B4C22" w14:paraId="04086183" w14:textId="77777777" w:rsidTr="008B4C22">
        <w:trPr>
          <w:trHeight w:val="170"/>
        </w:trPr>
        <w:tc>
          <w:tcPr>
            <w:tcW w:w="2025" w:type="dxa"/>
            <w:vMerge/>
            <w:tcBorders>
              <w:top w:val="nil"/>
              <w:left w:val="nil"/>
              <w:bottom w:val="single" w:sz="9" w:space="0" w:color="000000"/>
              <w:right w:val="nil"/>
            </w:tcBorders>
            <w:tcMar>
              <w:top w:w="100" w:type="dxa"/>
              <w:left w:w="100" w:type="dxa"/>
              <w:bottom w:w="100" w:type="dxa"/>
              <w:right w:w="100" w:type="dxa"/>
            </w:tcMar>
          </w:tcPr>
          <w:p w14:paraId="2ED9745D"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6751D6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00" w:type="dxa"/>
            <w:tcBorders>
              <w:top w:val="nil"/>
              <w:left w:val="nil"/>
              <w:bottom w:val="single" w:sz="4" w:space="0" w:color="000000"/>
              <w:right w:val="nil"/>
            </w:tcBorders>
            <w:tcMar>
              <w:top w:w="0" w:type="dxa"/>
              <w:left w:w="40" w:type="dxa"/>
              <w:bottom w:w="0" w:type="dxa"/>
              <w:right w:w="40" w:type="dxa"/>
            </w:tcMar>
          </w:tcPr>
          <w:p w14:paraId="498F4D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w:t>
            </w:r>
          </w:p>
        </w:tc>
        <w:tc>
          <w:tcPr>
            <w:tcW w:w="1170" w:type="dxa"/>
            <w:tcBorders>
              <w:top w:val="nil"/>
              <w:left w:val="nil"/>
              <w:bottom w:val="single" w:sz="4" w:space="0" w:color="000000"/>
              <w:right w:val="nil"/>
            </w:tcBorders>
            <w:tcMar>
              <w:top w:w="0" w:type="dxa"/>
              <w:left w:w="40" w:type="dxa"/>
              <w:bottom w:w="0" w:type="dxa"/>
              <w:right w:w="40" w:type="dxa"/>
            </w:tcMar>
          </w:tcPr>
          <w:p w14:paraId="19995DD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11.29%</w:t>
            </w:r>
          </w:p>
        </w:tc>
        <w:tc>
          <w:tcPr>
            <w:tcW w:w="810" w:type="dxa"/>
            <w:tcBorders>
              <w:top w:val="nil"/>
              <w:left w:val="nil"/>
              <w:bottom w:val="single" w:sz="4" w:space="0" w:color="000000"/>
              <w:right w:val="nil"/>
            </w:tcBorders>
            <w:tcMar>
              <w:top w:w="0" w:type="dxa"/>
              <w:left w:w="40" w:type="dxa"/>
              <w:bottom w:w="0" w:type="dxa"/>
              <w:right w:w="40" w:type="dxa"/>
            </w:tcMar>
          </w:tcPr>
          <w:p w14:paraId="2BB180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1080" w:type="dxa"/>
            <w:tcBorders>
              <w:top w:val="nil"/>
              <w:left w:val="nil"/>
              <w:bottom w:val="single" w:sz="4" w:space="0" w:color="000000"/>
              <w:right w:val="nil"/>
            </w:tcBorders>
            <w:tcMar>
              <w:top w:w="0" w:type="dxa"/>
              <w:left w:w="40" w:type="dxa"/>
              <w:bottom w:w="0" w:type="dxa"/>
              <w:right w:w="40" w:type="dxa"/>
            </w:tcMar>
          </w:tcPr>
          <w:p w14:paraId="538A847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38B0605F" w14:textId="77777777" w:rsidTr="008B4C22">
        <w:trPr>
          <w:trHeight w:val="278"/>
        </w:trPr>
        <w:tc>
          <w:tcPr>
            <w:tcW w:w="2025" w:type="dxa"/>
            <w:vMerge/>
            <w:tcBorders>
              <w:top w:val="nil"/>
              <w:left w:val="nil"/>
              <w:bottom w:val="single" w:sz="9" w:space="0" w:color="000000"/>
              <w:right w:val="nil"/>
            </w:tcBorders>
            <w:tcMar>
              <w:top w:w="100" w:type="dxa"/>
              <w:left w:w="100" w:type="dxa"/>
              <w:bottom w:w="100" w:type="dxa"/>
              <w:right w:w="100" w:type="dxa"/>
            </w:tcMar>
          </w:tcPr>
          <w:p w14:paraId="50918C5F"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12" w:space="0" w:color="000000"/>
              <w:right w:val="nil"/>
            </w:tcBorders>
            <w:tcMar>
              <w:top w:w="100" w:type="dxa"/>
              <w:left w:w="100" w:type="dxa"/>
              <w:bottom w:w="100" w:type="dxa"/>
              <w:right w:w="100" w:type="dxa"/>
            </w:tcMar>
          </w:tcPr>
          <w:p w14:paraId="7AC2F1A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00" w:type="dxa"/>
            <w:tcBorders>
              <w:top w:val="nil"/>
              <w:left w:val="nil"/>
              <w:bottom w:val="single" w:sz="9" w:space="0" w:color="000000"/>
              <w:right w:val="nil"/>
            </w:tcBorders>
            <w:tcMar>
              <w:top w:w="0" w:type="dxa"/>
              <w:left w:w="40" w:type="dxa"/>
              <w:bottom w:w="0" w:type="dxa"/>
              <w:right w:w="40" w:type="dxa"/>
            </w:tcMar>
          </w:tcPr>
          <w:p w14:paraId="23BE598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587D8E9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9" w:space="0" w:color="000000"/>
              <w:right w:val="nil"/>
            </w:tcBorders>
            <w:tcMar>
              <w:top w:w="0" w:type="dxa"/>
              <w:left w:w="40" w:type="dxa"/>
              <w:bottom w:w="0" w:type="dxa"/>
              <w:right w:w="40" w:type="dxa"/>
            </w:tcMar>
          </w:tcPr>
          <w:p w14:paraId="63D4556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80" w:type="dxa"/>
            <w:tcBorders>
              <w:top w:val="nil"/>
              <w:left w:val="nil"/>
              <w:bottom w:val="single" w:sz="9" w:space="0" w:color="000000"/>
              <w:right w:val="nil"/>
            </w:tcBorders>
            <w:tcMar>
              <w:top w:w="0" w:type="dxa"/>
              <w:left w:w="40" w:type="dxa"/>
              <w:bottom w:w="0" w:type="dxa"/>
              <w:right w:w="40" w:type="dxa"/>
            </w:tcMar>
          </w:tcPr>
          <w:p w14:paraId="63DD37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2D14EC7A" w14:textId="77777777" w:rsidTr="008B4C22">
        <w:trPr>
          <w:trHeight w:val="221"/>
        </w:trPr>
        <w:tc>
          <w:tcPr>
            <w:tcW w:w="2025" w:type="dxa"/>
            <w:vMerge w:val="restart"/>
            <w:tcBorders>
              <w:top w:val="nil"/>
              <w:left w:val="nil"/>
              <w:bottom w:val="single" w:sz="9" w:space="0" w:color="000000"/>
              <w:right w:val="nil"/>
            </w:tcBorders>
            <w:tcMar>
              <w:top w:w="100" w:type="dxa"/>
              <w:left w:w="100" w:type="dxa"/>
              <w:bottom w:w="100" w:type="dxa"/>
              <w:right w:w="100" w:type="dxa"/>
            </w:tcMar>
          </w:tcPr>
          <w:p w14:paraId="616DE90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091036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Creativity and Effort</w:t>
            </w:r>
          </w:p>
        </w:tc>
        <w:tc>
          <w:tcPr>
            <w:tcW w:w="1530" w:type="dxa"/>
            <w:tcBorders>
              <w:top w:val="single" w:sz="12" w:space="0" w:color="000000"/>
              <w:left w:val="nil"/>
              <w:bottom w:val="single" w:sz="4" w:space="0" w:color="000000"/>
              <w:right w:val="nil"/>
            </w:tcBorders>
            <w:tcMar>
              <w:top w:w="100" w:type="dxa"/>
              <w:left w:w="100" w:type="dxa"/>
              <w:bottom w:w="100" w:type="dxa"/>
              <w:right w:w="100" w:type="dxa"/>
            </w:tcMar>
          </w:tcPr>
          <w:p w14:paraId="663BCAF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00" w:type="dxa"/>
            <w:tcBorders>
              <w:top w:val="nil"/>
              <w:left w:val="nil"/>
              <w:bottom w:val="single" w:sz="4" w:space="0" w:color="000000"/>
              <w:right w:val="nil"/>
            </w:tcBorders>
            <w:tcMar>
              <w:top w:w="0" w:type="dxa"/>
              <w:left w:w="40" w:type="dxa"/>
              <w:bottom w:w="0" w:type="dxa"/>
              <w:right w:w="40" w:type="dxa"/>
            </w:tcMar>
          </w:tcPr>
          <w:p w14:paraId="1EE797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4" w:space="0" w:color="000000"/>
              <w:right w:val="nil"/>
            </w:tcBorders>
            <w:tcMar>
              <w:top w:w="0" w:type="dxa"/>
              <w:left w:w="40" w:type="dxa"/>
              <w:bottom w:w="0" w:type="dxa"/>
              <w:right w:w="40" w:type="dxa"/>
            </w:tcMar>
          </w:tcPr>
          <w:p w14:paraId="35A2E47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4" w:space="0" w:color="000000"/>
              <w:right w:val="nil"/>
            </w:tcBorders>
            <w:tcMar>
              <w:top w:w="0" w:type="dxa"/>
              <w:left w:w="40" w:type="dxa"/>
              <w:bottom w:w="0" w:type="dxa"/>
              <w:right w:w="40" w:type="dxa"/>
            </w:tcMar>
          </w:tcPr>
          <w:p w14:paraId="452498F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80" w:type="dxa"/>
            <w:tcBorders>
              <w:top w:val="nil"/>
              <w:left w:val="nil"/>
              <w:bottom w:val="single" w:sz="4" w:space="0" w:color="000000"/>
              <w:right w:val="nil"/>
            </w:tcBorders>
            <w:tcMar>
              <w:top w:w="0" w:type="dxa"/>
              <w:left w:w="40" w:type="dxa"/>
              <w:bottom w:w="0" w:type="dxa"/>
              <w:right w:w="40" w:type="dxa"/>
            </w:tcMar>
          </w:tcPr>
          <w:p w14:paraId="280D9B8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026193B6" w14:textId="77777777" w:rsidTr="008B4C22">
        <w:trPr>
          <w:trHeight w:val="233"/>
        </w:trPr>
        <w:tc>
          <w:tcPr>
            <w:tcW w:w="2025" w:type="dxa"/>
            <w:vMerge/>
            <w:tcBorders>
              <w:top w:val="nil"/>
              <w:left w:val="nil"/>
              <w:bottom w:val="single" w:sz="9" w:space="0" w:color="000000"/>
              <w:right w:val="nil"/>
            </w:tcBorders>
            <w:tcMar>
              <w:top w:w="100" w:type="dxa"/>
              <w:left w:w="100" w:type="dxa"/>
              <w:bottom w:w="100" w:type="dxa"/>
              <w:right w:w="100" w:type="dxa"/>
            </w:tcMar>
          </w:tcPr>
          <w:p w14:paraId="16C0DB04"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7F9EE1F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00" w:type="dxa"/>
            <w:tcBorders>
              <w:top w:val="nil"/>
              <w:left w:val="nil"/>
              <w:bottom w:val="single" w:sz="4" w:space="0" w:color="000000"/>
              <w:right w:val="nil"/>
            </w:tcBorders>
            <w:tcMar>
              <w:top w:w="0" w:type="dxa"/>
              <w:left w:w="40" w:type="dxa"/>
              <w:bottom w:w="0" w:type="dxa"/>
              <w:right w:w="40" w:type="dxa"/>
            </w:tcMar>
          </w:tcPr>
          <w:p w14:paraId="0D50E0A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170" w:type="dxa"/>
            <w:tcBorders>
              <w:top w:val="nil"/>
              <w:left w:val="nil"/>
              <w:bottom w:val="single" w:sz="4" w:space="0" w:color="000000"/>
              <w:right w:val="nil"/>
            </w:tcBorders>
            <w:tcMar>
              <w:top w:w="0" w:type="dxa"/>
              <w:left w:w="40" w:type="dxa"/>
              <w:bottom w:w="0" w:type="dxa"/>
              <w:right w:w="40" w:type="dxa"/>
            </w:tcMar>
          </w:tcPr>
          <w:p w14:paraId="72C771F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92.74%</w:t>
            </w:r>
          </w:p>
        </w:tc>
        <w:tc>
          <w:tcPr>
            <w:tcW w:w="810" w:type="dxa"/>
            <w:tcBorders>
              <w:top w:val="nil"/>
              <w:left w:val="nil"/>
              <w:bottom w:val="single" w:sz="4" w:space="0" w:color="000000"/>
              <w:right w:val="nil"/>
            </w:tcBorders>
            <w:tcMar>
              <w:top w:w="0" w:type="dxa"/>
              <w:left w:w="40" w:type="dxa"/>
              <w:bottom w:w="0" w:type="dxa"/>
              <w:right w:w="40" w:type="dxa"/>
            </w:tcMar>
          </w:tcPr>
          <w:p w14:paraId="686BB78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125</w:t>
            </w:r>
          </w:p>
        </w:tc>
        <w:tc>
          <w:tcPr>
            <w:tcW w:w="1080" w:type="dxa"/>
            <w:tcBorders>
              <w:top w:val="nil"/>
              <w:left w:val="nil"/>
              <w:bottom w:val="single" w:sz="4" w:space="0" w:color="000000"/>
              <w:right w:val="nil"/>
            </w:tcBorders>
            <w:tcMar>
              <w:top w:w="0" w:type="dxa"/>
              <w:left w:w="40" w:type="dxa"/>
              <w:bottom w:w="0" w:type="dxa"/>
              <w:right w:w="40" w:type="dxa"/>
            </w:tcMar>
          </w:tcPr>
          <w:p w14:paraId="076D2CE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76.62%</w:t>
            </w:r>
          </w:p>
        </w:tc>
      </w:tr>
      <w:tr w:rsidR="00BF019E" w:rsidRPr="008B4C22" w14:paraId="0BB89768" w14:textId="77777777" w:rsidTr="008B4C22">
        <w:trPr>
          <w:trHeight w:val="260"/>
        </w:trPr>
        <w:tc>
          <w:tcPr>
            <w:tcW w:w="2025" w:type="dxa"/>
            <w:vMerge/>
            <w:tcBorders>
              <w:top w:val="nil"/>
              <w:left w:val="nil"/>
              <w:bottom w:val="single" w:sz="9" w:space="0" w:color="000000"/>
              <w:right w:val="nil"/>
            </w:tcBorders>
            <w:tcMar>
              <w:top w:w="100" w:type="dxa"/>
              <w:left w:w="100" w:type="dxa"/>
              <w:bottom w:w="100" w:type="dxa"/>
              <w:right w:w="100" w:type="dxa"/>
            </w:tcMar>
          </w:tcPr>
          <w:p w14:paraId="746C5A25"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7BCB440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00" w:type="dxa"/>
            <w:tcBorders>
              <w:top w:val="nil"/>
              <w:left w:val="nil"/>
              <w:bottom w:val="single" w:sz="4" w:space="0" w:color="000000"/>
              <w:right w:val="nil"/>
            </w:tcBorders>
            <w:tcMar>
              <w:top w:w="0" w:type="dxa"/>
              <w:left w:w="40" w:type="dxa"/>
              <w:bottom w:w="0" w:type="dxa"/>
              <w:right w:w="40" w:type="dxa"/>
            </w:tcMar>
          </w:tcPr>
          <w:p w14:paraId="3FFD20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4" w:space="0" w:color="000000"/>
              <w:right w:val="nil"/>
            </w:tcBorders>
            <w:tcMar>
              <w:top w:w="0" w:type="dxa"/>
              <w:left w:w="40" w:type="dxa"/>
              <w:bottom w:w="0" w:type="dxa"/>
              <w:right w:w="40" w:type="dxa"/>
            </w:tcMar>
          </w:tcPr>
          <w:p w14:paraId="6CDC45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4" w:space="0" w:color="000000"/>
              <w:right w:val="nil"/>
            </w:tcBorders>
            <w:tcMar>
              <w:top w:w="0" w:type="dxa"/>
              <w:left w:w="40" w:type="dxa"/>
              <w:bottom w:w="0" w:type="dxa"/>
              <w:right w:w="40" w:type="dxa"/>
            </w:tcMar>
          </w:tcPr>
          <w:p w14:paraId="595E3F4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080" w:type="dxa"/>
            <w:tcBorders>
              <w:top w:val="nil"/>
              <w:left w:val="nil"/>
              <w:bottom w:val="single" w:sz="4" w:space="0" w:color="000000"/>
              <w:right w:val="nil"/>
            </w:tcBorders>
            <w:tcMar>
              <w:top w:w="0" w:type="dxa"/>
              <w:left w:w="40" w:type="dxa"/>
              <w:bottom w:w="0" w:type="dxa"/>
              <w:right w:w="40" w:type="dxa"/>
            </w:tcMar>
          </w:tcPr>
          <w:p w14:paraId="0FAD704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3.18%</w:t>
            </w:r>
          </w:p>
        </w:tc>
      </w:tr>
      <w:tr w:rsidR="00BF019E" w:rsidRPr="008B4C22" w14:paraId="567372BE" w14:textId="77777777" w:rsidTr="008B4C22">
        <w:trPr>
          <w:trHeight w:val="242"/>
        </w:trPr>
        <w:tc>
          <w:tcPr>
            <w:tcW w:w="2025" w:type="dxa"/>
            <w:vMerge/>
            <w:tcBorders>
              <w:top w:val="nil"/>
              <w:left w:val="nil"/>
              <w:bottom w:val="single" w:sz="9" w:space="0" w:color="000000"/>
              <w:right w:val="nil"/>
            </w:tcBorders>
            <w:tcMar>
              <w:top w:w="100" w:type="dxa"/>
              <w:left w:w="100" w:type="dxa"/>
              <w:bottom w:w="100" w:type="dxa"/>
              <w:right w:w="100" w:type="dxa"/>
            </w:tcMar>
          </w:tcPr>
          <w:p w14:paraId="439514D2"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12" w:space="0" w:color="000000"/>
              <w:right w:val="nil"/>
            </w:tcBorders>
            <w:tcMar>
              <w:top w:w="100" w:type="dxa"/>
              <w:left w:w="100" w:type="dxa"/>
              <w:bottom w:w="100" w:type="dxa"/>
              <w:right w:w="100" w:type="dxa"/>
            </w:tcMar>
          </w:tcPr>
          <w:p w14:paraId="494CA44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00" w:type="dxa"/>
            <w:tcBorders>
              <w:top w:val="nil"/>
              <w:left w:val="nil"/>
              <w:bottom w:val="single" w:sz="9" w:space="0" w:color="000000"/>
              <w:right w:val="nil"/>
            </w:tcBorders>
            <w:tcMar>
              <w:top w:w="0" w:type="dxa"/>
              <w:left w:w="40" w:type="dxa"/>
              <w:bottom w:w="0" w:type="dxa"/>
              <w:right w:w="40" w:type="dxa"/>
            </w:tcMar>
          </w:tcPr>
          <w:p w14:paraId="1C47893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w:t>
            </w:r>
          </w:p>
        </w:tc>
        <w:tc>
          <w:tcPr>
            <w:tcW w:w="1170" w:type="dxa"/>
            <w:tcBorders>
              <w:top w:val="nil"/>
              <w:left w:val="nil"/>
              <w:bottom w:val="single" w:sz="9" w:space="0" w:color="000000"/>
              <w:right w:val="nil"/>
            </w:tcBorders>
            <w:tcMar>
              <w:top w:w="0" w:type="dxa"/>
              <w:left w:w="40" w:type="dxa"/>
              <w:bottom w:w="0" w:type="dxa"/>
              <w:right w:w="40" w:type="dxa"/>
            </w:tcMar>
          </w:tcPr>
          <w:p w14:paraId="7F67F71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7.26%</w:t>
            </w:r>
          </w:p>
        </w:tc>
        <w:tc>
          <w:tcPr>
            <w:tcW w:w="810" w:type="dxa"/>
            <w:tcBorders>
              <w:top w:val="nil"/>
              <w:left w:val="nil"/>
              <w:bottom w:val="single" w:sz="9" w:space="0" w:color="000000"/>
              <w:right w:val="nil"/>
            </w:tcBorders>
            <w:tcMar>
              <w:top w:w="0" w:type="dxa"/>
              <w:left w:w="40" w:type="dxa"/>
              <w:bottom w:w="0" w:type="dxa"/>
              <w:right w:w="40" w:type="dxa"/>
            </w:tcMar>
          </w:tcPr>
          <w:p w14:paraId="5280289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27</w:t>
            </w:r>
          </w:p>
        </w:tc>
        <w:tc>
          <w:tcPr>
            <w:tcW w:w="1080" w:type="dxa"/>
            <w:tcBorders>
              <w:top w:val="nil"/>
              <w:left w:val="nil"/>
              <w:bottom w:val="single" w:sz="9" w:space="0" w:color="000000"/>
              <w:right w:val="nil"/>
            </w:tcBorders>
            <w:tcMar>
              <w:top w:w="0" w:type="dxa"/>
              <w:left w:w="40" w:type="dxa"/>
              <w:bottom w:w="0" w:type="dxa"/>
              <w:right w:w="40" w:type="dxa"/>
            </w:tcMar>
          </w:tcPr>
          <w:p w14:paraId="19A1277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17.20%</w:t>
            </w:r>
          </w:p>
        </w:tc>
      </w:tr>
      <w:tr w:rsidR="00BF019E" w:rsidRPr="008B4C22" w14:paraId="793E5EBF" w14:textId="77777777" w:rsidTr="008B4C22">
        <w:trPr>
          <w:trHeight w:val="320"/>
        </w:trPr>
        <w:tc>
          <w:tcPr>
            <w:tcW w:w="2025" w:type="dxa"/>
            <w:vMerge w:val="restart"/>
            <w:tcBorders>
              <w:top w:val="nil"/>
              <w:left w:val="nil"/>
              <w:bottom w:val="single" w:sz="9" w:space="0" w:color="000000"/>
              <w:right w:val="nil"/>
            </w:tcBorders>
            <w:tcMar>
              <w:top w:w="100" w:type="dxa"/>
              <w:left w:w="100" w:type="dxa"/>
              <w:bottom w:w="100" w:type="dxa"/>
              <w:right w:w="100" w:type="dxa"/>
            </w:tcMar>
          </w:tcPr>
          <w:p w14:paraId="2605C88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46EBA7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990865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87E738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Explanation of Drawing</w:t>
            </w:r>
          </w:p>
        </w:tc>
        <w:tc>
          <w:tcPr>
            <w:tcW w:w="1530" w:type="dxa"/>
            <w:tcBorders>
              <w:top w:val="single" w:sz="12" w:space="0" w:color="000000"/>
              <w:left w:val="nil"/>
              <w:bottom w:val="single" w:sz="4" w:space="0" w:color="000000"/>
              <w:right w:val="nil"/>
            </w:tcBorders>
            <w:tcMar>
              <w:top w:w="100" w:type="dxa"/>
              <w:left w:w="100" w:type="dxa"/>
              <w:bottom w:w="100" w:type="dxa"/>
              <w:right w:w="100" w:type="dxa"/>
            </w:tcMar>
          </w:tcPr>
          <w:p w14:paraId="4623A7B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00" w:type="dxa"/>
            <w:tcBorders>
              <w:top w:val="nil"/>
              <w:left w:val="nil"/>
              <w:bottom w:val="single" w:sz="4" w:space="0" w:color="000000"/>
              <w:right w:val="nil"/>
            </w:tcBorders>
            <w:tcMar>
              <w:top w:w="0" w:type="dxa"/>
              <w:left w:w="40" w:type="dxa"/>
              <w:bottom w:w="0" w:type="dxa"/>
              <w:right w:w="40" w:type="dxa"/>
            </w:tcMar>
          </w:tcPr>
          <w:p w14:paraId="60E4DF0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474C21E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4" w:space="0" w:color="000000"/>
              <w:right w:val="nil"/>
            </w:tcBorders>
            <w:tcMar>
              <w:top w:w="0" w:type="dxa"/>
              <w:left w:w="40" w:type="dxa"/>
              <w:bottom w:w="0" w:type="dxa"/>
              <w:right w:w="40" w:type="dxa"/>
            </w:tcMar>
          </w:tcPr>
          <w:p w14:paraId="4EBE3E8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w:t>
            </w:r>
          </w:p>
        </w:tc>
        <w:tc>
          <w:tcPr>
            <w:tcW w:w="1080" w:type="dxa"/>
            <w:tcBorders>
              <w:top w:val="nil"/>
              <w:left w:val="nil"/>
              <w:bottom w:val="single" w:sz="4" w:space="0" w:color="000000"/>
              <w:right w:val="nil"/>
            </w:tcBorders>
            <w:tcMar>
              <w:top w:w="0" w:type="dxa"/>
              <w:left w:w="40" w:type="dxa"/>
              <w:bottom w:w="0" w:type="dxa"/>
              <w:right w:w="40" w:type="dxa"/>
            </w:tcMar>
          </w:tcPr>
          <w:p w14:paraId="73720BD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9.55%</w:t>
            </w:r>
          </w:p>
        </w:tc>
      </w:tr>
      <w:tr w:rsidR="00BF019E" w:rsidRPr="008B4C22" w14:paraId="49CDB0CA" w14:textId="77777777" w:rsidTr="008B4C22">
        <w:trPr>
          <w:trHeight w:val="278"/>
        </w:trPr>
        <w:tc>
          <w:tcPr>
            <w:tcW w:w="2025" w:type="dxa"/>
            <w:vMerge/>
            <w:tcBorders>
              <w:top w:val="nil"/>
              <w:left w:val="nil"/>
              <w:bottom w:val="single" w:sz="9" w:space="0" w:color="000000"/>
              <w:right w:val="nil"/>
            </w:tcBorders>
            <w:tcMar>
              <w:top w:w="100" w:type="dxa"/>
              <w:left w:w="100" w:type="dxa"/>
              <w:bottom w:w="100" w:type="dxa"/>
              <w:right w:w="100" w:type="dxa"/>
            </w:tcMar>
          </w:tcPr>
          <w:p w14:paraId="68C5C596"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063A039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00" w:type="dxa"/>
            <w:tcBorders>
              <w:top w:val="nil"/>
              <w:left w:val="nil"/>
              <w:bottom w:val="single" w:sz="4" w:space="0" w:color="000000"/>
              <w:right w:val="nil"/>
            </w:tcBorders>
            <w:tcMar>
              <w:top w:w="0" w:type="dxa"/>
              <w:left w:w="40" w:type="dxa"/>
              <w:bottom w:w="0" w:type="dxa"/>
              <w:right w:w="40" w:type="dxa"/>
            </w:tcMar>
          </w:tcPr>
          <w:p w14:paraId="7AA90B4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170" w:type="dxa"/>
            <w:tcBorders>
              <w:top w:val="nil"/>
              <w:left w:val="nil"/>
              <w:bottom w:val="single" w:sz="4" w:space="0" w:color="000000"/>
              <w:right w:val="nil"/>
            </w:tcBorders>
            <w:tcMar>
              <w:top w:w="0" w:type="dxa"/>
              <w:left w:w="40" w:type="dxa"/>
              <w:bottom w:w="0" w:type="dxa"/>
              <w:right w:w="40" w:type="dxa"/>
            </w:tcMar>
          </w:tcPr>
          <w:p w14:paraId="4223797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95.97%</w:t>
            </w:r>
          </w:p>
        </w:tc>
        <w:tc>
          <w:tcPr>
            <w:tcW w:w="810" w:type="dxa"/>
            <w:tcBorders>
              <w:top w:val="nil"/>
              <w:left w:val="nil"/>
              <w:bottom w:val="single" w:sz="4" w:space="0" w:color="000000"/>
              <w:right w:val="nil"/>
            </w:tcBorders>
            <w:tcMar>
              <w:top w:w="0" w:type="dxa"/>
              <w:left w:w="40" w:type="dxa"/>
              <w:bottom w:w="0" w:type="dxa"/>
              <w:right w:w="40" w:type="dxa"/>
            </w:tcMar>
          </w:tcPr>
          <w:p w14:paraId="65F6B04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135</w:t>
            </w:r>
          </w:p>
        </w:tc>
        <w:tc>
          <w:tcPr>
            <w:tcW w:w="1080" w:type="dxa"/>
            <w:tcBorders>
              <w:top w:val="nil"/>
              <w:left w:val="nil"/>
              <w:bottom w:val="single" w:sz="4" w:space="0" w:color="000000"/>
              <w:right w:val="nil"/>
            </w:tcBorders>
            <w:tcMar>
              <w:top w:w="0" w:type="dxa"/>
              <w:left w:w="40" w:type="dxa"/>
              <w:bottom w:w="0" w:type="dxa"/>
              <w:right w:w="40" w:type="dxa"/>
            </w:tcMar>
          </w:tcPr>
          <w:p w14:paraId="43D47D0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85.99%</w:t>
            </w:r>
          </w:p>
        </w:tc>
      </w:tr>
      <w:tr w:rsidR="00BF019E" w:rsidRPr="008B4C22" w14:paraId="4A177FD0" w14:textId="77777777" w:rsidTr="008B4C22">
        <w:trPr>
          <w:trHeight w:val="251"/>
        </w:trPr>
        <w:tc>
          <w:tcPr>
            <w:tcW w:w="2025" w:type="dxa"/>
            <w:vMerge/>
            <w:tcBorders>
              <w:top w:val="nil"/>
              <w:left w:val="nil"/>
              <w:bottom w:val="single" w:sz="9" w:space="0" w:color="000000"/>
              <w:right w:val="nil"/>
            </w:tcBorders>
            <w:tcMar>
              <w:top w:w="100" w:type="dxa"/>
              <w:left w:w="100" w:type="dxa"/>
              <w:bottom w:w="100" w:type="dxa"/>
              <w:right w:w="100" w:type="dxa"/>
            </w:tcMar>
          </w:tcPr>
          <w:p w14:paraId="73040C26"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7D52F4A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00" w:type="dxa"/>
            <w:tcBorders>
              <w:top w:val="nil"/>
              <w:left w:val="nil"/>
              <w:bottom w:val="single" w:sz="4" w:space="0" w:color="000000"/>
              <w:right w:val="nil"/>
            </w:tcBorders>
            <w:tcMar>
              <w:top w:w="0" w:type="dxa"/>
              <w:left w:w="40" w:type="dxa"/>
              <w:bottom w:w="0" w:type="dxa"/>
              <w:right w:w="40" w:type="dxa"/>
            </w:tcMar>
          </w:tcPr>
          <w:p w14:paraId="7281A02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70" w:type="dxa"/>
            <w:tcBorders>
              <w:top w:val="nil"/>
              <w:left w:val="nil"/>
              <w:bottom w:val="single" w:sz="4" w:space="0" w:color="000000"/>
              <w:right w:val="nil"/>
            </w:tcBorders>
            <w:tcMar>
              <w:top w:w="0" w:type="dxa"/>
              <w:left w:w="40" w:type="dxa"/>
              <w:bottom w:w="0" w:type="dxa"/>
              <w:right w:w="40" w:type="dxa"/>
            </w:tcMar>
          </w:tcPr>
          <w:p w14:paraId="71EB175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810" w:type="dxa"/>
            <w:tcBorders>
              <w:top w:val="nil"/>
              <w:left w:val="nil"/>
              <w:bottom w:val="single" w:sz="4" w:space="0" w:color="000000"/>
              <w:right w:val="nil"/>
            </w:tcBorders>
            <w:tcMar>
              <w:top w:w="0" w:type="dxa"/>
              <w:left w:w="40" w:type="dxa"/>
              <w:bottom w:w="0" w:type="dxa"/>
              <w:right w:w="40" w:type="dxa"/>
            </w:tcMar>
          </w:tcPr>
          <w:p w14:paraId="62EB76F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1080" w:type="dxa"/>
            <w:tcBorders>
              <w:top w:val="nil"/>
              <w:left w:val="nil"/>
              <w:bottom w:val="single" w:sz="4" w:space="0" w:color="000000"/>
              <w:right w:val="nil"/>
            </w:tcBorders>
            <w:tcMar>
              <w:top w:w="0" w:type="dxa"/>
              <w:left w:w="40" w:type="dxa"/>
              <w:bottom w:w="0" w:type="dxa"/>
              <w:right w:w="40" w:type="dxa"/>
            </w:tcMar>
          </w:tcPr>
          <w:p w14:paraId="7E3ECBA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38B6D4D9" w14:textId="77777777" w:rsidTr="008B4C22">
        <w:trPr>
          <w:trHeight w:val="215"/>
        </w:trPr>
        <w:tc>
          <w:tcPr>
            <w:tcW w:w="2025" w:type="dxa"/>
            <w:vMerge/>
            <w:tcBorders>
              <w:top w:val="nil"/>
              <w:left w:val="nil"/>
              <w:bottom w:val="single" w:sz="9" w:space="0" w:color="000000"/>
              <w:right w:val="nil"/>
            </w:tcBorders>
            <w:tcMar>
              <w:top w:w="100" w:type="dxa"/>
              <w:left w:w="100" w:type="dxa"/>
              <w:bottom w:w="100" w:type="dxa"/>
              <w:right w:w="100" w:type="dxa"/>
            </w:tcMar>
          </w:tcPr>
          <w:p w14:paraId="028F269B"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9" w:space="0" w:color="000000"/>
              <w:right w:val="nil"/>
            </w:tcBorders>
            <w:tcMar>
              <w:top w:w="100" w:type="dxa"/>
              <w:left w:w="100" w:type="dxa"/>
              <w:bottom w:w="100" w:type="dxa"/>
              <w:right w:w="100" w:type="dxa"/>
            </w:tcMar>
          </w:tcPr>
          <w:p w14:paraId="48C8CC3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00" w:type="dxa"/>
            <w:tcBorders>
              <w:top w:val="nil"/>
              <w:left w:val="nil"/>
              <w:bottom w:val="single" w:sz="9" w:space="0" w:color="000000"/>
              <w:right w:val="nil"/>
            </w:tcBorders>
            <w:tcMar>
              <w:top w:w="0" w:type="dxa"/>
              <w:left w:w="40" w:type="dxa"/>
              <w:bottom w:w="0" w:type="dxa"/>
              <w:right w:w="40" w:type="dxa"/>
            </w:tcMar>
          </w:tcPr>
          <w:p w14:paraId="5A4E63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0C470F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9" w:space="0" w:color="000000"/>
              <w:right w:val="nil"/>
            </w:tcBorders>
            <w:tcMar>
              <w:top w:w="0" w:type="dxa"/>
              <w:left w:w="40" w:type="dxa"/>
              <w:bottom w:w="0" w:type="dxa"/>
              <w:right w:w="40" w:type="dxa"/>
            </w:tcMar>
          </w:tcPr>
          <w:p w14:paraId="1D34033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80" w:type="dxa"/>
            <w:tcBorders>
              <w:top w:val="nil"/>
              <w:left w:val="nil"/>
              <w:bottom w:val="single" w:sz="9" w:space="0" w:color="000000"/>
              <w:right w:val="nil"/>
            </w:tcBorders>
            <w:tcMar>
              <w:top w:w="0" w:type="dxa"/>
              <w:left w:w="40" w:type="dxa"/>
              <w:bottom w:w="0" w:type="dxa"/>
              <w:right w:w="40" w:type="dxa"/>
            </w:tcMar>
          </w:tcPr>
          <w:p w14:paraId="6F6CB70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591056FB"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62E5C65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 xml:space="preserve">In addition to verbal expression through discussions and storytelling, learners’ environmental attitudes were further examined through participatory mapping and drawing activities, which provided the study insights into how learners visually represent, reflect and interpret environmental concepts. Table 3 presents the distribution of the learners performance level during the participatory mapping and drawing activities. In this activities 3 criteria were evaluated: accuracy of environmental representation, creativity and effort, and explanation of drawing. </w:t>
      </w:r>
    </w:p>
    <w:p w14:paraId="23F67AF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accuracy of environmental representation, majority of the learners in both schools were rated “Proficient” (80.65% SMIS and 68.15% CVES ). This suggest that most children could represent key features of their environment in a recognizable way. However, a geater proportion of Cabili Village Elementary School learners (15.92%) achieved the “Excellent” level comparing to a 8.06% of Sultan Mamarinta Panandigan Integrated School learners indicating that Cabili Village Elementary School learners were more likely to create detailed and accurate drawings. Aside from this, results showed that Cabili Village Elementary School learners also had a higher percentage of learners at a “Developing” Level, 15.92% compared to 11.29% in Sultan Mamarinta Panandigan Integrated School learners. Which reflect a wider variability in performance. </w:t>
      </w:r>
    </w:p>
    <w:p w14:paraId="41D8A95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creativity and effort, the pattern was more consistent, majority of both schools learners rated “Proficient” (92.74% in SMIS and 76.62% in CVES), which shows that both learners applied reasonable effort and demonstrated some level of creative expression. However, no students in either school reached “Excellent” level, and a notable proportion of Cabili Village Elementary School learners (17.20%) were rated as “Beginning” compared to only 7.26% of Sultan Mamarinta Panandigan Integrated School learners. This result suggest that while most children participated passionately, learners- particularly from Cabili Village Elementary School- produced minimal or less </w:t>
      </w:r>
      <w:r w:rsidRPr="00730471">
        <w:rPr>
          <w:rFonts w:ascii="Arial" w:hAnsi="Arial" w:cs="Arial"/>
          <w:sz w:val="24"/>
          <w:szCs w:val="24"/>
        </w:rPr>
        <w:lastRenderedPageBreak/>
        <w:t>imaginative work, which may reflect differences in motivation, exposure to creative task, or confidence in artistic expression.</w:t>
      </w:r>
    </w:p>
    <w:p w14:paraId="2FE4D38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explanation of drawings result shows that nearly all learners were at the “Proficient” level (95.97% in SMIS and 85.99% in CVES), suggesting that they were generally able to describe the meaning of their work. A small proportion of Cabili Village Elementary School (9.55%) and 5 learners of Sultan Mamarinta Panandigan Integrated School reached “Excellent” level, showing that some children could provide deeper interpretation of their drawing to environmental issues or personal experience. Furthermore, only a small fraction of both schools learners  (4.03% in SMIS and 4.46% in CVES) were at the “Developing” level, which suggests that while most of the learners could explain their work, the majority did so in basic terms rather than with extended reflection. </w:t>
      </w:r>
    </w:p>
    <w:p w14:paraId="7894D8D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Thus, the result indicates that learners from both schools demonstrate strong baseline abilities in environmental representation and explanation but show limitations in creativity and depth of interpretation. Thus, learners can represent the environment but struggle to explain its significance.  where, Cabili Village Elementary School learners displayed a greater variability, with some excelling in detailed representation and explanation, while other shows minimal effort. On the other hand, Sultan Mamarinta Panandigan Integrated School learners were more consistent, with most reaching “Proficient” level but fewer achieving “Excellent” level. Thus, learners' exposure to contrasting environments  have influenced their representational detail and variability. Overall, the results shows that while participatory mapping and drawing can effectively engage children in expressing environmental awareness, these activities also highlight the need for a more structured guidance to foster creativity, critical reflection, and right articulation of environmental concepts. Thus, drawing activities should integrate guided questioning, reflection prompts and thematic focus (e.g., what threatens this place?, what makes this place dangerous?) to deepen environmental interpretation. </w:t>
      </w:r>
    </w:p>
    <w:p w14:paraId="51385990" w14:textId="4846FAED" w:rsidR="00DC16E9" w:rsidRPr="00A81BA8" w:rsidRDefault="00DC16E9" w:rsidP="008F26AB">
      <w:pPr>
        <w:spacing w:line="360" w:lineRule="auto"/>
        <w:ind w:left="720"/>
        <w:jc w:val="both"/>
        <w:rPr>
          <w:rFonts w:ascii="Arial" w:hAnsi="Arial" w:cs="Arial"/>
          <w:b/>
          <w:bCs/>
          <w:sz w:val="24"/>
          <w:szCs w:val="24"/>
        </w:rPr>
      </w:pPr>
      <w:bookmarkStart w:id="30" w:name="_9vhswashsjso" w:colFirst="0" w:colLast="0"/>
      <w:bookmarkEnd w:id="30"/>
      <w:r w:rsidRPr="00A81BA8">
        <w:rPr>
          <w:rFonts w:ascii="Arial" w:hAnsi="Arial" w:cs="Arial"/>
          <w:b/>
          <w:bCs/>
          <w:sz w:val="24"/>
          <w:szCs w:val="24"/>
        </w:rPr>
        <w:lastRenderedPageBreak/>
        <w:t>4.1.3 Environmental Practices</w:t>
      </w:r>
    </w:p>
    <w:p w14:paraId="521BB9A1" w14:textId="5247A937" w:rsidR="008B4C22"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subsection presents learners environmental practice, which highlights their ability to apply environmental knowledge and attitudes in a real or simulated context. These findings were drawn from eco-walks observation and problem solving activities, which were designed to evaluate learners ability to observe natural environmental, reflect on their experiences, and express their insights through descriptive language. </w:t>
      </w:r>
    </w:p>
    <w:p w14:paraId="22338118" w14:textId="77777777" w:rsidR="008F26AB" w:rsidRDefault="008F26AB" w:rsidP="008F26AB">
      <w:pPr>
        <w:spacing w:line="360" w:lineRule="auto"/>
        <w:ind w:left="720" w:firstLine="720"/>
        <w:jc w:val="both"/>
        <w:rPr>
          <w:rFonts w:ascii="Arial" w:hAnsi="Arial" w:cs="Arial"/>
          <w:sz w:val="24"/>
          <w:szCs w:val="24"/>
        </w:rPr>
      </w:pPr>
    </w:p>
    <w:p w14:paraId="0DCCCA03" w14:textId="5B4DC8C3"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4</w:t>
      </w:r>
    </w:p>
    <w:p w14:paraId="046E7DDB" w14:textId="77777777" w:rsidR="00BF019E" w:rsidRPr="00730471" w:rsidRDefault="00CB26E4" w:rsidP="008F26AB">
      <w:pPr>
        <w:spacing w:line="360" w:lineRule="auto"/>
        <w:ind w:left="720"/>
        <w:jc w:val="both"/>
        <w:rPr>
          <w:rFonts w:ascii="Arial" w:hAnsi="Arial" w:cs="Arial"/>
          <w:sz w:val="24"/>
          <w:szCs w:val="24"/>
        </w:rPr>
      </w:pPr>
      <w:r w:rsidRPr="00730471">
        <w:rPr>
          <w:rFonts w:ascii="Arial" w:hAnsi="Arial" w:cs="Arial"/>
          <w:sz w:val="24"/>
          <w:szCs w:val="24"/>
        </w:rPr>
        <w:t>Eco-Walk and Observational Journal Results</w:t>
      </w:r>
    </w:p>
    <w:tbl>
      <w:tblPr>
        <w:tblStyle w:val="a3"/>
        <w:tblW w:w="735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1770"/>
        <w:gridCol w:w="1545"/>
        <w:gridCol w:w="945"/>
        <w:gridCol w:w="1125"/>
        <w:gridCol w:w="960"/>
        <w:gridCol w:w="1005"/>
      </w:tblGrid>
      <w:tr w:rsidR="00BF019E" w:rsidRPr="008B4C22" w14:paraId="56940C6A" w14:textId="77777777" w:rsidTr="008B4C22">
        <w:trPr>
          <w:trHeight w:val="495"/>
        </w:trPr>
        <w:tc>
          <w:tcPr>
            <w:tcW w:w="1770" w:type="dxa"/>
            <w:tcBorders>
              <w:top w:val="single" w:sz="9" w:space="0" w:color="000000"/>
              <w:left w:val="nil"/>
              <w:bottom w:val="single" w:sz="9" w:space="0" w:color="000000"/>
              <w:right w:val="nil"/>
            </w:tcBorders>
            <w:tcMar>
              <w:top w:w="100" w:type="dxa"/>
              <w:left w:w="100" w:type="dxa"/>
              <w:bottom w:w="100" w:type="dxa"/>
              <w:right w:w="100" w:type="dxa"/>
            </w:tcMar>
          </w:tcPr>
          <w:p w14:paraId="1DDEE6D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545" w:type="dxa"/>
            <w:tcBorders>
              <w:top w:val="single" w:sz="9" w:space="0" w:color="000000"/>
              <w:left w:val="nil"/>
              <w:bottom w:val="single" w:sz="9" w:space="0" w:color="000000"/>
              <w:right w:val="nil"/>
            </w:tcBorders>
            <w:tcMar>
              <w:top w:w="100" w:type="dxa"/>
              <w:left w:w="100" w:type="dxa"/>
              <w:bottom w:w="100" w:type="dxa"/>
              <w:right w:w="100" w:type="dxa"/>
            </w:tcMar>
          </w:tcPr>
          <w:p w14:paraId="0B4AAD5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945" w:type="dxa"/>
            <w:tcBorders>
              <w:top w:val="single" w:sz="9" w:space="0" w:color="000000"/>
              <w:left w:val="nil"/>
              <w:bottom w:val="single" w:sz="9" w:space="0" w:color="000000"/>
              <w:right w:val="nil"/>
            </w:tcBorders>
            <w:tcMar>
              <w:top w:w="100" w:type="dxa"/>
              <w:left w:w="100" w:type="dxa"/>
              <w:bottom w:w="100" w:type="dxa"/>
              <w:right w:w="100" w:type="dxa"/>
            </w:tcMar>
          </w:tcPr>
          <w:p w14:paraId="4AE961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125" w:type="dxa"/>
            <w:tcBorders>
              <w:top w:val="single" w:sz="9" w:space="0" w:color="000000"/>
              <w:left w:val="nil"/>
              <w:bottom w:val="single" w:sz="9" w:space="0" w:color="000000"/>
              <w:right w:val="nil"/>
            </w:tcBorders>
            <w:tcMar>
              <w:top w:w="100" w:type="dxa"/>
              <w:left w:w="100" w:type="dxa"/>
              <w:bottom w:w="100" w:type="dxa"/>
              <w:right w:w="100" w:type="dxa"/>
            </w:tcMar>
          </w:tcPr>
          <w:p w14:paraId="764BD64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w:t>
            </w:r>
          </w:p>
          <w:p w14:paraId="56697F9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w:t>
            </w:r>
          </w:p>
        </w:tc>
        <w:tc>
          <w:tcPr>
            <w:tcW w:w="960" w:type="dxa"/>
            <w:tcBorders>
              <w:top w:val="single" w:sz="9" w:space="0" w:color="000000"/>
              <w:left w:val="nil"/>
              <w:bottom w:val="single" w:sz="9" w:space="0" w:color="000000"/>
              <w:right w:val="nil"/>
            </w:tcBorders>
            <w:tcMar>
              <w:top w:w="100" w:type="dxa"/>
              <w:left w:w="100" w:type="dxa"/>
              <w:bottom w:w="100" w:type="dxa"/>
              <w:right w:w="100" w:type="dxa"/>
            </w:tcMar>
          </w:tcPr>
          <w:p w14:paraId="2851D86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005" w:type="dxa"/>
            <w:tcBorders>
              <w:top w:val="single" w:sz="9" w:space="0" w:color="000000"/>
              <w:left w:val="nil"/>
              <w:bottom w:val="single" w:sz="9" w:space="0" w:color="000000"/>
              <w:right w:val="nil"/>
            </w:tcBorders>
            <w:tcMar>
              <w:top w:w="100" w:type="dxa"/>
              <w:left w:w="100" w:type="dxa"/>
              <w:bottom w:w="100" w:type="dxa"/>
              <w:right w:w="100" w:type="dxa"/>
            </w:tcMar>
          </w:tcPr>
          <w:p w14:paraId="66E768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7AA3566A" w14:textId="77777777" w:rsidTr="008B4C22">
        <w:trPr>
          <w:trHeight w:val="312"/>
        </w:trPr>
        <w:tc>
          <w:tcPr>
            <w:tcW w:w="1770" w:type="dxa"/>
            <w:vMerge w:val="restart"/>
            <w:tcBorders>
              <w:top w:val="nil"/>
              <w:left w:val="nil"/>
              <w:bottom w:val="single" w:sz="9" w:space="0" w:color="000000"/>
              <w:right w:val="nil"/>
            </w:tcBorders>
            <w:tcMar>
              <w:top w:w="100" w:type="dxa"/>
              <w:left w:w="100" w:type="dxa"/>
              <w:bottom w:w="100" w:type="dxa"/>
              <w:right w:w="100" w:type="dxa"/>
            </w:tcMar>
          </w:tcPr>
          <w:p w14:paraId="08AD33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77A510C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28259D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Observation Skills</w:t>
            </w:r>
          </w:p>
        </w:tc>
        <w:tc>
          <w:tcPr>
            <w:tcW w:w="1545" w:type="dxa"/>
            <w:tcBorders>
              <w:top w:val="nil"/>
              <w:left w:val="nil"/>
              <w:bottom w:val="single" w:sz="4" w:space="0" w:color="000000"/>
              <w:right w:val="nil"/>
            </w:tcBorders>
            <w:tcMar>
              <w:top w:w="100" w:type="dxa"/>
              <w:left w:w="100" w:type="dxa"/>
              <w:bottom w:w="100" w:type="dxa"/>
              <w:right w:w="100" w:type="dxa"/>
            </w:tcMar>
          </w:tcPr>
          <w:p w14:paraId="2DBD978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45" w:type="dxa"/>
            <w:tcBorders>
              <w:top w:val="nil"/>
              <w:left w:val="nil"/>
              <w:bottom w:val="single" w:sz="4" w:space="0" w:color="000000"/>
              <w:right w:val="nil"/>
            </w:tcBorders>
            <w:tcMar>
              <w:top w:w="0" w:type="dxa"/>
              <w:left w:w="40" w:type="dxa"/>
              <w:bottom w:w="0" w:type="dxa"/>
              <w:right w:w="40" w:type="dxa"/>
            </w:tcMar>
          </w:tcPr>
          <w:p w14:paraId="5D69CF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4" w:space="0" w:color="000000"/>
              <w:right w:val="nil"/>
            </w:tcBorders>
            <w:tcMar>
              <w:top w:w="0" w:type="dxa"/>
              <w:left w:w="40" w:type="dxa"/>
              <w:bottom w:w="0" w:type="dxa"/>
              <w:right w:w="40" w:type="dxa"/>
            </w:tcMar>
          </w:tcPr>
          <w:p w14:paraId="3F55140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4" w:space="0" w:color="000000"/>
              <w:right w:val="nil"/>
            </w:tcBorders>
            <w:tcMar>
              <w:top w:w="0" w:type="dxa"/>
              <w:left w:w="40" w:type="dxa"/>
              <w:bottom w:w="0" w:type="dxa"/>
              <w:right w:w="40" w:type="dxa"/>
            </w:tcMar>
          </w:tcPr>
          <w:p w14:paraId="3DEE51B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4" w:space="0" w:color="000000"/>
              <w:right w:val="nil"/>
            </w:tcBorders>
            <w:tcMar>
              <w:top w:w="0" w:type="dxa"/>
              <w:left w:w="40" w:type="dxa"/>
              <w:bottom w:w="0" w:type="dxa"/>
              <w:right w:w="40" w:type="dxa"/>
            </w:tcMar>
          </w:tcPr>
          <w:p w14:paraId="7AC1DF6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0A9B4F56" w14:textId="77777777" w:rsidTr="008B4C22">
        <w:trPr>
          <w:trHeight w:val="270"/>
        </w:trPr>
        <w:tc>
          <w:tcPr>
            <w:tcW w:w="1770" w:type="dxa"/>
            <w:vMerge/>
            <w:tcBorders>
              <w:top w:val="nil"/>
              <w:left w:val="nil"/>
              <w:bottom w:val="single" w:sz="9" w:space="0" w:color="000000"/>
              <w:right w:val="nil"/>
            </w:tcBorders>
            <w:tcMar>
              <w:top w:w="100" w:type="dxa"/>
              <w:left w:w="100" w:type="dxa"/>
              <w:bottom w:w="100" w:type="dxa"/>
              <w:right w:w="100" w:type="dxa"/>
            </w:tcMar>
          </w:tcPr>
          <w:p w14:paraId="67371A1D"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47F1C33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45" w:type="dxa"/>
            <w:tcBorders>
              <w:top w:val="nil"/>
              <w:left w:val="nil"/>
              <w:bottom w:val="single" w:sz="4" w:space="0" w:color="000000"/>
              <w:right w:val="nil"/>
            </w:tcBorders>
            <w:tcMar>
              <w:top w:w="0" w:type="dxa"/>
              <w:left w:w="40" w:type="dxa"/>
              <w:bottom w:w="0" w:type="dxa"/>
              <w:right w:w="40" w:type="dxa"/>
            </w:tcMar>
          </w:tcPr>
          <w:p w14:paraId="20DC134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125" w:type="dxa"/>
            <w:tcBorders>
              <w:top w:val="nil"/>
              <w:left w:val="nil"/>
              <w:bottom w:val="single" w:sz="4" w:space="0" w:color="000000"/>
              <w:right w:val="nil"/>
            </w:tcBorders>
            <w:tcMar>
              <w:top w:w="0" w:type="dxa"/>
              <w:left w:w="40" w:type="dxa"/>
              <w:bottom w:w="0" w:type="dxa"/>
              <w:right w:w="40" w:type="dxa"/>
            </w:tcMar>
          </w:tcPr>
          <w:p w14:paraId="35DBE73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960" w:type="dxa"/>
            <w:tcBorders>
              <w:top w:val="nil"/>
              <w:left w:val="nil"/>
              <w:bottom w:val="single" w:sz="4" w:space="0" w:color="000000"/>
              <w:right w:val="nil"/>
            </w:tcBorders>
            <w:tcMar>
              <w:top w:w="0" w:type="dxa"/>
              <w:left w:w="40" w:type="dxa"/>
              <w:bottom w:w="0" w:type="dxa"/>
              <w:right w:w="40" w:type="dxa"/>
            </w:tcMar>
          </w:tcPr>
          <w:p w14:paraId="5041850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005" w:type="dxa"/>
            <w:tcBorders>
              <w:top w:val="nil"/>
              <w:left w:val="nil"/>
              <w:bottom w:val="single" w:sz="4" w:space="0" w:color="000000"/>
              <w:right w:val="nil"/>
            </w:tcBorders>
            <w:tcMar>
              <w:top w:w="0" w:type="dxa"/>
              <w:left w:w="40" w:type="dxa"/>
              <w:bottom w:w="0" w:type="dxa"/>
              <w:right w:w="40" w:type="dxa"/>
            </w:tcMar>
          </w:tcPr>
          <w:p w14:paraId="7C98BD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6.37%</w:t>
            </w:r>
          </w:p>
        </w:tc>
      </w:tr>
      <w:tr w:rsidR="00BF019E" w:rsidRPr="008B4C22" w14:paraId="4AA8018F" w14:textId="77777777" w:rsidTr="008B4C22">
        <w:trPr>
          <w:trHeight w:val="197"/>
        </w:trPr>
        <w:tc>
          <w:tcPr>
            <w:tcW w:w="1770" w:type="dxa"/>
            <w:vMerge/>
            <w:tcBorders>
              <w:top w:val="nil"/>
              <w:left w:val="nil"/>
              <w:bottom w:val="single" w:sz="9" w:space="0" w:color="000000"/>
              <w:right w:val="nil"/>
            </w:tcBorders>
            <w:tcMar>
              <w:top w:w="100" w:type="dxa"/>
              <w:left w:w="100" w:type="dxa"/>
              <w:bottom w:w="100" w:type="dxa"/>
              <w:right w:w="100" w:type="dxa"/>
            </w:tcMar>
          </w:tcPr>
          <w:p w14:paraId="033F5569"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2FBC555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45" w:type="dxa"/>
            <w:tcBorders>
              <w:top w:val="nil"/>
              <w:left w:val="nil"/>
              <w:bottom w:val="single" w:sz="4" w:space="0" w:color="000000"/>
              <w:right w:val="nil"/>
            </w:tcBorders>
            <w:tcMar>
              <w:top w:w="0" w:type="dxa"/>
              <w:left w:w="40" w:type="dxa"/>
              <w:bottom w:w="0" w:type="dxa"/>
              <w:right w:w="40" w:type="dxa"/>
            </w:tcMar>
          </w:tcPr>
          <w:p w14:paraId="6722CD4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109</w:t>
            </w:r>
          </w:p>
        </w:tc>
        <w:tc>
          <w:tcPr>
            <w:tcW w:w="1125" w:type="dxa"/>
            <w:tcBorders>
              <w:top w:val="nil"/>
              <w:left w:val="nil"/>
              <w:bottom w:val="single" w:sz="4" w:space="0" w:color="000000"/>
              <w:right w:val="nil"/>
            </w:tcBorders>
            <w:tcMar>
              <w:top w:w="0" w:type="dxa"/>
              <w:left w:w="40" w:type="dxa"/>
              <w:bottom w:w="0" w:type="dxa"/>
              <w:right w:w="40" w:type="dxa"/>
            </w:tcMar>
          </w:tcPr>
          <w:p w14:paraId="3D2A62D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87.90%</w:t>
            </w:r>
          </w:p>
        </w:tc>
        <w:tc>
          <w:tcPr>
            <w:tcW w:w="960" w:type="dxa"/>
            <w:tcBorders>
              <w:top w:val="nil"/>
              <w:left w:val="nil"/>
              <w:bottom w:val="single" w:sz="4" w:space="0" w:color="000000"/>
              <w:right w:val="nil"/>
            </w:tcBorders>
            <w:tcMar>
              <w:top w:w="0" w:type="dxa"/>
              <w:left w:w="40" w:type="dxa"/>
              <w:bottom w:w="0" w:type="dxa"/>
              <w:right w:w="40" w:type="dxa"/>
            </w:tcMar>
          </w:tcPr>
          <w:p w14:paraId="1E1E3BC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147</w:t>
            </w:r>
          </w:p>
        </w:tc>
        <w:tc>
          <w:tcPr>
            <w:tcW w:w="1005" w:type="dxa"/>
            <w:tcBorders>
              <w:top w:val="nil"/>
              <w:left w:val="nil"/>
              <w:bottom w:val="single" w:sz="4" w:space="0" w:color="000000"/>
              <w:right w:val="nil"/>
            </w:tcBorders>
            <w:tcMar>
              <w:top w:w="0" w:type="dxa"/>
              <w:left w:w="40" w:type="dxa"/>
              <w:bottom w:w="0" w:type="dxa"/>
              <w:right w:w="40" w:type="dxa"/>
            </w:tcMar>
          </w:tcPr>
          <w:p w14:paraId="08E8163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93.63%</w:t>
            </w:r>
          </w:p>
        </w:tc>
      </w:tr>
      <w:tr w:rsidR="00BF019E" w:rsidRPr="008B4C22" w14:paraId="2713965B" w14:textId="77777777" w:rsidTr="008B4C22">
        <w:trPr>
          <w:trHeight w:val="224"/>
        </w:trPr>
        <w:tc>
          <w:tcPr>
            <w:tcW w:w="1770" w:type="dxa"/>
            <w:vMerge/>
            <w:tcBorders>
              <w:top w:val="nil"/>
              <w:left w:val="nil"/>
              <w:bottom w:val="single" w:sz="9" w:space="0" w:color="000000"/>
              <w:right w:val="nil"/>
            </w:tcBorders>
            <w:tcMar>
              <w:top w:w="100" w:type="dxa"/>
              <w:left w:w="100" w:type="dxa"/>
              <w:bottom w:w="100" w:type="dxa"/>
              <w:right w:w="100" w:type="dxa"/>
            </w:tcMar>
          </w:tcPr>
          <w:p w14:paraId="2A50A7C9"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12" w:space="0" w:color="000000"/>
              <w:right w:val="nil"/>
            </w:tcBorders>
            <w:tcMar>
              <w:top w:w="100" w:type="dxa"/>
              <w:left w:w="100" w:type="dxa"/>
              <w:bottom w:w="100" w:type="dxa"/>
              <w:right w:w="100" w:type="dxa"/>
            </w:tcMar>
          </w:tcPr>
          <w:p w14:paraId="7341A5E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45" w:type="dxa"/>
            <w:tcBorders>
              <w:top w:val="nil"/>
              <w:left w:val="nil"/>
              <w:bottom w:val="single" w:sz="9" w:space="0" w:color="000000"/>
              <w:right w:val="nil"/>
            </w:tcBorders>
            <w:tcMar>
              <w:top w:w="0" w:type="dxa"/>
              <w:left w:w="40" w:type="dxa"/>
              <w:bottom w:w="0" w:type="dxa"/>
              <w:right w:w="40" w:type="dxa"/>
            </w:tcMar>
          </w:tcPr>
          <w:p w14:paraId="38859D1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25" w:type="dxa"/>
            <w:tcBorders>
              <w:top w:val="nil"/>
              <w:left w:val="nil"/>
              <w:bottom w:val="single" w:sz="9" w:space="0" w:color="000000"/>
              <w:right w:val="nil"/>
            </w:tcBorders>
            <w:tcMar>
              <w:top w:w="0" w:type="dxa"/>
              <w:left w:w="40" w:type="dxa"/>
              <w:bottom w:w="0" w:type="dxa"/>
              <w:right w:w="40" w:type="dxa"/>
            </w:tcMar>
          </w:tcPr>
          <w:p w14:paraId="78E8CBB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960" w:type="dxa"/>
            <w:tcBorders>
              <w:top w:val="nil"/>
              <w:left w:val="nil"/>
              <w:bottom w:val="single" w:sz="9" w:space="0" w:color="000000"/>
              <w:right w:val="nil"/>
            </w:tcBorders>
            <w:tcMar>
              <w:top w:w="0" w:type="dxa"/>
              <w:left w:w="40" w:type="dxa"/>
              <w:bottom w:w="0" w:type="dxa"/>
              <w:right w:w="40" w:type="dxa"/>
            </w:tcMar>
          </w:tcPr>
          <w:p w14:paraId="15DCA43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9" w:space="0" w:color="000000"/>
              <w:right w:val="nil"/>
            </w:tcBorders>
            <w:tcMar>
              <w:top w:w="0" w:type="dxa"/>
              <w:left w:w="40" w:type="dxa"/>
              <w:bottom w:w="0" w:type="dxa"/>
              <w:right w:w="40" w:type="dxa"/>
            </w:tcMar>
          </w:tcPr>
          <w:p w14:paraId="4C95BA2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343E4EF6" w14:textId="77777777" w:rsidTr="008B4C22">
        <w:trPr>
          <w:trHeight w:val="212"/>
        </w:trPr>
        <w:tc>
          <w:tcPr>
            <w:tcW w:w="1770" w:type="dxa"/>
            <w:vMerge w:val="restart"/>
            <w:tcBorders>
              <w:top w:val="nil"/>
              <w:left w:val="nil"/>
              <w:bottom w:val="single" w:sz="9" w:space="0" w:color="000000"/>
              <w:right w:val="nil"/>
            </w:tcBorders>
            <w:tcMar>
              <w:top w:w="100" w:type="dxa"/>
              <w:left w:w="100" w:type="dxa"/>
              <w:bottom w:w="100" w:type="dxa"/>
              <w:right w:w="100" w:type="dxa"/>
            </w:tcMar>
          </w:tcPr>
          <w:p w14:paraId="357BE4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CF1024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Reflection and Analysis</w:t>
            </w:r>
          </w:p>
        </w:tc>
        <w:tc>
          <w:tcPr>
            <w:tcW w:w="1545" w:type="dxa"/>
            <w:tcBorders>
              <w:top w:val="single" w:sz="12" w:space="0" w:color="000000"/>
              <w:left w:val="nil"/>
              <w:bottom w:val="single" w:sz="4" w:space="0" w:color="000000"/>
              <w:right w:val="nil"/>
            </w:tcBorders>
            <w:tcMar>
              <w:top w:w="100" w:type="dxa"/>
              <w:left w:w="100" w:type="dxa"/>
              <w:bottom w:w="100" w:type="dxa"/>
              <w:right w:w="100" w:type="dxa"/>
            </w:tcMar>
          </w:tcPr>
          <w:p w14:paraId="74F16E7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45" w:type="dxa"/>
            <w:tcBorders>
              <w:top w:val="nil"/>
              <w:left w:val="nil"/>
              <w:bottom w:val="single" w:sz="4" w:space="0" w:color="000000"/>
              <w:right w:val="nil"/>
            </w:tcBorders>
            <w:tcMar>
              <w:top w:w="0" w:type="dxa"/>
              <w:left w:w="40" w:type="dxa"/>
              <w:bottom w:w="0" w:type="dxa"/>
              <w:right w:w="40" w:type="dxa"/>
            </w:tcMar>
          </w:tcPr>
          <w:p w14:paraId="6D2834E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4" w:space="0" w:color="000000"/>
              <w:right w:val="nil"/>
            </w:tcBorders>
            <w:tcMar>
              <w:top w:w="0" w:type="dxa"/>
              <w:left w:w="40" w:type="dxa"/>
              <w:bottom w:w="0" w:type="dxa"/>
              <w:right w:w="40" w:type="dxa"/>
            </w:tcMar>
          </w:tcPr>
          <w:p w14:paraId="3A837CF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4" w:space="0" w:color="000000"/>
              <w:right w:val="nil"/>
            </w:tcBorders>
            <w:tcMar>
              <w:top w:w="0" w:type="dxa"/>
              <w:left w:w="40" w:type="dxa"/>
              <w:bottom w:w="0" w:type="dxa"/>
              <w:right w:w="40" w:type="dxa"/>
            </w:tcMar>
          </w:tcPr>
          <w:p w14:paraId="615E800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4" w:space="0" w:color="000000"/>
              <w:right w:val="nil"/>
            </w:tcBorders>
            <w:tcMar>
              <w:top w:w="0" w:type="dxa"/>
              <w:left w:w="40" w:type="dxa"/>
              <w:bottom w:w="0" w:type="dxa"/>
              <w:right w:w="40" w:type="dxa"/>
            </w:tcMar>
          </w:tcPr>
          <w:p w14:paraId="0162540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651B7569" w14:textId="77777777" w:rsidTr="008B4C22">
        <w:trPr>
          <w:trHeight w:val="278"/>
        </w:trPr>
        <w:tc>
          <w:tcPr>
            <w:tcW w:w="1770" w:type="dxa"/>
            <w:vMerge/>
            <w:tcBorders>
              <w:top w:val="nil"/>
              <w:left w:val="nil"/>
              <w:bottom w:val="single" w:sz="9" w:space="0" w:color="000000"/>
              <w:right w:val="nil"/>
            </w:tcBorders>
            <w:tcMar>
              <w:top w:w="100" w:type="dxa"/>
              <w:left w:w="100" w:type="dxa"/>
              <w:bottom w:w="100" w:type="dxa"/>
              <w:right w:w="100" w:type="dxa"/>
            </w:tcMar>
          </w:tcPr>
          <w:p w14:paraId="5567F29B"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0FD3155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45" w:type="dxa"/>
            <w:tcBorders>
              <w:top w:val="nil"/>
              <w:left w:val="nil"/>
              <w:bottom w:val="single" w:sz="4" w:space="0" w:color="000000"/>
              <w:right w:val="nil"/>
            </w:tcBorders>
            <w:tcMar>
              <w:top w:w="0" w:type="dxa"/>
              <w:left w:w="40" w:type="dxa"/>
              <w:bottom w:w="0" w:type="dxa"/>
              <w:right w:w="40" w:type="dxa"/>
            </w:tcMar>
          </w:tcPr>
          <w:p w14:paraId="2FE6717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110</w:t>
            </w:r>
          </w:p>
        </w:tc>
        <w:tc>
          <w:tcPr>
            <w:tcW w:w="1125" w:type="dxa"/>
            <w:tcBorders>
              <w:top w:val="nil"/>
              <w:left w:val="nil"/>
              <w:bottom w:val="single" w:sz="4" w:space="0" w:color="000000"/>
              <w:right w:val="nil"/>
            </w:tcBorders>
            <w:tcMar>
              <w:top w:w="0" w:type="dxa"/>
              <w:left w:w="40" w:type="dxa"/>
              <w:bottom w:w="0" w:type="dxa"/>
              <w:right w:w="40" w:type="dxa"/>
            </w:tcMar>
          </w:tcPr>
          <w:p w14:paraId="369C9BC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88.71%</w:t>
            </w:r>
          </w:p>
        </w:tc>
        <w:tc>
          <w:tcPr>
            <w:tcW w:w="960" w:type="dxa"/>
            <w:tcBorders>
              <w:top w:val="nil"/>
              <w:left w:val="nil"/>
              <w:bottom w:val="single" w:sz="4" w:space="0" w:color="000000"/>
              <w:right w:val="nil"/>
            </w:tcBorders>
            <w:tcMar>
              <w:top w:w="0" w:type="dxa"/>
              <w:left w:w="40" w:type="dxa"/>
              <w:bottom w:w="0" w:type="dxa"/>
              <w:right w:w="40" w:type="dxa"/>
            </w:tcMar>
          </w:tcPr>
          <w:p w14:paraId="31120E0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127</w:t>
            </w:r>
          </w:p>
        </w:tc>
        <w:tc>
          <w:tcPr>
            <w:tcW w:w="1005" w:type="dxa"/>
            <w:tcBorders>
              <w:top w:val="nil"/>
              <w:left w:val="nil"/>
              <w:bottom w:val="single" w:sz="4" w:space="0" w:color="000000"/>
              <w:right w:val="nil"/>
            </w:tcBorders>
            <w:tcMar>
              <w:top w:w="0" w:type="dxa"/>
              <w:left w:w="40" w:type="dxa"/>
              <w:bottom w:w="0" w:type="dxa"/>
              <w:right w:w="40" w:type="dxa"/>
            </w:tcMar>
          </w:tcPr>
          <w:p w14:paraId="1CB19E8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80.89%</w:t>
            </w:r>
          </w:p>
        </w:tc>
      </w:tr>
      <w:tr w:rsidR="00BF019E" w:rsidRPr="008B4C22" w14:paraId="5BA4B08F" w14:textId="77777777" w:rsidTr="008B4C22">
        <w:trPr>
          <w:trHeight w:val="197"/>
        </w:trPr>
        <w:tc>
          <w:tcPr>
            <w:tcW w:w="1770" w:type="dxa"/>
            <w:vMerge/>
            <w:tcBorders>
              <w:top w:val="nil"/>
              <w:left w:val="nil"/>
              <w:bottom w:val="single" w:sz="9" w:space="0" w:color="000000"/>
              <w:right w:val="nil"/>
            </w:tcBorders>
            <w:tcMar>
              <w:top w:w="100" w:type="dxa"/>
              <w:left w:w="100" w:type="dxa"/>
              <w:bottom w:w="100" w:type="dxa"/>
              <w:right w:w="100" w:type="dxa"/>
            </w:tcMar>
          </w:tcPr>
          <w:p w14:paraId="69742B36"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28AAB04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45" w:type="dxa"/>
            <w:tcBorders>
              <w:top w:val="nil"/>
              <w:left w:val="nil"/>
              <w:bottom w:val="single" w:sz="4" w:space="0" w:color="000000"/>
              <w:right w:val="nil"/>
            </w:tcBorders>
            <w:tcMar>
              <w:top w:w="0" w:type="dxa"/>
              <w:left w:w="40" w:type="dxa"/>
              <w:bottom w:w="0" w:type="dxa"/>
              <w:right w:w="40" w:type="dxa"/>
            </w:tcMar>
          </w:tcPr>
          <w:p w14:paraId="373A533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125" w:type="dxa"/>
            <w:tcBorders>
              <w:top w:val="nil"/>
              <w:left w:val="nil"/>
              <w:bottom w:val="single" w:sz="4" w:space="0" w:color="000000"/>
              <w:right w:val="nil"/>
            </w:tcBorders>
            <w:tcMar>
              <w:top w:w="0" w:type="dxa"/>
              <w:left w:w="40" w:type="dxa"/>
              <w:bottom w:w="0" w:type="dxa"/>
              <w:right w:w="40" w:type="dxa"/>
            </w:tcMar>
          </w:tcPr>
          <w:p w14:paraId="539725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960" w:type="dxa"/>
            <w:tcBorders>
              <w:top w:val="nil"/>
              <w:left w:val="nil"/>
              <w:bottom w:val="single" w:sz="4" w:space="0" w:color="000000"/>
              <w:right w:val="nil"/>
            </w:tcBorders>
            <w:tcMar>
              <w:top w:w="0" w:type="dxa"/>
              <w:left w:w="40" w:type="dxa"/>
              <w:bottom w:w="0" w:type="dxa"/>
              <w:right w:w="40" w:type="dxa"/>
            </w:tcMar>
          </w:tcPr>
          <w:p w14:paraId="687D9C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1005" w:type="dxa"/>
            <w:tcBorders>
              <w:top w:val="nil"/>
              <w:left w:val="nil"/>
              <w:bottom w:val="single" w:sz="4" w:space="0" w:color="000000"/>
              <w:right w:val="nil"/>
            </w:tcBorders>
            <w:tcMar>
              <w:top w:w="0" w:type="dxa"/>
              <w:left w:w="40" w:type="dxa"/>
              <w:bottom w:w="0" w:type="dxa"/>
              <w:right w:w="40" w:type="dxa"/>
            </w:tcMar>
          </w:tcPr>
          <w:p w14:paraId="35D8DD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699D95B0" w14:textId="77777777" w:rsidTr="008B4C22">
        <w:trPr>
          <w:trHeight w:val="224"/>
        </w:trPr>
        <w:tc>
          <w:tcPr>
            <w:tcW w:w="1770" w:type="dxa"/>
            <w:vMerge/>
            <w:tcBorders>
              <w:top w:val="nil"/>
              <w:left w:val="nil"/>
              <w:bottom w:val="single" w:sz="9" w:space="0" w:color="000000"/>
              <w:right w:val="nil"/>
            </w:tcBorders>
            <w:tcMar>
              <w:top w:w="100" w:type="dxa"/>
              <w:left w:w="100" w:type="dxa"/>
              <w:bottom w:w="100" w:type="dxa"/>
              <w:right w:w="100" w:type="dxa"/>
            </w:tcMar>
          </w:tcPr>
          <w:p w14:paraId="58163551"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12" w:space="0" w:color="000000"/>
              <w:right w:val="nil"/>
            </w:tcBorders>
            <w:tcMar>
              <w:top w:w="100" w:type="dxa"/>
              <w:left w:w="100" w:type="dxa"/>
              <w:bottom w:w="100" w:type="dxa"/>
              <w:right w:w="100" w:type="dxa"/>
            </w:tcMar>
          </w:tcPr>
          <w:p w14:paraId="6708365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45" w:type="dxa"/>
            <w:tcBorders>
              <w:top w:val="nil"/>
              <w:left w:val="nil"/>
              <w:bottom w:val="single" w:sz="9" w:space="0" w:color="000000"/>
              <w:right w:val="nil"/>
            </w:tcBorders>
            <w:tcMar>
              <w:top w:w="0" w:type="dxa"/>
              <w:left w:w="40" w:type="dxa"/>
              <w:bottom w:w="0" w:type="dxa"/>
              <w:right w:w="40" w:type="dxa"/>
            </w:tcMar>
          </w:tcPr>
          <w:p w14:paraId="4118D61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25" w:type="dxa"/>
            <w:tcBorders>
              <w:top w:val="nil"/>
              <w:left w:val="nil"/>
              <w:bottom w:val="single" w:sz="9" w:space="0" w:color="000000"/>
              <w:right w:val="nil"/>
            </w:tcBorders>
            <w:tcMar>
              <w:top w:w="0" w:type="dxa"/>
              <w:left w:w="40" w:type="dxa"/>
              <w:bottom w:w="0" w:type="dxa"/>
              <w:right w:w="40" w:type="dxa"/>
            </w:tcMar>
          </w:tcPr>
          <w:p w14:paraId="70D9CBD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960" w:type="dxa"/>
            <w:tcBorders>
              <w:top w:val="nil"/>
              <w:left w:val="nil"/>
              <w:bottom w:val="single" w:sz="9" w:space="0" w:color="000000"/>
              <w:right w:val="nil"/>
            </w:tcBorders>
            <w:tcMar>
              <w:top w:w="0" w:type="dxa"/>
              <w:left w:w="40" w:type="dxa"/>
              <w:bottom w:w="0" w:type="dxa"/>
              <w:right w:w="40" w:type="dxa"/>
            </w:tcMar>
          </w:tcPr>
          <w:p w14:paraId="6E6E5D6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005" w:type="dxa"/>
            <w:tcBorders>
              <w:top w:val="nil"/>
              <w:left w:val="nil"/>
              <w:bottom w:val="single" w:sz="9" w:space="0" w:color="000000"/>
              <w:right w:val="nil"/>
            </w:tcBorders>
            <w:tcMar>
              <w:top w:w="0" w:type="dxa"/>
              <w:left w:w="40" w:type="dxa"/>
              <w:bottom w:w="0" w:type="dxa"/>
              <w:right w:w="40" w:type="dxa"/>
            </w:tcMar>
          </w:tcPr>
          <w:p w14:paraId="1B03534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3.18%</w:t>
            </w:r>
          </w:p>
        </w:tc>
      </w:tr>
      <w:tr w:rsidR="00BF019E" w:rsidRPr="008B4C22" w14:paraId="1DE44106" w14:textId="77777777" w:rsidTr="008B4C22">
        <w:trPr>
          <w:trHeight w:val="212"/>
        </w:trPr>
        <w:tc>
          <w:tcPr>
            <w:tcW w:w="1770" w:type="dxa"/>
            <w:vMerge w:val="restart"/>
            <w:tcBorders>
              <w:top w:val="nil"/>
              <w:left w:val="nil"/>
              <w:bottom w:val="single" w:sz="9" w:space="0" w:color="000000"/>
              <w:right w:val="nil"/>
            </w:tcBorders>
            <w:tcMar>
              <w:top w:w="100" w:type="dxa"/>
              <w:left w:w="100" w:type="dxa"/>
              <w:bottom w:w="100" w:type="dxa"/>
              <w:right w:w="100" w:type="dxa"/>
            </w:tcMar>
          </w:tcPr>
          <w:p w14:paraId="5D8480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3F35B56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A7E259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2473CEA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Use of Descriptive Language</w:t>
            </w:r>
          </w:p>
        </w:tc>
        <w:tc>
          <w:tcPr>
            <w:tcW w:w="1545" w:type="dxa"/>
            <w:tcBorders>
              <w:top w:val="single" w:sz="12" w:space="0" w:color="000000"/>
              <w:left w:val="nil"/>
              <w:bottom w:val="single" w:sz="4" w:space="0" w:color="000000"/>
              <w:right w:val="nil"/>
            </w:tcBorders>
            <w:tcMar>
              <w:top w:w="100" w:type="dxa"/>
              <w:left w:w="100" w:type="dxa"/>
              <w:bottom w:w="100" w:type="dxa"/>
              <w:right w:w="100" w:type="dxa"/>
            </w:tcMar>
          </w:tcPr>
          <w:p w14:paraId="09CC494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45" w:type="dxa"/>
            <w:tcBorders>
              <w:top w:val="nil"/>
              <w:left w:val="nil"/>
              <w:bottom w:val="single" w:sz="4" w:space="0" w:color="000000"/>
              <w:right w:val="nil"/>
            </w:tcBorders>
            <w:tcMar>
              <w:top w:w="0" w:type="dxa"/>
              <w:left w:w="40" w:type="dxa"/>
              <w:bottom w:w="0" w:type="dxa"/>
              <w:right w:w="40" w:type="dxa"/>
            </w:tcMar>
          </w:tcPr>
          <w:p w14:paraId="7D248D8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4" w:space="0" w:color="000000"/>
              <w:right w:val="nil"/>
            </w:tcBorders>
            <w:tcMar>
              <w:top w:w="0" w:type="dxa"/>
              <w:left w:w="40" w:type="dxa"/>
              <w:bottom w:w="0" w:type="dxa"/>
              <w:right w:w="40" w:type="dxa"/>
            </w:tcMar>
          </w:tcPr>
          <w:p w14:paraId="7E5722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4" w:space="0" w:color="000000"/>
              <w:right w:val="nil"/>
            </w:tcBorders>
            <w:tcMar>
              <w:top w:w="0" w:type="dxa"/>
              <w:left w:w="40" w:type="dxa"/>
              <w:bottom w:w="0" w:type="dxa"/>
              <w:right w:w="40" w:type="dxa"/>
            </w:tcMar>
          </w:tcPr>
          <w:p w14:paraId="6FDD195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4" w:space="0" w:color="000000"/>
              <w:right w:val="nil"/>
            </w:tcBorders>
            <w:tcMar>
              <w:top w:w="0" w:type="dxa"/>
              <w:left w:w="40" w:type="dxa"/>
              <w:bottom w:w="0" w:type="dxa"/>
              <w:right w:w="40" w:type="dxa"/>
            </w:tcMar>
          </w:tcPr>
          <w:p w14:paraId="1022B0C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526A17B3" w14:textId="77777777" w:rsidTr="008B4C22">
        <w:trPr>
          <w:trHeight w:val="60"/>
        </w:trPr>
        <w:tc>
          <w:tcPr>
            <w:tcW w:w="1770" w:type="dxa"/>
            <w:vMerge/>
            <w:tcBorders>
              <w:top w:val="nil"/>
              <w:left w:val="nil"/>
              <w:bottom w:val="single" w:sz="9" w:space="0" w:color="000000"/>
              <w:right w:val="nil"/>
            </w:tcBorders>
            <w:tcMar>
              <w:top w:w="100" w:type="dxa"/>
              <w:left w:w="100" w:type="dxa"/>
              <w:bottom w:w="100" w:type="dxa"/>
              <w:right w:w="100" w:type="dxa"/>
            </w:tcMar>
          </w:tcPr>
          <w:p w14:paraId="589F3348"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6E7F428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45" w:type="dxa"/>
            <w:tcBorders>
              <w:top w:val="nil"/>
              <w:left w:val="nil"/>
              <w:bottom w:val="single" w:sz="4" w:space="0" w:color="000000"/>
              <w:right w:val="nil"/>
            </w:tcBorders>
            <w:tcMar>
              <w:top w:w="0" w:type="dxa"/>
              <w:left w:w="40" w:type="dxa"/>
              <w:bottom w:w="0" w:type="dxa"/>
              <w:right w:w="40" w:type="dxa"/>
            </w:tcMar>
          </w:tcPr>
          <w:p w14:paraId="2327E1B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125" w:type="dxa"/>
            <w:tcBorders>
              <w:top w:val="nil"/>
              <w:left w:val="nil"/>
              <w:bottom w:val="single" w:sz="4" w:space="0" w:color="000000"/>
              <w:right w:val="nil"/>
            </w:tcBorders>
            <w:tcMar>
              <w:top w:w="0" w:type="dxa"/>
              <w:left w:w="40" w:type="dxa"/>
              <w:bottom w:w="0" w:type="dxa"/>
              <w:right w:w="40" w:type="dxa"/>
            </w:tcMar>
          </w:tcPr>
          <w:p w14:paraId="4C0A73C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96.77%</w:t>
            </w:r>
          </w:p>
        </w:tc>
        <w:tc>
          <w:tcPr>
            <w:tcW w:w="960" w:type="dxa"/>
            <w:tcBorders>
              <w:top w:val="nil"/>
              <w:left w:val="nil"/>
              <w:bottom w:val="single" w:sz="4" w:space="0" w:color="000000"/>
              <w:right w:val="nil"/>
            </w:tcBorders>
            <w:tcMar>
              <w:top w:w="0" w:type="dxa"/>
              <w:left w:w="40" w:type="dxa"/>
              <w:bottom w:w="0" w:type="dxa"/>
              <w:right w:w="40" w:type="dxa"/>
            </w:tcMar>
          </w:tcPr>
          <w:p w14:paraId="4807AA4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140</w:t>
            </w:r>
          </w:p>
        </w:tc>
        <w:tc>
          <w:tcPr>
            <w:tcW w:w="1005" w:type="dxa"/>
            <w:tcBorders>
              <w:top w:val="nil"/>
              <w:left w:val="nil"/>
              <w:bottom w:val="single" w:sz="4" w:space="0" w:color="000000"/>
              <w:right w:val="nil"/>
            </w:tcBorders>
            <w:tcMar>
              <w:top w:w="0" w:type="dxa"/>
              <w:left w:w="40" w:type="dxa"/>
              <w:bottom w:w="0" w:type="dxa"/>
              <w:right w:w="40" w:type="dxa"/>
            </w:tcMar>
          </w:tcPr>
          <w:p w14:paraId="691B2B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89.17%</w:t>
            </w:r>
          </w:p>
        </w:tc>
      </w:tr>
      <w:tr w:rsidR="00BF019E" w:rsidRPr="008B4C22" w14:paraId="33B33593" w14:textId="77777777" w:rsidTr="008B4C22">
        <w:tc>
          <w:tcPr>
            <w:tcW w:w="1770" w:type="dxa"/>
            <w:vMerge/>
            <w:tcBorders>
              <w:top w:val="nil"/>
              <w:left w:val="nil"/>
              <w:bottom w:val="single" w:sz="9" w:space="0" w:color="000000"/>
              <w:right w:val="nil"/>
            </w:tcBorders>
            <w:tcMar>
              <w:top w:w="100" w:type="dxa"/>
              <w:left w:w="100" w:type="dxa"/>
              <w:bottom w:w="100" w:type="dxa"/>
              <w:right w:w="100" w:type="dxa"/>
            </w:tcMar>
          </w:tcPr>
          <w:p w14:paraId="4B1C1BA6"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105D7F2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45" w:type="dxa"/>
            <w:tcBorders>
              <w:top w:val="nil"/>
              <w:left w:val="nil"/>
              <w:bottom w:val="single" w:sz="4" w:space="0" w:color="000000"/>
              <w:right w:val="nil"/>
            </w:tcBorders>
            <w:tcMar>
              <w:top w:w="0" w:type="dxa"/>
              <w:left w:w="40" w:type="dxa"/>
              <w:bottom w:w="0" w:type="dxa"/>
              <w:right w:w="40" w:type="dxa"/>
            </w:tcMar>
          </w:tcPr>
          <w:p w14:paraId="6DE4D35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25" w:type="dxa"/>
            <w:tcBorders>
              <w:top w:val="nil"/>
              <w:left w:val="nil"/>
              <w:bottom w:val="single" w:sz="4" w:space="0" w:color="000000"/>
              <w:right w:val="nil"/>
            </w:tcBorders>
            <w:tcMar>
              <w:top w:w="0" w:type="dxa"/>
              <w:left w:w="40" w:type="dxa"/>
              <w:bottom w:w="0" w:type="dxa"/>
              <w:right w:w="40" w:type="dxa"/>
            </w:tcMar>
          </w:tcPr>
          <w:p w14:paraId="7E8B887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960" w:type="dxa"/>
            <w:tcBorders>
              <w:top w:val="nil"/>
              <w:left w:val="nil"/>
              <w:bottom w:val="single" w:sz="4" w:space="0" w:color="000000"/>
              <w:right w:val="nil"/>
            </w:tcBorders>
            <w:tcMar>
              <w:top w:w="0" w:type="dxa"/>
              <w:left w:w="40" w:type="dxa"/>
              <w:bottom w:w="0" w:type="dxa"/>
              <w:right w:w="40" w:type="dxa"/>
            </w:tcMar>
          </w:tcPr>
          <w:p w14:paraId="49FF265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w:t>
            </w:r>
          </w:p>
        </w:tc>
        <w:tc>
          <w:tcPr>
            <w:tcW w:w="1005" w:type="dxa"/>
            <w:tcBorders>
              <w:top w:val="nil"/>
              <w:left w:val="nil"/>
              <w:bottom w:val="single" w:sz="4" w:space="0" w:color="000000"/>
              <w:right w:val="nil"/>
            </w:tcBorders>
            <w:tcMar>
              <w:top w:w="0" w:type="dxa"/>
              <w:left w:w="40" w:type="dxa"/>
              <w:bottom w:w="0" w:type="dxa"/>
              <w:right w:w="40" w:type="dxa"/>
            </w:tcMar>
          </w:tcPr>
          <w:p w14:paraId="5C6F44E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10.83%</w:t>
            </w:r>
          </w:p>
        </w:tc>
      </w:tr>
      <w:tr w:rsidR="00BF019E" w:rsidRPr="008B4C22" w14:paraId="3E291F3F" w14:textId="77777777" w:rsidTr="008B4C22">
        <w:tc>
          <w:tcPr>
            <w:tcW w:w="1770" w:type="dxa"/>
            <w:vMerge/>
            <w:tcBorders>
              <w:top w:val="nil"/>
              <w:left w:val="nil"/>
              <w:bottom w:val="single" w:sz="9" w:space="0" w:color="000000"/>
              <w:right w:val="nil"/>
            </w:tcBorders>
            <w:tcMar>
              <w:top w:w="100" w:type="dxa"/>
              <w:left w:w="100" w:type="dxa"/>
              <w:bottom w:w="100" w:type="dxa"/>
              <w:right w:w="100" w:type="dxa"/>
            </w:tcMar>
          </w:tcPr>
          <w:p w14:paraId="7D1B1234"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9" w:space="0" w:color="000000"/>
              <w:right w:val="nil"/>
            </w:tcBorders>
            <w:tcMar>
              <w:top w:w="100" w:type="dxa"/>
              <w:left w:w="100" w:type="dxa"/>
              <w:bottom w:w="100" w:type="dxa"/>
              <w:right w:w="100" w:type="dxa"/>
            </w:tcMar>
          </w:tcPr>
          <w:p w14:paraId="129651E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45" w:type="dxa"/>
            <w:tcBorders>
              <w:top w:val="nil"/>
              <w:left w:val="nil"/>
              <w:bottom w:val="single" w:sz="9" w:space="0" w:color="000000"/>
              <w:right w:val="nil"/>
            </w:tcBorders>
            <w:tcMar>
              <w:top w:w="0" w:type="dxa"/>
              <w:left w:w="40" w:type="dxa"/>
              <w:bottom w:w="0" w:type="dxa"/>
              <w:right w:w="40" w:type="dxa"/>
            </w:tcMar>
          </w:tcPr>
          <w:p w14:paraId="2BCFB0F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9" w:space="0" w:color="000000"/>
              <w:right w:val="nil"/>
            </w:tcBorders>
            <w:tcMar>
              <w:top w:w="0" w:type="dxa"/>
              <w:left w:w="40" w:type="dxa"/>
              <w:bottom w:w="0" w:type="dxa"/>
              <w:right w:w="40" w:type="dxa"/>
            </w:tcMar>
          </w:tcPr>
          <w:p w14:paraId="59C44B6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9" w:space="0" w:color="000000"/>
              <w:right w:val="nil"/>
            </w:tcBorders>
            <w:tcMar>
              <w:top w:w="0" w:type="dxa"/>
              <w:left w:w="40" w:type="dxa"/>
              <w:bottom w:w="0" w:type="dxa"/>
              <w:right w:w="40" w:type="dxa"/>
            </w:tcMar>
          </w:tcPr>
          <w:p w14:paraId="5A8E2C5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9" w:space="0" w:color="000000"/>
              <w:right w:val="nil"/>
            </w:tcBorders>
            <w:tcMar>
              <w:top w:w="0" w:type="dxa"/>
              <w:left w:w="40" w:type="dxa"/>
              <w:bottom w:w="0" w:type="dxa"/>
              <w:right w:w="40" w:type="dxa"/>
            </w:tcMar>
          </w:tcPr>
          <w:p w14:paraId="1B48426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4AA090F3"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0CE584A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 xml:space="preserve">The findings revealed that while most students showed consistent participation and proficiency, very few demonstrated higher-order skills such as critical analysis or articulated description. In terms of observation skills, majority of learners from both schools were at the “Developing” level 87.90% in SMIS and 93.63% in CVES), which suggest that while children could notice basic environmental features(e.g., birds, trees, flowers and fruits) their observation tend to remain simple and surface level rather than detailed or analytical. Only a small portion of learners from both schools achieved “Proficient” level (8.06% in SMIS and 6.37% in CVES), and none reached the “Excellent” level, where a small group in Sultan Mamarinta Panandigan Integrated School learners reached “Beginning” level indicating minimal observational engagement. </w:t>
      </w:r>
    </w:p>
    <w:p w14:paraId="5028C8F4" w14:textId="6C64CB05"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reflection and analysis, most learners from both schools were able to express some level of understanding of what they observe, with 88.71% of SMIS and 80.89% of CVES students rated as “Proficient”. This demonstrates that children could make basic connections between their observation and environmental issues (e.g., linking littering to pollution and cutting tress with harming the environment or causing flood). </w:t>
      </w:r>
      <w:r w:rsidR="008B4C22">
        <w:rPr>
          <w:rFonts w:ascii="Arial" w:hAnsi="Arial" w:cs="Arial"/>
          <w:sz w:val="24"/>
          <w:szCs w:val="24"/>
        </w:rPr>
        <w:t xml:space="preserve"> </w:t>
      </w:r>
      <w:r w:rsidRPr="00730471">
        <w:rPr>
          <w:rFonts w:ascii="Arial" w:hAnsi="Arial" w:cs="Arial"/>
          <w:sz w:val="24"/>
          <w:szCs w:val="24"/>
        </w:rPr>
        <w:t xml:space="preserve">However, there are still a small number of learners remained at the“Developing” level  (8.06% in SMIS and 15.92% in CVES) and non of the learners from both school reaching “Excellent” level. We cab infer from this result that while students could reflect at a general level, deeper analytical thinking and critical engagement with environmental concepts were limited. </w:t>
      </w:r>
    </w:p>
    <w:p w14:paraId="47B2066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When evaluating the use of descriptive language, the ove majority of student from both schools reached “Proficient” level  (96.77% in SMIS and 89.17% in CVES), this reflects that learners has the ability to use simple descriptive words to convey what they observed (e.g., describing places as “clean”, “dirty”, “green” or beautiful), however, few learners have went beyond simple descriptive word as indicated by the lack of “Excellent” level learners from both schools. 10.83% of Cabili Village Elementary School learners and </w:t>
      </w:r>
      <w:r w:rsidRPr="00730471">
        <w:rPr>
          <w:rFonts w:ascii="Arial" w:hAnsi="Arial" w:cs="Arial"/>
          <w:sz w:val="24"/>
          <w:szCs w:val="24"/>
        </w:rPr>
        <w:lastRenderedPageBreak/>
        <w:t xml:space="preserve">3.23% of  Sultan Mamarinta Panandigan Integrated School learners were rated at the “Developing” level, indicating a small struggle in clearly articulating their observations. </w:t>
      </w:r>
    </w:p>
    <w:p w14:paraId="6B948839" w14:textId="24BC7102" w:rsidR="00492843" w:rsidRDefault="008B4C22" w:rsidP="008F26AB">
      <w:pPr>
        <w:spacing w:line="360" w:lineRule="auto"/>
        <w:ind w:left="720" w:firstLine="720"/>
        <w:jc w:val="both"/>
        <w:rPr>
          <w:rFonts w:ascii="Arial" w:hAnsi="Arial" w:cs="Arial"/>
          <w:sz w:val="24"/>
          <w:szCs w:val="24"/>
        </w:rPr>
      </w:pPr>
      <w:r>
        <w:rPr>
          <w:rFonts w:ascii="Arial" w:hAnsi="Arial" w:cs="Arial"/>
          <w:sz w:val="24"/>
          <w:szCs w:val="24"/>
        </w:rPr>
        <w:t>O</w:t>
      </w:r>
      <w:r w:rsidRPr="00730471">
        <w:rPr>
          <w:rFonts w:ascii="Arial" w:hAnsi="Arial" w:cs="Arial"/>
          <w:sz w:val="24"/>
          <w:szCs w:val="24"/>
        </w:rPr>
        <w:t xml:space="preserve">verall, the results of table 4 suggest that while students are generally able to engage with their environment and describe it in basic terms, their skills remain at the “Proficient” level. Learners from both school have limited learners reaching “Excellent” level in observation, reflection, or descriptive language, suggesting a gap between surface-level environmental awareness and the development of higher-order cognitive and expressive skills. The result also suggest the need for structured activities like guided inquiry, journaling prompts, and reflective group discussions, which encourages children to move beyond noticing and describing towards analysing and critically engaging with the environment. </w:t>
      </w:r>
      <w:r w:rsidRPr="00730471">
        <w:rPr>
          <w:rFonts w:ascii="Arial" w:hAnsi="Arial" w:cs="Arial"/>
          <w:sz w:val="24"/>
          <w:szCs w:val="24"/>
          <w:highlight w:val="white"/>
        </w:rPr>
        <w:t xml:space="preserve">Eco-walks must include structured inquiry (Why is this here? Who caused it? Who is affected?) to develop reflective environmental consciousness. Such approaches would not only strengthen observational and expressive skills but also deepen environmental awareness in a meaningful and lasting way. </w:t>
      </w:r>
    </w:p>
    <w:p w14:paraId="6EC6460C" w14:textId="213AE5F4"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5</w:t>
      </w:r>
    </w:p>
    <w:p w14:paraId="477A3F5B" w14:textId="77777777" w:rsidR="00BF019E" w:rsidRPr="008B4C22" w:rsidRDefault="00CB26E4" w:rsidP="008F26AB">
      <w:pPr>
        <w:spacing w:line="360" w:lineRule="auto"/>
        <w:ind w:left="720"/>
        <w:jc w:val="both"/>
        <w:rPr>
          <w:rFonts w:ascii="Arial" w:hAnsi="Arial" w:cs="Arial"/>
          <w:i/>
          <w:iCs/>
          <w:sz w:val="24"/>
          <w:szCs w:val="24"/>
        </w:rPr>
      </w:pPr>
      <w:r w:rsidRPr="008B4C22">
        <w:rPr>
          <w:rFonts w:ascii="Arial" w:hAnsi="Arial" w:cs="Arial"/>
          <w:i/>
          <w:iCs/>
          <w:sz w:val="24"/>
          <w:szCs w:val="24"/>
        </w:rPr>
        <w:t>Problem-Solving and Suggested Environmental Actions</w:t>
      </w:r>
    </w:p>
    <w:tbl>
      <w:tblPr>
        <w:tblStyle w:val="a4"/>
        <w:tblW w:w="7455" w:type="dxa"/>
        <w:tblInd w:w="825" w:type="dxa"/>
        <w:tblBorders>
          <w:top w:val="nil"/>
          <w:left w:val="nil"/>
          <w:bottom w:val="nil"/>
          <w:right w:val="nil"/>
          <w:insideH w:val="nil"/>
          <w:insideV w:val="nil"/>
        </w:tblBorders>
        <w:tblLayout w:type="fixed"/>
        <w:tblCellMar>
          <w:top w:w="72" w:type="dxa"/>
          <w:left w:w="72" w:type="dxa"/>
          <w:bottom w:w="72" w:type="dxa"/>
          <w:right w:w="72" w:type="dxa"/>
        </w:tblCellMar>
        <w:tblLook w:val="0600" w:firstRow="0" w:lastRow="0" w:firstColumn="0" w:lastColumn="0" w:noHBand="1" w:noVBand="1"/>
      </w:tblPr>
      <w:tblGrid>
        <w:gridCol w:w="2310"/>
        <w:gridCol w:w="1410"/>
        <w:gridCol w:w="1050"/>
        <w:gridCol w:w="930"/>
        <w:gridCol w:w="870"/>
        <w:gridCol w:w="885"/>
      </w:tblGrid>
      <w:tr w:rsidR="00BF019E" w:rsidRPr="008B4C22" w14:paraId="060C4653" w14:textId="77777777" w:rsidTr="008B4C22">
        <w:trPr>
          <w:trHeight w:val="463"/>
        </w:trPr>
        <w:tc>
          <w:tcPr>
            <w:tcW w:w="2310" w:type="dxa"/>
            <w:tcBorders>
              <w:top w:val="single" w:sz="9" w:space="0" w:color="000000"/>
              <w:left w:val="nil"/>
              <w:bottom w:val="single" w:sz="9" w:space="0" w:color="000000"/>
              <w:right w:val="nil"/>
            </w:tcBorders>
            <w:tcMar>
              <w:top w:w="100" w:type="dxa"/>
              <w:left w:w="100" w:type="dxa"/>
              <w:bottom w:w="100" w:type="dxa"/>
              <w:right w:w="100" w:type="dxa"/>
            </w:tcMar>
          </w:tcPr>
          <w:p w14:paraId="37DD6FC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410" w:type="dxa"/>
            <w:tcBorders>
              <w:top w:val="single" w:sz="9" w:space="0" w:color="000000"/>
              <w:left w:val="nil"/>
              <w:bottom w:val="single" w:sz="9" w:space="0" w:color="000000"/>
              <w:right w:val="nil"/>
            </w:tcBorders>
            <w:tcMar>
              <w:top w:w="100" w:type="dxa"/>
              <w:left w:w="100" w:type="dxa"/>
              <w:bottom w:w="100" w:type="dxa"/>
              <w:right w:w="100" w:type="dxa"/>
            </w:tcMar>
          </w:tcPr>
          <w:p w14:paraId="451630C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1050" w:type="dxa"/>
            <w:tcBorders>
              <w:top w:val="single" w:sz="9" w:space="0" w:color="000000"/>
              <w:left w:val="nil"/>
              <w:bottom w:val="single" w:sz="9" w:space="0" w:color="000000"/>
              <w:right w:val="nil"/>
            </w:tcBorders>
            <w:tcMar>
              <w:top w:w="100" w:type="dxa"/>
              <w:left w:w="100" w:type="dxa"/>
              <w:bottom w:w="100" w:type="dxa"/>
              <w:right w:w="100" w:type="dxa"/>
            </w:tcMar>
          </w:tcPr>
          <w:p w14:paraId="7F5B574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930" w:type="dxa"/>
            <w:tcBorders>
              <w:top w:val="single" w:sz="9" w:space="0" w:color="000000"/>
              <w:left w:val="nil"/>
              <w:bottom w:val="single" w:sz="9" w:space="0" w:color="000000"/>
              <w:right w:val="nil"/>
            </w:tcBorders>
            <w:tcMar>
              <w:top w:w="100" w:type="dxa"/>
              <w:left w:w="100" w:type="dxa"/>
              <w:bottom w:w="100" w:type="dxa"/>
              <w:right w:w="100" w:type="dxa"/>
            </w:tcMar>
          </w:tcPr>
          <w:p w14:paraId="6E30361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w:t>
            </w:r>
          </w:p>
        </w:tc>
        <w:tc>
          <w:tcPr>
            <w:tcW w:w="870" w:type="dxa"/>
            <w:tcBorders>
              <w:top w:val="single" w:sz="9" w:space="0" w:color="000000"/>
              <w:left w:val="nil"/>
              <w:bottom w:val="single" w:sz="9" w:space="0" w:color="000000"/>
              <w:right w:val="nil"/>
            </w:tcBorders>
            <w:tcMar>
              <w:top w:w="100" w:type="dxa"/>
              <w:left w:w="100" w:type="dxa"/>
              <w:bottom w:w="100" w:type="dxa"/>
              <w:right w:w="100" w:type="dxa"/>
            </w:tcMar>
          </w:tcPr>
          <w:p w14:paraId="4A977D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885" w:type="dxa"/>
            <w:tcBorders>
              <w:top w:val="single" w:sz="9" w:space="0" w:color="000000"/>
              <w:left w:val="nil"/>
              <w:bottom w:val="single" w:sz="9" w:space="0" w:color="000000"/>
              <w:right w:val="nil"/>
            </w:tcBorders>
            <w:tcMar>
              <w:top w:w="100" w:type="dxa"/>
              <w:left w:w="100" w:type="dxa"/>
              <w:bottom w:w="100" w:type="dxa"/>
              <w:right w:w="100" w:type="dxa"/>
            </w:tcMar>
          </w:tcPr>
          <w:p w14:paraId="30BE0D2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725E645A" w14:textId="77777777" w:rsidTr="008B4C22">
        <w:trPr>
          <w:trHeight w:val="224"/>
        </w:trPr>
        <w:tc>
          <w:tcPr>
            <w:tcW w:w="2310" w:type="dxa"/>
            <w:vMerge w:val="restart"/>
            <w:tcBorders>
              <w:top w:val="nil"/>
              <w:left w:val="nil"/>
              <w:bottom w:val="single" w:sz="9" w:space="0" w:color="000000"/>
              <w:right w:val="nil"/>
            </w:tcBorders>
            <w:tcMar>
              <w:top w:w="100" w:type="dxa"/>
              <w:left w:w="100" w:type="dxa"/>
              <w:bottom w:w="100" w:type="dxa"/>
              <w:right w:w="100" w:type="dxa"/>
            </w:tcMar>
          </w:tcPr>
          <w:p w14:paraId="1FF2A2D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3A5EC16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02EE42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Identification of Solutions</w:t>
            </w:r>
          </w:p>
        </w:tc>
        <w:tc>
          <w:tcPr>
            <w:tcW w:w="1410" w:type="dxa"/>
            <w:tcBorders>
              <w:top w:val="nil"/>
              <w:left w:val="nil"/>
              <w:bottom w:val="single" w:sz="4" w:space="0" w:color="000000"/>
              <w:right w:val="nil"/>
            </w:tcBorders>
            <w:tcMar>
              <w:top w:w="100" w:type="dxa"/>
              <w:left w:w="100" w:type="dxa"/>
              <w:bottom w:w="100" w:type="dxa"/>
              <w:right w:w="100" w:type="dxa"/>
            </w:tcMar>
          </w:tcPr>
          <w:p w14:paraId="01F2EA6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050" w:type="dxa"/>
            <w:tcBorders>
              <w:top w:val="nil"/>
              <w:left w:val="nil"/>
              <w:bottom w:val="single" w:sz="4" w:space="0" w:color="000000"/>
              <w:right w:val="nil"/>
            </w:tcBorders>
            <w:tcMar>
              <w:top w:w="0" w:type="dxa"/>
              <w:left w:w="40" w:type="dxa"/>
              <w:bottom w:w="0" w:type="dxa"/>
              <w:right w:w="40" w:type="dxa"/>
            </w:tcMar>
          </w:tcPr>
          <w:p w14:paraId="5F16790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930" w:type="dxa"/>
            <w:tcBorders>
              <w:top w:val="nil"/>
              <w:left w:val="nil"/>
              <w:bottom w:val="single" w:sz="4" w:space="0" w:color="000000"/>
              <w:right w:val="nil"/>
            </w:tcBorders>
            <w:tcMar>
              <w:top w:w="0" w:type="dxa"/>
              <w:left w:w="40" w:type="dxa"/>
              <w:bottom w:w="0" w:type="dxa"/>
              <w:right w:w="40" w:type="dxa"/>
            </w:tcMar>
          </w:tcPr>
          <w:p w14:paraId="7C2D1F8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70" w:type="dxa"/>
            <w:tcBorders>
              <w:top w:val="nil"/>
              <w:left w:val="nil"/>
              <w:bottom w:val="single" w:sz="4" w:space="0" w:color="000000"/>
              <w:right w:val="nil"/>
            </w:tcBorders>
            <w:tcMar>
              <w:top w:w="0" w:type="dxa"/>
              <w:left w:w="40" w:type="dxa"/>
              <w:bottom w:w="0" w:type="dxa"/>
              <w:right w:w="40" w:type="dxa"/>
            </w:tcMar>
          </w:tcPr>
          <w:p w14:paraId="6A1FCB7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885" w:type="dxa"/>
            <w:tcBorders>
              <w:top w:val="nil"/>
              <w:left w:val="nil"/>
              <w:bottom w:val="single" w:sz="4" w:space="0" w:color="000000"/>
              <w:right w:val="nil"/>
            </w:tcBorders>
            <w:tcMar>
              <w:top w:w="0" w:type="dxa"/>
              <w:left w:w="40" w:type="dxa"/>
              <w:bottom w:w="0" w:type="dxa"/>
              <w:right w:w="40" w:type="dxa"/>
            </w:tcMar>
          </w:tcPr>
          <w:p w14:paraId="60CEA3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38BDEE17" w14:textId="77777777" w:rsidTr="008B4C22">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2A3CBFAA"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7791B7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050" w:type="dxa"/>
            <w:tcBorders>
              <w:top w:val="nil"/>
              <w:left w:val="nil"/>
              <w:bottom w:val="single" w:sz="4" w:space="0" w:color="000000"/>
              <w:right w:val="nil"/>
            </w:tcBorders>
            <w:tcMar>
              <w:top w:w="0" w:type="dxa"/>
              <w:left w:w="40" w:type="dxa"/>
              <w:bottom w:w="0" w:type="dxa"/>
              <w:right w:w="40" w:type="dxa"/>
            </w:tcMar>
          </w:tcPr>
          <w:p w14:paraId="2C281C7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99</w:t>
            </w:r>
          </w:p>
        </w:tc>
        <w:tc>
          <w:tcPr>
            <w:tcW w:w="930" w:type="dxa"/>
            <w:tcBorders>
              <w:top w:val="nil"/>
              <w:left w:val="nil"/>
              <w:bottom w:val="single" w:sz="4" w:space="0" w:color="000000"/>
              <w:right w:val="nil"/>
            </w:tcBorders>
            <w:tcMar>
              <w:top w:w="0" w:type="dxa"/>
              <w:left w:w="40" w:type="dxa"/>
              <w:bottom w:w="0" w:type="dxa"/>
              <w:right w:w="40" w:type="dxa"/>
            </w:tcMar>
          </w:tcPr>
          <w:p w14:paraId="19D95B5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79.84%</w:t>
            </w:r>
          </w:p>
        </w:tc>
        <w:tc>
          <w:tcPr>
            <w:tcW w:w="870" w:type="dxa"/>
            <w:tcBorders>
              <w:top w:val="nil"/>
              <w:left w:val="nil"/>
              <w:bottom w:val="single" w:sz="4" w:space="0" w:color="000000"/>
              <w:right w:val="nil"/>
            </w:tcBorders>
            <w:tcMar>
              <w:top w:w="0" w:type="dxa"/>
              <w:left w:w="40" w:type="dxa"/>
              <w:bottom w:w="0" w:type="dxa"/>
              <w:right w:w="40" w:type="dxa"/>
            </w:tcMar>
          </w:tcPr>
          <w:p w14:paraId="429235C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885" w:type="dxa"/>
            <w:tcBorders>
              <w:top w:val="nil"/>
              <w:left w:val="nil"/>
              <w:bottom w:val="single" w:sz="4" w:space="0" w:color="000000"/>
              <w:right w:val="nil"/>
            </w:tcBorders>
            <w:tcMar>
              <w:top w:w="0" w:type="dxa"/>
              <w:left w:w="40" w:type="dxa"/>
              <w:bottom w:w="0" w:type="dxa"/>
              <w:right w:w="40" w:type="dxa"/>
            </w:tcMar>
          </w:tcPr>
          <w:p w14:paraId="7E26FCD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669A75E2" w14:textId="77777777" w:rsidTr="008B4C22">
        <w:trPr>
          <w:trHeight w:val="251"/>
        </w:trPr>
        <w:tc>
          <w:tcPr>
            <w:tcW w:w="2310" w:type="dxa"/>
            <w:vMerge/>
            <w:tcBorders>
              <w:top w:val="nil"/>
              <w:left w:val="nil"/>
              <w:bottom w:val="single" w:sz="9" w:space="0" w:color="000000"/>
              <w:right w:val="nil"/>
            </w:tcBorders>
            <w:tcMar>
              <w:top w:w="100" w:type="dxa"/>
              <w:left w:w="100" w:type="dxa"/>
              <w:bottom w:w="100" w:type="dxa"/>
              <w:right w:w="100" w:type="dxa"/>
            </w:tcMar>
          </w:tcPr>
          <w:p w14:paraId="6963AE1D"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301B6C7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050" w:type="dxa"/>
            <w:tcBorders>
              <w:top w:val="nil"/>
              <w:left w:val="nil"/>
              <w:bottom w:val="single" w:sz="4" w:space="0" w:color="000000"/>
              <w:right w:val="nil"/>
            </w:tcBorders>
            <w:tcMar>
              <w:top w:w="0" w:type="dxa"/>
              <w:left w:w="40" w:type="dxa"/>
              <w:bottom w:w="0" w:type="dxa"/>
              <w:right w:w="40" w:type="dxa"/>
            </w:tcMar>
          </w:tcPr>
          <w:p w14:paraId="271E15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20</w:t>
            </w:r>
          </w:p>
        </w:tc>
        <w:tc>
          <w:tcPr>
            <w:tcW w:w="930" w:type="dxa"/>
            <w:tcBorders>
              <w:top w:val="nil"/>
              <w:left w:val="nil"/>
              <w:bottom w:val="single" w:sz="4" w:space="0" w:color="000000"/>
              <w:right w:val="nil"/>
            </w:tcBorders>
            <w:tcMar>
              <w:top w:w="0" w:type="dxa"/>
              <w:left w:w="40" w:type="dxa"/>
              <w:bottom w:w="0" w:type="dxa"/>
              <w:right w:w="40" w:type="dxa"/>
            </w:tcMar>
          </w:tcPr>
          <w:p w14:paraId="482920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16.13%</w:t>
            </w:r>
          </w:p>
        </w:tc>
        <w:tc>
          <w:tcPr>
            <w:tcW w:w="870" w:type="dxa"/>
            <w:tcBorders>
              <w:top w:val="nil"/>
              <w:left w:val="nil"/>
              <w:bottom w:val="single" w:sz="4" w:space="0" w:color="000000"/>
              <w:right w:val="nil"/>
            </w:tcBorders>
            <w:tcMar>
              <w:top w:w="0" w:type="dxa"/>
              <w:left w:w="40" w:type="dxa"/>
              <w:bottom w:w="0" w:type="dxa"/>
              <w:right w:w="40" w:type="dxa"/>
            </w:tcMar>
          </w:tcPr>
          <w:p w14:paraId="6CC680A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885" w:type="dxa"/>
            <w:tcBorders>
              <w:top w:val="nil"/>
              <w:left w:val="nil"/>
              <w:bottom w:val="single" w:sz="4" w:space="0" w:color="000000"/>
              <w:right w:val="nil"/>
            </w:tcBorders>
            <w:tcMar>
              <w:top w:w="0" w:type="dxa"/>
              <w:left w:w="40" w:type="dxa"/>
              <w:bottom w:w="0" w:type="dxa"/>
              <w:right w:w="40" w:type="dxa"/>
            </w:tcMar>
          </w:tcPr>
          <w:p w14:paraId="16416A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1EBE240E" w14:textId="77777777" w:rsidTr="008B4C22">
        <w:trPr>
          <w:trHeight w:val="251"/>
        </w:trPr>
        <w:tc>
          <w:tcPr>
            <w:tcW w:w="2310" w:type="dxa"/>
            <w:vMerge/>
            <w:tcBorders>
              <w:top w:val="nil"/>
              <w:left w:val="nil"/>
              <w:bottom w:val="single" w:sz="9" w:space="0" w:color="000000"/>
              <w:right w:val="nil"/>
            </w:tcBorders>
            <w:tcMar>
              <w:top w:w="100" w:type="dxa"/>
              <w:left w:w="100" w:type="dxa"/>
              <w:bottom w:w="100" w:type="dxa"/>
              <w:right w:w="100" w:type="dxa"/>
            </w:tcMar>
          </w:tcPr>
          <w:p w14:paraId="4EA941DB"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12" w:space="0" w:color="000000"/>
              <w:right w:val="nil"/>
            </w:tcBorders>
            <w:tcMar>
              <w:top w:w="100" w:type="dxa"/>
              <w:left w:w="100" w:type="dxa"/>
              <w:bottom w:w="100" w:type="dxa"/>
              <w:right w:w="100" w:type="dxa"/>
            </w:tcMar>
          </w:tcPr>
          <w:p w14:paraId="4E5057D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050" w:type="dxa"/>
            <w:tcBorders>
              <w:top w:val="nil"/>
              <w:left w:val="nil"/>
              <w:bottom w:val="single" w:sz="9" w:space="0" w:color="000000"/>
              <w:right w:val="nil"/>
            </w:tcBorders>
            <w:tcMar>
              <w:top w:w="0" w:type="dxa"/>
              <w:left w:w="40" w:type="dxa"/>
              <w:bottom w:w="0" w:type="dxa"/>
              <w:right w:w="40" w:type="dxa"/>
            </w:tcMar>
          </w:tcPr>
          <w:p w14:paraId="7B46681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930" w:type="dxa"/>
            <w:tcBorders>
              <w:top w:val="nil"/>
              <w:left w:val="nil"/>
              <w:bottom w:val="single" w:sz="9" w:space="0" w:color="000000"/>
              <w:right w:val="nil"/>
            </w:tcBorders>
            <w:tcMar>
              <w:top w:w="0" w:type="dxa"/>
              <w:left w:w="40" w:type="dxa"/>
              <w:bottom w:w="0" w:type="dxa"/>
              <w:right w:w="40" w:type="dxa"/>
            </w:tcMar>
          </w:tcPr>
          <w:p w14:paraId="5713E86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870" w:type="dxa"/>
            <w:tcBorders>
              <w:top w:val="nil"/>
              <w:left w:val="nil"/>
              <w:bottom w:val="single" w:sz="9" w:space="0" w:color="000000"/>
              <w:right w:val="nil"/>
            </w:tcBorders>
            <w:tcMar>
              <w:top w:w="0" w:type="dxa"/>
              <w:left w:w="40" w:type="dxa"/>
              <w:bottom w:w="0" w:type="dxa"/>
              <w:right w:w="40" w:type="dxa"/>
            </w:tcMar>
          </w:tcPr>
          <w:p w14:paraId="31C8DF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w:t>
            </w:r>
          </w:p>
        </w:tc>
        <w:tc>
          <w:tcPr>
            <w:tcW w:w="885" w:type="dxa"/>
            <w:tcBorders>
              <w:top w:val="nil"/>
              <w:left w:val="nil"/>
              <w:bottom w:val="single" w:sz="9" w:space="0" w:color="000000"/>
              <w:right w:val="nil"/>
            </w:tcBorders>
            <w:tcMar>
              <w:top w:w="0" w:type="dxa"/>
              <w:left w:w="40" w:type="dxa"/>
              <w:bottom w:w="0" w:type="dxa"/>
              <w:right w:w="40" w:type="dxa"/>
            </w:tcMar>
          </w:tcPr>
          <w:p w14:paraId="0230A1D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w:t>
            </w:r>
          </w:p>
        </w:tc>
      </w:tr>
      <w:tr w:rsidR="00BF019E" w:rsidRPr="008B4C22" w14:paraId="35554FC8" w14:textId="77777777" w:rsidTr="008B4C22">
        <w:trPr>
          <w:trHeight w:val="248"/>
        </w:trPr>
        <w:tc>
          <w:tcPr>
            <w:tcW w:w="2310" w:type="dxa"/>
            <w:vMerge w:val="restart"/>
            <w:tcBorders>
              <w:top w:val="nil"/>
              <w:left w:val="nil"/>
              <w:bottom w:val="single" w:sz="9" w:space="0" w:color="000000"/>
              <w:right w:val="nil"/>
            </w:tcBorders>
            <w:tcMar>
              <w:top w:w="100" w:type="dxa"/>
              <w:left w:w="100" w:type="dxa"/>
              <w:bottom w:w="100" w:type="dxa"/>
              <w:right w:w="100" w:type="dxa"/>
            </w:tcMar>
          </w:tcPr>
          <w:p w14:paraId="7F79EA3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31BAC4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Practicality of Actions</w:t>
            </w:r>
          </w:p>
        </w:tc>
        <w:tc>
          <w:tcPr>
            <w:tcW w:w="1410" w:type="dxa"/>
            <w:tcBorders>
              <w:top w:val="single" w:sz="12" w:space="0" w:color="000000"/>
              <w:left w:val="nil"/>
              <w:bottom w:val="single" w:sz="4" w:space="0" w:color="000000"/>
              <w:right w:val="nil"/>
            </w:tcBorders>
            <w:tcMar>
              <w:top w:w="100" w:type="dxa"/>
              <w:left w:w="100" w:type="dxa"/>
              <w:bottom w:w="100" w:type="dxa"/>
              <w:right w:w="100" w:type="dxa"/>
            </w:tcMar>
          </w:tcPr>
          <w:p w14:paraId="57AE024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050" w:type="dxa"/>
            <w:tcBorders>
              <w:top w:val="nil"/>
              <w:left w:val="nil"/>
              <w:bottom w:val="single" w:sz="4" w:space="0" w:color="000000"/>
              <w:right w:val="nil"/>
            </w:tcBorders>
            <w:tcMar>
              <w:top w:w="0" w:type="dxa"/>
              <w:left w:w="40" w:type="dxa"/>
              <w:bottom w:w="0" w:type="dxa"/>
              <w:right w:w="40" w:type="dxa"/>
            </w:tcMar>
          </w:tcPr>
          <w:p w14:paraId="499A44B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930" w:type="dxa"/>
            <w:tcBorders>
              <w:top w:val="nil"/>
              <w:left w:val="nil"/>
              <w:bottom w:val="single" w:sz="4" w:space="0" w:color="000000"/>
              <w:right w:val="nil"/>
            </w:tcBorders>
            <w:tcMar>
              <w:top w:w="0" w:type="dxa"/>
              <w:left w:w="40" w:type="dxa"/>
              <w:bottom w:w="0" w:type="dxa"/>
              <w:right w:w="40" w:type="dxa"/>
            </w:tcMar>
          </w:tcPr>
          <w:p w14:paraId="3E4C33E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70" w:type="dxa"/>
            <w:tcBorders>
              <w:top w:val="nil"/>
              <w:left w:val="nil"/>
              <w:bottom w:val="single" w:sz="4" w:space="0" w:color="000000"/>
              <w:right w:val="nil"/>
            </w:tcBorders>
            <w:tcMar>
              <w:top w:w="0" w:type="dxa"/>
              <w:left w:w="40" w:type="dxa"/>
              <w:bottom w:w="0" w:type="dxa"/>
              <w:right w:w="40" w:type="dxa"/>
            </w:tcMar>
          </w:tcPr>
          <w:p w14:paraId="0C6FB0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885" w:type="dxa"/>
            <w:tcBorders>
              <w:top w:val="nil"/>
              <w:left w:val="nil"/>
              <w:bottom w:val="single" w:sz="4" w:space="0" w:color="000000"/>
              <w:right w:val="nil"/>
            </w:tcBorders>
            <w:tcMar>
              <w:top w:w="0" w:type="dxa"/>
              <w:left w:w="40" w:type="dxa"/>
              <w:bottom w:w="0" w:type="dxa"/>
              <w:right w:w="40" w:type="dxa"/>
            </w:tcMar>
          </w:tcPr>
          <w:p w14:paraId="33C8B1A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2A19D72D" w14:textId="77777777" w:rsidTr="008B4C22">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24E270E4"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1E11AE6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050" w:type="dxa"/>
            <w:tcBorders>
              <w:top w:val="nil"/>
              <w:left w:val="nil"/>
              <w:bottom w:val="single" w:sz="4" w:space="0" w:color="000000"/>
              <w:right w:val="nil"/>
            </w:tcBorders>
            <w:tcMar>
              <w:top w:w="0" w:type="dxa"/>
              <w:left w:w="40" w:type="dxa"/>
              <w:bottom w:w="0" w:type="dxa"/>
              <w:right w:w="40" w:type="dxa"/>
            </w:tcMar>
          </w:tcPr>
          <w:p w14:paraId="275B60A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89</w:t>
            </w:r>
          </w:p>
        </w:tc>
        <w:tc>
          <w:tcPr>
            <w:tcW w:w="930" w:type="dxa"/>
            <w:tcBorders>
              <w:top w:val="nil"/>
              <w:left w:val="nil"/>
              <w:bottom w:val="single" w:sz="4" w:space="0" w:color="000000"/>
              <w:right w:val="nil"/>
            </w:tcBorders>
            <w:tcMar>
              <w:top w:w="0" w:type="dxa"/>
              <w:left w:w="40" w:type="dxa"/>
              <w:bottom w:w="0" w:type="dxa"/>
              <w:right w:w="40" w:type="dxa"/>
            </w:tcMar>
          </w:tcPr>
          <w:p w14:paraId="7797E75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71.77%</w:t>
            </w:r>
          </w:p>
        </w:tc>
        <w:tc>
          <w:tcPr>
            <w:tcW w:w="870" w:type="dxa"/>
            <w:tcBorders>
              <w:top w:val="nil"/>
              <w:left w:val="nil"/>
              <w:bottom w:val="single" w:sz="4" w:space="0" w:color="000000"/>
              <w:right w:val="nil"/>
            </w:tcBorders>
            <w:tcMar>
              <w:top w:w="0" w:type="dxa"/>
              <w:left w:w="40" w:type="dxa"/>
              <w:bottom w:w="0" w:type="dxa"/>
              <w:right w:w="40" w:type="dxa"/>
            </w:tcMar>
          </w:tcPr>
          <w:p w14:paraId="199209E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100</w:t>
            </w:r>
          </w:p>
        </w:tc>
        <w:tc>
          <w:tcPr>
            <w:tcW w:w="885" w:type="dxa"/>
            <w:tcBorders>
              <w:top w:val="nil"/>
              <w:left w:val="nil"/>
              <w:bottom w:val="single" w:sz="4" w:space="0" w:color="000000"/>
              <w:right w:val="nil"/>
            </w:tcBorders>
            <w:tcMar>
              <w:top w:w="0" w:type="dxa"/>
              <w:left w:w="40" w:type="dxa"/>
              <w:bottom w:w="0" w:type="dxa"/>
              <w:right w:w="40" w:type="dxa"/>
            </w:tcMar>
          </w:tcPr>
          <w:p w14:paraId="1292F05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63.69%</w:t>
            </w:r>
          </w:p>
        </w:tc>
      </w:tr>
      <w:tr w:rsidR="00BF019E" w:rsidRPr="008B4C22" w14:paraId="02B59F37" w14:textId="77777777" w:rsidTr="004B789F">
        <w:trPr>
          <w:trHeight w:val="233"/>
        </w:trPr>
        <w:tc>
          <w:tcPr>
            <w:tcW w:w="2310" w:type="dxa"/>
            <w:vMerge/>
            <w:tcBorders>
              <w:top w:val="nil"/>
              <w:left w:val="nil"/>
              <w:bottom w:val="single" w:sz="9" w:space="0" w:color="000000"/>
              <w:right w:val="nil"/>
            </w:tcBorders>
            <w:tcMar>
              <w:top w:w="100" w:type="dxa"/>
              <w:left w:w="100" w:type="dxa"/>
              <w:bottom w:w="100" w:type="dxa"/>
              <w:right w:w="100" w:type="dxa"/>
            </w:tcMar>
          </w:tcPr>
          <w:p w14:paraId="3C608FF9"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5F8006E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050" w:type="dxa"/>
            <w:tcBorders>
              <w:top w:val="nil"/>
              <w:left w:val="nil"/>
              <w:bottom w:val="single" w:sz="4" w:space="0" w:color="000000"/>
              <w:right w:val="nil"/>
            </w:tcBorders>
            <w:tcMar>
              <w:top w:w="0" w:type="dxa"/>
              <w:left w:w="40" w:type="dxa"/>
              <w:bottom w:w="0" w:type="dxa"/>
              <w:right w:w="40" w:type="dxa"/>
            </w:tcMar>
          </w:tcPr>
          <w:p w14:paraId="4D9544F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20</w:t>
            </w:r>
          </w:p>
        </w:tc>
        <w:tc>
          <w:tcPr>
            <w:tcW w:w="930" w:type="dxa"/>
            <w:tcBorders>
              <w:top w:val="nil"/>
              <w:left w:val="nil"/>
              <w:bottom w:val="single" w:sz="4" w:space="0" w:color="000000"/>
              <w:right w:val="nil"/>
            </w:tcBorders>
            <w:tcMar>
              <w:top w:w="0" w:type="dxa"/>
              <w:left w:w="40" w:type="dxa"/>
              <w:bottom w:w="0" w:type="dxa"/>
              <w:right w:w="40" w:type="dxa"/>
            </w:tcMar>
          </w:tcPr>
          <w:p w14:paraId="7282FC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16.13%</w:t>
            </w:r>
          </w:p>
        </w:tc>
        <w:tc>
          <w:tcPr>
            <w:tcW w:w="870" w:type="dxa"/>
            <w:tcBorders>
              <w:top w:val="nil"/>
              <w:left w:val="nil"/>
              <w:bottom w:val="single" w:sz="4" w:space="0" w:color="000000"/>
              <w:right w:val="nil"/>
            </w:tcBorders>
            <w:tcMar>
              <w:top w:w="0" w:type="dxa"/>
              <w:left w:w="40" w:type="dxa"/>
              <w:bottom w:w="0" w:type="dxa"/>
              <w:right w:w="40" w:type="dxa"/>
            </w:tcMar>
          </w:tcPr>
          <w:p w14:paraId="2613817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27</w:t>
            </w:r>
          </w:p>
        </w:tc>
        <w:tc>
          <w:tcPr>
            <w:tcW w:w="885" w:type="dxa"/>
            <w:tcBorders>
              <w:top w:val="nil"/>
              <w:left w:val="nil"/>
              <w:bottom w:val="single" w:sz="4" w:space="0" w:color="000000"/>
              <w:right w:val="nil"/>
            </w:tcBorders>
            <w:tcMar>
              <w:top w:w="0" w:type="dxa"/>
              <w:left w:w="40" w:type="dxa"/>
              <w:bottom w:w="0" w:type="dxa"/>
              <w:right w:w="40" w:type="dxa"/>
            </w:tcMar>
          </w:tcPr>
          <w:p w14:paraId="555A427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17.20%</w:t>
            </w:r>
          </w:p>
        </w:tc>
      </w:tr>
      <w:tr w:rsidR="00BF019E" w:rsidRPr="008B4C22" w14:paraId="0EEBDB4E" w14:textId="77777777" w:rsidTr="004B789F">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0CA9A061"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12" w:space="0" w:color="000000"/>
              <w:right w:val="nil"/>
            </w:tcBorders>
            <w:tcMar>
              <w:top w:w="100" w:type="dxa"/>
              <w:left w:w="100" w:type="dxa"/>
              <w:bottom w:w="100" w:type="dxa"/>
              <w:right w:w="100" w:type="dxa"/>
            </w:tcMar>
          </w:tcPr>
          <w:p w14:paraId="627A60D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050" w:type="dxa"/>
            <w:tcBorders>
              <w:top w:val="nil"/>
              <w:left w:val="nil"/>
              <w:bottom w:val="single" w:sz="9" w:space="0" w:color="000000"/>
              <w:right w:val="nil"/>
            </w:tcBorders>
            <w:tcMar>
              <w:top w:w="0" w:type="dxa"/>
              <w:left w:w="40" w:type="dxa"/>
              <w:bottom w:w="0" w:type="dxa"/>
              <w:right w:w="40" w:type="dxa"/>
            </w:tcMar>
          </w:tcPr>
          <w:p w14:paraId="0BE1DA0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930" w:type="dxa"/>
            <w:tcBorders>
              <w:top w:val="nil"/>
              <w:left w:val="nil"/>
              <w:bottom w:val="single" w:sz="9" w:space="0" w:color="000000"/>
              <w:right w:val="nil"/>
            </w:tcBorders>
            <w:tcMar>
              <w:top w:w="0" w:type="dxa"/>
              <w:left w:w="40" w:type="dxa"/>
              <w:bottom w:w="0" w:type="dxa"/>
              <w:right w:w="40" w:type="dxa"/>
            </w:tcMar>
          </w:tcPr>
          <w:p w14:paraId="72764FD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70" w:type="dxa"/>
            <w:tcBorders>
              <w:top w:val="nil"/>
              <w:left w:val="nil"/>
              <w:bottom w:val="single" w:sz="9" w:space="0" w:color="000000"/>
              <w:right w:val="nil"/>
            </w:tcBorders>
            <w:tcMar>
              <w:top w:w="0" w:type="dxa"/>
              <w:left w:w="40" w:type="dxa"/>
              <w:bottom w:w="0" w:type="dxa"/>
              <w:right w:w="40" w:type="dxa"/>
            </w:tcMar>
          </w:tcPr>
          <w:p w14:paraId="3FE1599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885" w:type="dxa"/>
            <w:tcBorders>
              <w:top w:val="nil"/>
              <w:left w:val="nil"/>
              <w:bottom w:val="single" w:sz="9" w:space="0" w:color="000000"/>
              <w:right w:val="nil"/>
            </w:tcBorders>
            <w:tcMar>
              <w:top w:w="0" w:type="dxa"/>
              <w:left w:w="40" w:type="dxa"/>
              <w:bottom w:w="0" w:type="dxa"/>
              <w:right w:w="40" w:type="dxa"/>
            </w:tcMar>
          </w:tcPr>
          <w:p w14:paraId="433623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6683D2D5" w14:textId="77777777" w:rsidTr="004B789F">
        <w:trPr>
          <w:trHeight w:val="212"/>
        </w:trPr>
        <w:tc>
          <w:tcPr>
            <w:tcW w:w="2310" w:type="dxa"/>
            <w:vMerge w:val="restart"/>
            <w:tcBorders>
              <w:top w:val="nil"/>
              <w:left w:val="nil"/>
              <w:bottom w:val="single" w:sz="9" w:space="0" w:color="000000"/>
              <w:right w:val="nil"/>
            </w:tcBorders>
            <w:tcMar>
              <w:top w:w="100" w:type="dxa"/>
              <w:left w:w="100" w:type="dxa"/>
              <w:bottom w:w="100" w:type="dxa"/>
              <w:right w:w="100" w:type="dxa"/>
            </w:tcMar>
          </w:tcPr>
          <w:p w14:paraId="0949058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16686E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5522AD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C42CC5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Personal Commitment</w:t>
            </w:r>
          </w:p>
        </w:tc>
        <w:tc>
          <w:tcPr>
            <w:tcW w:w="1410" w:type="dxa"/>
            <w:tcBorders>
              <w:top w:val="single" w:sz="12" w:space="0" w:color="000000"/>
              <w:left w:val="nil"/>
              <w:bottom w:val="single" w:sz="4" w:space="0" w:color="000000"/>
              <w:right w:val="nil"/>
            </w:tcBorders>
            <w:tcMar>
              <w:top w:w="100" w:type="dxa"/>
              <w:left w:w="100" w:type="dxa"/>
              <w:bottom w:w="100" w:type="dxa"/>
              <w:right w:w="100" w:type="dxa"/>
            </w:tcMar>
          </w:tcPr>
          <w:p w14:paraId="49A68CC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050" w:type="dxa"/>
            <w:tcBorders>
              <w:top w:val="nil"/>
              <w:left w:val="nil"/>
              <w:bottom w:val="single" w:sz="4" w:space="0" w:color="000000"/>
              <w:right w:val="nil"/>
            </w:tcBorders>
            <w:tcMar>
              <w:top w:w="0" w:type="dxa"/>
              <w:left w:w="40" w:type="dxa"/>
              <w:bottom w:w="0" w:type="dxa"/>
              <w:right w:w="40" w:type="dxa"/>
            </w:tcMar>
          </w:tcPr>
          <w:p w14:paraId="1572D62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930" w:type="dxa"/>
            <w:tcBorders>
              <w:top w:val="nil"/>
              <w:left w:val="nil"/>
              <w:bottom w:val="single" w:sz="4" w:space="0" w:color="000000"/>
              <w:right w:val="nil"/>
            </w:tcBorders>
            <w:tcMar>
              <w:top w:w="0" w:type="dxa"/>
              <w:left w:w="40" w:type="dxa"/>
              <w:bottom w:w="0" w:type="dxa"/>
              <w:right w:w="40" w:type="dxa"/>
            </w:tcMar>
          </w:tcPr>
          <w:p w14:paraId="718F652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70" w:type="dxa"/>
            <w:tcBorders>
              <w:top w:val="nil"/>
              <w:left w:val="nil"/>
              <w:bottom w:val="single" w:sz="4" w:space="0" w:color="000000"/>
              <w:right w:val="nil"/>
            </w:tcBorders>
            <w:tcMar>
              <w:top w:w="0" w:type="dxa"/>
              <w:left w:w="40" w:type="dxa"/>
              <w:bottom w:w="0" w:type="dxa"/>
              <w:right w:w="40" w:type="dxa"/>
            </w:tcMar>
          </w:tcPr>
          <w:p w14:paraId="2529273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885" w:type="dxa"/>
            <w:tcBorders>
              <w:top w:val="nil"/>
              <w:left w:val="nil"/>
              <w:bottom w:val="single" w:sz="4" w:space="0" w:color="000000"/>
              <w:right w:val="nil"/>
            </w:tcBorders>
            <w:tcMar>
              <w:top w:w="0" w:type="dxa"/>
              <w:left w:w="40" w:type="dxa"/>
              <w:bottom w:w="0" w:type="dxa"/>
              <w:right w:w="40" w:type="dxa"/>
            </w:tcMar>
          </w:tcPr>
          <w:p w14:paraId="36D362D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29215D22" w14:textId="77777777" w:rsidTr="004B789F">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6A3C1177"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1D76E52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050" w:type="dxa"/>
            <w:tcBorders>
              <w:top w:val="nil"/>
              <w:left w:val="nil"/>
              <w:bottom w:val="single" w:sz="4" w:space="0" w:color="000000"/>
              <w:right w:val="nil"/>
            </w:tcBorders>
            <w:tcMar>
              <w:top w:w="0" w:type="dxa"/>
              <w:left w:w="40" w:type="dxa"/>
              <w:bottom w:w="0" w:type="dxa"/>
              <w:right w:w="40" w:type="dxa"/>
            </w:tcMar>
          </w:tcPr>
          <w:p w14:paraId="7541408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104</w:t>
            </w:r>
          </w:p>
        </w:tc>
        <w:tc>
          <w:tcPr>
            <w:tcW w:w="930" w:type="dxa"/>
            <w:tcBorders>
              <w:top w:val="nil"/>
              <w:left w:val="nil"/>
              <w:bottom w:val="single" w:sz="4" w:space="0" w:color="000000"/>
              <w:right w:val="nil"/>
            </w:tcBorders>
            <w:tcMar>
              <w:top w:w="0" w:type="dxa"/>
              <w:left w:w="40" w:type="dxa"/>
              <w:bottom w:w="0" w:type="dxa"/>
              <w:right w:w="40" w:type="dxa"/>
            </w:tcMar>
          </w:tcPr>
          <w:p w14:paraId="6356ADC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83.87%</w:t>
            </w:r>
          </w:p>
        </w:tc>
        <w:tc>
          <w:tcPr>
            <w:tcW w:w="870" w:type="dxa"/>
            <w:tcBorders>
              <w:top w:val="nil"/>
              <w:left w:val="nil"/>
              <w:bottom w:val="single" w:sz="4" w:space="0" w:color="000000"/>
              <w:right w:val="nil"/>
            </w:tcBorders>
            <w:tcMar>
              <w:top w:w="0" w:type="dxa"/>
              <w:left w:w="40" w:type="dxa"/>
              <w:bottom w:w="0" w:type="dxa"/>
              <w:right w:w="40" w:type="dxa"/>
            </w:tcMar>
          </w:tcPr>
          <w:p w14:paraId="0F5580A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140</w:t>
            </w:r>
          </w:p>
        </w:tc>
        <w:tc>
          <w:tcPr>
            <w:tcW w:w="885" w:type="dxa"/>
            <w:tcBorders>
              <w:top w:val="nil"/>
              <w:left w:val="nil"/>
              <w:bottom w:val="single" w:sz="4" w:space="0" w:color="000000"/>
              <w:right w:val="nil"/>
            </w:tcBorders>
            <w:tcMar>
              <w:top w:w="0" w:type="dxa"/>
              <w:left w:w="40" w:type="dxa"/>
              <w:bottom w:w="0" w:type="dxa"/>
              <w:right w:w="40" w:type="dxa"/>
            </w:tcMar>
          </w:tcPr>
          <w:p w14:paraId="5E34C2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89.17%</w:t>
            </w:r>
          </w:p>
        </w:tc>
      </w:tr>
      <w:tr w:rsidR="00BF019E" w:rsidRPr="008B4C22" w14:paraId="34FF711F" w14:textId="77777777" w:rsidTr="004B789F">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7FFE9918"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6544335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050" w:type="dxa"/>
            <w:tcBorders>
              <w:top w:val="nil"/>
              <w:left w:val="nil"/>
              <w:bottom w:val="single" w:sz="4" w:space="0" w:color="000000"/>
              <w:right w:val="nil"/>
            </w:tcBorders>
            <w:tcMar>
              <w:top w:w="0" w:type="dxa"/>
              <w:left w:w="40" w:type="dxa"/>
              <w:bottom w:w="0" w:type="dxa"/>
              <w:right w:w="40" w:type="dxa"/>
            </w:tcMar>
          </w:tcPr>
          <w:p w14:paraId="04717F2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930" w:type="dxa"/>
            <w:tcBorders>
              <w:top w:val="nil"/>
              <w:left w:val="nil"/>
              <w:bottom w:val="single" w:sz="4" w:space="0" w:color="000000"/>
              <w:right w:val="nil"/>
            </w:tcBorders>
            <w:tcMar>
              <w:top w:w="0" w:type="dxa"/>
              <w:left w:w="40" w:type="dxa"/>
              <w:bottom w:w="0" w:type="dxa"/>
              <w:right w:w="40" w:type="dxa"/>
            </w:tcMar>
          </w:tcPr>
          <w:p w14:paraId="11287F2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70" w:type="dxa"/>
            <w:tcBorders>
              <w:top w:val="nil"/>
              <w:left w:val="nil"/>
              <w:bottom w:val="single" w:sz="4" w:space="0" w:color="000000"/>
              <w:right w:val="nil"/>
            </w:tcBorders>
            <w:tcMar>
              <w:top w:w="0" w:type="dxa"/>
              <w:left w:w="40" w:type="dxa"/>
              <w:bottom w:w="0" w:type="dxa"/>
              <w:right w:w="40" w:type="dxa"/>
            </w:tcMar>
          </w:tcPr>
          <w:p w14:paraId="59A379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885" w:type="dxa"/>
            <w:tcBorders>
              <w:top w:val="nil"/>
              <w:left w:val="nil"/>
              <w:bottom w:val="single" w:sz="4" w:space="0" w:color="000000"/>
              <w:right w:val="nil"/>
            </w:tcBorders>
            <w:tcMar>
              <w:top w:w="0" w:type="dxa"/>
              <w:left w:w="40" w:type="dxa"/>
              <w:bottom w:w="0" w:type="dxa"/>
              <w:right w:w="40" w:type="dxa"/>
            </w:tcMar>
          </w:tcPr>
          <w:p w14:paraId="6F80A32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57F1E3C2" w14:textId="77777777" w:rsidTr="004B789F">
        <w:trPr>
          <w:trHeight w:val="170"/>
        </w:trPr>
        <w:tc>
          <w:tcPr>
            <w:tcW w:w="2310" w:type="dxa"/>
            <w:vMerge/>
            <w:tcBorders>
              <w:top w:val="nil"/>
              <w:left w:val="nil"/>
              <w:bottom w:val="single" w:sz="9" w:space="0" w:color="000000"/>
              <w:right w:val="nil"/>
            </w:tcBorders>
            <w:tcMar>
              <w:top w:w="100" w:type="dxa"/>
              <w:left w:w="100" w:type="dxa"/>
              <w:bottom w:w="100" w:type="dxa"/>
              <w:right w:w="100" w:type="dxa"/>
            </w:tcMar>
          </w:tcPr>
          <w:p w14:paraId="46A39265"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9" w:space="0" w:color="000000"/>
              <w:right w:val="nil"/>
            </w:tcBorders>
            <w:tcMar>
              <w:top w:w="100" w:type="dxa"/>
              <w:left w:w="100" w:type="dxa"/>
              <w:bottom w:w="100" w:type="dxa"/>
              <w:right w:w="100" w:type="dxa"/>
            </w:tcMar>
          </w:tcPr>
          <w:p w14:paraId="0C34084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050" w:type="dxa"/>
            <w:tcBorders>
              <w:top w:val="nil"/>
              <w:left w:val="nil"/>
              <w:bottom w:val="single" w:sz="9" w:space="0" w:color="000000"/>
              <w:right w:val="nil"/>
            </w:tcBorders>
            <w:tcMar>
              <w:top w:w="0" w:type="dxa"/>
              <w:left w:w="40" w:type="dxa"/>
              <w:bottom w:w="0" w:type="dxa"/>
              <w:right w:w="40" w:type="dxa"/>
            </w:tcMar>
          </w:tcPr>
          <w:p w14:paraId="432D7E1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930" w:type="dxa"/>
            <w:tcBorders>
              <w:top w:val="nil"/>
              <w:left w:val="nil"/>
              <w:bottom w:val="single" w:sz="9" w:space="0" w:color="000000"/>
              <w:right w:val="nil"/>
            </w:tcBorders>
            <w:tcMar>
              <w:top w:w="0" w:type="dxa"/>
              <w:left w:w="40" w:type="dxa"/>
              <w:bottom w:w="0" w:type="dxa"/>
              <w:right w:w="40" w:type="dxa"/>
            </w:tcMar>
          </w:tcPr>
          <w:p w14:paraId="434B992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70" w:type="dxa"/>
            <w:tcBorders>
              <w:top w:val="nil"/>
              <w:left w:val="nil"/>
              <w:bottom w:val="single" w:sz="9" w:space="0" w:color="000000"/>
              <w:right w:val="nil"/>
            </w:tcBorders>
            <w:tcMar>
              <w:top w:w="0" w:type="dxa"/>
              <w:left w:w="40" w:type="dxa"/>
              <w:bottom w:w="0" w:type="dxa"/>
              <w:right w:w="40" w:type="dxa"/>
            </w:tcMar>
          </w:tcPr>
          <w:p w14:paraId="463ED0E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885" w:type="dxa"/>
            <w:tcBorders>
              <w:top w:val="nil"/>
              <w:left w:val="nil"/>
              <w:bottom w:val="single" w:sz="9" w:space="0" w:color="000000"/>
              <w:right w:val="nil"/>
            </w:tcBorders>
            <w:tcMar>
              <w:top w:w="0" w:type="dxa"/>
              <w:left w:w="40" w:type="dxa"/>
              <w:bottom w:w="0" w:type="dxa"/>
              <w:right w:w="40" w:type="dxa"/>
            </w:tcMar>
          </w:tcPr>
          <w:p w14:paraId="72E1B53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6.37%</w:t>
            </w:r>
          </w:p>
        </w:tc>
      </w:tr>
    </w:tbl>
    <w:p w14:paraId="75BB6F27"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32A417A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To further assess whether environmental awareness extends beyond observation and reflection, the study also evaluated learners’ ability to propose practical solutions to environmental issues. The following table presents the learners’ performance in identifying environmental solutions, evaluating their practicality, and demonstrating personal commitment to environmental action.</w:t>
      </w:r>
    </w:p>
    <w:p w14:paraId="5C2CAF32"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Findings suggest that students from both schools proposed actions such as planting trees and cleaning surroundings. However, actions lacked specificity and feasibility. Moreover, personal commitment scores were high, but often declarative rather than actionable, proving awareness without praxis. Hence, learners require scaffolded experience, guided reflection, and language precision to convert awareness into action.</w:t>
      </w:r>
    </w:p>
    <w:p w14:paraId="3949F438" w14:textId="77777777" w:rsidR="00BF019E"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Children from both schools possess foundational awareness shaped by direct experience from the kind of environment they belong, however, their skills stop at recognition and affect rather than analysis and agency. Students from SMIS shows a deeper  ecological reasoning due to rural exposure while Cabili Village Elementary School learners  shows higher expressive enthusiasm, wider performance spread. However, both schools shows lack of scientific vocabulary, reflective thinking, and feasible actions. These findings justify a Deweyan-inspired instructional toolkit emphasizing, Experiential learning (eco-walk protocols), Reflective processing (journals, guided questions), Scientific vocabulary integration, Collaborative discourse norms, and Action-oriented project tasks. Thus, the toolkit is not merely </w:t>
      </w:r>
      <w:r w:rsidRPr="00730471">
        <w:rPr>
          <w:rFonts w:ascii="Arial" w:hAnsi="Arial" w:cs="Arial"/>
          <w:sz w:val="24"/>
          <w:szCs w:val="24"/>
        </w:rPr>
        <w:lastRenderedPageBreak/>
        <w:t>a product but a pedagogical necessity emerging directly from empirical gaps identified in Chapter 4.</w:t>
      </w:r>
    </w:p>
    <w:p w14:paraId="2CEC2E97" w14:textId="77777777" w:rsidR="008F26AB" w:rsidRPr="00730471" w:rsidRDefault="008F26AB" w:rsidP="008F26AB">
      <w:pPr>
        <w:spacing w:line="360" w:lineRule="auto"/>
        <w:ind w:left="720" w:firstLine="720"/>
        <w:jc w:val="both"/>
        <w:rPr>
          <w:rFonts w:ascii="Arial" w:hAnsi="Arial" w:cs="Arial"/>
          <w:sz w:val="24"/>
          <w:szCs w:val="24"/>
        </w:rPr>
      </w:pPr>
    </w:p>
    <w:p w14:paraId="17EF8C7A" w14:textId="4EC1B99D" w:rsidR="00DC16E9" w:rsidRPr="00FC39B5" w:rsidRDefault="00DC16E9" w:rsidP="008F26AB">
      <w:pPr>
        <w:spacing w:line="360" w:lineRule="auto"/>
        <w:jc w:val="both"/>
        <w:rPr>
          <w:rFonts w:ascii="Arial" w:hAnsi="Arial" w:cs="Arial"/>
          <w:b/>
          <w:bCs/>
          <w:sz w:val="24"/>
          <w:szCs w:val="24"/>
        </w:rPr>
      </w:pPr>
      <w:r w:rsidRPr="00FC39B5">
        <w:rPr>
          <w:rFonts w:ascii="Arial" w:hAnsi="Arial" w:cs="Arial"/>
          <w:b/>
          <w:bCs/>
          <w:sz w:val="24"/>
          <w:szCs w:val="24"/>
        </w:rPr>
        <w:t>4.2 Factors Influencing Children's Environmental Awareness</w:t>
      </w:r>
    </w:p>
    <w:p w14:paraId="4B220BE6" w14:textId="362A1C86"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section answers the second research problem: What are the factors influencing children’s environmental awareness, including socio-cultural, educational, and experiential factors</w:t>
      </w:r>
      <w:r w:rsidR="00FC39B5">
        <w:rPr>
          <w:rFonts w:ascii="Arial" w:hAnsi="Arial" w:cs="Arial"/>
          <w:sz w:val="24"/>
          <w:szCs w:val="24"/>
        </w:rPr>
        <w:t xml:space="preserve">. </w:t>
      </w:r>
      <w:r w:rsidRPr="00730471">
        <w:rPr>
          <w:rFonts w:ascii="Arial" w:hAnsi="Arial" w:cs="Arial"/>
          <w:sz w:val="24"/>
          <w:szCs w:val="24"/>
        </w:rPr>
        <w:t>It also examines the factors influencing children’s environmental awareness based on emerging patterns from the results in Section 4.1. The discussion is grounded on socio-cultural, educational, and experiential dimensions, interpreted through learners’ responses in focus group discussions, participatory activities, and observed performance trends.</w:t>
      </w:r>
    </w:p>
    <w:p w14:paraId="401E3A60" w14:textId="25DD884B" w:rsidR="00DC16E9" w:rsidRPr="00FC39B5" w:rsidRDefault="00DC16E9" w:rsidP="008F26AB">
      <w:pPr>
        <w:spacing w:line="360" w:lineRule="auto"/>
        <w:ind w:firstLine="720"/>
        <w:jc w:val="both"/>
        <w:rPr>
          <w:rFonts w:ascii="Arial" w:hAnsi="Arial" w:cs="Arial"/>
          <w:b/>
          <w:bCs/>
          <w:sz w:val="24"/>
          <w:szCs w:val="24"/>
        </w:rPr>
      </w:pPr>
      <w:bookmarkStart w:id="31" w:name="_wavyfucxohbw" w:colFirst="0" w:colLast="0"/>
      <w:bookmarkEnd w:id="31"/>
      <w:r w:rsidRPr="00FC39B5">
        <w:rPr>
          <w:rFonts w:ascii="Arial" w:hAnsi="Arial" w:cs="Arial"/>
          <w:b/>
          <w:bCs/>
          <w:sz w:val="24"/>
          <w:szCs w:val="24"/>
        </w:rPr>
        <w:t>4.2.1.</w:t>
      </w:r>
      <w:r w:rsidR="00FC39B5">
        <w:rPr>
          <w:rFonts w:ascii="Arial" w:hAnsi="Arial" w:cs="Arial"/>
          <w:b/>
          <w:bCs/>
          <w:sz w:val="24"/>
          <w:szCs w:val="24"/>
        </w:rPr>
        <w:t xml:space="preserve">1 </w:t>
      </w:r>
      <w:r w:rsidRPr="00FC39B5">
        <w:rPr>
          <w:rFonts w:ascii="Arial" w:hAnsi="Arial" w:cs="Arial"/>
          <w:b/>
          <w:bCs/>
          <w:sz w:val="24"/>
          <w:szCs w:val="24"/>
        </w:rPr>
        <w:t xml:space="preserve">Sociocultural Factors </w:t>
      </w:r>
    </w:p>
    <w:p w14:paraId="59791E57" w14:textId="48C4C74A"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way learners interact with others play a role in how they understand and express environmental concepts. In table 2, during engagement in discussion, Sultan Mamarinta Panandigan Integrated School learners were mostly at the “Proficient” level (92.74%), with a small portion at the excellent level (4.03%), while the Cabili Village Elementary School learners showed 76.43% at the “Proficient” level and 19.11% at the “Excellent” level. This shows that Sultan Mamarinta Panandigan Integrated School learners tend to participate more consistently, while  Cabili Village Elementary School learners shoes to be a highly expressive individual during the discussion. However, in terms of respecting other’s ideas, both groups showed similar patterns where majority of the learners reached “Developing” level (SMIS 92.74%, CVES 76.43%), this indicates taht while learners are willing to share ideas about environmental isses, many still struggles with listening, turn-taking, and responding thoughtfully to others during group discussion. </w:t>
      </w:r>
    </w:p>
    <w:p w14:paraId="168DD90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These findings suggest that environmental awareness is not just shaped by knowledge but is also shaped by social interaction.  Which </w:t>
      </w:r>
      <w:r w:rsidRPr="00730471">
        <w:rPr>
          <w:rFonts w:ascii="Arial" w:hAnsi="Arial" w:cs="Arial"/>
          <w:sz w:val="24"/>
          <w:szCs w:val="24"/>
        </w:rPr>
        <w:lastRenderedPageBreak/>
        <w:t xml:space="preserve">is very much aligned with Vygotsky (1978) and Bandura (1977) idea on acquiring knowledge; learning according to them happens through dialogue, collaboration and shared experience and that social environments shape behavior and knowledge. Thus, learners develop understanding of environmental concepts effectively when they are able to communicate, listen and engage with peers in a meaningful discussion.  </w:t>
      </w:r>
    </w:p>
    <w:p w14:paraId="689AF124" w14:textId="4897ACD1" w:rsidR="00DC16E9" w:rsidRPr="00FC39B5" w:rsidRDefault="00DC16E9" w:rsidP="008F26AB">
      <w:pPr>
        <w:spacing w:line="360" w:lineRule="auto"/>
        <w:ind w:firstLine="720"/>
        <w:jc w:val="both"/>
        <w:rPr>
          <w:rFonts w:ascii="Arial" w:hAnsi="Arial" w:cs="Arial"/>
          <w:b/>
          <w:bCs/>
          <w:sz w:val="24"/>
          <w:szCs w:val="24"/>
        </w:rPr>
      </w:pPr>
      <w:bookmarkStart w:id="32" w:name="_6j4zb16qainz" w:colFirst="0" w:colLast="0"/>
      <w:bookmarkEnd w:id="32"/>
      <w:r w:rsidRPr="00FC39B5">
        <w:rPr>
          <w:rFonts w:ascii="Arial" w:hAnsi="Arial" w:cs="Arial"/>
          <w:b/>
          <w:bCs/>
          <w:sz w:val="24"/>
          <w:szCs w:val="24"/>
        </w:rPr>
        <w:t xml:space="preserve">4.2.1.2 Educational Factors </w:t>
      </w:r>
    </w:p>
    <w:p w14:paraId="5824EAA3" w14:textId="313F688F"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School instructions also influence how deeply learners understand environmental concepts. In table 1, learners from both schools achieved “Proficient” level (SMIS 91.94%, CVES 76.43%) in identifying environmental issues, However, there are still a noticeable portion of Cabili Village Elementary School learners at a "developing" level (19.11%), which suggest less consistent understanding in environmental concepts compared to  Sultan Mamarinta Panandigan Integrated School learners. </w:t>
      </w:r>
    </w:p>
    <w:p w14:paraId="10119F86" w14:textId="26ACC946"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Sultan Mamarinta Panandigan Integrated School learners performed higher at the “excellent” level (88.71%)  compared to Cabili Village Elementary School learners (73.25%). This shows that Sultan Mamarinta Panandigan Integrated School learners are more able to explain environmental processes such as how littering leads to pollution or how cutting trees affects air quality. Meanwhile, Cabili Village Elementary School learners still shows partial or developing understanding in linking causes and effects. </w:t>
      </w:r>
      <w:r w:rsidR="00FC39B5">
        <w:rPr>
          <w:rFonts w:ascii="Arial" w:hAnsi="Arial" w:cs="Arial"/>
          <w:sz w:val="24"/>
          <w:szCs w:val="24"/>
        </w:rPr>
        <w:t xml:space="preserve"> </w:t>
      </w:r>
      <w:r w:rsidRPr="00730471">
        <w:rPr>
          <w:rFonts w:ascii="Arial" w:hAnsi="Arial" w:cs="Arial"/>
          <w:sz w:val="24"/>
          <w:szCs w:val="24"/>
        </w:rPr>
        <w:t xml:space="preserve">For scientific language use, both groups remained mostly at the “Proficient” level SMIS 95.97%, CVES 92.36%), with a very few reaching “Excellent” level (SMIS 0%, CVES 1.27%). This indicates that learners can describe environmental ideas using simple words, but they struggle to use scientific vocabulary. </w:t>
      </w:r>
    </w:p>
    <w:p w14:paraId="0F218816"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Similarly, table 5 shows that in problem-solving, majority of the learners proposed solutions such as cleaning the surrounding or planting trees (SMIS 79.84% and CVES 76.43%), however, many of </w:t>
      </w:r>
      <w:r w:rsidRPr="00730471">
        <w:rPr>
          <w:rFonts w:ascii="Arial" w:hAnsi="Arial" w:cs="Arial"/>
          <w:sz w:val="24"/>
          <w:szCs w:val="24"/>
        </w:rPr>
        <w:lastRenderedPageBreak/>
        <w:t xml:space="preserve">these of this solutions ware general and not detailed or fully practical. And given the fact that some learners remained at the “Developing” level  (SMIS 16.13% and CVES 15.92%) implicating difficulty in turning ideas into realistic actions. Thus, this suggest that both learners from both school understand environmental concepts at the basic level, however, still need stronger support in reflection, scientific language, and applying knowledge to real-life situation. </w:t>
      </w:r>
    </w:p>
    <w:p w14:paraId="146E7482" w14:textId="77777777" w:rsidR="00BF019E" w:rsidRPr="00FC39B5" w:rsidRDefault="00CB26E4" w:rsidP="008F26AB">
      <w:pPr>
        <w:spacing w:line="360" w:lineRule="auto"/>
        <w:ind w:firstLine="720"/>
        <w:jc w:val="both"/>
        <w:rPr>
          <w:rFonts w:ascii="Arial" w:hAnsi="Arial" w:cs="Arial"/>
          <w:b/>
          <w:bCs/>
          <w:sz w:val="24"/>
          <w:szCs w:val="24"/>
        </w:rPr>
      </w:pPr>
      <w:bookmarkStart w:id="33" w:name="_s7ri9dg8zape" w:colFirst="0" w:colLast="0"/>
      <w:bookmarkEnd w:id="33"/>
      <w:r w:rsidRPr="00FC39B5">
        <w:rPr>
          <w:rFonts w:ascii="Arial" w:hAnsi="Arial" w:cs="Arial"/>
          <w:b/>
          <w:bCs/>
          <w:sz w:val="24"/>
          <w:szCs w:val="24"/>
        </w:rPr>
        <w:t>4.2.1.3 Experiential Factors</w:t>
      </w:r>
    </w:p>
    <w:p w14:paraId="5610CB46" w14:textId="77777777" w:rsidR="00DC16E9"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Experience also contributes to learners understanding on environmental concepts. In table 4, observation skills shows that most learners are still at the “Developing” level (SMIS 87.90% and CVES 93.63%), meaning they can notice basic environmental features but their observation remain simple and descriptive rather than detailed. In reflection and analysis, most learners were at the “Proficient” level (SMIS 88.71% and CVES 80.89%),which shows that they can make simple connections, however deeper analysis is still limited. These findings suggest that hands-on experiences like eco-walks and drawings activities help learners become aware of environmental issues. </w:t>
      </w:r>
      <w:r w:rsidRPr="00730471">
        <w:rPr>
          <w:rFonts w:ascii="Arial" w:hAnsi="Arial" w:cs="Arial"/>
          <w:sz w:val="24"/>
          <w:szCs w:val="24"/>
          <w:highlight w:val="white"/>
        </w:rPr>
        <w:t xml:space="preserve">Integrating active learning and environmental biology experiments within a formal curriculum increases environmental awareness and intention to act (Bulbert et al., 2025) </w:t>
      </w:r>
      <w:r w:rsidRPr="00730471">
        <w:rPr>
          <w:rFonts w:ascii="Arial" w:hAnsi="Arial" w:cs="Arial"/>
          <w:sz w:val="24"/>
          <w:szCs w:val="24"/>
        </w:rPr>
        <w:t xml:space="preserve">and that active and experiential approach increased students' environmental awareness and strengthened their willingness to engage in environmental practices (Granato et al., 2025) . However, without guided reflection, these experience tend to remain descriptive rather than analytical. </w:t>
      </w:r>
      <w:bookmarkStart w:id="34" w:name="_mxbqhcri20uj" w:colFirst="0" w:colLast="0"/>
      <w:bookmarkEnd w:id="34"/>
    </w:p>
    <w:p w14:paraId="55AF9B9E" w14:textId="034A57A3" w:rsidR="00DC16E9" w:rsidRPr="00FC39B5" w:rsidRDefault="00DC16E9" w:rsidP="008F26AB">
      <w:pPr>
        <w:spacing w:line="360" w:lineRule="auto"/>
        <w:ind w:left="720"/>
        <w:jc w:val="both"/>
        <w:rPr>
          <w:rFonts w:ascii="Arial" w:hAnsi="Arial" w:cs="Arial"/>
          <w:b/>
          <w:bCs/>
          <w:sz w:val="24"/>
          <w:szCs w:val="24"/>
        </w:rPr>
      </w:pPr>
      <w:r w:rsidRPr="00FC39B5">
        <w:rPr>
          <w:rFonts w:ascii="Arial" w:hAnsi="Arial" w:cs="Arial"/>
          <w:b/>
          <w:bCs/>
          <w:sz w:val="24"/>
          <w:szCs w:val="24"/>
        </w:rPr>
        <w:t>4.2.2 Observe Differences in in Environmental Awareness Between SMIS and CVES</w:t>
      </w:r>
    </w:p>
    <w:p w14:paraId="22F1844D" w14:textId="7DCDA7E9"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section presents the observed difference in children's environmental awareness between Sultan Mamarinta Panandigan Integrated School learners and Cabili Village Elementary School learners based on the results presented in section 4.1. The discussion </w:t>
      </w:r>
      <w:r w:rsidRPr="00730471">
        <w:rPr>
          <w:rFonts w:ascii="Arial" w:hAnsi="Arial" w:cs="Arial"/>
          <w:sz w:val="24"/>
          <w:szCs w:val="24"/>
        </w:rPr>
        <w:lastRenderedPageBreak/>
        <w:t xml:space="preserve">focussed on addressing SOP 2A, which examines the differences in the level of environmental awareness in terms of knowledge, attitudes, and practice. Unlike the previous section, which discussed the general factors influencing environmental awareness, this section will highlight how learners from the two schools differ in their responses, performance, and engagement across the identified domains. </w:t>
      </w:r>
    </w:p>
    <w:p w14:paraId="266D51BF" w14:textId="77777777" w:rsidR="00BF019E" w:rsidRPr="00FC39B5" w:rsidRDefault="00CB26E4" w:rsidP="008F26AB">
      <w:pPr>
        <w:spacing w:line="360" w:lineRule="auto"/>
        <w:ind w:firstLine="720"/>
        <w:jc w:val="both"/>
        <w:rPr>
          <w:rFonts w:ascii="Arial" w:hAnsi="Arial" w:cs="Arial"/>
          <w:b/>
          <w:bCs/>
          <w:sz w:val="24"/>
          <w:szCs w:val="24"/>
        </w:rPr>
      </w:pPr>
      <w:bookmarkStart w:id="35" w:name="_fp5w1lok4jcd" w:colFirst="0" w:colLast="0"/>
      <w:bookmarkEnd w:id="35"/>
      <w:r w:rsidRPr="00FC39B5">
        <w:rPr>
          <w:rFonts w:ascii="Arial" w:hAnsi="Arial" w:cs="Arial"/>
          <w:b/>
          <w:bCs/>
          <w:sz w:val="24"/>
          <w:szCs w:val="24"/>
        </w:rPr>
        <w:t>4.2.2.1 Differences in Environmental Knowledge</w:t>
      </w:r>
    </w:p>
    <w:p w14:paraId="4AE5C2B6"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environmental knowledge Sultan Mamarinta Panandigan Integrated School recorded a higher proportion of learners reaching “Proficient” level (91.94%) compared to Cabili Village Elementary School (76.43%). While Cabili Village Elementary School shows more percentage of learners reaching “Developing” level (19.11%) compared to Sultan Mamarinta Panandigan Integrated School (4.03%), this still indicates that Sultan Mamarinta Panandigan Integrated School learners demonstrated more consistent understanding in recognizing environmental problems and concepts. </w:t>
      </w:r>
    </w:p>
    <w:p w14:paraId="6B6B8E0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 clearer difference is seen in cause and effect relationships, where Sultan Mamarinta Panandigan Integrated School learners showed higher percentage at the “excellent” level (88.71%) comparing to Cabili Village Elementary School (73.25%). This suggests that Sultan Mamarinta Panandigan Integrated School were more able to explain how environmental issues are connected comparing to Cabili Village Elementary School learners who showed a more partial to less detailed explanations. </w:t>
      </w:r>
    </w:p>
    <w:p w14:paraId="1835123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the scientific terms, both groups shows the same level, remaining at the “proficient” level. This shows that although learners form both school can describe environmental ideas, Their use of scientific vocabulary remains limited and largely similar across both groups. Thus, the difference between environmental knowledge and cause and effect relationships was because both assessments need a more personal reflection and inputs from the learners, they differ because absorbing and information processing is different from each </w:t>
      </w:r>
      <w:r w:rsidRPr="00730471">
        <w:rPr>
          <w:rFonts w:ascii="Arial" w:hAnsi="Arial" w:cs="Arial"/>
          <w:sz w:val="24"/>
          <w:szCs w:val="24"/>
        </w:rPr>
        <w:lastRenderedPageBreak/>
        <w:t xml:space="preserve">group which could be affected by the kind of environment they have. As according to Kollmuss and Agyeman (2002) </w:t>
      </w:r>
      <w:r w:rsidRPr="00730471">
        <w:rPr>
          <w:rFonts w:ascii="Arial" w:hAnsi="Arial" w:cs="Arial"/>
          <w:sz w:val="24"/>
          <w:szCs w:val="24"/>
          <w:highlight w:val="white"/>
        </w:rPr>
        <w:t>Rickinson (2001) and Jensen (2002)</w:t>
      </w:r>
      <w:r w:rsidRPr="00730471">
        <w:rPr>
          <w:rFonts w:ascii="Arial" w:hAnsi="Arial" w:cs="Arial"/>
          <w:sz w:val="24"/>
          <w:szCs w:val="24"/>
        </w:rPr>
        <w:t xml:space="preserve">, that internal factors like values, emotion and personal reflection and external factors like social and environmental context shapes individuals process information, which means that knowledge alone does not automatically lead to action or deeper understanding. </w:t>
      </w:r>
    </w:p>
    <w:p w14:paraId="47098AB2" w14:textId="77777777" w:rsidR="00BF019E" w:rsidRPr="00FC39B5" w:rsidRDefault="00CB26E4" w:rsidP="008F26AB">
      <w:pPr>
        <w:spacing w:line="360" w:lineRule="auto"/>
        <w:ind w:firstLine="720"/>
        <w:jc w:val="both"/>
        <w:rPr>
          <w:rFonts w:ascii="Arial" w:hAnsi="Arial" w:cs="Arial"/>
          <w:b/>
          <w:bCs/>
          <w:sz w:val="24"/>
          <w:szCs w:val="24"/>
        </w:rPr>
      </w:pPr>
      <w:bookmarkStart w:id="36" w:name="_twyp2zl6vzee" w:colFirst="0" w:colLast="0"/>
      <w:bookmarkEnd w:id="36"/>
      <w:r w:rsidRPr="00FC39B5">
        <w:rPr>
          <w:rFonts w:ascii="Arial" w:hAnsi="Arial" w:cs="Arial"/>
          <w:b/>
          <w:bCs/>
          <w:sz w:val="24"/>
          <w:szCs w:val="24"/>
        </w:rPr>
        <w:t>4.2.2.2 Differences in Environmental Attitudes and Participation</w:t>
      </w:r>
    </w:p>
    <w:p w14:paraId="541AB50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During the FGDs and storytelling learners participation where different. 92.74% of learners from Sultan Mamarinta Panandigan Integrated School in terms of engagement have reached “Proficient”level comparing to a 76.43% of learners from  Cabili Village Elementary School but when it comes to learners reaching the “Excellent” Level Cabili Village Elementary School has a higher percentage comparing to Sultan Mamarinta Panandigan Integrated School. Thus, this data suggest that learners from Sultan Mamarinta Panandigan Integrated School tend to participate consistently, learners from Cabili Village Elementary School include more high or expressive learners. </w:t>
      </w:r>
    </w:p>
    <w:p w14:paraId="3A582AE7" w14:textId="44D21D1B"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clarity of expression, although both schools (SMIS 100% and CVES 95.54%) shows similar pattern with most learners at the “Proficient” level, Cabili Village Elementary School shows a small percentage of learners reaching “Developing” level (4.46%). Thus, indicating a slight variation in how clearly some learners express their ideas. In terms of respect for others' ideas, both schools reached “Developing” level (SMIS 92.74%, CVES 76.43%), this reflects a shared challenge in listening and responding appropriately during group discussions, regardless of school context. </w:t>
      </w:r>
    </w:p>
    <w:p w14:paraId="63729FFB" w14:textId="53E59906" w:rsidR="00BF019E" w:rsidRPr="00FC39B5" w:rsidRDefault="00CB26E4" w:rsidP="008F26AB">
      <w:pPr>
        <w:spacing w:line="360" w:lineRule="auto"/>
        <w:ind w:firstLine="720"/>
        <w:jc w:val="both"/>
        <w:rPr>
          <w:rFonts w:ascii="Arial" w:hAnsi="Arial" w:cs="Arial"/>
          <w:b/>
          <w:bCs/>
          <w:sz w:val="24"/>
          <w:szCs w:val="24"/>
        </w:rPr>
      </w:pPr>
      <w:r w:rsidRPr="00FC39B5">
        <w:rPr>
          <w:rFonts w:ascii="Arial" w:hAnsi="Arial" w:cs="Arial"/>
          <w:b/>
          <w:bCs/>
          <w:sz w:val="24"/>
          <w:szCs w:val="24"/>
        </w:rPr>
        <w:t>4.2.2.3Differences in Environmental Practices and Application</w:t>
      </w:r>
    </w:p>
    <w:p w14:paraId="3F7045A3"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participatory mapping and drawing activities, both school showed a strong ability to represent environmental ideas. However, although Sultan Mamarinta Panandigan Integrated School showed more percentage of learners reaching “Proficient” level 80.65% </w:t>
      </w:r>
      <w:r w:rsidRPr="00730471">
        <w:rPr>
          <w:rFonts w:ascii="Arial" w:hAnsi="Arial" w:cs="Arial"/>
          <w:sz w:val="24"/>
          <w:szCs w:val="24"/>
        </w:rPr>
        <w:lastRenderedPageBreak/>
        <w:t xml:space="preserve">compared to 68.15%  Cabili Village Elementary School has a higher percentage of learners reaching “excellent” level (15.92%). Thus, shows that Cabili Village Elementary School produced more varied outputs, while Sultan Mamarinta Panandigan Integrated School shows a consistent performance. </w:t>
      </w:r>
    </w:p>
    <w:p w14:paraId="512C55C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participatory mapping and drawing activities, although both schools showed a strong ability to represent environmental concepts, Sultan Mamarinta Panandigan Integrated School got more learners who reached the “Proficient” level (80.65%)  for accuracy of environmental representation. Cabili Village Elementary School on the other hand got 68.15% but has a slightly higher percentage of learners reaching the “Excellent” level (15.92%). In creativity and effort learners from Sultan Mamarinta Panandigan Integrated School mostly reached the “Proficient” level with a 92.74% comparing to 76.62% of Cabili Village Elementary School. This result only shows that Cabili Village Elementary School learners produced more varied outputs, while Sultan Mamarinta Panandigan Integrated School learners showed a more consistent performance. </w:t>
      </w:r>
    </w:p>
    <w:p w14:paraId="2CE4A6A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explanation of drawings, more learners from Cabili Village Elementary School have reached the “Excellent” level with a 9.55%. Although both schools' results show that most of their learners reached the “Proficient” level, this result still suggests that while most of the learners can explain their work, the depth of explanation varies slightly between schools. In eco-walk and observational journal activities both schools showed that most of the learners reached the “Developing” level (SMIS 87.90%, CVES 93.63%). This indicates that learners generally identify basic environmental features but struggles with deep observation. Furthermore, the reflection and analysis results shows that Sultan Mamarinta Panandigan Integrated School learners have a slightly higher percentage of student reaching the “proficient” level, which suggest that Sultan Mamarinta Panandigan Integrated School learners have a more stronger reflective response compared to learners of Cabili Village Elementary School. For descriptive language, </w:t>
      </w:r>
      <w:r w:rsidRPr="00730471">
        <w:rPr>
          <w:rFonts w:ascii="Arial" w:hAnsi="Arial" w:cs="Arial"/>
          <w:sz w:val="24"/>
          <w:szCs w:val="24"/>
        </w:rPr>
        <w:lastRenderedPageBreak/>
        <w:t xml:space="preserve">most of the learners from both schools reached the “Proficient” level suggesting that both learners from both schools have a similar ability in basic environmental description. In problem solving and suggested action, both schools showed a similar pattern in identifying solutions such as tree planting and cleanliness campaign, which indicates that most of the solutions learners suggest remain highly general rather than specific or actionable. However, Cabili Village Elementary School had a higher percentage of learners reaching “excellent” level for practicality of actions, which incates more varied ideas in some responses. </w:t>
      </w:r>
    </w:p>
    <w:p w14:paraId="5AD99D25" w14:textId="77777777" w:rsidR="00BF019E" w:rsidRPr="00FC39B5" w:rsidRDefault="00CB26E4" w:rsidP="008F26AB">
      <w:pPr>
        <w:spacing w:line="360" w:lineRule="auto"/>
        <w:ind w:left="720"/>
        <w:jc w:val="both"/>
        <w:rPr>
          <w:rFonts w:ascii="Arial" w:hAnsi="Arial" w:cs="Arial"/>
          <w:b/>
          <w:bCs/>
          <w:sz w:val="24"/>
          <w:szCs w:val="24"/>
        </w:rPr>
      </w:pPr>
      <w:bookmarkStart w:id="37" w:name="_vll0dcpsuo9r" w:colFirst="0" w:colLast="0"/>
      <w:bookmarkEnd w:id="37"/>
      <w:r w:rsidRPr="00FC39B5">
        <w:rPr>
          <w:rFonts w:ascii="Arial" w:hAnsi="Arial" w:cs="Arial"/>
          <w:b/>
          <w:bCs/>
          <w:sz w:val="24"/>
          <w:szCs w:val="24"/>
        </w:rPr>
        <w:t>4.2.2.3. Differences in Environmental Awareness (contextual and experiential factors)</w:t>
      </w:r>
    </w:p>
    <w:p w14:paraId="696E7DC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section will specifically answer SOP 2B, which focuses on the contextual and experiential factors that may cause for the observed differences in environmental awareness between learners from Cabili Village Elementary School and Sultan Mamarinta Panandigan Integrated School, as presented in Section 4.2.2. Unlike the previous section which described what differences may exist based on the learners environment, exposure, and lived experience. </w:t>
      </w:r>
    </w:p>
    <w:p w14:paraId="4EDC970F" w14:textId="77777777" w:rsidR="00BF019E" w:rsidRPr="00FC39B5" w:rsidRDefault="00CB26E4" w:rsidP="008F26AB">
      <w:pPr>
        <w:spacing w:line="360" w:lineRule="auto"/>
        <w:ind w:left="1440"/>
        <w:jc w:val="both"/>
        <w:rPr>
          <w:rFonts w:ascii="Arial" w:hAnsi="Arial" w:cs="Arial"/>
          <w:b/>
          <w:bCs/>
          <w:sz w:val="24"/>
          <w:szCs w:val="24"/>
        </w:rPr>
      </w:pPr>
      <w:bookmarkStart w:id="38" w:name="_hqdu15v8hz4" w:colFirst="0" w:colLast="0"/>
      <w:bookmarkEnd w:id="38"/>
      <w:r w:rsidRPr="00FC39B5">
        <w:rPr>
          <w:rFonts w:ascii="Arial" w:hAnsi="Arial" w:cs="Arial"/>
          <w:b/>
          <w:bCs/>
          <w:sz w:val="24"/>
          <w:szCs w:val="24"/>
        </w:rPr>
        <w:t>4.2.2.3.1 Contextual Factors (School and Community Environment)</w:t>
      </w:r>
    </w:p>
    <w:p w14:paraId="7F9BEAC5" w14:textId="77777777" w:rsidR="00BF019E" w:rsidRPr="00730471" w:rsidRDefault="00CB26E4" w:rsidP="008F26AB">
      <w:pPr>
        <w:spacing w:line="360" w:lineRule="auto"/>
        <w:ind w:left="1440" w:firstLine="720"/>
        <w:jc w:val="both"/>
        <w:rPr>
          <w:rFonts w:ascii="Arial" w:hAnsi="Arial" w:cs="Arial"/>
          <w:sz w:val="24"/>
          <w:szCs w:val="24"/>
        </w:rPr>
      </w:pPr>
      <w:r w:rsidRPr="00730471">
        <w:rPr>
          <w:rFonts w:ascii="Arial" w:hAnsi="Arial" w:cs="Arial"/>
          <w:sz w:val="24"/>
          <w:szCs w:val="24"/>
        </w:rPr>
        <w:t xml:space="preserve">One of the key factors that may explain differences in environmental awareness is the learners’ surrounding environment. According to Kollmuss and Agyeman (2002) </w:t>
      </w:r>
      <w:r w:rsidRPr="00730471">
        <w:rPr>
          <w:rFonts w:ascii="Arial" w:hAnsi="Arial" w:cs="Arial"/>
          <w:sz w:val="24"/>
          <w:szCs w:val="24"/>
          <w:highlight w:val="white"/>
        </w:rPr>
        <w:t>Rickinson (2001) and Jensen (2002)</w:t>
      </w:r>
      <w:r w:rsidRPr="00730471">
        <w:rPr>
          <w:rFonts w:ascii="Arial" w:hAnsi="Arial" w:cs="Arial"/>
          <w:sz w:val="24"/>
          <w:szCs w:val="24"/>
        </w:rPr>
        <w:t xml:space="preserve">, social and environmental context shapes individuals' process information. Both schools are located near dumpsite areas, but their immediate contexts differ in terms of exposure and daily interaction with environmental conditions. Learners from Sultan Mamarinta Panandigan Integrated School, which is situated in a rural-highland environment, are generally exposed to more natural surroundings such as open land, vegetation, and lease densely </w:t>
      </w:r>
      <w:r w:rsidRPr="00730471">
        <w:rPr>
          <w:rFonts w:ascii="Arial" w:hAnsi="Arial" w:cs="Arial"/>
          <w:sz w:val="24"/>
          <w:szCs w:val="24"/>
        </w:rPr>
        <w:lastRenderedPageBreak/>
        <w:t xml:space="preserve">populated areas. This type of environment may contribute to their stronger performance in cause-and-effect reasoning and their consistent uniformity in their responses and ideas. On the other hand, Cabili Village Elementary School, located in an urban-coastal environment, is exposed to a busier environment with higher human activity, mixed land use, and visible waste management issues. This may explain why Cabili Village Elementary School learners showed more variability in responses, some demonstrating high engagement and expressive ideas, while others showed minimal to less. Thus, suggest that environmental exposure does not only shapes awareness but also influences how learners process and express environmental ideas. </w:t>
      </w:r>
    </w:p>
    <w:p w14:paraId="1B8A7CFB" w14:textId="77777777" w:rsidR="00BF019E" w:rsidRPr="00FC39B5" w:rsidRDefault="00CB26E4" w:rsidP="008F26AB">
      <w:pPr>
        <w:spacing w:line="360" w:lineRule="auto"/>
        <w:ind w:left="1440"/>
        <w:jc w:val="both"/>
        <w:rPr>
          <w:rFonts w:ascii="Arial" w:hAnsi="Arial" w:cs="Arial"/>
          <w:b/>
          <w:bCs/>
          <w:sz w:val="24"/>
          <w:szCs w:val="24"/>
        </w:rPr>
      </w:pPr>
      <w:bookmarkStart w:id="39" w:name="_kracgjfrhjh8" w:colFirst="0" w:colLast="0"/>
      <w:bookmarkEnd w:id="39"/>
      <w:r w:rsidRPr="00FC39B5">
        <w:rPr>
          <w:rFonts w:ascii="Arial" w:hAnsi="Arial" w:cs="Arial"/>
          <w:b/>
          <w:bCs/>
          <w:sz w:val="24"/>
          <w:szCs w:val="24"/>
        </w:rPr>
        <w:t>4.2.2.3.2 Experiential Factors (Learning Experience and Exposure to Activities)</w:t>
      </w:r>
    </w:p>
    <w:p w14:paraId="2AE974F0" w14:textId="77777777" w:rsidR="00BF019E" w:rsidRPr="00730471" w:rsidRDefault="00CB26E4" w:rsidP="008F26AB">
      <w:pPr>
        <w:spacing w:line="360" w:lineRule="auto"/>
        <w:ind w:left="1440" w:firstLine="720"/>
        <w:jc w:val="both"/>
        <w:rPr>
          <w:rFonts w:ascii="Arial" w:hAnsi="Arial" w:cs="Arial"/>
          <w:sz w:val="24"/>
          <w:szCs w:val="24"/>
        </w:rPr>
      </w:pPr>
      <w:r w:rsidRPr="00730471">
        <w:rPr>
          <w:rFonts w:ascii="Arial" w:hAnsi="Arial" w:cs="Arial"/>
          <w:sz w:val="24"/>
          <w:szCs w:val="24"/>
        </w:rPr>
        <w:t xml:space="preserve">Another important factor is the learners actual learning experience, both inside and outside the classroom. Based on the results of the eco-walks and other participatory activities conducted in this study seen in section 4.1, learners from both schools were able to observe and describe environmental concepts. However, most responses remains at the descriptive level and deep analysis limited. Thus, indicates that while learners are given opportunities to experience environmental learning, these experiences are not always fully processed into deeper understanding. According to Dewey (1938), experience alone is not enough to achieve meaningful learning unless it is followed by reflection. In this study, learners were able to see and describe, but fewer were able to critically interpret what they observe. This ,ay also explain why both schools showed similar limitations in scientific vocabulary and deeper reflection skills. Without structured reflection and guided questioning, experiential activities tend to remain at the surface level. </w:t>
      </w:r>
    </w:p>
    <w:p w14:paraId="5937E72A" w14:textId="192FAB13" w:rsidR="00BF019E" w:rsidRPr="00FC39B5" w:rsidRDefault="00CB26E4" w:rsidP="008F26AB">
      <w:pPr>
        <w:spacing w:line="360" w:lineRule="auto"/>
        <w:ind w:left="1440"/>
        <w:jc w:val="both"/>
        <w:rPr>
          <w:rFonts w:ascii="Arial" w:hAnsi="Arial" w:cs="Arial"/>
          <w:b/>
          <w:bCs/>
          <w:sz w:val="24"/>
          <w:szCs w:val="24"/>
        </w:rPr>
      </w:pPr>
      <w:bookmarkStart w:id="40" w:name="_frq2mfz0jgr9" w:colFirst="0" w:colLast="0"/>
      <w:bookmarkEnd w:id="40"/>
      <w:r w:rsidRPr="00FC39B5">
        <w:rPr>
          <w:rFonts w:ascii="Arial" w:hAnsi="Arial" w:cs="Arial"/>
          <w:b/>
          <w:bCs/>
          <w:sz w:val="24"/>
          <w:szCs w:val="24"/>
        </w:rPr>
        <w:lastRenderedPageBreak/>
        <w:t>4.2.2.</w:t>
      </w:r>
      <w:r w:rsidR="00FC39B5">
        <w:rPr>
          <w:rFonts w:ascii="Arial" w:hAnsi="Arial" w:cs="Arial"/>
          <w:b/>
          <w:bCs/>
          <w:sz w:val="24"/>
          <w:szCs w:val="24"/>
        </w:rPr>
        <w:t>3</w:t>
      </w:r>
      <w:r w:rsidRPr="00FC39B5">
        <w:rPr>
          <w:rFonts w:ascii="Arial" w:hAnsi="Arial" w:cs="Arial"/>
          <w:b/>
          <w:bCs/>
          <w:sz w:val="24"/>
          <w:szCs w:val="24"/>
        </w:rPr>
        <w:t>.</w:t>
      </w:r>
      <w:r w:rsidR="00FC39B5">
        <w:rPr>
          <w:rFonts w:ascii="Arial" w:hAnsi="Arial" w:cs="Arial"/>
          <w:b/>
          <w:bCs/>
          <w:sz w:val="24"/>
          <w:szCs w:val="24"/>
        </w:rPr>
        <w:t>4</w:t>
      </w:r>
      <w:r w:rsidRPr="00FC39B5">
        <w:rPr>
          <w:rFonts w:ascii="Arial" w:hAnsi="Arial" w:cs="Arial"/>
          <w:b/>
          <w:bCs/>
          <w:sz w:val="24"/>
          <w:szCs w:val="24"/>
        </w:rPr>
        <w:t xml:space="preserve">  Socio-educational Influence on Learning Development</w:t>
      </w:r>
    </w:p>
    <w:p w14:paraId="50AC1724" w14:textId="77777777" w:rsidR="00BF019E" w:rsidRDefault="00CB26E4" w:rsidP="008F26AB">
      <w:pPr>
        <w:spacing w:line="360" w:lineRule="auto"/>
        <w:ind w:left="1440" w:firstLine="720"/>
        <w:jc w:val="both"/>
        <w:rPr>
          <w:rFonts w:ascii="Arial" w:hAnsi="Arial" w:cs="Arial"/>
          <w:sz w:val="24"/>
          <w:szCs w:val="24"/>
        </w:rPr>
      </w:pPr>
      <w:r w:rsidRPr="00730471">
        <w:rPr>
          <w:rFonts w:ascii="Arial" w:hAnsi="Arial" w:cs="Arial"/>
          <w:sz w:val="24"/>
          <w:szCs w:val="24"/>
        </w:rPr>
        <w:t xml:space="preserve">The classroom environment and teaching approaches also contribute to the difference in environmental awareness. Based on the result both learners from both schools showed a strong performance in basic identification of environmental issues, but weaker performance in scientific and deeper explanation. This suggests that instruction in both schools may put more emphasis on fundamental knowledge rather than higher-order thinking skills such as analysis, evaluation, and application. This aligns with Tilbury (1995), who emphasized that environmental education is more effective when it moves beyond awareness and includes active participation and critical engagement. This is inevitable as there is no subject dedicated only to environmental education, most of the knowledge and information about the environmental concepts are a collective data from different subject matter discussing the environment. As a result, learners develop awareness, but struggle to translate this into structured reasoning or action-based understanding. </w:t>
      </w:r>
    </w:p>
    <w:p w14:paraId="7BC42B85" w14:textId="77777777" w:rsidR="008F26AB" w:rsidRPr="00730471" w:rsidRDefault="008F26AB" w:rsidP="008F26AB">
      <w:pPr>
        <w:spacing w:line="360" w:lineRule="auto"/>
        <w:ind w:left="1440" w:firstLine="720"/>
        <w:jc w:val="both"/>
        <w:rPr>
          <w:rFonts w:ascii="Arial" w:hAnsi="Arial" w:cs="Arial"/>
          <w:sz w:val="24"/>
          <w:szCs w:val="24"/>
        </w:rPr>
      </w:pPr>
    </w:p>
    <w:p w14:paraId="75009498" w14:textId="77777777" w:rsidR="00BF019E" w:rsidRPr="00FC39B5" w:rsidRDefault="00CB26E4" w:rsidP="008F26AB">
      <w:pPr>
        <w:spacing w:line="360" w:lineRule="auto"/>
        <w:jc w:val="both"/>
        <w:rPr>
          <w:rFonts w:ascii="Arial" w:hAnsi="Arial" w:cs="Arial"/>
          <w:b/>
          <w:bCs/>
          <w:sz w:val="24"/>
          <w:szCs w:val="24"/>
        </w:rPr>
      </w:pPr>
      <w:bookmarkStart w:id="41" w:name="_7selmknjyl6q" w:colFirst="0" w:colLast="0"/>
      <w:bookmarkEnd w:id="41"/>
      <w:r w:rsidRPr="00FC39B5">
        <w:rPr>
          <w:rFonts w:ascii="Arial" w:hAnsi="Arial" w:cs="Arial"/>
          <w:b/>
          <w:bCs/>
          <w:sz w:val="24"/>
          <w:szCs w:val="24"/>
        </w:rPr>
        <w:t>4.3 Pedagogical Implications for the Development of a Deweyan-Inspired Instructional Toolkit</w:t>
      </w:r>
    </w:p>
    <w:p w14:paraId="3251873A" w14:textId="145F3CBE"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development of a Deweyan-inspired Instructional Toolkit emphasizes experiential, inquire-based and community engaged learning. The Develop Instructional Toolkit must emphasize experiential learning and  inquire-based learning as the findings suggest that the traditional learning strategies are seen to be lacking in a depth articulation and understanding of environmental concepts and relationships and the strength to help students develop willingness to engage into environmental practice. That’s why this study makes sure that the developed instructional toolkit will not lecture-focus but is interactive and guided inquiry-based. Findings have also shown that </w:t>
      </w:r>
      <w:r w:rsidRPr="00730471">
        <w:rPr>
          <w:rFonts w:ascii="Arial" w:hAnsi="Arial" w:cs="Arial"/>
          <w:sz w:val="24"/>
          <w:szCs w:val="24"/>
        </w:rPr>
        <w:lastRenderedPageBreak/>
        <w:t>socioeconomic status and the environment the students belong to has an effect on how they perceive the environment and process environmental information. That's why the develop instructional toolkit should be locally grounded, including themes and topics that are locally relevant and relatable</w:t>
      </w:r>
      <w:r w:rsidR="00FC39B5">
        <w:rPr>
          <w:rFonts w:ascii="Arial" w:hAnsi="Arial" w:cs="Arial"/>
          <w:sz w:val="24"/>
          <w:szCs w:val="24"/>
        </w:rPr>
        <w:t xml:space="preserve">. </w:t>
      </w:r>
    </w:p>
    <w:p w14:paraId="7CBD8738" w14:textId="54C2AAA1"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w:t>
      </w:r>
      <w:r w:rsidR="00FC39B5">
        <w:rPr>
          <w:rFonts w:ascii="Arial" w:hAnsi="Arial" w:cs="Arial"/>
          <w:sz w:val="24"/>
          <w:szCs w:val="24"/>
        </w:rPr>
        <w:tab/>
      </w:r>
      <w:r w:rsidRPr="00730471">
        <w:rPr>
          <w:rFonts w:ascii="Arial" w:hAnsi="Arial" w:cs="Arial"/>
          <w:sz w:val="24"/>
          <w:szCs w:val="24"/>
        </w:rPr>
        <w:t xml:space="preserve">These Implications are expected to lead learners to learn their roles as a part of the environment - a manifestation of Arne Naess’s Biospheric egalitarianism - and engage in communal environmental action. Aside from the developed toolkit the study suggests schools, community and institutions to give extra credit and support to clubs that are environmentally related and beneficial. Based on these principles, the researcher developed a Deweyan-inspired environmental education toolkit consisting of the following modules: </w:t>
      </w:r>
    </w:p>
    <w:p w14:paraId="0DF976AB"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first module “Nature and Me” aims to develop the knowledge and Inquiry skills of the learners. This module focuses on the question “what is my relationship with nature?” Through answering these questions the learner is expected to discover what is the environment, ecosystem and the natural resources independently- understands this concept using their own way of acquiring information through their observation on their relationship with the environment. Activities in this module include lectures, observations, drawing and reflection, this activities creates an interactive and inquiry-based learning. Module 2 “Seeing and feeling the Earth” aims to develop reflection and emotion of the learners towards the environment. Similar to the first module this module focuses on one question which is “How do my actions affect the environment?”. In answering this question learners are expected to develop empathy for nature, understand the nature-human relationship and the cause-and-effect of these actions. And lastly module 3 “Acting for the Planet”, aims to develop the sense of Responsibility &amp; Citizenship of the learners. At the end of the module the learner is expected to understand Environmental care, civic responsibility, and sustainability through answering this question “What can I do to help?”.  Each module is designed for 1 week of activities (or 2–3 sessions), which is also designed to be adaptable for various subjects, given there is no subject designated only for environmental education. </w:t>
      </w:r>
    </w:p>
    <w:p w14:paraId="364A3365" w14:textId="77777777" w:rsidR="00BF019E" w:rsidRPr="00FC39B5" w:rsidRDefault="00CB26E4" w:rsidP="008F26AB">
      <w:pPr>
        <w:spacing w:line="360" w:lineRule="auto"/>
        <w:ind w:firstLine="720"/>
        <w:jc w:val="both"/>
        <w:rPr>
          <w:rFonts w:ascii="Arial" w:hAnsi="Arial" w:cs="Arial"/>
          <w:b/>
          <w:bCs/>
          <w:sz w:val="24"/>
          <w:szCs w:val="24"/>
        </w:rPr>
      </w:pPr>
      <w:r w:rsidRPr="00FC39B5">
        <w:rPr>
          <w:rFonts w:ascii="Arial" w:hAnsi="Arial" w:cs="Arial"/>
          <w:b/>
          <w:bCs/>
          <w:sz w:val="24"/>
          <w:szCs w:val="24"/>
        </w:rPr>
        <w:t>4.3.1 Deweyan-Inspired Instructional Toolkit</w:t>
      </w:r>
    </w:p>
    <w:p w14:paraId="53D51F1D" w14:textId="24AA132D" w:rsidR="00DC16E9"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The title of the develop Dewey-Inspired instructional Toolkit will be “LUNTIAN: Learning and Understanding Nature Through Inquiry, Action, and Nurture”. Through the this toolkit learners are expected to not just develop awareness of the basic environmental concept but to have a critical, reflective thinking and empathy to the environment. Which would eventually lead learners to engage in environmental actions. This toolkit also expects to empower teachers to act as facilitators of experiential, reflective, and moral learning, fulfilling DepEd’s goal of nurturing environmentally responsible and values-driven Filipino citizens.</w:t>
      </w:r>
    </w:p>
    <w:p w14:paraId="11746062" w14:textId="5285031C"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 Toolkit Overview</w:t>
      </w:r>
    </w:p>
    <w:p w14:paraId="38A24075"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Purpose</w:t>
      </w:r>
    </w:p>
    <w:p w14:paraId="438F8C77" w14:textId="77777777" w:rsidR="00BF019E" w:rsidRPr="00730471" w:rsidRDefault="00CB26E4" w:rsidP="008F26AB">
      <w:pPr>
        <w:spacing w:after="0" w:line="360" w:lineRule="auto"/>
        <w:ind w:firstLine="720"/>
        <w:jc w:val="both"/>
        <w:rPr>
          <w:rFonts w:ascii="Arial" w:hAnsi="Arial" w:cs="Arial"/>
          <w:sz w:val="24"/>
          <w:szCs w:val="24"/>
        </w:rPr>
      </w:pPr>
      <w:r w:rsidRPr="00730471">
        <w:rPr>
          <w:rFonts w:ascii="Arial" w:hAnsi="Arial" w:cs="Arial"/>
          <w:sz w:val="24"/>
          <w:szCs w:val="24"/>
        </w:rPr>
        <w:t>The LUNTIAN Toolkit is designed to help teachers and students cultivate environmental consciousness through experiential, reflective, and community-based learning.</w:t>
      </w:r>
      <w:r w:rsidRPr="00730471">
        <w:rPr>
          <w:rFonts w:ascii="Arial" w:hAnsi="Arial" w:cs="Arial"/>
          <w:sz w:val="24"/>
          <w:szCs w:val="24"/>
        </w:rPr>
        <w:br/>
      </w:r>
      <w:r w:rsidRPr="00730471">
        <w:rPr>
          <w:rFonts w:ascii="Arial" w:hAnsi="Arial" w:cs="Arial"/>
          <w:sz w:val="24"/>
          <w:szCs w:val="24"/>
        </w:rPr>
        <w:tab/>
        <w:t>It bridges classroom knowledge and real-world ecological action, following John Dewey’s principle that “We do not learn from experience… we learn from reflecting on experience.”</w:t>
      </w:r>
    </w:p>
    <w:p w14:paraId="384468C3" w14:textId="77777777" w:rsidR="00FC39B5" w:rsidRDefault="00FC39B5" w:rsidP="008F26AB">
      <w:pPr>
        <w:spacing w:after="0" w:line="360" w:lineRule="auto"/>
        <w:jc w:val="both"/>
        <w:rPr>
          <w:rFonts w:ascii="Arial" w:hAnsi="Arial" w:cs="Arial"/>
          <w:sz w:val="24"/>
          <w:szCs w:val="24"/>
        </w:rPr>
      </w:pPr>
    </w:p>
    <w:p w14:paraId="750C8167" w14:textId="1D3FEBC3"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Target Users</w:t>
      </w:r>
    </w:p>
    <w:p w14:paraId="7BCD33E4" w14:textId="3373E146"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Primary Users: Grade 5–6 learners</w:t>
      </w:r>
    </w:p>
    <w:p w14:paraId="0A4CAC31"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Facilitators: Teachers in Science, Araling Panlipunan, and Edukasyon sa Pagpapakatao (EsP)</w:t>
      </w:r>
    </w:p>
    <w:p w14:paraId="61EE02EA" w14:textId="77777777" w:rsidR="00FC39B5" w:rsidRDefault="00FC39B5" w:rsidP="008F26AB">
      <w:pPr>
        <w:spacing w:after="0" w:line="360" w:lineRule="auto"/>
        <w:jc w:val="both"/>
        <w:rPr>
          <w:rFonts w:ascii="Arial" w:hAnsi="Arial" w:cs="Arial"/>
          <w:sz w:val="24"/>
          <w:szCs w:val="24"/>
        </w:rPr>
      </w:pPr>
    </w:p>
    <w:p w14:paraId="3A7678BE" w14:textId="3A441BDF"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Duration: 3–4 weeks (flexible for classroom or project-based integration)</w:t>
      </w:r>
    </w:p>
    <w:p w14:paraId="35E699C0" w14:textId="77777777" w:rsidR="00FC39B5" w:rsidRDefault="00FC39B5" w:rsidP="008F26AB">
      <w:pPr>
        <w:spacing w:after="0" w:line="360" w:lineRule="auto"/>
        <w:jc w:val="both"/>
        <w:rPr>
          <w:rFonts w:ascii="Arial" w:hAnsi="Arial" w:cs="Arial"/>
          <w:sz w:val="24"/>
          <w:szCs w:val="24"/>
        </w:rPr>
      </w:pPr>
    </w:p>
    <w:p w14:paraId="6E02D98D" w14:textId="02F2C119"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DepEd Alignment</w:t>
      </w:r>
    </w:p>
    <w:p w14:paraId="7E60EFD4"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Aligned with the Most Essential Learning Competencies (MELCs):</w:t>
      </w:r>
    </w:p>
    <w:p w14:paraId="67DD90B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Science: Interactions of living things; ways of caring for the environment.</w:t>
      </w:r>
    </w:p>
    <w:p w14:paraId="3A05FB06"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Araling Panlipunan: Human-environment relationships and community actions.</w:t>
      </w:r>
    </w:p>
    <w:p w14:paraId="127BEBA6"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EsP: Demonstrates care, honesty, and responsibility toward others and nature.</w:t>
      </w:r>
    </w:p>
    <w:p w14:paraId="370C0A4F" w14:textId="77777777" w:rsidR="00BF019E" w:rsidRPr="00730471" w:rsidRDefault="00BF019E" w:rsidP="008F26AB">
      <w:pPr>
        <w:spacing w:after="0" w:line="360" w:lineRule="auto"/>
        <w:jc w:val="both"/>
        <w:rPr>
          <w:rFonts w:ascii="Arial" w:hAnsi="Arial" w:cs="Arial"/>
          <w:sz w:val="24"/>
          <w:szCs w:val="24"/>
        </w:rPr>
      </w:pPr>
    </w:p>
    <w:p w14:paraId="63F44BB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II. Objectives and Learning Outcomes</w:t>
      </w:r>
    </w:p>
    <w:p w14:paraId="2E09B59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General Objective</w:t>
      </w:r>
    </w:p>
    <w:p w14:paraId="4587992D"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To strengthen children’s environmental consciousness through hands-on, reflective, and community-based experiences that integrate science, values, and social learning.</w:t>
      </w:r>
    </w:p>
    <w:p w14:paraId="16217987" w14:textId="77777777" w:rsidR="00FC39B5" w:rsidRDefault="00FC39B5" w:rsidP="008F26AB">
      <w:pPr>
        <w:spacing w:after="0" w:line="360" w:lineRule="auto"/>
        <w:jc w:val="both"/>
        <w:rPr>
          <w:rFonts w:ascii="Arial" w:hAnsi="Arial" w:cs="Arial"/>
          <w:sz w:val="24"/>
          <w:szCs w:val="24"/>
        </w:rPr>
      </w:pPr>
    </w:p>
    <w:p w14:paraId="7E0C25D7" w14:textId="434701EB"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Specific Learning Outcomes</w:t>
      </w:r>
    </w:p>
    <w:p w14:paraId="3314A8C9" w14:textId="77777777" w:rsidR="00BF019E" w:rsidRPr="00FC39B5" w:rsidRDefault="00CB26E4" w:rsidP="008F26AB">
      <w:pPr>
        <w:spacing w:after="0" w:line="360" w:lineRule="auto"/>
        <w:jc w:val="both"/>
        <w:rPr>
          <w:rFonts w:ascii="Arial" w:hAnsi="Arial" w:cs="Arial"/>
          <w:sz w:val="24"/>
          <w:szCs w:val="24"/>
        </w:rPr>
      </w:pPr>
      <w:r w:rsidRPr="00FC39B5">
        <w:rPr>
          <w:rFonts w:ascii="Arial" w:hAnsi="Arial" w:cs="Arial"/>
          <w:sz w:val="24"/>
          <w:szCs w:val="24"/>
        </w:rPr>
        <w:t>By the end of this toolkit, students will be able to:</w:t>
      </w:r>
    </w:p>
    <w:p w14:paraId="3A9BEE47"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Identify and explain local environmental issues using appropriate vocabulary.</w:t>
      </w:r>
    </w:p>
    <w:p w14:paraId="0B10E9AC"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Demonstrate empathy and moral awareness toward environmental challenges.</w:t>
      </w:r>
    </w:p>
    <w:p w14:paraId="22E110BA"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Express creatively their understanding of nature through art, mapping, and storytelling.</w:t>
      </w:r>
    </w:p>
    <w:p w14:paraId="2F4B6D9D"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Engage in environmental actions that promote sustainability within their school or community.</w:t>
      </w:r>
    </w:p>
    <w:p w14:paraId="7BB8E2CB"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Reflect critically on their personal role in caring for the environment.</w:t>
      </w:r>
    </w:p>
    <w:p w14:paraId="7EE17FE0" w14:textId="77777777" w:rsidR="00BF019E" w:rsidRPr="00730471" w:rsidRDefault="00BF019E" w:rsidP="008F26AB">
      <w:pPr>
        <w:spacing w:after="0" w:line="360" w:lineRule="auto"/>
        <w:jc w:val="both"/>
        <w:rPr>
          <w:rFonts w:ascii="Arial" w:hAnsi="Arial" w:cs="Arial"/>
          <w:sz w:val="24"/>
          <w:szCs w:val="24"/>
        </w:rPr>
      </w:pPr>
    </w:p>
    <w:p w14:paraId="2BF3B79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III. Structured Content</w:t>
      </w:r>
    </w:p>
    <w:p w14:paraId="3FD65E57"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Module 1: Nature and Me (Awareness &amp; Inquiry)</w:t>
      </w:r>
    </w:p>
    <w:p w14:paraId="1DEE0494"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Key Concepts: Environment, ecosystem, natural resources</w:t>
      </w:r>
    </w:p>
    <w:p w14:paraId="4F32547E"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Focus Question: “What is my relationship with nature?”</w:t>
      </w:r>
    </w:p>
    <w:p w14:paraId="1597FB82" w14:textId="77777777" w:rsidR="00FC39B5" w:rsidRDefault="00FC39B5" w:rsidP="008F26AB">
      <w:pPr>
        <w:spacing w:after="0" w:line="360" w:lineRule="auto"/>
        <w:ind w:left="720"/>
        <w:jc w:val="both"/>
        <w:rPr>
          <w:rFonts w:ascii="Arial" w:hAnsi="Arial" w:cs="Arial"/>
          <w:sz w:val="24"/>
          <w:szCs w:val="24"/>
        </w:rPr>
      </w:pPr>
    </w:p>
    <w:p w14:paraId="58E03E7D" w14:textId="06A225FC"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Module 2: Seeing and Feeling the Earth (Reflection &amp; Emotion)</w:t>
      </w:r>
    </w:p>
    <w:p w14:paraId="2DCA1DA6"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Key Concepts: Empathy for nature, pollution, and balance</w:t>
      </w:r>
    </w:p>
    <w:p w14:paraId="3DE033C9"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Focus Question: “How do my actions affect the environment?”</w:t>
      </w:r>
    </w:p>
    <w:p w14:paraId="2A63B329" w14:textId="77777777" w:rsidR="00FC39B5" w:rsidRDefault="00FC39B5" w:rsidP="008F26AB">
      <w:pPr>
        <w:spacing w:after="0" w:line="360" w:lineRule="auto"/>
        <w:ind w:left="720"/>
        <w:jc w:val="both"/>
        <w:rPr>
          <w:rFonts w:ascii="Arial" w:hAnsi="Arial" w:cs="Arial"/>
          <w:sz w:val="24"/>
          <w:szCs w:val="24"/>
        </w:rPr>
      </w:pPr>
    </w:p>
    <w:p w14:paraId="5D2F6EA0" w14:textId="02985E3B"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Module 3: Acting for the Planet (Responsibility &amp; Citizenship)</w:t>
      </w:r>
    </w:p>
    <w:p w14:paraId="7FB3CA56"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Key Concepts: Environmental care, civic responsibility, sustainability</w:t>
      </w:r>
    </w:p>
    <w:p w14:paraId="2F6639C2"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Focus Question: “What can I do to help?”</w:t>
      </w:r>
    </w:p>
    <w:p w14:paraId="2ECDF88A" w14:textId="77777777" w:rsidR="00FC39B5" w:rsidRDefault="00FC39B5" w:rsidP="008F26AB">
      <w:pPr>
        <w:spacing w:after="0" w:line="360" w:lineRule="auto"/>
        <w:jc w:val="both"/>
        <w:rPr>
          <w:rFonts w:ascii="Arial" w:hAnsi="Arial" w:cs="Arial"/>
          <w:sz w:val="24"/>
          <w:szCs w:val="24"/>
        </w:rPr>
      </w:pPr>
    </w:p>
    <w:p w14:paraId="7FC28C55" w14:textId="4DDCE870"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lastRenderedPageBreak/>
        <w:t>Each module is designed for 1 week of activities (or 2–3 sessions), adaptable for various subjects.</w:t>
      </w:r>
    </w:p>
    <w:p w14:paraId="46CFB56D" w14:textId="77777777" w:rsidR="00FC39B5" w:rsidRDefault="00FC39B5" w:rsidP="008F26AB">
      <w:pPr>
        <w:spacing w:after="0" w:line="360" w:lineRule="auto"/>
        <w:ind w:left="720"/>
        <w:jc w:val="both"/>
        <w:rPr>
          <w:rFonts w:ascii="Arial" w:hAnsi="Arial" w:cs="Arial"/>
          <w:sz w:val="24"/>
          <w:szCs w:val="24"/>
        </w:rPr>
      </w:pPr>
    </w:p>
    <w:p w14:paraId="2A29313D" w14:textId="296FDE28"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 xml:space="preserve">Expanded Content </w:t>
      </w:r>
    </w:p>
    <w:tbl>
      <w:tblPr>
        <w:tblStyle w:val="a5"/>
        <w:tblW w:w="8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1095"/>
        <w:gridCol w:w="195"/>
        <w:gridCol w:w="1080"/>
        <w:gridCol w:w="615"/>
        <w:gridCol w:w="675"/>
        <w:gridCol w:w="1485"/>
        <w:gridCol w:w="1845"/>
      </w:tblGrid>
      <w:tr w:rsidR="00BF019E" w:rsidRPr="00730471" w14:paraId="7DD6CB64" w14:textId="77777777">
        <w:trPr>
          <w:trHeight w:val="350"/>
        </w:trPr>
        <w:tc>
          <w:tcPr>
            <w:tcW w:w="8445" w:type="dxa"/>
            <w:gridSpan w:val="8"/>
            <w:vAlign w:val="center"/>
          </w:tcPr>
          <w:p w14:paraId="0952B127" w14:textId="77777777" w:rsidR="00BF019E" w:rsidRPr="00730471" w:rsidRDefault="00BF019E" w:rsidP="008F26AB">
            <w:pPr>
              <w:spacing w:line="360" w:lineRule="auto"/>
              <w:jc w:val="both"/>
              <w:rPr>
                <w:rFonts w:ascii="Arial" w:hAnsi="Arial" w:cs="Arial"/>
                <w:sz w:val="24"/>
                <w:szCs w:val="24"/>
              </w:rPr>
            </w:pPr>
          </w:p>
          <w:p w14:paraId="4462DD4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MODULE 1: Nature and Me (Awareness &amp; Inquiry)</w:t>
            </w:r>
          </w:p>
          <w:p w14:paraId="1FD03B9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 do not learn from experience… we learn from reflecting on experience.” — John Dewey (1938, Experience and Education)</w:t>
            </w:r>
          </w:p>
          <w:p w14:paraId="128B1CA6" w14:textId="77777777" w:rsidR="00BF019E" w:rsidRPr="00730471" w:rsidRDefault="00BF019E" w:rsidP="008F26AB">
            <w:pPr>
              <w:spacing w:line="360" w:lineRule="auto"/>
              <w:jc w:val="both"/>
              <w:rPr>
                <w:rFonts w:ascii="Arial" w:hAnsi="Arial" w:cs="Arial"/>
                <w:sz w:val="24"/>
                <w:szCs w:val="24"/>
              </w:rPr>
            </w:pPr>
          </w:p>
        </w:tc>
      </w:tr>
      <w:tr w:rsidR="00BF019E" w:rsidRPr="00730471" w14:paraId="7192180C" w14:textId="77777777">
        <w:trPr>
          <w:trHeight w:val="350"/>
        </w:trPr>
        <w:tc>
          <w:tcPr>
            <w:tcW w:w="2745" w:type="dxa"/>
            <w:gridSpan w:val="3"/>
            <w:vMerge w:val="restart"/>
            <w:vAlign w:val="center"/>
          </w:tcPr>
          <w:p w14:paraId="3445B94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Objectives</w:t>
            </w:r>
          </w:p>
          <w:p w14:paraId="71E1E60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By the end of this module, students will be able to:</w:t>
            </w:r>
          </w:p>
          <w:p w14:paraId="0242A9C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Define “environment” and identify its components.</w:t>
            </w:r>
          </w:p>
          <w:p w14:paraId="5279291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Observe interactions among living and non-living things.</w:t>
            </w:r>
          </w:p>
          <w:p w14:paraId="0D2933D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Demonstrate curiosity through asking questions about nature.</w:t>
            </w:r>
          </w:p>
          <w:p w14:paraId="00B7891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Express their understanding through simple reflections or drawings.</w:t>
            </w:r>
          </w:p>
          <w:p w14:paraId="1C130F19"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2237007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Overview</w:t>
            </w:r>
          </w:p>
          <w:p w14:paraId="33196DB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This module introduces learners to the environment as an interconnected system. It helps them recognize their role in nature through observation, curiosity, and reflection — the foundation of environmental consciousness.</w:t>
            </w:r>
          </w:p>
        </w:tc>
      </w:tr>
      <w:tr w:rsidR="00BF019E" w:rsidRPr="00730471" w14:paraId="1CA7528C" w14:textId="77777777">
        <w:trPr>
          <w:trHeight w:val="350"/>
        </w:trPr>
        <w:tc>
          <w:tcPr>
            <w:tcW w:w="2745" w:type="dxa"/>
            <w:gridSpan w:val="3"/>
            <w:vMerge/>
            <w:vAlign w:val="center"/>
          </w:tcPr>
          <w:p w14:paraId="0CB16668"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0CB25E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Concept: Environment and Interdependence</w:t>
            </w:r>
          </w:p>
          <w:p w14:paraId="31D2C4C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The environment is everything around us—living (plants, animals, humans) and non-living (air, water, soil)—that interact to sustain life. Environmental awareness begins when children understand that they are part of nature, not separate from it. According to NAAEE (2024), early exposure to environmental learning improves children’s empathy, problem-solving, and sense of responsibility.</w:t>
            </w:r>
          </w:p>
          <w:p w14:paraId="7DD2D7A2" w14:textId="77777777" w:rsidR="00BF019E" w:rsidRPr="00730471" w:rsidRDefault="00BF019E" w:rsidP="008F26AB">
            <w:pPr>
              <w:spacing w:line="360" w:lineRule="auto"/>
              <w:jc w:val="both"/>
              <w:rPr>
                <w:rFonts w:ascii="Arial" w:hAnsi="Arial" w:cs="Arial"/>
                <w:sz w:val="24"/>
                <w:szCs w:val="24"/>
              </w:rPr>
            </w:pPr>
          </w:p>
        </w:tc>
      </w:tr>
      <w:tr w:rsidR="00BF019E" w:rsidRPr="00730471" w14:paraId="0DC73475" w14:textId="77777777">
        <w:trPr>
          <w:trHeight w:val="350"/>
        </w:trPr>
        <w:tc>
          <w:tcPr>
            <w:tcW w:w="2745" w:type="dxa"/>
            <w:gridSpan w:val="3"/>
            <w:vMerge/>
            <w:vAlign w:val="center"/>
          </w:tcPr>
          <w:p w14:paraId="5A167F87"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2C27408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Pre-Test (Optional)</w:t>
            </w:r>
          </w:p>
          <w:p w14:paraId="78E23BE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Instructions: Answer the following before starting.</w:t>
            </w:r>
          </w:p>
          <w:p w14:paraId="1A20D8B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is an environment?</w:t>
            </w:r>
          </w:p>
          <w:p w14:paraId="7927EA5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Name one living and one non-living thing around you.</w:t>
            </w:r>
          </w:p>
          <w:p w14:paraId="0B559BA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How do humans use nature?</w:t>
            </w:r>
          </w:p>
          <w:p w14:paraId="6E40B79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Why should we care for our surroundings?</w:t>
            </w:r>
          </w:p>
          <w:p w14:paraId="43D12ED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What is one thing you can do to help the environment?</w:t>
            </w:r>
          </w:p>
          <w:p w14:paraId="4AFE0308" w14:textId="77777777" w:rsidR="00BF019E" w:rsidRPr="00730471" w:rsidRDefault="00BF019E" w:rsidP="008F26AB">
            <w:pPr>
              <w:spacing w:line="360" w:lineRule="auto"/>
              <w:jc w:val="both"/>
              <w:rPr>
                <w:rFonts w:ascii="Arial" w:hAnsi="Arial" w:cs="Arial"/>
                <w:sz w:val="24"/>
                <w:szCs w:val="24"/>
              </w:rPr>
            </w:pPr>
          </w:p>
        </w:tc>
      </w:tr>
      <w:tr w:rsidR="00BF019E" w:rsidRPr="00730471" w14:paraId="78E5038B" w14:textId="77777777">
        <w:trPr>
          <w:trHeight w:val="350"/>
        </w:trPr>
        <w:tc>
          <w:tcPr>
            <w:tcW w:w="8445" w:type="dxa"/>
            <w:gridSpan w:val="8"/>
            <w:vAlign w:val="center"/>
          </w:tcPr>
          <w:p w14:paraId="2E342B3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Introduction</w:t>
            </w:r>
          </w:p>
          <w:p w14:paraId="226ADE7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The environment includes everything around us — air, water, plants, animals, and people. We depend on it for life. Learning about it helps us care for it better. This module follows Dewey’s idea that learning happens through experience and reflection. Students will explore, observe, and discuss their surroundings to build awareness</w:t>
            </w:r>
          </w:p>
        </w:tc>
      </w:tr>
      <w:tr w:rsidR="00BF019E" w:rsidRPr="00730471" w14:paraId="6D7E8C39" w14:textId="77777777" w:rsidTr="008F26AB">
        <w:trPr>
          <w:trHeight w:val="6470"/>
        </w:trPr>
        <w:tc>
          <w:tcPr>
            <w:tcW w:w="8445" w:type="dxa"/>
            <w:gridSpan w:val="8"/>
            <w:vAlign w:val="center"/>
          </w:tcPr>
          <w:p w14:paraId="04C5F1E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Lecture / Concept Definition</w:t>
            </w:r>
          </w:p>
          <w:p w14:paraId="38DE991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What is the environment? </w:t>
            </w:r>
          </w:p>
          <w:p w14:paraId="4EA4D81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The environment is everything around us — the air we breathe, the land we walk on, the water we drink, the animals, plants, and even the weather. All these parts work together like a team to make life possible. When one part changes, it affects the others — that’s why we must take care of every part of our environment. (National Geographic Society, n.d.). </w:t>
            </w:r>
          </w:p>
          <w:p w14:paraId="250282B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Why does it matter? Early exposure to environmental education supports cognition, attitudes and behaviours beneficial to the planet and to children’s development. (North American Association for Environmental Education, n.d.)</w:t>
            </w:r>
          </w:p>
          <w:p w14:paraId="6C5D34DD" w14:textId="77777777" w:rsidR="00BF019E" w:rsidRPr="00730471" w:rsidRDefault="00BF019E" w:rsidP="008F26AB">
            <w:pPr>
              <w:spacing w:line="360" w:lineRule="auto"/>
              <w:jc w:val="both"/>
              <w:rPr>
                <w:rFonts w:ascii="Arial" w:hAnsi="Arial" w:cs="Arial"/>
                <w:sz w:val="24"/>
                <w:szCs w:val="24"/>
              </w:rPr>
            </w:pPr>
          </w:p>
          <w:p w14:paraId="4EC1FDB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Focus: “What is my relationship with nature?” Encourage learners to reflect: how do they use natural resources, what do they notice in their surroundings, how are their lives dependent on and influencing environments.</w:t>
            </w:r>
            <w:r w:rsidRPr="00730471">
              <w:rPr>
                <w:rFonts w:ascii="Arial" w:hAnsi="Arial" w:cs="Arial"/>
                <w:sz w:val="24"/>
                <w:szCs w:val="24"/>
              </w:rPr>
              <w:br/>
              <w:t>Key terms to define for learners: ecosystem, natural resource, biodiversity, human-environment interaction.</w:t>
            </w:r>
          </w:p>
          <w:p w14:paraId="032E4F7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Structured Content</w:t>
            </w:r>
          </w:p>
          <w:p w14:paraId="22AA30E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The Components of our Environment</w:t>
            </w:r>
          </w:p>
          <w:p w14:paraId="76224CF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Living Things (plants, animals, humans)</w:t>
            </w:r>
          </w:p>
          <w:p w14:paraId="1CEF315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Non-Living Things (soil, water, air, rocks)</w:t>
            </w:r>
          </w:p>
          <w:p w14:paraId="1F44A47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Interactions and Dependencies</w:t>
            </w:r>
          </w:p>
          <w:p w14:paraId="2765EBC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How plants and animals depend on each other and on non-</w:t>
            </w:r>
            <w:r w:rsidRPr="00730471">
              <w:rPr>
                <w:rFonts w:ascii="Arial" w:hAnsi="Arial" w:cs="Arial"/>
                <w:sz w:val="24"/>
                <w:szCs w:val="24"/>
              </w:rPr>
              <w:lastRenderedPageBreak/>
              <w:t>living things</w:t>
            </w:r>
          </w:p>
          <w:p w14:paraId="0C1311E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How humans use and affect the environment</w:t>
            </w:r>
          </w:p>
          <w:p w14:paraId="52A19D6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Inquiry Skills for Nature</w:t>
            </w:r>
          </w:p>
          <w:p w14:paraId="1D1F9EB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Observation (what do you see/feel?)</w:t>
            </w:r>
          </w:p>
          <w:p w14:paraId="6119358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Questioning (why is this here? what’s happening?)</w:t>
            </w:r>
          </w:p>
          <w:p w14:paraId="1F26CAA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Recording (drawing, journalling, photographing)</w:t>
            </w:r>
          </w:p>
          <w:p w14:paraId="2E39C11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Core Information / Tips for Teachers</w:t>
            </w:r>
          </w:p>
          <w:p w14:paraId="78B04C7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Encourage students to ask open-ended questions during activities (“What do you notice?”, “Why might this be so?”, “How can we find out?”).</w:t>
            </w:r>
          </w:p>
          <w:p w14:paraId="1E72604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local examples (trees in the school yard, nearby river, waste in the community) so students see relevance.</w:t>
            </w:r>
          </w:p>
          <w:p w14:paraId="24E43EC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Emphasise “I belong to nature” and “nature belongs to me” so they feel a connection rather than a distant subject.</w:t>
            </w:r>
          </w:p>
          <w:p w14:paraId="634896C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Provide scaffolding: initially model observation, then gradually allow students to design their own mini-questions.</w:t>
            </w:r>
          </w:p>
          <w:p w14:paraId="72CE401D" w14:textId="77777777" w:rsidR="00BF019E" w:rsidRPr="00730471" w:rsidRDefault="00BF019E" w:rsidP="008F26AB">
            <w:pPr>
              <w:spacing w:line="360" w:lineRule="auto"/>
              <w:jc w:val="both"/>
              <w:rPr>
                <w:rFonts w:ascii="Arial" w:hAnsi="Arial" w:cs="Arial"/>
                <w:sz w:val="24"/>
                <w:szCs w:val="24"/>
              </w:rPr>
            </w:pPr>
          </w:p>
        </w:tc>
      </w:tr>
      <w:tr w:rsidR="00BF019E" w:rsidRPr="00730471" w14:paraId="3D9CF76B" w14:textId="77777777">
        <w:trPr>
          <w:trHeight w:val="350"/>
        </w:trPr>
        <w:tc>
          <w:tcPr>
            <w:tcW w:w="2745" w:type="dxa"/>
            <w:gridSpan w:val="3"/>
            <w:vMerge w:val="restart"/>
            <w:vAlign w:val="center"/>
          </w:tcPr>
          <w:p w14:paraId="2AD651E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Learning Materials</w:t>
            </w:r>
          </w:p>
          <w:p w14:paraId="7B11EE99"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79FB6D4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Text excerpt: “The World Around Us” (teacher-provided or DepEd Science 5 MELC)</w:t>
            </w:r>
          </w:p>
        </w:tc>
      </w:tr>
      <w:tr w:rsidR="00BF019E" w:rsidRPr="00730471" w14:paraId="500086F4" w14:textId="77777777">
        <w:trPr>
          <w:trHeight w:val="350"/>
        </w:trPr>
        <w:tc>
          <w:tcPr>
            <w:tcW w:w="2745" w:type="dxa"/>
            <w:gridSpan w:val="3"/>
            <w:vMerge/>
            <w:vAlign w:val="center"/>
          </w:tcPr>
          <w:p w14:paraId="49CC929F"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4821B3E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Video: Interactions of Living Things (DepEd Commons or YouTube educational clip)</w:t>
            </w:r>
          </w:p>
        </w:tc>
      </w:tr>
      <w:tr w:rsidR="00BF019E" w:rsidRPr="00730471" w14:paraId="0030F059" w14:textId="77777777">
        <w:trPr>
          <w:trHeight w:val="350"/>
        </w:trPr>
        <w:tc>
          <w:tcPr>
            <w:tcW w:w="2745" w:type="dxa"/>
            <w:gridSpan w:val="3"/>
            <w:vMerge/>
            <w:vAlign w:val="center"/>
          </w:tcPr>
          <w:p w14:paraId="3F462225"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0098C7A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Diagram: “Living and Non-living Things” chart</w:t>
            </w:r>
          </w:p>
        </w:tc>
      </w:tr>
      <w:tr w:rsidR="00BF019E" w:rsidRPr="00730471" w14:paraId="4715D1E9" w14:textId="77777777">
        <w:trPr>
          <w:trHeight w:val="350"/>
        </w:trPr>
        <w:tc>
          <w:tcPr>
            <w:tcW w:w="2745" w:type="dxa"/>
            <w:gridSpan w:val="3"/>
            <w:vMerge/>
            <w:vAlign w:val="center"/>
          </w:tcPr>
          <w:p w14:paraId="70813828"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28545A3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Reading: “Why We Need Clean Air and Water” (DepEd AP 5 resource)</w:t>
            </w:r>
          </w:p>
        </w:tc>
      </w:tr>
      <w:tr w:rsidR="00BF019E" w:rsidRPr="00730471" w14:paraId="538E1299" w14:textId="77777777">
        <w:trPr>
          <w:trHeight w:val="350"/>
        </w:trPr>
        <w:tc>
          <w:tcPr>
            <w:tcW w:w="2745" w:type="dxa"/>
            <w:gridSpan w:val="3"/>
            <w:vMerge/>
            <w:vAlign w:val="center"/>
          </w:tcPr>
          <w:p w14:paraId="2B22C0FF"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6F52B8F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Images: Local community photos or posters</w:t>
            </w:r>
          </w:p>
        </w:tc>
      </w:tr>
      <w:tr w:rsidR="00BF019E" w:rsidRPr="00730471" w14:paraId="2F7EF4A2" w14:textId="77777777">
        <w:trPr>
          <w:trHeight w:val="350"/>
        </w:trPr>
        <w:tc>
          <w:tcPr>
            <w:tcW w:w="1455" w:type="dxa"/>
            <w:vMerge w:val="restart"/>
            <w:vAlign w:val="center"/>
          </w:tcPr>
          <w:p w14:paraId="0C6C6D0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Activities</w:t>
            </w:r>
          </w:p>
          <w:p w14:paraId="369E3E51"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6FC96E6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1: Eco-Discovery Walk</w:t>
            </w:r>
          </w:p>
          <w:p w14:paraId="1D9E7D54" w14:textId="77777777" w:rsidR="00BF019E" w:rsidRPr="00730471" w:rsidRDefault="00BF019E" w:rsidP="008F26AB">
            <w:pPr>
              <w:spacing w:line="360" w:lineRule="auto"/>
              <w:jc w:val="both"/>
              <w:rPr>
                <w:rFonts w:ascii="Arial" w:hAnsi="Arial" w:cs="Arial"/>
                <w:sz w:val="24"/>
                <w:szCs w:val="24"/>
              </w:rPr>
            </w:pPr>
          </w:p>
        </w:tc>
        <w:tc>
          <w:tcPr>
            <w:tcW w:w="4620" w:type="dxa"/>
            <w:gridSpan w:val="4"/>
            <w:vAlign w:val="center"/>
          </w:tcPr>
          <w:p w14:paraId="643AD3A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Instructions: Observe your surroundings (schoolyard, garden, or street). Record or draw three things you see — one living, one non-living, and one showing human impact.</w:t>
            </w:r>
          </w:p>
          <w:p w14:paraId="3FD6D38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Discussion: What relationships do you notice?</w:t>
            </w:r>
          </w:p>
        </w:tc>
      </w:tr>
      <w:tr w:rsidR="00BF019E" w:rsidRPr="00730471" w14:paraId="4CE165D8" w14:textId="77777777">
        <w:trPr>
          <w:trHeight w:val="350"/>
        </w:trPr>
        <w:tc>
          <w:tcPr>
            <w:tcW w:w="1455" w:type="dxa"/>
            <w:vMerge/>
            <w:vAlign w:val="center"/>
          </w:tcPr>
          <w:p w14:paraId="347BC2F8"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0AF36E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2: Nature Journal</w:t>
            </w:r>
          </w:p>
          <w:p w14:paraId="37F4255D" w14:textId="77777777" w:rsidR="00BF019E" w:rsidRPr="00730471" w:rsidRDefault="00BF019E" w:rsidP="008F26AB">
            <w:pPr>
              <w:spacing w:line="360" w:lineRule="auto"/>
              <w:jc w:val="both"/>
              <w:rPr>
                <w:rFonts w:ascii="Arial" w:hAnsi="Arial" w:cs="Arial"/>
                <w:sz w:val="24"/>
                <w:szCs w:val="24"/>
              </w:rPr>
            </w:pPr>
          </w:p>
        </w:tc>
        <w:tc>
          <w:tcPr>
            <w:tcW w:w="4620" w:type="dxa"/>
            <w:gridSpan w:val="4"/>
            <w:vAlign w:val="center"/>
          </w:tcPr>
          <w:p w14:paraId="2C4A266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Write or draw in your “Eco-Journal”:</w:t>
            </w:r>
          </w:p>
          <w:p w14:paraId="33AFC0B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do I see?</w:t>
            </w:r>
          </w:p>
          <w:p w14:paraId="7881060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What do I feel?</w:t>
            </w:r>
          </w:p>
          <w:p w14:paraId="08D0C9F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questions do I have about nature?</w:t>
            </w:r>
          </w:p>
        </w:tc>
      </w:tr>
      <w:tr w:rsidR="00BF019E" w:rsidRPr="00730471" w14:paraId="071AD43F" w14:textId="77777777">
        <w:trPr>
          <w:trHeight w:val="350"/>
        </w:trPr>
        <w:tc>
          <w:tcPr>
            <w:tcW w:w="1455" w:type="dxa"/>
            <w:vMerge/>
            <w:vAlign w:val="center"/>
          </w:tcPr>
          <w:p w14:paraId="7E0CEA21"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507EEB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3: Mini Talk — “My Favorite Part of Nature”</w:t>
            </w:r>
          </w:p>
        </w:tc>
        <w:tc>
          <w:tcPr>
            <w:tcW w:w="4620" w:type="dxa"/>
            <w:gridSpan w:val="4"/>
            <w:vAlign w:val="center"/>
          </w:tcPr>
          <w:p w14:paraId="302E9BC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share one observation or reflection to the class.</w:t>
            </w:r>
          </w:p>
        </w:tc>
      </w:tr>
      <w:tr w:rsidR="00BF019E" w:rsidRPr="00730471" w14:paraId="7D9162F2" w14:textId="77777777">
        <w:trPr>
          <w:trHeight w:val="350"/>
        </w:trPr>
        <w:tc>
          <w:tcPr>
            <w:tcW w:w="1455" w:type="dxa"/>
            <w:vMerge w:val="restart"/>
            <w:vAlign w:val="center"/>
          </w:tcPr>
          <w:p w14:paraId="2B4D3C2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Assessments</w:t>
            </w:r>
          </w:p>
        </w:tc>
        <w:tc>
          <w:tcPr>
            <w:tcW w:w="2370" w:type="dxa"/>
            <w:gridSpan w:val="3"/>
            <w:vAlign w:val="center"/>
          </w:tcPr>
          <w:p w14:paraId="4D09275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Performance: </w:t>
            </w:r>
          </w:p>
        </w:tc>
        <w:tc>
          <w:tcPr>
            <w:tcW w:w="4620" w:type="dxa"/>
            <w:gridSpan w:val="4"/>
            <w:vAlign w:val="center"/>
          </w:tcPr>
          <w:p w14:paraId="73361A0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checklist (Participation, Curiosity, Accuracy)</w:t>
            </w:r>
          </w:p>
        </w:tc>
      </w:tr>
      <w:tr w:rsidR="00BF019E" w:rsidRPr="00730471" w14:paraId="320DE9BE" w14:textId="77777777">
        <w:trPr>
          <w:trHeight w:val="350"/>
        </w:trPr>
        <w:tc>
          <w:tcPr>
            <w:tcW w:w="1455" w:type="dxa"/>
            <w:vMerge/>
            <w:vAlign w:val="center"/>
          </w:tcPr>
          <w:p w14:paraId="4D8DC70A"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53199E7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Written: </w:t>
            </w:r>
          </w:p>
          <w:p w14:paraId="18E191FA" w14:textId="77777777" w:rsidR="00BF019E" w:rsidRPr="00730471" w:rsidRDefault="00BF019E" w:rsidP="008F26AB">
            <w:pPr>
              <w:spacing w:line="360" w:lineRule="auto"/>
              <w:jc w:val="both"/>
              <w:rPr>
                <w:rFonts w:ascii="Arial" w:hAnsi="Arial" w:cs="Arial"/>
                <w:sz w:val="24"/>
                <w:szCs w:val="24"/>
              </w:rPr>
            </w:pPr>
          </w:p>
        </w:tc>
        <w:tc>
          <w:tcPr>
            <w:tcW w:w="4620" w:type="dxa"/>
            <w:gridSpan w:val="4"/>
            <w:vAlign w:val="center"/>
          </w:tcPr>
          <w:p w14:paraId="20A9EDA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Short quiz — Identify 3 components of environment, define “ecosystem.”</w:t>
            </w:r>
          </w:p>
        </w:tc>
      </w:tr>
      <w:tr w:rsidR="00BF019E" w:rsidRPr="00730471" w14:paraId="3D65F87C" w14:textId="77777777">
        <w:trPr>
          <w:trHeight w:val="350"/>
        </w:trPr>
        <w:tc>
          <w:tcPr>
            <w:tcW w:w="1455" w:type="dxa"/>
            <w:vMerge/>
            <w:vAlign w:val="center"/>
          </w:tcPr>
          <w:p w14:paraId="5ACCF6F6"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042B2C8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Reflective: </w:t>
            </w:r>
          </w:p>
        </w:tc>
        <w:tc>
          <w:tcPr>
            <w:tcW w:w="4620" w:type="dxa"/>
            <w:gridSpan w:val="4"/>
            <w:vAlign w:val="center"/>
          </w:tcPr>
          <w:p w14:paraId="07575BB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Journal rubric (Depth of observation, clarity of thought, connection to self).</w:t>
            </w:r>
          </w:p>
        </w:tc>
      </w:tr>
      <w:tr w:rsidR="00BF019E" w:rsidRPr="00730471" w14:paraId="4A4FFDE1" w14:textId="77777777">
        <w:trPr>
          <w:trHeight w:val="350"/>
        </w:trPr>
        <w:tc>
          <w:tcPr>
            <w:tcW w:w="8445" w:type="dxa"/>
            <w:gridSpan w:val="8"/>
            <w:vAlign w:val="center"/>
          </w:tcPr>
          <w:p w14:paraId="0BFA7CB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Further Study</w:t>
            </w:r>
          </w:p>
          <w:p w14:paraId="238E95B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EPA Kids Environmental Activities: </w:t>
            </w:r>
            <w:hyperlink r:id="rId16">
              <w:r w:rsidR="00BF019E" w:rsidRPr="00730471">
                <w:rPr>
                  <w:rStyle w:val="Hyperlink"/>
                  <w:rFonts w:ascii="Arial" w:hAnsi="Arial" w:cs="Arial"/>
                  <w:sz w:val="24"/>
                  <w:szCs w:val="24"/>
                </w:rPr>
                <w:t>epa.gov/students</w:t>
              </w:r>
            </w:hyperlink>
          </w:p>
          <w:p w14:paraId="3012CAF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Commons: Science 5 Lesson “Interactions in the Environment”</w:t>
            </w:r>
          </w:p>
          <w:p w14:paraId="5C019A7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National Geographic Kids — “Our Planet, Our Home” videos</w:t>
            </w:r>
          </w:p>
          <w:p w14:paraId="448F58D7" w14:textId="77777777" w:rsidR="00BF019E" w:rsidRPr="00730471" w:rsidRDefault="00BF019E" w:rsidP="008F26AB">
            <w:pPr>
              <w:spacing w:line="360" w:lineRule="auto"/>
              <w:jc w:val="both"/>
              <w:rPr>
                <w:rFonts w:ascii="Arial" w:hAnsi="Arial" w:cs="Arial"/>
                <w:sz w:val="24"/>
                <w:szCs w:val="24"/>
              </w:rPr>
            </w:pPr>
          </w:p>
        </w:tc>
      </w:tr>
      <w:tr w:rsidR="00BF019E" w:rsidRPr="00730471" w14:paraId="237AB02C" w14:textId="77777777">
        <w:trPr>
          <w:trHeight w:val="350"/>
        </w:trPr>
        <w:tc>
          <w:tcPr>
            <w:tcW w:w="8445" w:type="dxa"/>
            <w:gridSpan w:val="8"/>
            <w:vAlign w:val="center"/>
          </w:tcPr>
          <w:p w14:paraId="79CB8F6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References</w:t>
            </w:r>
          </w:p>
          <w:p w14:paraId="11496D7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Dewey, J. (1938). Experience and Education.</w:t>
            </w:r>
          </w:p>
          <w:p w14:paraId="48FA0CA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(2020). Science 5 – Quarter 2: Module 6 “Interactions Among Living Things and Non-Living Things in Estuaries and Intertidal Zones” [Self-Learning Module]. </w:t>
            </w:r>
            <w:hyperlink r:id="rId17">
              <w:r w:rsidR="00BF019E" w:rsidRPr="00730471">
                <w:rPr>
                  <w:rStyle w:val="Hyperlink"/>
                  <w:rFonts w:ascii="Arial" w:hAnsi="Arial" w:cs="Arial"/>
                  <w:sz w:val="24"/>
                  <w:szCs w:val="24"/>
                </w:rPr>
                <w:t>https://www.scribd.com/document/496741020/6-Grade-5-SLM-Q2-Module-6-Interactions-Among-Living-Things-and-Non-Living-edited</w:t>
              </w:r>
            </w:hyperlink>
          </w:p>
          <w:p w14:paraId="3BC558D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Iberdrola. (n.d.). EducaClima – Raising young people’s awareness of the risks of climate change. Retrieved [Date you accessed the page], from </w:t>
            </w:r>
            <w:hyperlink r:id="rId18">
              <w:r w:rsidR="00BF019E" w:rsidRPr="00730471">
                <w:rPr>
                  <w:rStyle w:val="Hyperlink"/>
                  <w:rFonts w:ascii="Arial" w:hAnsi="Arial" w:cs="Arial"/>
                  <w:sz w:val="24"/>
                  <w:szCs w:val="24"/>
                </w:rPr>
                <w:t>https://www.iberdrola.com/sustainability/against-climate-change/environmental-awareness/educaclima</w:t>
              </w:r>
            </w:hyperlink>
            <w:r w:rsidRPr="00730471">
              <w:rPr>
                <w:rFonts w:ascii="Arial" w:hAnsi="Arial" w:cs="Arial"/>
                <w:sz w:val="24"/>
                <w:szCs w:val="24"/>
              </w:rPr>
              <w:t>.</w:t>
            </w:r>
          </w:p>
          <w:p w14:paraId="1CEECE1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National Geographic Society. (n.d.). Ecosystem. National Geographic Education. Retrieved [Month Day, Year], from </w:t>
            </w:r>
            <w:hyperlink r:id="rId19">
              <w:r w:rsidR="00BF019E" w:rsidRPr="00730471">
                <w:rPr>
                  <w:rStyle w:val="Hyperlink"/>
                  <w:rFonts w:ascii="Arial" w:hAnsi="Arial" w:cs="Arial"/>
                  <w:sz w:val="24"/>
                  <w:szCs w:val="24"/>
                </w:rPr>
                <w:t>https://education.nationalgeographic.org/resource/ecosystem/</w:t>
              </w:r>
            </w:hyperlink>
          </w:p>
          <w:p w14:paraId="1065C80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North American Association for Environmental Education. (n.d.). The benefits of EE and nature connections in early childhood. Retrieved [access date], from </w:t>
            </w:r>
            <w:hyperlink r:id="rId20">
              <w:r w:rsidR="00BF019E" w:rsidRPr="00730471">
                <w:rPr>
                  <w:rStyle w:val="Hyperlink"/>
                  <w:rFonts w:ascii="Arial" w:hAnsi="Arial" w:cs="Arial"/>
                  <w:sz w:val="24"/>
                  <w:szCs w:val="24"/>
                </w:rPr>
                <w:t>https://naaee.org/programs/eeworks/benefits-early-childhood</w:t>
              </w:r>
            </w:hyperlink>
          </w:p>
          <w:p w14:paraId="2BB6EBA4" w14:textId="77777777" w:rsidR="00BF019E" w:rsidRPr="00730471" w:rsidRDefault="00BF019E" w:rsidP="008F26AB">
            <w:pPr>
              <w:spacing w:line="360" w:lineRule="auto"/>
              <w:jc w:val="both"/>
              <w:rPr>
                <w:rFonts w:ascii="Arial" w:hAnsi="Arial" w:cs="Arial"/>
                <w:sz w:val="24"/>
                <w:szCs w:val="24"/>
              </w:rPr>
            </w:pPr>
          </w:p>
        </w:tc>
      </w:tr>
      <w:tr w:rsidR="00BF019E" w:rsidRPr="00730471" w14:paraId="0F4D1B1C" w14:textId="77777777">
        <w:trPr>
          <w:trHeight w:val="350"/>
        </w:trPr>
        <w:tc>
          <w:tcPr>
            <w:tcW w:w="8445" w:type="dxa"/>
            <w:gridSpan w:val="8"/>
            <w:shd w:val="clear" w:color="auto" w:fill="E2EFD9"/>
            <w:vAlign w:val="center"/>
          </w:tcPr>
          <w:p w14:paraId="34C5474D" w14:textId="77777777" w:rsidR="00BF019E" w:rsidRPr="00730471" w:rsidRDefault="00BF019E" w:rsidP="008F26AB">
            <w:pPr>
              <w:spacing w:line="360" w:lineRule="auto"/>
              <w:jc w:val="both"/>
              <w:rPr>
                <w:rFonts w:ascii="Arial" w:hAnsi="Arial" w:cs="Arial"/>
                <w:sz w:val="24"/>
                <w:szCs w:val="24"/>
              </w:rPr>
            </w:pPr>
          </w:p>
        </w:tc>
      </w:tr>
      <w:tr w:rsidR="00BF019E" w:rsidRPr="00730471" w14:paraId="76824F2C" w14:textId="77777777">
        <w:trPr>
          <w:trHeight w:val="809"/>
        </w:trPr>
        <w:tc>
          <w:tcPr>
            <w:tcW w:w="8445" w:type="dxa"/>
            <w:gridSpan w:val="8"/>
            <w:vAlign w:val="center"/>
          </w:tcPr>
          <w:p w14:paraId="1C15B540" w14:textId="77777777" w:rsidR="00BF019E" w:rsidRPr="00730471" w:rsidRDefault="00BF019E" w:rsidP="008F26AB">
            <w:pPr>
              <w:spacing w:line="360" w:lineRule="auto"/>
              <w:jc w:val="both"/>
              <w:rPr>
                <w:rFonts w:ascii="Arial" w:hAnsi="Arial" w:cs="Arial"/>
                <w:sz w:val="24"/>
                <w:szCs w:val="24"/>
              </w:rPr>
            </w:pPr>
          </w:p>
          <w:p w14:paraId="07D714F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MODULE 2: Seeing and Feeling the Earth (Reflection &amp; Emotion)</w:t>
            </w:r>
          </w:p>
          <w:p w14:paraId="614B4055" w14:textId="77777777" w:rsidR="00BF019E" w:rsidRPr="00730471" w:rsidRDefault="00BF019E" w:rsidP="008F26AB">
            <w:pPr>
              <w:spacing w:line="360" w:lineRule="auto"/>
              <w:jc w:val="both"/>
              <w:rPr>
                <w:rFonts w:ascii="Arial" w:hAnsi="Arial" w:cs="Arial"/>
                <w:sz w:val="24"/>
                <w:szCs w:val="24"/>
              </w:rPr>
            </w:pPr>
          </w:p>
          <w:p w14:paraId="1EEFF47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“Education is life itself.” — John Dewey (1916, Democracy and Education)</w:t>
            </w:r>
          </w:p>
        </w:tc>
      </w:tr>
      <w:tr w:rsidR="00BF019E" w:rsidRPr="00730471" w14:paraId="0EDFD768" w14:textId="77777777">
        <w:trPr>
          <w:trHeight w:val="809"/>
        </w:trPr>
        <w:tc>
          <w:tcPr>
            <w:tcW w:w="2550" w:type="dxa"/>
            <w:gridSpan w:val="2"/>
            <w:vMerge w:val="restart"/>
          </w:tcPr>
          <w:p w14:paraId="002431F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Objectives</w:t>
            </w:r>
          </w:p>
          <w:p w14:paraId="079C8DD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By the end of this module, students will:</w:t>
            </w:r>
          </w:p>
          <w:p w14:paraId="1BFA60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Describe emotions connected to nature.</w:t>
            </w:r>
          </w:p>
          <w:p w14:paraId="6F47815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Reflect on how their actions affect the environment.</w:t>
            </w:r>
          </w:p>
          <w:p w14:paraId="253AA92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Demonstrate empathy and propose small, responsible actions.</w:t>
            </w:r>
          </w:p>
          <w:p w14:paraId="56776593"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3D80ABA4" w14:textId="77777777" w:rsidR="00BF019E" w:rsidRPr="00730471" w:rsidRDefault="00BF019E" w:rsidP="008F26AB">
            <w:pPr>
              <w:spacing w:line="360" w:lineRule="auto"/>
              <w:jc w:val="both"/>
              <w:rPr>
                <w:rFonts w:ascii="Arial" w:hAnsi="Arial" w:cs="Arial"/>
                <w:sz w:val="24"/>
                <w:szCs w:val="24"/>
              </w:rPr>
            </w:pPr>
          </w:p>
          <w:p w14:paraId="0C459A5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Overview</w:t>
            </w:r>
          </w:p>
          <w:p w14:paraId="653F5E7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This module deepens students’ understanding by connecting emotions with environmental care. Learners reflect on how their feelings and actions affect nature, aligning with Dewey’s principle that emotion drives meaningful thought.</w:t>
            </w:r>
          </w:p>
          <w:p w14:paraId="4B18BB8C" w14:textId="77777777" w:rsidR="00BF019E" w:rsidRPr="00730471" w:rsidRDefault="00BF019E" w:rsidP="008F26AB">
            <w:pPr>
              <w:spacing w:line="360" w:lineRule="auto"/>
              <w:jc w:val="both"/>
              <w:rPr>
                <w:rFonts w:ascii="Arial" w:hAnsi="Arial" w:cs="Arial"/>
                <w:sz w:val="24"/>
                <w:szCs w:val="24"/>
              </w:rPr>
            </w:pPr>
          </w:p>
        </w:tc>
      </w:tr>
      <w:tr w:rsidR="00BF019E" w:rsidRPr="00730471" w14:paraId="33DD5AE2" w14:textId="77777777">
        <w:trPr>
          <w:trHeight w:val="809"/>
        </w:trPr>
        <w:tc>
          <w:tcPr>
            <w:tcW w:w="2550" w:type="dxa"/>
            <w:gridSpan w:val="2"/>
            <w:vMerge/>
          </w:tcPr>
          <w:p w14:paraId="3C5779B0"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02E424A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Concept: Empathy and Emotional Connection to Nature</w:t>
            </w:r>
            <w:r w:rsidRPr="00730471">
              <w:rPr>
                <w:rFonts w:ascii="Arial" w:hAnsi="Arial" w:cs="Arial"/>
                <w:sz w:val="24"/>
                <w:szCs w:val="24"/>
              </w:rPr>
              <w:br/>
              <w:t>Environmental education develops both knowledge and compassion.</w:t>
            </w:r>
            <w:r w:rsidRPr="00730471">
              <w:rPr>
                <w:rFonts w:ascii="Arial" w:hAnsi="Arial" w:cs="Arial"/>
                <w:sz w:val="24"/>
                <w:szCs w:val="24"/>
              </w:rPr>
              <w:br/>
              <w:t>Empathy helps students emotionally relate to nature and understand the consequences of human actions. Emotional connection fosters behavioral change (Cvetković et al., Sustainability, 2022).</w:t>
            </w:r>
          </w:p>
          <w:p w14:paraId="055F4B6D" w14:textId="77777777" w:rsidR="00BF019E" w:rsidRPr="00730471" w:rsidRDefault="00BF019E" w:rsidP="008F26AB">
            <w:pPr>
              <w:spacing w:line="360" w:lineRule="auto"/>
              <w:jc w:val="both"/>
              <w:rPr>
                <w:rFonts w:ascii="Arial" w:hAnsi="Arial" w:cs="Arial"/>
                <w:sz w:val="24"/>
                <w:szCs w:val="24"/>
              </w:rPr>
            </w:pPr>
          </w:p>
        </w:tc>
      </w:tr>
      <w:tr w:rsidR="00BF019E" w:rsidRPr="00730471" w14:paraId="12FC2F7A" w14:textId="77777777">
        <w:trPr>
          <w:trHeight w:val="809"/>
        </w:trPr>
        <w:tc>
          <w:tcPr>
            <w:tcW w:w="2550" w:type="dxa"/>
            <w:gridSpan w:val="2"/>
            <w:vMerge/>
          </w:tcPr>
          <w:p w14:paraId="4DF4691B"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347119A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Pre-Test (Optional)</w:t>
            </w:r>
          </w:p>
          <w:p w14:paraId="71F2AA0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How do you feel when you see trash in nature?</w:t>
            </w:r>
          </w:p>
          <w:p w14:paraId="0570F65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happens if we don’t care for the environment?</w:t>
            </w:r>
          </w:p>
          <w:p w14:paraId="59A7BCA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Name a natural place that makes you feel peaceful.</w:t>
            </w:r>
          </w:p>
        </w:tc>
      </w:tr>
      <w:tr w:rsidR="00BF019E" w:rsidRPr="00730471" w14:paraId="455CAD66" w14:textId="77777777">
        <w:trPr>
          <w:trHeight w:val="809"/>
        </w:trPr>
        <w:tc>
          <w:tcPr>
            <w:tcW w:w="8445" w:type="dxa"/>
            <w:gridSpan w:val="8"/>
          </w:tcPr>
          <w:p w14:paraId="6FB61DA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Introduction</w:t>
            </w:r>
          </w:p>
          <w:p w14:paraId="389BA02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Caring for the Earth starts with feeling connected to it. Through stories, reflection, and emotional expression, learners will explore their sense of empathy for nature and how emotions can inspire positive action.</w:t>
            </w:r>
          </w:p>
        </w:tc>
      </w:tr>
      <w:tr w:rsidR="00BF019E" w:rsidRPr="00730471" w14:paraId="75B8E3C7" w14:textId="77777777" w:rsidTr="008F26AB">
        <w:trPr>
          <w:trHeight w:val="46"/>
        </w:trPr>
        <w:tc>
          <w:tcPr>
            <w:tcW w:w="8445" w:type="dxa"/>
            <w:gridSpan w:val="8"/>
          </w:tcPr>
          <w:p w14:paraId="0F74EDB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Lecture / Concept Definition</w:t>
            </w:r>
          </w:p>
          <w:p w14:paraId="13D10A4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What is empathy with nature? Empathy in environmental education involves </w:t>
            </w:r>
            <w:r w:rsidRPr="00730471">
              <w:rPr>
                <w:rFonts w:ascii="Arial" w:hAnsi="Arial" w:cs="Arial"/>
                <w:sz w:val="24"/>
                <w:szCs w:val="24"/>
              </w:rPr>
              <w:lastRenderedPageBreak/>
              <w:t>recognising the value of nature, connecting emotionally to living things, and caring about their well-being. Research shows that environmental education fosters emotional development and pro</w:t>
            </w:r>
            <w:r w:rsidRPr="00730471">
              <w:rPr>
                <w:rFonts w:ascii="Cambria Math" w:hAnsi="Cambria Math" w:cs="Cambria Math"/>
                <w:sz w:val="24"/>
                <w:szCs w:val="24"/>
              </w:rPr>
              <w:t>‐</w:t>
            </w:r>
            <w:r w:rsidRPr="00730471">
              <w:rPr>
                <w:rFonts w:ascii="Arial" w:hAnsi="Arial" w:cs="Arial"/>
                <w:sz w:val="24"/>
                <w:szCs w:val="24"/>
              </w:rPr>
              <w:t>environment behaviours. (</w:t>
            </w:r>
            <w:hyperlink r:id="rId21">
              <w:r w:rsidR="00BF019E" w:rsidRPr="00730471">
                <w:rPr>
                  <w:rStyle w:val="Hyperlink"/>
                  <w:rFonts w:ascii="Arial" w:hAnsi="Arial" w:cs="Arial"/>
                  <w:sz w:val="24"/>
                  <w:szCs w:val="24"/>
                </w:rPr>
                <w:t>naaee.org</w:t>
              </w:r>
            </w:hyperlink>
            <w:r w:rsidRPr="00730471">
              <w:rPr>
                <w:rFonts w:ascii="Arial" w:hAnsi="Arial" w:cs="Arial"/>
                <w:sz w:val="24"/>
                <w:szCs w:val="24"/>
              </w:rPr>
              <w:t>)</w:t>
            </w:r>
          </w:p>
          <w:p w14:paraId="5585375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The human-nature relationship: Humans are not separate from nature; our actions affect natural systems, and in turn nature influences human life (air quality, water supplies, biodiversity). Understanding this relationship is part of environmental literacy. (</w:t>
            </w:r>
            <w:hyperlink r:id="rId22">
              <w:r w:rsidR="00BF019E" w:rsidRPr="00730471">
                <w:rPr>
                  <w:rStyle w:val="Hyperlink"/>
                  <w:rFonts w:ascii="Arial" w:hAnsi="Arial" w:cs="Arial"/>
                  <w:sz w:val="24"/>
                  <w:szCs w:val="24"/>
                </w:rPr>
                <w:t>Population Education</w:t>
              </w:r>
            </w:hyperlink>
            <w:r w:rsidRPr="00730471">
              <w:rPr>
                <w:rFonts w:ascii="Arial" w:hAnsi="Arial" w:cs="Arial"/>
                <w:sz w:val="24"/>
                <w:szCs w:val="24"/>
              </w:rPr>
              <w:t>)</w:t>
            </w:r>
          </w:p>
          <w:p w14:paraId="72A8D8B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Focus: “How do my actions affect the environment?” Lead learners to reflect on everyday actions (waste disposal, electricity, water usage) and the feelings connected (pride in caring, guilt in neglect).</w:t>
            </w:r>
          </w:p>
          <w:p w14:paraId="529016E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Key terms to define: attitude, value, behaviour, empathy, stewardship, environmental responsibility.</w:t>
            </w:r>
          </w:p>
          <w:p w14:paraId="7CCBEED6" w14:textId="77777777" w:rsidR="00BF019E" w:rsidRPr="00730471" w:rsidRDefault="00BF019E" w:rsidP="008F26AB">
            <w:pPr>
              <w:spacing w:line="360" w:lineRule="auto"/>
              <w:jc w:val="both"/>
              <w:rPr>
                <w:rFonts w:ascii="Arial" w:hAnsi="Arial" w:cs="Arial"/>
                <w:sz w:val="24"/>
                <w:szCs w:val="24"/>
              </w:rPr>
            </w:pPr>
          </w:p>
          <w:p w14:paraId="3696942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Structured Content</w:t>
            </w:r>
          </w:p>
          <w:p w14:paraId="49BEABA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Emotions and Values in the Environment</w:t>
            </w:r>
          </w:p>
          <w:p w14:paraId="32CC1FC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Caring for living beings</w:t>
            </w:r>
          </w:p>
          <w:p w14:paraId="5BECD82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Feeling connected to place</w:t>
            </w:r>
          </w:p>
          <w:p w14:paraId="282D6AD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Actions, Consequences, and Reflection</w:t>
            </w:r>
          </w:p>
          <w:p w14:paraId="7167D08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What I do → What happens to nature</w:t>
            </w:r>
          </w:p>
          <w:p w14:paraId="36B7CDD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How nature affects me</w:t>
            </w:r>
          </w:p>
          <w:p w14:paraId="44619D2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Developing Stewardship</w:t>
            </w:r>
          </w:p>
          <w:p w14:paraId="6FD7DE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Taking responsibility</w:t>
            </w:r>
          </w:p>
          <w:p w14:paraId="477636B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From “I” to “We” (community &amp; environment)</w:t>
            </w:r>
          </w:p>
          <w:p w14:paraId="1D1DA887" w14:textId="77777777" w:rsidR="00BF019E" w:rsidRPr="00730471" w:rsidRDefault="00BF019E" w:rsidP="008F26AB">
            <w:pPr>
              <w:spacing w:line="360" w:lineRule="auto"/>
              <w:jc w:val="both"/>
              <w:rPr>
                <w:rFonts w:ascii="Arial" w:hAnsi="Arial" w:cs="Arial"/>
                <w:sz w:val="24"/>
                <w:szCs w:val="24"/>
              </w:rPr>
            </w:pPr>
          </w:p>
          <w:p w14:paraId="15D716A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Core Information / Tips for Teachers</w:t>
            </w:r>
          </w:p>
          <w:p w14:paraId="778D468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Create safe spaces for student reflection: small</w:t>
            </w:r>
            <w:r w:rsidRPr="00730471">
              <w:rPr>
                <w:rFonts w:ascii="Cambria Math" w:hAnsi="Cambria Math" w:cs="Cambria Math"/>
                <w:sz w:val="24"/>
                <w:szCs w:val="24"/>
              </w:rPr>
              <w:t>‐</w:t>
            </w:r>
            <w:r w:rsidRPr="00730471">
              <w:rPr>
                <w:rFonts w:ascii="Arial" w:hAnsi="Arial" w:cs="Arial"/>
                <w:sz w:val="24"/>
                <w:szCs w:val="24"/>
              </w:rPr>
              <w:t>group circles, journals, paired sharing.</w:t>
            </w:r>
          </w:p>
          <w:p w14:paraId="01D6BF6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stories (fiction or real) about nature and people, ask emotional reflection (“How would you feel if…?”).</w:t>
            </w:r>
          </w:p>
          <w:p w14:paraId="26795B5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Encourage students to link feelings to action: e.g., “Because I felt upset </w:t>
            </w:r>
            <w:r w:rsidRPr="00730471">
              <w:rPr>
                <w:rFonts w:ascii="Arial" w:hAnsi="Arial" w:cs="Arial"/>
                <w:sz w:val="24"/>
                <w:szCs w:val="24"/>
              </w:rPr>
              <w:lastRenderedPageBreak/>
              <w:t>seeing litter by the river, I can pick it up and ask others to help.”</w:t>
            </w:r>
          </w:p>
          <w:p w14:paraId="18B1BD5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Model vulnerability: share your own reflections about nature, show that caring matters.</w:t>
            </w:r>
          </w:p>
        </w:tc>
      </w:tr>
      <w:tr w:rsidR="00BF019E" w:rsidRPr="00730471" w14:paraId="0192840E" w14:textId="77777777">
        <w:trPr>
          <w:trHeight w:val="305"/>
        </w:trPr>
        <w:tc>
          <w:tcPr>
            <w:tcW w:w="2550" w:type="dxa"/>
            <w:gridSpan w:val="2"/>
            <w:vMerge w:val="restart"/>
            <w:vAlign w:val="center"/>
          </w:tcPr>
          <w:p w14:paraId="5107463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Learning Materials</w:t>
            </w:r>
          </w:p>
          <w:p w14:paraId="1F1CE493"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3279B14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Story: “The River Who Cried” (teacher-created or local folktale)</w:t>
            </w:r>
          </w:p>
        </w:tc>
      </w:tr>
      <w:tr w:rsidR="00BF019E" w:rsidRPr="00730471" w14:paraId="0510AD60" w14:textId="77777777">
        <w:trPr>
          <w:trHeight w:val="377"/>
        </w:trPr>
        <w:tc>
          <w:tcPr>
            <w:tcW w:w="2550" w:type="dxa"/>
            <w:gridSpan w:val="2"/>
            <w:vMerge/>
            <w:vAlign w:val="center"/>
          </w:tcPr>
          <w:p w14:paraId="6CE0B459"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03739B1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Short video: “Kids Who Care for the Planet” (YouTube/DepEd TV)</w:t>
            </w:r>
          </w:p>
        </w:tc>
      </w:tr>
      <w:tr w:rsidR="00BF019E" w:rsidRPr="00730471" w14:paraId="0ECFF013" w14:textId="77777777">
        <w:trPr>
          <w:trHeight w:val="377"/>
        </w:trPr>
        <w:tc>
          <w:tcPr>
            <w:tcW w:w="2550" w:type="dxa"/>
            <w:gridSpan w:val="2"/>
            <w:vMerge/>
            <w:vAlign w:val="center"/>
          </w:tcPr>
          <w:p w14:paraId="6BD7F950"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5784702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Posters: “Effects of Pollution” and “Clean vs. Dirty Environment”</w:t>
            </w:r>
          </w:p>
        </w:tc>
      </w:tr>
      <w:tr w:rsidR="00BF019E" w:rsidRPr="00730471" w14:paraId="71A3B615" w14:textId="77777777">
        <w:trPr>
          <w:trHeight w:val="449"/>
        </w:trPr>
        <w:tc>
          <w:tcPr>
            <w:tcW w:w="2550" w:type="dxa"/>
            <w:gridSpan w:val="2"/>
            <w:vMerge/>
            <w:vAlign w:val="center"/>
          </w:tcPr>
          <w:p w14:paraId="5A39C332"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75023B2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Reflection Cards: “I Feel / I Think / I Can Do” prompts</w:t>
            </w:r>
          </w:p>
        </w:tc>
      </w:tr>
      <w:tr w:rsidR="00BF019E" w:rsidRPr="00730471" w14:paraId="4711E535" w14:textId="77777777">
        <w:trPr>
          <w:trHeight w:val="449"/>
        </w:trPr>
        <w:tc>
          <w:tcPr>
            <w:tcW w:w="2550" w:type="dxa"/>
            <w:gridSpan w:val="2"/>
            <w:vMerge/>
            <w:vAlign w:val="center"/>
          </w:tcPr>
          <w:p w14:paraId="308D33F3"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340EAF8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1: Story Circle — “Tales of the Earth”</w:t>
            </w:r>
          </w:p>
          <w:p w14:paraId="32713F2A" w14:textId="77777777" w:rsidR="00BF019E" w:rsidRPr="00730471" w:rsidRDefault="00BF019E" w:rsidP="008F26AB">
            <w:pPr>
              <w:spacing w:line="360" w:lineRule="auto"/>
              <w:jc w:val="both"/>
              <w:rPr>
                <w:rFonts w:ascii="Arial" w:hAnsi="Arial" w:cs="Arial"/>
                <w:sz w:val="24"/>
                <w:szCs w:val="24"/>
              </w:rPr>
            </w:pPr>
          </w:p>
        </w:tc>
        <w:tc>
          <w:tcPr>
            <w:tcW w:w="4005" w:type="dxa"/>
            <w:gridSpan w:val="3"/>
          </w:tcPr>
          <w:p w14:paraId="3D90F5A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Read the story aloud. Ask:</w:t>
            </w:r>
          </w:p>
          <w:p w14:paraId="7D2D589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How did the river feel?</w:t>
            </w:r>
          </w:p>
          <w:p w14:paraId="4FAB9C6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could the people have done differently?</w:t>
            </w:r>
          </w:p>
          <w:p w14:paraId="059BDA4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act out or draw the story’s message.</w:t>
            </w:r>
          </w:p>
        </w:tc>
      </w:tr>
      <w:tr w:rsidR="00BF019E" w:rsidRPr="00730471" w14:paraId="155F7D81" w14:textId="77777777">
        <w:trPr>
          <w:trHeight w:val="449"/>
        </w:trPr>
        <w:tc>
          <w:tcPr>
            <w:tcW w:w="2550" w:type="dxa"/>
            <w:gridSpan w:val="2"/>
            <w:vMerge/>
            <w:vAlign w:val="center"/>
          </w:tcPr>
          <w:p w14:paraId="1492EF0F"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63E9CCE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2: Emotion Mapping</w:t>
            </w:r>
          </w:p>
          <w:p w14:paraId="1B663ABF" w14:textId="77777777" w:rsidR="00BF019E" w:rsidRPr="00730471" w:rsidRDefault="00BF019E" w:rsidP="008F26AB">
            <w:pPr>
              <w:spacing w:line="360" w:lineRule="auto"/>
              <w:jc w:val="both"/>
              <w:rPr>
                <w:rFonts w:ascii="Arial" w:hAnsi="Arial" w:cs="Arial"/>
                <w:sz w:val="24"/>
                <w:szCs w:val="24"/>
              </w:rPr>
            </w:pPr>
          </w:p>
        </w:tc>
        <w:tc>
          <w:tcPr>
            <w:tcW w:w="4005" w:type="dxa"/>
            <w:gridSpan w:val="3"/>
          </w:tcPr>
          <w:p w14:paraId="3BE864C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Draw your community and mark green (happy) and red (sad) spots based on cleanliness or greenery.</w:t>
            </w:r>
          </w:p>
          <w:p w14:paraId="5D6F641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Discuss what can change red spots to green.</w:t>
            </w:r>
          </w:p>
        </w:tc>
      </w:tr>
      <w:tr w:rsidR="00BF019E" w:rsidRPr="00730471" w14:paraId="5F34B1AC" w14:textId="77777777">
        <w:trPr>
          <w:trHeight w:val="449"/>
        </w:trPr>
        <w:tc>
          <w:tcPr>
            <w:tcW w:w="2550" w:type="dxa"/>
            <w:gridSpan w:val="2"/>
            <w:vMerge/>
            <w:vAlign w:val="center"/>
          </w:tcPr>
          <w:p w14:paraId="0B5E8BB8"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4522BAC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3: Values Reflection Journal</w:t>
            </w:r>
          </w:p>
        </w:tc>
        <w:tc>
          <w:tcPr>
            <w:tcW w:w="4005" w:type="dxa"/>
            <w:gridSpan w:val="3"/>
          </w:tcPr>
          <w:p w14:paraId="60635EB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Prompt: “Today I felt ___ when I saw ___. I will help by ___.”</w:t>
            </w:r>
          </w:p>
        </w:tc>
      </w:tr>
      <w:tr w:rsidR="00BF019E" w:rsidRPr="00730471" w14:paraId="3DB7178D" w14:textId="77777777">
        <w:trPr>
          <w:trHeight w:val="449"/>
        </w:trPr>
        <w:tc>
          <w:tcPr>
            <w:tcW w:w="2550" w:type="dxa"/>
            <w:gridSpan w:val="2"/>
            <w:vMerge w:val="restart"/>
            <w:vAlign w:val="center"/>
          </w:tcPr>
          <w:p w14:paraId="0390F99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Assessments</w:t>
            </w:r>
          </w:p>
        </w:tc>
        <w:tc>
          <w:tcPr>
            <w:tcW w:w="1890" w:type="dxa"/>
            <w:gridSpan w:val="3"/>
            <w:vMerge w:val="restart"/>
            <w:vAlign w:val="center"/>
          </w:tcPr>
          <w:p w14:paraId="6BC4C59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Journal Rubric:</w:t>
            </w:r>
          </w:p>
        </w:tc>
        <w:tc>
          <w:tcPr>
            <w:tcW w:w="4005" w:type="dxa"/>
            <w:gridSpan w:val="3"/>
            <w:vAlign w:val="center"/>
          </w:tcPr>
          <w:p w14:paraId="76DE001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Emotion (clarity)</w:t>
            </w:r>
          </w:p>
        </w:tc>
      </w:tr>
      <w:tr w:rsidR="00BF019E" w:rsidRPr="00730471" w14:paraId="7288312C" w14:textId="77777777">
        <w:trPr>
          <w:trHeight w:val="449"/>
        </w:trPr>
        <w:tc>
          <w:tcPr>
            <w:tcW w:w="2550" w:type="dxa"/>
            <w:gridSpan w:val="2"/>
            <w:vMerge/>
            <w:vAlign w:val="center"/>
          </w:tcPr>
          <w:p w14:paraId="340F4CEC"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ign w:val="center"/>
          </w:tcPr>
          <w:p w14:paraId="4A06C543" w14:textId="77777777" w:rsidR="00BF019E" w:rsidRPr="00730471" w:rsidRDefault="00BF019E" w:rsidP="008F26AB">
            <w:pPr>
              <w:spacing w:line="360" w:lineRule="auto"/>
              <w:jc w:val="both"/>
              <w:rPr>
                <w:rFonts w:ascii="Arial" w:hAnsi="Arial" w:cs="Arial"/>
                <w:sz w:val="24"/>
                <w:szCs w:val="24"/>
              </w:rPr>
            </w:pPr>
          </w:p>
        </w:tc>
        <w:tc>
          <w:tcPr>
            <w:tcW w:w="4005" w:type="dxa"/>
            <w:gridSpan w:val="3"/>
            <w:vAlign w:val="center"/>
          </w:tcPr>
          <w:p w14:paraId="00CA78C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Understanding (linking cause/effect)</w:t>
            </w:r>
          </w:p>
        </w:tc>
      </w:tr>
      <w:tr w:rsidR="00BF019E" w:rsidRPr="00730471" w14:paraId="71EDC105" w14:textId="77777777">
        <w:trPr>
          <w:trHeight w:val="449"/>
        </w:trPr>
        <w:tc>
          <w:tcPr>
            <w:tcW w:w="2550" w:type="dxa"/>
            <w:gridSpan w:val="2"/>
            <w:vMerge/>
            <w:vAlign w:val="center"/>
          </w:tcPr>
          <w:p w14:paraId="6DD35EBE"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ign w:val="center"/>
          </w:tcPr>
          <w:p w14:paraId="60E68AD8" w14:textId="77777777" w:rsidR="00BF019E" w:rsidRPr="00730471" w:rsidRDefault="00BF019E" w:rsidP="008F26AB">
            <w:pPr>
              <w:spacing w:line="360" w:lineRule="auto"/>
              <w:jc w:val="both"/>
              <w:rPr>
                <w:rFonts w:ascii="Arial" w:hAnsi="Arial" w:cs="Arial"/>
                <w:sz w:val="24"/>
                <w:szCs w:val="24"/>
              </w:rPr>
            </w:pPr>
          </w:p>
        </w:tc>
        <w:tc>
          <w:tcPr>
            <w:tcW w:w="4005" w:type="dxa"/>
            <w:gridSpan w:val="3"/>
            <w:vAlign w:val="center"/>
          </w:tcPr>
          <w:p w14:paraId="076968F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Action (realistic).</w:t>
            </w:r>
          </w:p>
        </w:tc>
      </w:tr>
      <w:tr w:rsidR="00BF019E" w:rsidRPr="00730471" w14:paraId="657A37B1" w14:textId="77777777">
        <w:trPr>
          <w:trHeight w:val="449"/>
        </w:trPr>
        <w:tc>
          <w:tcPr>
            <w:tcW w:w="2550" w:type="dxa"/>
            <w:gridSpan w:val="2"/>
            <w:vMerge/>
            <w:vAlign w:val="center"/>
          </w:tcPr>
          <w:p w14:paraId="4912DA79"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73541EF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Peer Feedback: </w:t>
            </w:r>
          </w:p>
        </w:tc>
        <w:tc>
          <w:tcPr>
            <w:tcW w:w="4005" w:type="dxa"/>
            <w:gridSpan w:val="3"/>
          </w:tcPr>
          <w:p w14:paraId="7D34966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share one reflection and receive supportive feedback.</w:t>
            </w:r>
          </w:p>
        </w:tc>
      </w:tr>
      <w:tr w:rsidR="00BF019E" w:rsidRPr="00730471" w14:paraId="007CF2CB" w14:textId="77777777">
        <w:trPr>
          <w:trHeight w:val="449"/>
        </w:trPr>
        <w:tc>
          <w:tcPr>
            <w:tcW w:w="2550" w:type="dxa"/>
            <w:gridSpan w:val="2"/>
            <w:vMerge/>
            <w:vAlign w:val="center"/>
          </w:tcPr>
          <w:p w14:paraId="1CB77884"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restart"/>
            <w:vAlign w:val="center"/>
          </w:tcPr>
          <w:p w14:paraId="4597130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Optional Quiz:</w:t>
            </w:r>
          </w:p>
        </w:tc>
        <w:tc>
          <w:tcPr>
            <w:tcW w:w="4005" w:type="dxa"/>
            <w:gridSpan w:val="3"/>
          </w:tcPr>
          <w:p w14:paraId="4FC2D54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Match cause (pollution, littering) to effect (dirty water, sick fish).</w:t>
            </w:r>
          </w:p>
        </w:tc>
      </w:tr>
      <w:tr w:rsidR="00BF019E" w:rsidRPr="00730471" w14:paraId="7EC53CCF" w14:textId="77777777">
        <w:trPr>
          <w:trHeight w:val="449"/>
        </w:trPr>
        <w:tc>
          <w:tcPr>
            <w:tcW w:w="2550" w:type="dxa"/>
            <w:gridSpan w:val="2"/>
            <w:vMerge/>
            <w:vAlign w:val="center"/>
          </w:tcPr>
          <w:p w14:paraId="547AFBBC"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ign w:val="center"/>
          </w:tcPr>
          <w:p w14:paraId="0D1838AA" w14:textId="77777777" w:rsidR="00BF019E" w:rsidRPr="00730471" w:rsidRDefault="00BF019E" w:rsidP="008F26AB">
            <w:pPr>
              <w:spacing w:line="360" w:lineRule="auto"/>
              <w:jc w:val="both"/>
              <w:rPr>
                <w:rFonts w:ascii="Arial" w:hAnsi="Arial" w:cs="Arial"/>
                <w:sz w:val="24"/>
                <w:szCs w:val="24"/>
              </w:rPr>
            </w:pPr>
          </w:p>
        </w:tc>
        <w:tc>
          <w:tcPr>
            <w:tcW w:w="4005" w:type="dxa"/>
            <w:gridSpan w:val="3"/>
          </w:tcPr>
          <w:p w14:paraId="754276C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Answer Key (Sample Quiz)</w:t>
            </w:r>
          </w:p>
          <w:p w14:paraId="11D3596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Pollution → Dirty water</w:t>
            </w:r>
          </w:p>
          <w:p w14:paraId="741AA02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Littering → Flooding</w:t>
            </w:r>
          </w:p>
          <w:p w14:paraId="3C7F1E8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Deforestation → Fewer animals</w:t>
            </w:r>
          </w:p>
          <w:p w14:paraId="73C2445B" w14:textId="77777777" w:rsidR="00BF019E" w:rsidRPr="00730471" w:rsidRDefault="00BF019E" w:rsidP="008F26AB">
            <w:pPr>
              <w:spacing w:line="360" w:lineRule="auto"/>
              <w:jc w:val="both"/>
              <w:rPr>
                <w:rFonts w:ascii="Arial" w:hAnsi="Arial" w:cs="Arial"/>
                <w:sz w:val="24"/>
                <w:szCs w:val="24"/>
              </w:rPr>
            </w:pPr>
          </w:p>
        </w:tc>
      </w:tr>
      <w:tr w:rsidR="00BF019E" w:rsidRPr="00730471" w14:paraId="6F311E8A" w14:textId="77777777">
        <w:trPr>
          <w:trHeight w:val="809"/>
        </w:trPr>
        <w:tc>
          <w:tcPr>
            <w:tcW w:w="8445" w:type="dxa"/>
            <w:gridSpan w:val="8"/>
          </w:tcPr>
          <w:p w14:paraId="6FBAC4D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Further Study</w:t>
            </w:r>
          </w:p>
          <w:p w14:paraId="6B1D43E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CleanChoiceEnergy.com: “Ways to Teach Kids About the Environment.”</w:t>
            </w:r>
          </w:p>
          <w:p w14:paraId="5CC2640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EsP 6 Module: “Pagmamalasakit sa Kalikasan.”</w:t>
            </w:r>
          </w:p>
          <w:p w14:paraId="2885726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Short film: “The Lorax” (for class discussion on responsibility).</w:t>
            </w:r>
          </w:p>
          <w:p w14:paraId="2281F8C3" w14:textId="77777777" w:rsidR="00BF019E" w:rsidRPr="00730471" w:rsidRDefault="00BF019E" w:rsidP="008F26AB">
            <w:pPr>
              <w:spacing w:line="360" w:lineRule="auto"/>
              <w:jc w:val="both"/>
              <w:rPr>
                <w:rFonts w:ascii="Arial" w:hAnsi="Arial" w:cs="Arial"/>
                <w:sz w:val="24"/>
                <w:szCs w:val="24"/>
              </w:rPr>
            </w:pPr>
          </w:p>
        </w:tc>
      </w:tr>
      <w:tr w:rsidR="00BF019E" w:rsidRPr="00730471" w14:paraId="6B91FA37" w14:textId="77777777">
        <w:trPr>
          <w:trHeight w:val="809"/>
        </w:trPr>
        <w:tc>
          <w:tcPr>
            <w:tcW w:w="8445" w:type="dxa"/>
            <w:gridSpan w:val="8"/>
          </w:tcPr>
          <w:p w14:paraId="4A6D7BD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References</w:t>
            </w:r>
          </w:p>
          <w:p w14:paraId="6534833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Dewey, J. (1916). Democracy and education: An introduction to the philosophy of education. Macmillan. </w:t>
            </w:r>
            <w:hyperlink r:id="rId23">
              <w:r w:rsidR="00BF019E" w:rsidRPr="00730471">
                <w:rPr>
                  <w:rStyle w:val="Hyperlink"/>
                  <w:rFonts w:ascii="Arial" w:hAnsi="Arial" w:cs="Arial"/>
                  <w:sz w:val="24"/>
                  <w:szCs w:val="24"/>
                </w:rPr>
                <w:t>https://dn710102.ca.archive.org/0/items/democracyandeduc00deweuoft/democracyandeduc00deweuoft.pdf</w:t>
              </w:r>
            </w:hyperlink>
          </w:p>
          <w:p w14:paraId="2A9A40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NEEF (2023). Environmental Learning Benefits.</w:t>
            </w:r>
          </w:p>
          <w:p w14:paraId="7A9BDEF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EsP MELCs (2024).</w:t>
            </w:r>
          </w:p>
          <w:p w14:paraId="48C5E93F" w14:textId="77777777" w:rsidR="00BF019E" w:rsidRPr="00730471" w:rsidRDefault="00BF019E" w:rsidP="008F26AB">
            <w:pPr>
              <w:spacing w:line="360" w:lineRule="auto"/>
              <w:jc w:val="both"/>
              <w:rPr>
                <w:rFonts w:ascii="Arial" w:hAnsi="Arial" w:cs="Arial"/>
                <w:sz w:val="24"/>
                <w:szCs w:val="24"/>
              </w:rPr>
            </w:pPr>
          </w:p>
        </w:tc>
      </w:tr>
      <w:tr w:rsidR="00BF019E" w:rsidRPr="00730471" w14:paraId="55AE00C1" w14:textId="77777777">
        <w:trPr>
          <w:trHeight w:val="350"/>
        </w:trPr>
        <w:tc>
          <w:tcPr>
            <w:tcW w:w="8445" w:type="dxa"/>
            <w:gridSpan w:val="8"/>
            <w:shd w:val="clear" w:color="auto" w:fill="E2EFD9"/>
          </w:tcPr>
          <w:p w14:paraId="5A38F223" w14:textId="77777777" w:rsidR="00BF019E" w:rsidRPr="00730471" w:rsidRDefault="00BF019E" w:rsidP="008F26AB">
            <w:pPr>
              <w:spacing w:line="360" w:lineRule="auto"/>
              <w:jc w:val="both"/>
              <w:rPr>
                <w:rFonts w:ascii="Arial" w:hAnsi="Arial" w:cs="Arial"/>
                <w:sz w:val="24"/>
                <w:szCs w:val="24"/>
              </w:rPr>
            </w:pPr>
          </w:p>
        </w:tc>
      </w:tr>
      <w:tr w:rsidR="00BF019E" w:rsidRPr="00730471" w14:paraId="7A4254B5" w14:textId="77777777">
        <w:trPr>
          <w:trHeight w:val="809"/>
        </w:trPr>
        <w:tc>
          <w:tcPr>
            <w:tcW w:w="8445" w:type="dxa"/>
            <w:gridSpan w:val="8"/>
          </w:tcPr>
          <w:p w14:paraId="0F5FD65D" w14:textId="77777777" w:rsidR="00BF019E" w:rsidRPr="00730471" w:rsidRDefault="00BF019E" w:rsidP="008F26AB">
            <w:pPr>
              <w:spacing w:line="360" w:lineRule="auto"/>
              <w:jc w:val="both"/>
              <w:rPr>
                <w:rFonts w:ascii="Arial" w:hAnsi="Arial" w:cs="Arial"/>
                <w:sz w:val="24"/>
                <w:szCs w:val="24"/>
              </w:rPr>
            </w:pPr>
          </w:p>
          <w:p w14:paraId="6AAF76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MODULE 3: Acting for the Planet (Responsibility &amp; Citizenship)</w:t>
            </w:r>
          </w:p>
          <w:p w14:paraId="6874B381" w14:textId="77777777" w:rsidR="00BF019E" w:rsidRPr="00730471" w:rsidRDefault="00BF019E" w:rsidP="008F26AB">
            <w:pPr>
              <w:spacing w:line="360" w:lineRule="auto"/>
              <w:jc w:val="both"/>
              <w:rPr>
                <w:rFonts w:ascii="Arial" w:hAnsi="Arial" w:cs="Arial"/>
                <w:sz w:val="24"/>
                <w:szCs w:val="24"/>
              </w:rPr>
            </w:pPr>
          </w:p>
          <w:p w14:paraId="601755C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“The self is not something ready-made, but something in continuous formation through choice of action.” — John Dewey (1922, Human Nature and Conduct)</w:t>
            </w:r>
          </w:p>
        </w:tc>
      </w:tr>
      <w:tr w:rsidR="00BF019E" w:rsidRPr="00730471" w14:paraId="179F9BDD" w14:textId="77777777">
        <w:trPr>
          <w:trHeight w:val="1612"/>
        </w:trPr>
        <w:tc>
          <w:tcPr>
            <w:tcW w:w="2550" w:type="dxa"/>
            <w:gridSpan w:val="2"/>
            <w:vMerge w:val="restart"/>
          </w:tcPr>
          <w:p w14:paraId="5DB8A46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Objectives</w:t>
            </w:r>
          </w:p>
          <w:p w14:paraId="0F87FEF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By the end of this module, students will:</w:t>
            </w:r>
          </w:p>
          <w:p w14:paraId="6F4D847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Identify local environmental issues.</w:t>
            </w:r>
          </w:p>
          <w:p w14:paraId="0BDF227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Plan and carry out a small eco-action project.</w:t>
            </w:r>
          </w:p>
          <w:p w14:paraId="0A3B193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Collaborate with classmates and community members.</w:t>
            </w:r>
          </w:p>
          <w:p w14:paraId="1842F38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Reflect on their learning and contribution.</w:t>
            </w:r>
          </w:p>
          <w:p w14:paraId="5B8448E5"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7CED596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Overview</w:t>
            </w:r>
          </w:p>
          <w:p w14:paraId="388B809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This module puts learning into action. Students become environmental stewards by designing and implementing small projects that benefit their school or community — bringing Dewey’s experiential learning to life. According to the National Environmental Education Foundation (2023), project-based environmental learning empowers students to </w:t>
            </w:r>
            <w:r w:rsidRPr="00730471">
              <w:rPr>
                <w:rFonts w:ascii="Arial" w:hAnsi="Arial" w:cs="Arial"/>
                <w:sz w:val="24"/>
                <w:szCs w:val="24"/>
              </w:rPr>
              <w:lastRenderedPageBreak/>
              <w:t>act as agents of change.</w:t>
            </w:r>
          </w:p>
          <w:p w14:paraId="5AD0CEEF" w14:textId="77777777" w:rsidR="00BF019E" w:rsidRPr="00730471" w:rsidRDefault="00BF019E" w:rsidP="008F26AB">
            <w:pPr>
              <w:spacing w:line="360" w:lineRule="auto"/>
              <w:jc w:val="both"/>
              <w:rPr>
                <w:rFonts w:ascii="Arial" w:hAnsi="Arial" w:cs="Arial"/>
                <w:sz w:val="24"/>
                <w:szCs w:val="24"/>
              </w:rPr>
            </w:pPr>
          </w:p>
        </w:tc>
      </w:tr>
      <w:tr w:rsidR="00BF019E" w:rsidRPr="00730471" w14:paraId="56A2226E" w14:textId="77777777">
        <w:trPr>
          <w:trHeight w:val="755"/>
        </w:trPr>
        <w:tc>
          <w:tcPr>
            <w:tcW w:w="2550" w:type="dxa"/>
            <w:gridSpan w:val="2"/>
            <w:vMerge/>
          </w:tcPr>
          <w:p w14:paraId="612B3C7C"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52BC3AA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Concept:</w:t>
            </w:r>
          </w:p>
          <w:p w14:paraId="1A23488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Environmental Action and Stewardship</w:t>
            </w:r>
          </w:p>
        </w:tc>
      </w:tr>
      <w:tr w:rsidR="00BF019E" w:rsidRPr="00730471" w14:paraId="74EFAF41" w14:textId="77777777">
        <w:trPr>
          <w:trHeight w:val="260"/>
        </w:trPr>
        <w:tc>
          <w:tcPr>
            <w:tcW w:w="2550" w:type="dxa"/>
            <w:gridSpan w:val="2"/>
            <w:vMerge/>
          </w:tcPr>
          <w:p w14:paraId="250FC96D"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69AF30E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Pre-Test (Optional)</w:t>
            </w:r>
          </w:p>
          <w:p w14:paraId="00F4647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is an environmental problem in your community?</w:t>
            </w:r>
          </w:p>
          <w:p w14:paraId="3ABDF7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can students do to help the environment?</w:t>
            </w:r>
          </w:p>
          <w:p w14:paraId="24DE084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Define “responsibility.”</w:t>
            </w:r>
          </w:p>
        </w:tc>
      </w:tr>
      <w:tr w:rsidR="00BF019E" w:rsidRPr="00730471" w14:paraId="6F393A3A" w14:textId="77777777">
        <w:trPr>
          <w:trHeight w:val="269"/>
        </w:trPr>
        <w:tc>
          <w:tcPr>
            <w:tcW w:w="8445" w:type="dxa"/>
            <w:gridSpan w:val="8"/>
          </w:tcPr>
          <w:p w14:paraId="2A23444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Introduction</w:t>
            </w:r>
          </w:p>
          <w:p w14:paraId="2600293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Environmental citizenship means being responsible for your surroundings. Following Dewey’s view that learning happens through action, this module lets students apply what they know to solve real problems in their environment.</w:t>
            </w:r>
          </w:p>
        </w:tc>
      </w:tr>
      <w:tr w:rsidR="00BF019E" w:rsidRPr="00730471" w14:paraId="2E2EA834" w14:textId="77777777">
        <w:trPr>
          <w:trHeight w:val="269"/>
        </w:trPr>
        <w:tc>
          <w:tcPr>
            <w:tcW w:w="8445" w:type="dxa"/>
            <w:gridSpan w:val="8"/>
          </w:tcPr>
          <w:p w14:paraId="017BC5D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Lecture / Concept Definition</w:t>
            </w:r>
          </w:p>
          <w:p w14:paraId="0460E1C9" w14:textId="77777777" w:rsidR="00BF019E" w:rsidRPr="00730471" w:rsidRDefault="00BF019E" w:rsidP="008F26AB">
            <w:pPr>
              <w:spacing w:line="360" w:lineRule="auto"/>
              <w:jc w:val="both"/>
              <w:rPr>
                <w:rFonts w:ascii="Arial" w:hAnsi="Arial" w:cs="Arial"/>
                <w:sz w:val="24"/>
                <w:szCs w:val="24"/>
              </w:rPr>
            </w:pPr>
          </w:p>
          <w:p w14:paraId="13C27CF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is environmental action and stewardship? Environmental action refers to behaviours and initiatives that reduce negative environmental impacts and foster ecological sustainability. Stewardship means taking responsibility for caring, protecting, and restoring the environment. (</w:t>
            </w:r>
            <w:hyperlink r:id="rId24">
              <w:r w:rsidRPr="00730471">
                <w:rPr>
                  <w:rStyle w:val="Hyperlink"/>
                  <w:rFonts w:ascii="Arial" w:hAnsi="Arial" w:cs="Arial"/>
                  <w:sz w:val="24"/>
                  <w:szCs w:val="24"/>
                </w:rPr>
                <w:t>EcoMENA</w:t>
              </w:r>
            </w:hyperlink>
            <w:r w:rsidRPr="00730471">
              <w:rPr>
                <w:rFonts w:ascii="Arial" w:hAnsi="Arial" w:cs="Arial"/>
                <w:sz w:val="24"/>
                <w:szCs w:val="24"/>
              </w:rPr>
              <w:t>)</w:t>
            </w:r>
          </w:p>
          <w:p w14:paraId="2741D8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Citizenship and the environment: Learners as active citizens have roles in their school, home and community to contribute to environmental well</w:t>
            </w:r>
            <w:r w:rsidRPr="00730471">
              <w:rPr>
                <w:rFonts w:ascii="Cambria Math" w:hAnsi="Cambria Math" w:cs="Cambria Math"/>
                <w:sz w:val="24"/>
                <w:szCs w:val="24"/>
              </w:rPr>
              <w:t>‐</w:t>
            </w:r>
            <w:r w:rsidRPr="00730471">
              <w:rPr>
                <w:rFonts w:ascii="Arial" w:hAnsi="Arial" w:cs="Arial"/>
                <w:sz w:val="24"/>
                <w:szCs w:val="24"/>
              </w:rPr>
              <w:t>being. Understanding civic responsibility enhances environmental literacy. (</w:t>
            </w:r>
            <w:hyperlink r:id="rId25">
              <w:r w:rsidR="00BF019E" w:rsidRPr="00730471">
                <w:rPr>
                  <w:rStyle w:val="Hyperlink"/>
                  <w:rFonts w:ascii="Arial" w:hAnsi="Arial" w:cs="Arial"/>
                  <w:sz w:val="24"/>
                  <w:szCs w:val="24"/>
                </w:rPr>
                <w:t>iberdrola.com</w:t>
              </w:r>
            </w:hyperlink>
            <w:r w:rsidRPr="00730471">
              <w:rPr>
                <w:rFonts w:ascii="Arial" w:hAnsi="Arial" w:cs="Arial"/>
                <w:sz w:val="24"/>
                <w:szCs w:val="24"/>
              </w:rPr>
              <w:t>)</w:t>
            </w:r>
          </w:p>
          <w:p w14:paraId="2411DDC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Focus: “What can I do to help?” Encourages students to plan, act, reflect and continue responsibility for environmental care.</w:t>
            </w:r>
            <w:r w:rsidRPr="00730471">
              <w:rPr>
                <w:rFonts w:ascii="Arial" w:hAnsi="Arial" w:cs="Arial"/>
                <w:sz w:val="24"/>
                <w:szCs w:val="24"/>
              </w:rPr>
              <w:br/>
            </w:r>
          </w:p>
          <w:p w14:paraId="5C75249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terms to define: stewardship, sustainability, civic responsibility, community action, recycling, conservation.</w:t>
            </w:r>
          </w:p>
          <w:p w14:paraId="150A32F1" w14:textId="77777777" w:rsidR="00BF019E" w:rsidRPr="00730471" w:rsidRDefault="00BF019E" w:rsidP="008F26AB">
            <w:pPr>
              <w:spacing w:line="360" w:lineRule="auto"/>
              <w:jc w:val="both"/>
              <w:rPr>
                <w:rFonts w:ascii="Arial" w:hAnsi="Arial" w:cs="Arial"/>
                <w:sz w:val="24"/>
                <w:szCs w:val="24"/>
              </w:rPr>
            </w:pPr>
          </w:p>
          <w:p w14:paraId="4350F8D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Structured Content</w:t>
            </w:r>
          </w:p>
          <w:p w14:paraId="1467B0F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Personal Action and Environmental Impact</w:t>
            </w:r>
          </w:p>
          <w:p w14:paraId="68FCD18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Small actions, big differences</w:t>
            </w:r>
          </w:p>
          <w:p w14:paraId="45FF84D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Using resources wisely</w:t>
            </w:r>
          </w:p>
          <w:p w14:paraId="7698AAB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Community and School Responsibilities</w:t>
            </w:r>
          </w:p>
          <w:p w14:paraId="59D9EA3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Waste management and recycling</w:t>
            </w:r>
          </w:p>
          <w:p w14:paraId="17FA778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Tree planting, cleaning initiatives</w:t>
            </w:r>
          </w:p>
          <w:p w14:paraId="7EC8371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Planning for Sustainable Futures</w:t>
            </w:r>
          </w:p>
          <w:p w14:paraId="61F5ED9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Setting goals</w:t>
            </w:r>
          </w:p>
          <w:p w14:paraId="32A8359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Reflection, monitoring, continuous improvement</w:t>
            </w:r>
          </w:p>
          <w:p w14:paraId="7A1C87C4" w14:textId="77777777" w:rsidR="00BF019E" w:rsidRPr="00730471" w:rsidRDefault="00BF019E" w:rsidP="008F26AB">
            <w:pPr>
              <w:spacing w:line="360" w:lineRule="auto"/>
              <w:jc w:val="both"/>
              <w:rPr>
                <w:rFonts w:ascii="Arial" w:hAnsi="Arial" w:cs="Arial"/>
                <w:sz w:val="24"/>
                <w:szCs w:val="24"/>
              </w:rPr>
            </w:pPr>
          </w:p>
          <w:p w14:paraId="339166F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Core Information / Tips for Teachers</w:t>
            </w:r>
          </w:p>
          <w:p w14:paraId="6C27AF7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Guide students to choose a manageable project (one that can be done in 1–2 weeks) to build sense of accomplishment.</w:t>
            </w:r>
          </w:p>
          <w:p w14:paraId="4983B96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project</w:t>
            </w:r>
            <w:r w:rsidRPr="00730471">
              <w:rPr>
                <w:rFonts w:ascii="Cambria Math" w:hAnsi="Cambria Math" w:cs="Cambria Math"/>
                <w:sz w:val="24"/>
                <w:szCs w:val="24"/>
              </w:rPr>
              <w:t>‐</w:t>
            </w:r>
            <w:r w:rsidRPr="00730471">
              <w:rPr>
                <w:rFonts w:ascii="Arial" w:hAnsi="Arial" w:cs="Arial"/>
                <w:sz w:val="24"/>
                <w:szCs w:val="24"/>
              </w:rPr>
              <w:t>based learning: plan → act → evaluate → reflect.</w:t>
            </w:r>
          </w:p>
          <w:p w14:paraId="5D6D903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Encourage peer leadership: students lead teams and record progress.</w:t>
            </w:r>
          </w:p>
          <w:p w14:paraId="4F41A2D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Link project with local context (school yard, nearby park, community waste site) so efforts are tangible.</w:t>
            </w:r>
          </w:p>
          <w:p w14:paraId="2410A8F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Encourage students to share results with wider community (parents, barangay, local government) to increase ownership and visibility.</w:t>
            </w:r>
          </w:p>
        </w:tc>
      </w:tr>
      <w:tr w:rsidR="00BF019E" w:rsidRPr="00730471" w14:paraId="62A33162" w14:textId="77777777">
        <w:trPr>
          <w:trHeight w:val="269"/>
        </w:trPr>
        <w:tc>
          <w:tcPr>
            <w:tcW w:w="2550" w:type="dxa"/>
            <w:gridSpan w:val="2"/>
            <w:vMerge w:val="restart"/>
            <w:vAlign w:val="center"/>
          </w:tcPr>
          <w:p w14:paraId="4EF7ADA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Learning Materials</w:t>
            </w:r>
          </w:p>
        </w:tc>
        <w:tc>
          <w:tcPr>
            <w:tcW w:w="5895" w:type="dxa"/>
            <w:gridSpan w:val="6"/>
          </w:tcPr>
          <w:p w14:paraId="0ECCD20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Video: “School Clean-Up Campaigns” (DepEd TV)</w:t>
            </w:r>
          </w:p>
        </w:tc>
      </w:tr>
      <w:tr w:rsidR="00BF019E" w:rsidRPr="00730471" w14:paraId="22655501" w14:textId="77777777">
        <w:trPr>
          <w:trHeight w:val="269"/>
        </w:trPr>
        <w:tc>
          <w:tcPr>
            <w:tcW w:w="2550" w:type="dxa"/>
            <w:gridSpan w:val="2"/>
            <w:vMerge/>
            <w:vAlign w:val="center"/>
          </w:tcPr>
          <w:p w14:paraId="29AA75B0"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0B71A8C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Sample Project Plans from Tomas Cabili and Sultan Mamarinta Schools</w:t>
            </w:r>
          </w:p>
        </w:tc>
      </w:tr>
      <w:tr w:rsidR="00BF019E" w:rsidRPr="00730471" w14:paraId="67E9F39A" w14:textId="77777777">
        <w:trPr>
          <w:trHeight w:val="269"/>
        </w:trPr>
        <w:tc>
          <w:tcPr>
            <w:tcW w:w="2550" w:type="dxa"/>
            <w:gridSpan w:val="2"/>
            <w:vMerge/>
            <w:vAlign w:val="center"/>
          </w:tcPr>
          <w:p w14:paraId="247AD85D"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17CB28D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Template: Eco-Project Logbook</w:t>
            </w:r>
          </w:p>
        </w:tc>
      </w:tr>
      <w:tr w:rsidR="00BF019E" w:rsidRPr="00730471" w14:paraId="46B5CB2F" w14:textId="77777777">
        <w:trPr>
          <w:trHeight w:val="269"/>
        </w:trPr>
        <w:tc>
          <w:tcPr>
            <w:tcW w:w="2550" w:type="dxa"/>
            <w:gridSpan w:val="2"/>
            <w:vMerge/>
            <w:vAlign w:val="center"/>
          </w:tcPr>
          <w:p w14:paraId="153349B1"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6B9ED09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Posters: “The 5Rs – Refuse, Reduce, Reuse, Recycle, Repair”</w:t>
            </w:r>
          </w:p>
        </w:tc>
      </w:tr>
      <w:tr w:rsidR="00BF019E" w:rsidRPr="00730471" w14:paraId="4802FE71" w14:textId="77777777">
        <w:trPr>
          <w:trHeight w:val="269"/>
        </w:trPr>
        <w:tc>
          <w:tcPr>
            <w:tcW w:w="2550" w:type="dxa"/>
            <w:gridSpan w:val="2"/>
            <w:vMerge w:val="restart"/>
            <w:vAlign w:val="center"/>
          </w:tcPr>
          <w:p w14:paraId="4740B41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Activities</w:t>
            </w:r>
          </w:p>
        </w:tc>
        <w:tc>
          <w:tcPr>
            <w:tcW w:w="2565" w:type="dxa"/>
            <w:gridSpan w:val="4"/>
          </w:tcPr>
          <w:p w14:paraId="1849FDB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1: Plan It! – Action Project Workshop</w:t>
            </w:r>
          </w:p>
        </w:tc>
        <w:tc>
          <w:tcPr>
            <w:tcW w:w="3330" w:type="dxa"/>
            <w:gridSpan w:val="2"/>
          </w:tcPr>
          <w:p w14:paraId="699859F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 groups, identify a problem (e.g., litter, lack of plants).</w:t>
            </w:r>
          </w:p>
          <w:p w14:paraId="14C0EAF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the Eco-Project Logbook to plan: goal, materials, timeline, roles.</w:t>
            </w:r>
          </w:p>
        </w:tc>
      </w:tr>
      <w:tr w:rsidR="00BF019E" w:rsidRPr="00730471" w14:paraId="28BB2EEC" w14:textId="77777777">
        <w:trPr>
          <w:trHeight w:val="269"/>
        </w:trPr>
        <w:tc>
          <w:tcPr>
            <w:tcW w:w="2550" w:type="dxa"/>
            <w:gridSpan w:val="2"/>
            <w:vMerge/>
            <w:vAlign w:val="center"/>
          </w:tcPr>
          <w:p w14:paraId="35E8006E" w14:textId="77777777" w:rsidR="00BF019E" w:rsidRPr="00730471" w:rsidRDefault="00BF019E" w:rsidP="008F26AB">
            <w:pPr>
              <w:spacing w:line="360" w:lineRule="auto"/>
              <w:jc w:val="both"/>
              <w:rPr>
                <w:rFonts w:ascii="Arial" w:hAnsi="Arial" w:cs="Arial"/>
                <w:sz w:val="24"/>
                <w:szCs w:val="24"/>
              </w:rPr>
            </w:pPr>
          </w:p>
        </w:tc>
        <w:tc>
          <w:tcPr>
            <w:tcW w:w="2565" w:type="dxa"/>
            <w:gridSpan w:val="4"/>
          </w:tcPr>
          <w:p w14:paraId="20654B7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Activity 2: Do It! – </w:t>
            </w:r>
            <w:r w:rsidRPr="00730471">
              <w:rPr>
                <w:rFonts w:ascii="Arial" w:hAnsi="Arial" w:cs="Arial"/>
                <w:sz w:val="24"/>
                <w:szCs w:val="24"/>
              </w:rPr>
              <w:lastRenderedPageBreak/>
              <w:t>Implementation Week</w:t>
            </w:r>
          </w:p>
        </w:tc>
        <w:tc>
          <w:tcPr>
            <w:tcW w:w="3330" w:type="dxa"/>
            <w:gridSpan w:val="2"/>
            <w:vAlign w:val="center"/>
          </w:tcPr>
          <w:p w14:paraId="690CBC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Execute the plan. Document </w:t>
            </w:r>
            <w:r w:rsidRPr="00730471">
              <w:rPr>
                <w:rFonts w:ascii="Arial" w:hAnsi="Arial" w:cs="Arial"/>
                <w:sz w:val="24"/>
                <w:szCs w:val="24"/>
              </w:rPr>
              <w:lastRenderedPageBreak/>
              <w:t>progress using photos and notes.</w:t>
            </w:r>
          </w:p>
        </w:tc>
      </w:tr>
      <w:tr w:rsidR="00BF019E" w:rsidRPr="00730471" w14:paraId="41C063F3" w14:textId="77777777">
        <w:trPr>
          <w:trHeight w:val="260"/>
        </w:trPr>
        <w:tc>
          <w:tcPr>
            <w:tcW w:w="2550" w:type="dxa"/>
            <w:gridSpan w:val="2"/>
            <w:vMerge/>
            <w:vAlign w:val="center"/>
          </w:tcPr>
          <w:p w14:paraId="3003D4A0" w14:textId="77777777" w:rsidR="00BF019E" w:rsidRPr="00730471" w:rsidRDefault="00BF019E" w:rsidP="008F26AB">
            <w:pPr>
              <w:spacing w:line="360" w:lineRule="auto"/>
              <w:jc w:val="both"/>
              <w:rPr>
                <w:rFonts w:ascii="Arial" w:hAnsi="Arial" w:cs="Arial"/>
                <w:sz w:val="24"/>
                <w:szCs w:val="24"/>
              </w:rPr>
            </w:pPr>
          </w:p>
        </w:tc>
        <w:tc>
          <w:tcPr>
            <w:tcW w:w="2565" w:type="dxa"/>
            <w:gridSpan w:val="4"/>
          </w:tcPr>
          <w:p w14:paraId="1E00BD2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3: Show It! – Eco Fair Presentation</w:t>
            </w:r>
          </w:p>
        </w:tc>
        <w:tc>
          <w:tcPr>
            <w:tcW w:w="3330" w:type="dxa"/>
            <w:gridSpan w:val="2"/>
          </w:tcPr>
          <w:p w14:paraId="1D64DEB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Present outcomes to teachers and community (before/after photos, posters, short videos).</w:t>
            </w:r>
          </w:p>
        </w:tc>
      </w:tr>
      <w:tr w:rsidR="00BF019E" w:rsidRPr="00730471" w14:paraId="31AF1812" w14:textId="77777777">
        <w:trPr>
          <w:trHeight w:val="260"/>
        </w:trPr>
        <w:tc>
          <w:tcPr>
            <w:tcW w:w="2550" w:type="dxa"/>
            <w:gridSpan w:val="2"/>
            <w:vMerge/>
            <w:vAlign w:val="center"/>
          </w:tcPr>
          <w:p w14:paraId="0CC742D6" w14:textId="77777777" w:rsidR="00BF019E" w:rsidRPr="00730471" w:rsidRDefault="00BF019E" w:rsidP="008F26AB">
            <w:pPr>
              <w:spacing w:line="360" w:lineRule="auto"/>
              <w:jc w:val="both"/>
              <w:rPr>
                <w:rFonts w:ascii="Arial" w:hAnsi="Arial" w:cs="Arial"/>
                <w:sz w:val="24"/>
                <w:szCs w:val="24"/>
              </w:rPr>
            </w:pPr>
          </w:p>
        </w:tc>
        <w:tc>
          <w:tcPr>
            <w:tcW w:w="2565" w:type="dxa"/>
            <w:gridSpan w:val="4"/>
          </w:tcPr>
          <w:p w14:paraId="535BD2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4: Reflect It! – My Environmental Pledge</w:t>
            </w:r>
            <w:r w:rsidRPr="00730471">
              <w:rPr>
                <w:rFonts w:ascii="Arial" w:hAnsi="Arial" w:cs="Arial"/>
                <w:sz w:val="24"/>
                <w:szCs w:val="24"/>
              </w:rPr>
              <w:tab/>
              <w:t>.</w:t>
            </w:r>
          </w:p>
        </w:tc>
        <w:tc>
          <w:tcPr>
            <w:tcW w:w="3330" w:type="dxa"/>
            <w:gridSpan w:val="2"/>
          </w:tcPr>
          <w:p w14:paraId="049DB82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write one commitment to continue eco-friendly habits</w:t>
            </w:r>
          </w:p>
        </w:tc>
      </w:tr>
      <w:tr w:rsidR="00BF019E" w:rsidRPr="00730471" w14:paraId="0E06B78C" w14:textId="77777777">
        <w:trPr>
          <w:trHeight w:val="260"/>
        </w:trPr>
        <w:tc>
          <w:tcPr>
            <w:tcW w:w="2550" w:type="dxa"/>
            <w:gridSpan w:val="2"/>
            <w:vMerge w:val="restart"/>
            <w:vAlign w:val="center"/>
          </w:tcPr>
          <w:p w14:paraId="253B4B3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Assessments</w:t>
            </w:r>
          </w:p>
        </w:tc>
        <w:tc>
          <w:tcPr>
            <w:tcW w:w="2565" w:type="dxa"/>
            <w:gridSpan w:val="4"/>
            <w:vMerge w:val="restart"/>
            <w:vAlign w:val="center"/>
          </w:tcPr>
          <w:p w14:paraId="6EC0A32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Project Rubric:</w:t>
            </w:r>
          </w:p>
        </w:tc>
        <w:tc>
          <w:tcPr>
            <w:tcW w:w="1485" w:type="dxa"/>
          </w:tcPr>
          <w:p w14:paraId="6F3F7E1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Planning </w:t>
            </w:r>
            <w:r w:rsidRPr="00730471">
              <w:rPr>
                <w:rFonts w:ascii="Arial" w:hAnsi="Arial" w:cs="Arial"/>
                <w:sz w:val="24"/>
                <w:szCs w:val="24"/>
              </w:rPr>
              <w:tab/>
            </w:r>
          </w:p>
        </w:tc>
        <w:tc>
          <w:tcPr>
            <w:tcW w:w="1845" w:type="dxa"/>
          </w:tcPr>
          <w:p w14:paraId="71D4DBF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(20%)</w:t>
            </w:r>
          </w:p>
        </w:tc>
      </w:tr>
      <w:tr w:rsidR="00BF019E" w:rsidRPr="00730471" w14:paraId="6CBEF972" w14:textId="77777777">
        <w:trPr>
          <w:trHeight w:val="260"/>
        </w:trPr>
        <w:tc>
          <w:tcPr>
            <w:tcW w:w="2550" w:type="dxa"/>
            <w:gridSpan w:val="2"/>
            <w:vMerge/>
            <w:vAlign w:val="center"/>
          </w:tcPr>
          <w:p w14:paraId="32BC273D"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773A1D88" w14:textId="77777777" w:rsidR="00BF019E" w:rsidRPr="00730471" w:rsidRDefault="00BF019E" w:rsidP="008F26AB">
            <w:pPr>
              <w:spacing w:line="360" w:lineRule="auto"/>
              <w:jc w:val="both"/>
              <w:rPr>
                <w:rFonts w:ascii="Arial" w:hAnsi="Arial" w:cs="Arial"/>
                <w:sz w:val="24"/>
                <w:szCs w:val="24"/>
              </w:rPr>
            </w:pPr>
          </w:p>
        </w:tc>
        <w:tc>
          <w:tcPr>
            <w:tcW w:w="1485" w:type="dxa"/>
          </w:tcPr>
          <w:p w14:paraId="0B8BEA7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Collaboration </w:t>
            </w:r>
          </w:p>
        </w:tc>
        <w:tc>
          <w:tcPr>
            <w:tcW w:w="1845" w:type="dxa"/>
          </w:tcPr>
          <w:p w14:paraId="11AE74A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(20%)</w:t>
            </w:r>
          </w:p>
        </w:tc>
      </w:tr>
      <w:tr w:rsidR="00BF019E" w:rsidRPr="00730471" w14:paraId="1A58B09B" w14:textId="77777777">
        <w:trPr>
          <w:trHeight w:val="260"/>
        </w:trPr>
        <w:tc>
          <w:tcPr>
            <w:tcW w:w="2550" w:type="dxa"/>
            <w:gridSpan w:val="2"/>
            <w:vMerge/>
            <w:vAlign w:val="center"/>
          </w:tcPr>
          <w:p w14:paraId="75747A21"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107E3D9A" w14:textId="77777777" w:rsidR="00BF019E" w:rsidRPr="00730471" w:rsidRDefault="00BF019E" w:rsidP="008F26AB">
            <w:pPr>
              <w:spacing w:line="360" w:lineRule="auto"/>
              <w:jc w:val="both"/>
              <w:rPr>
                <w:rFonts w:ascii="Arial" w:hAnsi="Arial" w:cs="Arial"/>
                <w:sz w:val="24"/>
                <w:szCs w:val="24"/>
              </w:rPr>
            </w:pPr>
          </w:p>
        </w:tc>
        <w:tc>
          <w:tcPr>
            <w:tcW w:w="1485" w:type="dxa"/>
          </w:tcPr>
          <w:p w14:paraId="560DE8E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Implementation </w:t>
            </w:r>
          </w:p>
        </w:tc>
        <w:tc>
          <w:tcPr>
            <w:tcW w:w="1845" w:type="dxa"/>
          </w:tcPr>
          <w:p w14:paraId="6EADBDD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(30%) </w:t>
            </w:r>
          </w:p>
        </w:tc>
      </w:tr>
      <w:tr w:rsidR="00BF019E" w:rsidRPr="00730471" w14:paraId="6CC78552" w14:textId="77777777">
        <w:trPr>
          <w:trHeight w:val="260"/>
        </w:trPr>
        <w:tc>
          <w:tcPr>
            <w:tcW w:w="2550" w:type="dxa"/>
            <w:gridSpan w:val="2"/>
            <w:vMerge/>
            <w:vAlign w:val="center"/>
          </w:tcPr>
          <w:p w14:paraId="577BF982"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4A1FC9D7" w14:textId="77777777" w:rsidR="00BF019E" w:rsidRPr="00730471" w:rsidRDefault="00BF019E" w:rsidP="008F26AB">
            <w:pPr>
              <w:spacing w:line="360" w:lineRule="auto"/>
              <w:jc w:val="both"/>
              <w:rPr>
                <w:rFonts w:ascii="Arial" w:hAnsi="Arial" w:cs="Arial"/>
                <w:sz w:val="24"/>
                <w:szCs w:val="24"/>
              </w:rPr>
            </w:pPr>
          </w:p>
        </w:tc>
        <w:tc>
          <w:tcPr>
            <w:tcW w:w="1485" w:type="dxa"/>
          </w:tcPr>
          <w:p w14:paraId="408F203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Reflection </w:t>
            </w:r>
          </w:p>
        </w:tc>
        <w:tc>
          <w:tcPr>
            <w:tcW w:w="1845" w:type="dxa"/>
          </w:tcPr>
          <w:p w14:paraId="4DD4838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(30%)</w:t>
            </w:r>
          </w:p>
        </w:tc>
      </w:tr>
      <w:tr w:rsidR="00BF019E" w:rsidRPr="00730471" w14:paraId="64597FB8" w14:textId="77777777">
        <w:trPr>
          <w:trHeight w:val="260"/>
        </w:trPr>
        <w:tc>
          <w:tcPr>
            <w:tcW w:w="2550" w:type="dxa"/>
            <w:gridSpan w:val="2"/>
            <w:vMerge/>
            <w:vAlign w:val="center"/>
          </w:tcPr>
          <w:p w14:paraId="3D529778"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2489BA07" w14:textId="77777777" w:rsidR="00BF019E" w:rsidRPr="00730471" w:rsidRDefault="00BF019E" w:rsidP="008F26AB">
            <w:pPr>
              <w:spacing w:line="360" w:lineRule="auto"/>
              <w:jc w:val="both"/>
              <w:rPr>
                <w:rFonts w:ascii="Arial" w:hAnsi="Arial" w:cs="Arial"/>
                <w:sz w:val="24"/>
                <w:szCs w:val="24"/>
              </w:rPr>
            </w:pPr>
          </w:p>
        </w:tc>
        <w:tc>
          <w:tcPr>
            <w:tcW w:w="1485" w:type="dxa"/>
          </w:tcPr>
          <w:p w14:paraId="52B2537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Total</w:t>
            </w:r>
          </w:p>
        </w:tc>
        <w:tc>
          <w:tcPr>
            <w:tcW w:w="1845" w:type="dxa"/>
          </w:tcPr>
          <w:p w14:paraId="1E37F90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100%</w:t>
            </w:r>
          </w:p>
        </w:tc>
      </w:tr>
      <w:tr w:rsidR="00BF019E" w:rsidRPr="00730471" w14:paraId="5D045DAB" w14:textId="77777777">
        <w:trPr>
          <w:trHeight w:val="260"/>
        </w:trPr>
        <w:tc>
          <w:tcPr>
            <w:tcW w:w="2550" w:type="dxa"/>
            <w:gridSpan w:val="2"/>
            <w:vMerge/>
            <w:vAlign w:val="center"/>
          </w:tcPr>
          <w:p w14:paraId="5885B18D"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restart"/>
            <w:vAlign w:val="center"/>
          </w:tcPr>
          <w:p w14:paraId="1BF943C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Self-Assessment:</w:t>
            </w:r>
          </w:p>
        </w:tc>
        <w:tc>
          <w:tcPr>
            <w:tcW w:w="3330" w:type="dxa"/>
            <w:gridSpan w:val="2"/>
            <w:vAlign w:val="center"/>
          </w:tcPr>
          <w:p w14:paraId="44AA86D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 helped by ___; I learned that ___.”</w:t>
            </w:r>
          </w:p>
        </w:tc>
      </w:tr>
      <w:tr w:rsidR="00BF019E" w:rsidRPr="00730471" w14:paraId="125F7D8B" w14:textId="77777777">
        <w:trPr>
          <w:trHeight w:val="260"/>
        </w:trPr>
        <w:tc>
          <w:tcPr>
            <w:tcW w:w="2550" w:type="dxa"/>
            <w:gridSpan w:val="2"/>
            <w:vMerge/>
            <w:vAlign w:val="center"/>
          </w:tcPr>
          <w:p w14:paraId="0B8A485C"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53069FBA" w14:textId="77777777" w:rsidR="00BF019E" w:rsidRPr="00730471" w:rsidRDefault="00BF019E" w:rsidP="008F26AB">
            <w:pPr>
              <w:spacing w:line="360" w:lineRule="auto"/>
              <w:jc w:val="both"/>
              <w:rPr>
                <w:rFonts w:ascii="Arial" w:hAnsi="Arial" w:cs="Arial"/>
                <w:sz w:val="24"/>
                <w:szCs w:val="24"/>
              </w:rPr>
            </w:pPr>
          </w:p>
        </w:tc>
        <w:tc>
          <w:tcPr>
            <w:tcW w:w="3330" w:type="dxa"/>
            <w:gridSpan w:val="2"/>
          </w:tcPr>
          <w:p w14:paraId="402A862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Answer Key (Self-Assessment Sample)</w:t>
            </w:r>
          </w:p>
          <w:p w14:paraId="3A69490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 helped by planting trees.”</w:t>
            </w:r>
          </w:p>
          <w:p w14:paraId="7422861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 learned that teamwork makes a big difference.”</w:t>
            </w:r>
          </w:p>
          <w:p w14:paraId="6B7F6C0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“Next time, I will encourage more classmates to join.”</w:t>
            </w:r>
          </w:p>
        </w:tc>
      </w:tr>
      <w:tr w:rsidR="00BF019E" w:rsidRPr="00730471" w14:paraId="08FD0ADD" w14:textId="77777777">
        <w:trPr>
          <w:trHeight w:val="260"/>
        </w:trPr>
        <w:tc>
          <w:tcPr>
            <w:tcW w:w="2550" w:type="dxa"/>
            <w:gridSpan w:val="2"/>
            <w:vMerge/>
            <w:vAlign w:val="center"/>
          </w:tcPr>
          <w:p w14:paraId="745FF7DD"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restart"/>
            <w:vAlign w:val="center"/>
          </w:tcPr>
          <w:p w14:paraId="20B4C63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Teacher Observation Checklist</w:t>
            </w:r>
          </w:p>
        </w:tc>
        <w:tc>
          <w:tcPr>
            <w:tcW w:w="3330" w:type="dxa"/>
            <w:gridSpan w:val="2"/>
          </w:tcPr>
          <w:p w14:paraId="5225A37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Initiative</w:t>
            </w:r>
          </w:p>
        </w:tc>
      </w:tr>
      <w:tr w:rsidR="00BF019E" w:rsidRPr="00730471" w14:paraId="691A7391" w14:textId="77777777">
        <w:trPr>
          <w:trHeight w:val="260"/>
        </w:trPr>
        <w:tc>
          <w:tcPr>
            <w:tcW w:w="2550" w:type="dxa"/>
            <w:gridSpan w:val="2"/>
            <w:vMerge/>
            <w:vAlign w:val="center"/>
          </w:tcPr>
          <w:p w14:paraId="6E9672B6"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1CBB9353" w14:textId="77777777" w:rsidR="00BF019E" w:rsidRPr="00730471" w:rsidRDefault="00BF019E" w:rsidP="008F26AB">
            <w:pPr>
              <w:spacing w:line="360" w:lineRule="auto"/>
              <w:jc w:val="both"/>
              <w:rPr>
                <w:rFonts w:ascii="Arial" w:hAnsi="Arial" w:cs="Arial"/>
                <w:sz w:val="24"/>
                <w:szCs w:val="24"/>
              </w:rPr>
            </w:pPr>
          </w:p>
        </w:tc>
        <w:tc>
          <w:tcPr>
            <w:tcW w:w="3330" w:type="dxa"/>
            <w:gridSpan w:val="2"/>
          </w:tcPr>
          <w:p w14:paraId="630F9D8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Teamwork </w:t>
            </w:r>
          </w:p>
        </w:tc>
      </w:tr>
      <w:tr w:rsidR="00BF019E" w:rsidRPr="00730471" w14:paraId="5BA5648D" w14:textId="77777777">
        <w:trPr>
          <w:trHeight w:val="260"/>
        </w:trPr>
        <w:tc>
          <w:tcPr>
            <w:tcW w:w="2550" w:type="dxa"/>
            <w:gridSpan w:val="2"/>
            <w:vMerge/>
            <w:vAlign w:val="center"/>
          </w:tcPr>
          <w:p w14:paraId="36D07EBB"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779AABD7" w14:textId="77777777" w:rsidR="00BF019E" w:rsidRPr="00730471" w:rsidRDefault="00BF019E" w:rsidP="008F26AB">
            <w:pPr>
              <w:spacing w:line="360" w:lineRule="auto"/>
              <w:jc w:val="both"/>
              <w:rPr>
                <w:rFonts w:ascii="Arial" w:hAnsi="Arial" w:cs="Arial"/>
                <w:sz w:val="24"/>
                <w:szCs w:val="24"/>
              </w:rPr>
            </w:pPr>
          </w:p>
        </w:tc>
        <w:tc>
          <w:tcPr>
            <w:tcW w:w="3330" w:type="dxa"/>
            <w:gridSpan w:val="2"/>
          </w:tcPr>
          <w:p w14:paraId="03BF442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Consistency</w:t>
            </w:r>
          </w:p>
        </w:tc>
      </w:tr>
      <w:tr w:rsidR="00BF019E" w:rsidRPr="00730471" w14:paraId="71C7DBED" w14:textId="77777777">
        <w:trPr>
          <w:trHeight w:val="260"/>
        </w:trPr>
        <w:tc>
          <w:tcPr>
            <w:tcW w:w="8445" w:type="dxa"/>
            <w:gridSpan w:val="8"/>
          </w:tcPr>
          <w:p w14:paraId="730F68C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Further Study</w:t>
            </w:r>
          </w:p>
          <w:p w14:paraId="3132DE2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NEEF (2023): Environmental Education Activities for K–12</w:t>
            </w:r>
          </w:p>
          <w:p w14:paraId="0780510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DepEd’s Project W.A.T.C.H. environmental campaigns</w:t>
            </w:r>
          </w:p>
          <w:p w14:paraId="60B09C5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LGU or NGO partnership programs (for school extension activities).</w:t>
            </w:r>
          </w:p>
          <w:p w14:paraId="726A4437" w14:textId="77777777" w:rsidR="00BF019E" w:rsidRPr="00730471" w:rsidRDefault="00BF019E" w:rsidP="008F26AB">
            <w:pPr>
              <w:spacing w:line="360" w:lineRule="auto"/>
              <w:jc w:val="both"/>
              <w:rPr>
                <w:rFonts w:ascii="Arial" w:hAnsi="Arial" w:cs="Arial"/>
                <w:sz w:val="24"/>
                <w:szCs w:val="24"/>
              </w:rPr>
            </w:pPr>
          </w:p>
        </w:tc>
      </w:tr>
      <w:tr w:rsidR="00BF019E" w:rsidRPr="00730471" w14:paraId="70E126EA" w14:textId="77777777">
        <w:trPr>
          <w:trHeight w:val="260"/>
        </w:trPr>
        <w:tc>
          <w:tcPr>
            <w:tcW w:w="8445" w:type="dxa"/>
            <w:gridSpan w:val="8"/>
          </w:tcPr>
          <w:p w14:paraId="1B4D0D4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References</w:t>
            </w:r>
          </w:p>
          <w:p w14:paraId="76044D10" w14:textId="77777777" w:rsidR="00BF019E" w:rsidRPr="00730471" w:rsidRDefault="00BF019E" w:rsidP="008F26AB">
            <w:pPr>
              <w:spacing w:line="360" w:lineRule="auto"/>
              <w:jc w:val="both"/>
              <w:rPr>
                <w:rFonts w:ascii="Arial" w:hAnsi="Arial" w:cs="Arial"/>
                <w:sz w:val="24"/>
                <w:szCs w:val="24"/>
              </w:rPr>
            </w:pPr>
          </w:p>
          <w:p w14:paraId="1E0D55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Dewey, J. (1922). Human nature and conduct: An introduction to social psychology. Henry Holt &amp; Company. </w:t>
            </w:r>
            <w:hyperlink r:id="rId26">
              <w:r w:rsidR="00BF019E" w:rsidRPr="00730471">
                <w:rPr>
                  <w:rStyle w:val="Hyperlink"/>
                  <w:rFonts w:ascii="Arial" w:hAnsi="Arial" w:cs="Arial"/>
                  <w:sz w:val="24"/>
                  <w:szCs w:val="24"/>
                </w:rPr>
                <w:t>https://ia800801.us.archive.org/20/items/in.ernet.dli.2015.179772/2015.179772.Human-Nature-And-Conduct.pdf</w:t>
              </w:r>
            </w:hyperlink>
          </w:p>
          <w:p w14:paraId="00A71DE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NEEF (2023). Project-Based Environmental Education.</w:t>
            </w:r>
          </w:p>
          <w:p w14:paraId="2633CD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AP 6 MELCs: Civic Responsibility and Community Care.</w:t>
            </w:r>
          </w:p>
          <w:p w14:paraId="2C7221E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Iberdrola (2023). Environmental Education for Kids.</w:t>
            </w:r>
          </w:p>
          <w:p w14:paraId="318C5D39" w14:textId="77777777" w:rsidR="00BF019E" w:rsidRPr="00730471" w:rsidRDefault="00BF019E" w:rsidP="008F26AB">
            <w:pPr>
              <w:spacing w:line="360" w:lineRule="auto"/>
              <w:jc w:val="both"/>
              <w:rPr>
                <w:rFonts w:ascii="Arial" w:hAnsi="Arial" w:cs="Arial"/>
                <w:sz w:val="24"/>
                <w:szCs w:val="24"/>
              </w:rPr>
            </w:pPr>
          </w:p>
        </w:tc>
      </w:tr>
      <w:tr w:rsidR="00BF019E" w:rsidRPr="00730471" w14:paraId="77CB8197" w14:textId="77777777">
        <w:trPr>
          <w:trHeight w:val="260"/>
        </w:trPr>
        <w:tc>
          <w:tcPr>
            <w:tcW w:w="8445" w:type="dxa"/>
            <w:gridSpan w:val="8"/>
          </w:tcPr>
          <w:p w14:paraId="089EC0F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General References (All Modules)</w:t>
            </w:r>
          </w:p>
          <w:p w14:paraId="4D5E1082" w14:textId="77777777" w:rsidR="00BF019E" w:rsidRPr="00730471" w:rsidRDefault="00BF019E" w:rsidP="008F26AB">
            <w:pPr>
              <w:spacing w:line="360" w:lineRule="auto"/>
              <w:jc w:val="both"/>
              <w:rPr>
                <w:rFonts w:ascii="Arial" w:hAnsi="Arial" w:cs="Arial"/>
                <w:sz w:val="24"/>
                <w:szCs w:val="24"/>
              </w:rPr>
            </w:pPr>
          </w:p>
          <w:p w14:paraId="2CAC355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Ienna, M., Rofe, A., Gendi, M., Douglas, H. E., Kelly, M., Hayward, M. W., Callen, A., Klop-Toker, K., Scanlon, R. J., Howell, L. G., &amp; Griffin, A. S. (2022). The relative role of knowledge and empathy in predicting pro-environmental attitudes and behavior. Sustainability, 14(8), 4622. </w:t>
            </w:r>
            <w:hyperlink r:id="rId27">
              <w:r w:rsidR="00BF019E" w:rsidRPr="00730471">
                <w:rPr>
                  <w:rStyle w:val="Hyperlink"/>
                  <w:rFonts w:ascii="Arial" w:hAnsi="Arial" w:cs="Arial"/>
                  <w:sz w:val="24"/>
                  <w:szCs w:val="24"/>
                </w:rPr>
                <w:t>https://doi.org/10.3390/su14084622</w:t>
              </w:r>
            </w:hyperlink>
          </w:p>
          <w:p w14:paraId="658692C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Yurtsever, N., &amp; Angın, D. E. (2022). Examining the mediating role of altruism in the relationship between empathic tendencies, the nature relatedness, and environmental consciousness. CEPS Journal, 12(1), 217-239. </w:t>
            </w:r>
            <w:hyperlink r:id="rId28">
              <w:r w:rsidR="00BF019E" w:rsidRPr="00730471">
                <w:rPr>
                  <w:rStyle w:val="Hyperlink"/>
                  <w:rFonts w:ascii="Arial" w:hAnsi="Arial" w:cs="Arial"/>
                  <w:sz w:val="24"/>
                  <w:szCs w:val="24"/>
                </w:rPr>
                <w:t>https://files.eric.ed.gov/fulltext/EJ1336288.pdf</w:t>
              </w:r>
            </w:hyperlink>
          </w:p>
          <w:p w14:paraId="76B9F67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Aşçı, A. (2025, April 30). Development of empathy with nature in early learning. Conscious Cities Journal No. 7: Learning &amp; Exploration. </w:t>
            </w:r>
            <w:hyperlink r:id="rId29">
              <w:r w:rsidR="00BF019E" w:rsidRPr="00730471">
                <w:rPr>
                  <w:rStyle w:val="Hyperlink"/>
                  <w:rFonts w:ascii="Arial" w:hAnsi="Arial" w:cs="Arial"/>
                  <w:sz w:val="24"/>
                  <w:szCs w:val="24"/>
                </w:rPr>
                <w:t>https://theccd.org/article/development-of-empathy-with-nature-in-early-learning/</w:t>
              </w:r>
            </w:hyperlink>
          </w:p>
          <w:p w14:paraId="573238E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Learning Resources Portal (Science, EsP, AP Modules).</w:t>
            </w:r>
          </w:p>
          <w:p w14:paraId="3CBEF7B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(2018, December 20). Mr. Big Tree [Learning material – worksheet]. </w:t>
            </w:r>
            <w:hyperlink r:id="rId30">
              <w:r w:rsidR="00BF019E" w:rsidRPr="00730471">
                <w:rPr>
                  <w:rStyle w:val="Hyperlink"/>
                  <w:rFonts w:ascii="Arial" w:hAnsi="Arial" w:cs="Arial"/>
                  <w:sz w:val="24"/>
                  <w:szCs w:val="24"/>
                </w:rPr>
                <w:t>https://lrmds.deped.gov.ph/detail/1192</w:t>
              </w:r>
            </w:hyperlink>
            <w:r w:rsidRPr="00730471">
              <w:rPr>
                <w:rFonts w:ascii="Arial" w:hAnsi="Arial" w:cs="Arial"/>
                <w:sz w:val="24"/>
                <w:szCs w:val="24"/>
              </w:rPr>
              <w:t xml:space="preserve"> (English and Science -grd 5) </w:t>
            </w:r>
          </w:p>
          <w:p w14:paraId="0532585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(2011, March 23). Habitat Rummy [Learning material]. </w:t>
            </w:r>
            <w:hyperlink r:id="rId31">
              <w:r w:rsidR="00BF019E" w:rsidRPr="00730471">
                <w:rPr>
                  <w:rStyle w:val="Hyperlink"/>
                  <w:rFonts w:ascii="Arial" w:hAnsi="Arial" w:cs="Arial"/>
                  <w:sz w:val="24"/>
                  <w:szCs w:val="24"/>
                </w:rPr>
                <w:t>https://lrmds.deped.gov.ph/detail/1203</w:t>
              </w:r>
            </w:hyperlink>
            <w:r w:rsidRPr="00730471">
              <w:rPr>
                <w:rFonts w:ascii="Arial" w:hAnsi="Arial" w:cs="Arial"/>
                <w:sz w:val="24"/>
                <w:szCs w:val="24"/>
              </w:rPr>
              <w:t xml:space="preserve"> (science grade 4, grade 6)</w:t>
            </w:r>
          </w:p>
          <w:p w14:paraId="7772C24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(2013, May 15). MISOSA 4 Module 12: Mga Likas </w:t>
            </w:r>
            <w:r w:rsidRPr="00730471">
              <w:rPr>
                <w:rFonts w:ascii="Arial" w:hAnsi="Arial" w:cs="Arial"/>
                <w:sz w:val="24"/>
                <w:szCs w:val="24"/>
              </w:rPr>
              <w:lastRenderedPageBreak/>
              <w:t xml:space="preserve">na Yaman ng Bansa [Learning material, learning module]. </w:t>
            </w:r>
            <w:hyperlink r:id="rId32">
              <w:r w:rsidR="00BF019E" w:rsidRPr="00730471">
                <w:rPr>
                  <w:rStyle w:val="Hyperlink"/>
                  <w:rFonts w:ascii="Arial" w:hAnsi="Arial" w:cs="Arial"/>
                  <w:sz w:val="24"/>
                  <w:szCs w:val="24"/>
                </w:rPr>
                <w:t>https://lrmds.deped.gov.ph/detail/1225(AP-</w:t>
              </w:r>
            </w:hyperlink>
            <w:r w:rsidRPr="00730471">
              <w:rPr>
                <w:rFonts w:ascii="Arial" w:hAnsi="Arial" w:cs="Arial"/>
                <w:sz w:val="24"/>
                <w:szCs w:val="24"/>
              </w:rPr>
              <w:t xml:space="preserve"> grde 2)</w:t>
            </w:r>
          </w:p>
          <w:p w14:paraId="08955B5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Republic of the Philippines. (2011, March 15). Bad Effects of Changes in the Environment [Learning material]. </w:t>
            </w:r>
            <w:hyperlink r:id="rId33">
              <w:r w:rsidR="00BF019E" w:rsidRPr="00730471">
                <w:rPr>
                  <w:rStyle w:val="Hyperlink"/>
                  <w:rFonts w:ascii="Arial" w:hAnsi="Arial" w:cs="Arial"/>
                  <w:sz w:val="24"/>
                  <w:szCs w:val="24"/>
                </w:rPr>
                <w:t>https://lrmds.deped.gov.ph/detail/1458</w:t>
              </w:r>
            </w:hyperlink>
            <w:r w:rsidRPr="00730471">
              <w:rPr>
                <w:rFonts w:ascii="Arial" w:hAnsi="Arial" w:cs="Arial"/>
                <w:sz w:val="24"/>
                <w:szCs w:val="24"/>
              </w:rPr>
              <w:t xml:space="preserve"> (Grade 4, Grade 3, Grade 5 science)</w:t>
            </w:r>
          </w:p>
          <w:p w14:paraId="64DD0DC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Dewey, J. (1938). Experience and education. Kappa Delta Pi. </w:t>
            </w:r>
            <w:hyperlink r:id="rId34">
              <w:r w:rsidR="00BF019E" w:rsidRPr="00730471">
                <w:rPr>
                  <w:rStyle w:val="Hyperlink"/>
                  <w:rFonts w:ascii="Arial" w:hAnsi="Arial" w:cs="Arial"/>
                  <w:sz w:val="24"/>
                  <w:szCs w:val="24"/>
                </w:rPr>
                <w:t>https://www.schoolofeducators.com/wp-content/uploads/2011/12/EXPERIENCE-EDUCATION-JOHN-DEWEY.pdf</w:t>
              </w:r>
            </w:hyperlink>
          </w:p>
          <w:p w14:paraId="0F65DBC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North American Association for Environmental Education. (n.d.). The benefits of EE and nature connections in early childhood. </w:t>
            </w:r>
            <w:hyperlink r:id="rId35">
              <w:r w:rsidR="00BF019E" w:rsidRPr="00730471">
                <w:rPr>
                  <w:rStyle w:val="Hyperlink"/>
                  <w:rFonts w:ascii="Arial" w:hAnsi="Arial" w:cs="Arial"/>
                  <w:sz w:val="24"/>
                  <w:szCs w:val="24"/>
                </w:rPr>
                <w:t>https://naaee.org/programs/eeworks/benefits-early-childhood</w:t>
              </w:r>
            </w:hyperlink>
          </w:p>
          <w:p w14:paraId="51ADA81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National Environmental Education Foundation. (n.d.). Environmental education resources – K-12 education. </w:t>
            </w:r>
            <w:hyperlink r:id="rId36">
              <w:r w:rsidR="00BF019E" w:rsidRPr="00730471">
                <w:rPr>
                  <w:rStyle w:val="Hyperlink"/>
                  <w:rFonts w:ascii="Arial" w:hAnsi="Arial" w:cs="Arial"/>
                  <w:sz w:val="24"/>
                  <w:szCs w:val="24"/>
                </w:rPr>
                <w:t>https://www.neefusa.org/what-we-do/k-12-education/environmental-education-resources</w:t>
              </w:r>
            </w:hyperlink>
          </w:p>
          <w:p w14:paraId="0E15DCFD" w14:textId="77777777" w:rsidR="00BF019E" w:rsidRPr="00730471" w:rsidRDefault="00BF019E" w:rsidP="008F26AB">
            <w:pPr>
              <w:spacing w:line="360" w:lineRule="auto"/>
              <w:jc w:val="both"/>
              <w:rPr>
                <w:rFonts w:ascii="Arial" w:hAnsi="Arial" w:cs="Arial"/>
                <w:sz w:val="24"/>
                <w:szCs w:val="24"/>
              </w:rPr>
            </w:pPr>
          </w:p>
        </w:tc>
      </w:tr>
    </w:tbl>
    <w:p w14:paraId="55377A16" w14:textId="77777777" w:rsidR="00BF019E" w:rsidRPr="00730471" w:rsidRDefault="00BF019E" w:rsidP="008F26AB">
      <w:pPr>
        <w:spacing w:line="360" w:lineRule="auto"/>
        <w:jc w:val="both"/>
        <w:rPr>
          <w:rFonts w:ascii="Arial" w:hAnsi="Arial" w:cs="Arial"/>
          <w:sz w:val="24"/>
          <w:szCs w:val="24"/>
        </w:rPr>
      </w:pPr>
    </w:p>
    <w:p w14:paraId="4C537E2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IV. Core Information for Teachers</w:t>
      </w:r>
    </w:p>
    <w:p w14:paraId="3A1A6D30" w14:textId="5D4396F8"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Instructional Strategies</w:t>
      </w:r>
    </w:p>
    <w:p w14:paraId="22DBA2EE"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Experiential Learning: Learning by doing (eco-walks, experiments, art).</w:t>
      </w:r>
    </w:p>
    <w:p w14:paraId="5F064BCB"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Reflective Dialogue: Encouraging critical and emotional reflection.</w:t>
      </w:r>
    </w:p>
    <w:p w14:paraId="0F968197"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Collaborative Learning: Group work and peer feedback.</w:t>
      </w:r>
    </w:p>
    <w:p w14:paraId="1BF64557"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Values Integration: Connecting moral decision-making with environmental issues.</w:t>
      </w:r>
    </w:p>
    <w:p w14:paraId="12AA280C" w14:textId="77777777" w:rsidR="00AD005F" w:rsidRDefault="00AD005F" w:rsidP="008F26AB">
      <w:pPr>
        <w:spacing w:after="0" w:line="360" w:lineRule="auto"/>
        <w:jc w:val="both"/>
        <w:rPr>
          <w:rFonts w:ascii="Arial" w:hAnsi="Arial" w:cs="Arial"/>
          <w:sz w:val="24"/>
          <w:szCs w:val="24"/>
        </w:rPr>
      </w:pPr>
    </w:p>
    <w:p w14:paraId="51CED905" w14:textId="7712433B"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Pedagogical Tips</w:t>
      </w:r>
    </w:p>
    <w:p w14:paraId="07687A6C"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Encourage students to observe and describe before analyzing.</w:t>
      </w:r>
    </w:p>
    <w:p w14:paraId="4E2D4066"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Use real-life local examples (school waste, nearby river, trees).</w:t>
      </w:r>
    </w:p>
    <w:p w14:paraId="390C679D"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Link lessons to students’ emotions and daily lives.</w:t>
      </w:r>
    </w:p>
    <w:p w14:paraId="2BEFD4B8"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Facilitate, don’t lecture — let students build understanding through experience.</w:t>
      </w:r>
    </w:p>
    <w:p w14:paraId="2AC052CA" w14:textId="77777777" w:rsidR="00BF019E" w:rsidRPr="00730471" w:rsidRDefault="00BF019E" w:rsidP="008F26AB">
      <w:pPr>
        <w:spacing w:after="0" w:line="360" w:lineRule="auto"/>
        <w:jc w:val="both"/>
        <w:rPr>
          <w:rFonts w:ascii="Arial" w:hAnsi="Arial" w:cs="Arial"/>
          <w:sz w:val="24"/>
          <w:szCs w:val="24"/>
        </w:rPr>
      </w:pPr>
    </w:p>
    <w:p w14:paraId="2F34CED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VI. Supporting Resources</w:t>
      </w:r>
    </w:p>
    <w:p w14:paraId="1999C283" w14:textId="77777777" w:rsidR="00361BB9" w:rsidRDefault="00361BB9" w:rsidP="008F26AB">
      <w:pPr>
        <w:spacing w:after="0" w:line="360" w:lineRule="auto"/>
        <w:jc w:val="both"/>
        <w:rPr>
          <w:rFonts w:ascii="Arial" w:hAnsi="Arial" w:cs="Arial"/>
          <w:sz w:val="24"/>
          <w:szCs w:val="24"/>
        </w:rPr>
      </w:pPr>
    </w:p>
    <w:p w14:paraId="17F02EE8" w14:textId="2CC195BA"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lastRenderedPageBreak/>
        <w:t>Suggested Reading &amp; Media:</w:t>
      </w:r>
    </w:p>
    <w:p w14:paraId="7444261D"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DepEd Learning Resources Portal (Environmental Education Materials)</w:t>
      </w:r>
    </w:p>
    <w:p w14:paraId="75770A56"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Video: “Basura Mo, Sagot Ko” (DepEd TV Episode)</w:t>
      </w:r>
    </w:p>
    <w:p w14:paraId="72D48358"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Poster: 5Rs of Waste Management (Refuse, Reduce, Reuse, Recycle, Repair)</w:t>
      </w:r>
    </w:p>
    <w:p w14:paraId="5DBFBBC8"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Articles: “Caring for the Earth” (DepEd EsP Lesson Series)</w:t>
      </w:r>
    </w:p>
    <w:p w14:paraId="5B462335" w14:textId="77777777" w:rsidR="00361BB9" w:rsidRDefault="00361BB9" w:rsidP="008F26AB">
      <w:pPr>
        <w:spacing w:after="0" w:line="360" w:lineRule="auto"/>
        <w:jc w:val="both"/>
        <w:rPr>
          <w:rFonts w:ascii="Arial" w:hAnsi="Arial" w:cs="Arial"/>
          <w:sz w:val="24"/>
          <w:szCs w:val="24"/>
        </w:rPr>
      </w:pPr>
    </w:p>
    <w:p w14:paraId="1F93C864" w14:textId="568F874B"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Teacher Tools:</w:t>
      </w:r>
    </w:p>
    <w:p w14:paraId="037B6AEA" w14:textId="77777777" w:rsidR="00BF019E" w:rsidRPr="00AD005F" w:rsidRDefault="00CB26E4" w:rsidP="00531930">
      <w:pPr>
        <w:pStyle w:val="ListParagraph"/>
        <w:numPr>
          <w:ilvl w:val="0"/>
          <w:numId w:val="8"/>
        </w:numPr>
        <w:spacing w:after="0" w:line="360" w:lineRule="auto"/>
        <w:jc w:val="both"/>
        <w:rPr>
          <w:rFonts w:ascii="Arial" w:hAnsi="Arial" w:cs="Arial"/>
          <w:sz w:val="24"/>
          <w:szCs w:val="24"/>
        </w:rPr>
      </w:pPr>
      <w:r w:rsidRPr="00AD005F">
        <w:rPr>
          <w:rFonts w:ascii="Arial" w:hAnsi="Arial" w:cs="Arial"/>
          <w:sz w:val="24"/>
          <w:szCs w:val="24"/>
        </w:rPr>
        <w:t>Rubric templates (for reflection, projects, and creativity)</w:t>
      </w:r>
    </w:p>
    <w:p w14:paraId="30C14A88" w14:textId="77777777" w:rsidR="00BF019E" w:rsidRPr="00AD005F" w:rsidRDefault="00CB26E4" w:rsidP="00531930">
      <w:pPr>
        <w:pStyle w:val="ListParagraph"/>
        <w:numPr>
          <w:ilvl w:val="0"/>
          <w:numId w:val="8"/>
        </w:numPr>
        <w:spacing w:after="0" w:line="360" w:lineRule="auto"/>
        <w:jc w:val="both"/>
        <w:rPr>
          <w:rFonts w:ascii="Arial" w:hAnsi="Arial" w:cs="Arial"/>
          <w:sz w:val="24"/>
          <w:szCs w:val="24"/>
        </w:rPr>
      </w:pPr>
      <w:r w:rsidRPr="00AD005F">
        <w:rPr>
          <w:rFonts w:ascii="Arial" w:hAnsi="Arial" w:cs="Arial"/>
          <w:sz w:val="24"/>
          <w:szCs w:val="24"/>
        </w:rPr>
        <w:t>Story library of short moral-environmental tales</w:t>
      </w:r>
    </w:p>
    <w:p w14:paraId="02550DBD" w14:textId="77777777" w:rsidR="00BF019E" w:rsidRPr="00AD005F" w:rsidRDefault="00CB26E4" w:rsidP="00531930">
      <w:pPr>
        <w:pStyle w:val="ListParagraph"/>
        <w:numPr>
          <w:ilvl w:val="0"/>
          <w:numId w:val="8"/>
        </w:numPr>
        <w:spacing w:after="0" w:line="360" w:lineRule="auto"/>
        <w:jc w:val="both"/>
        <w:rPr>
          <w:rFonts w:ascii="Arial" w:hAnsi="Arial" w:cs="Arial"/>
          <w:sz w:val="24"/>
          <w:szCs w:val="24"/>
        </w:rPr>
      </w:pPr>
      <w:r w:rsidRPr="00AD005F">
        <w:rPr>
          <w:rFonts w:ascii="Arial" w:hAnsi="Arial" w:cs="Arial"/>
          <w:sz w:val="24"/>
          <w:szCs w:val="24"/>
        </w:rPr>
        <w:t>Audio storytelling files and PowerPoint visuals</w:t>
      </w:r>
    </w:p>
    <w:p w14:paraId="13FCC655" w14:textId="77777777" w:rsidR="00BF019E" w:rsidRPr="00730471" w:rsidRDefault="00BF019E" w:rsidP="008F26AB">
      <w:pPr>
        <w:spacing w:after="0" w:line="360" w:lineRule="auto"/>
        <w:jc w:val="both"/>
        <w:rPr>
          <w:rFonts w:ascii="Arial" w:hAnsi="Arial" w:cs="Arial"/>
          <w:sz w:val="24"/>
          <w:szCs w:val="24"/>
        </w:rPr>
      </w:pPr>
    </w:p>
    <w:p w14:paraId="635166F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VII. Case Studies / Examples</w:t>
      </w:r>
    </w:p>
    <w:p w14:paraId="44E842DC"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Case 1: Tomas Cabili Village Elementary School</w:t>
      </w:r>
    </w:p>
    <w:p w14:paraId="1D59DB0C"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Teachers integrated the Eco-Walk and Storytelling modules during Science Week. Students showed improved reflection and participation, with 80% voluntarily joining a weekend clean-up drive.</w:t>
      </w:r>
    </w:p>
    <w:p w14:paraId="1D799B32" w14:textId="77777777" w:rsidR="00361BB9" w:rsidRDefault="00361BB9" w:rsidP="008F26AB">
      <w:pPr>
        <w:spacing w:after="0" w:line="360" w:lineRule="auto"/>
        <w:jc w:val="both"/>
        <w:rPr>
          <w:rFonts w:ascii="Arial" w:hAnsi="Arial" w:cs="Arial"/>
          <w:sz w:val="24"/>
          <w:szCs w:val="24"/>
        </w:rPr>
      </w:pPr>
    </w:p>
    <w:p w14:paraId="1B352F22" w14:textId="3AC7C912"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Case 2: Sultan Mamarinta Integrated School</w:t>
      </w:r>
    </w:p>
    <w:p w14:paraId="625DE1AC"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The “Bayan Ko, Linis Ko” project led students to reuse plastic bottles as planters. Teachers noted “heightened motivation and teamwork,” linking it to Dewey’s idea that learning happens when thought and action meet.</w:t>
      </w:r>
    </w:p>
    <w:p w14:paraId="46A777C6" w14:textId="77777777" w:rsidR="00BF019E" w:rsidRPr="00730471" w:rsidRDefault="00BF019E" w:rsidP="008F26AB">
      <w:pPr>
        <w:spacing w:after="0" w:line="360" w:lineRule="auto"/>
        <w:jc w:val="both"/>
        <w:rPr>
          <w:rFonts w:ascii="Arial" w:hAnsi="Arial" w:cs="Arial"/>
          <w:sz w:val="24"/>
          <w:szCs w:val="24"/>
        </w:rPr>
      </w:pPr>
    </w:p>
    <w:p w14:paraId="21AABD2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VIII. Tools and Physical Supplies</w:t>
      </w:r>
    </w:p>
    <w:p w14:paraId="2E281D73" w14:textId="77777777" w:rsidR="00BF019E" w:rsidRPr="00730471" w:rsidRDefault="00BF019E" w:rsidP="008F26AB">
      <w:pPr>
        <w:spacing w:after="0" w:line="360" w:lineRule="auto"/>
        <w:jc w:val="both"/>
        <w:rPr>
          <w:rFonts w:ascii="Arial" w:hAnsi="Arial" w:cs="Arial"/>
          <w:sz w:val="24"/>
          <w:szCs w:val="24"/>
        </w:rPr>
      </w:pP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3750"/>
        <w:gridCol w:w="3165"/>
      </w:tblGrid>
      <w:tr w:rsidR="00BF019E" w:rsidRPr="00730471" w14:paraId="65BA8BDF" w14:textId="77777777">
        <w:tc>
          <w:tcPr>
            <w:tcW w:w="1590" w:type="dxa"/>
          </w:tcPr>
          <w:p w14:paraId="53FE7DC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Category</w:t>
            </w:r>
          </w:p>
        </w:tc>
        <w:tc>
          <w:tcPr>
            <w:tcW w:w="3750" w:type="dxa"/>
          </w:tcPr>
          <w:p w14:paraId="652CDDB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Items Needed</w:t>
            </w:r>
          </w:p>
        </w:tc>
        <w:tc>
          <w:tcPr>
            <w:tcW w:w="3165" w:type="dxa"/>
          </w:tcPr>
          <w:p w14:paraId="054290D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Purpose</w:t>
            </w:r>
          </w:p>
        </w:tc>
      </w:tr>
      <w:tr w:rsidR="00BF019E" w:rsidRPr="00730471" w14:paraId="00F4160D" w14:textId="77777777">
        <w:trPr>
          <w:trHeight w:val="767"/>
        </w:trPr>
        <w:tc>
          <w:tcPr>
            <w:tcW w:w="1590" w:type="dxa"/>
          </w:tcPr>
          <w:p w14:paraId="4094E41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Specific Tools/Equipment</w:t>
            </w:r>
          </w:p>
        </w:tc>
        <w:tc>
          <w:tcPr>
            <w:tcW w:w="3750" w:type="dxa"/>
          </w:tcPr>
          <w:p w14:paraId="2AFE5C4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Cameras/Tablets, Art boards, Magnifying glasses</w:t>
            </w:r>
          </w:p>
        </w:tc>
        <w:tc>
          <w:tcPr>
            <w:tcW w:w="3165" w:type="dxa"/>
          </w:tcPr>
          <w:p w14:paraId="7B26220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and creative documentation</w:t>
            </w:r>
          </w:p>
        </w:tc>
      </w:tr>
      <w:tr w:rsidR="00BF019E" w:rsidRPr="00730471" w14:paraId="023AD5E5" w14:textId="77777777">
        <w:tc>
          <w:tcPr>
            <w:tcW w:w="1590" w:type="dxa"/>
          </w:tcPr>
          <w:p w14:paraId="2EFEAA7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Consumable Materials</w:t>
            </w:r>
          </w:p>
        </w:tc>
        <w:tc>
          <w:tcPr>
            <w:tcW w:w="3750" w:type="dxa"/>
          </w:tcPr>
          <w:p w14:paraId="7ADF7F5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Paper, coloring materials, recycled bottles, seedlings, labels</w:t>
            </w:r>
          </w:p>
        </w:tc>
        <w:tc>
          <w:tcPr>
            <w:tcW w:w="3165" w:type="dxa"/>
          </w:tcPr>
          <w:p w14:paraId="6B24EA3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journals, posters, and eco-projects</w:t>
            </w:r>
          </w:p>
        </w:tc>
      </w:tr>
      <w:tr w:rsidR="00BF019E" w:rsidRPr="00730471" w14:paraId="292549D3" w14:textId="77777777">
        <w:tc>
          <w:tcPr>
            <w:tcW w:w="1590" w:type="dxa"/>
          </w:tcPr>
          <w:p w14:paraId="262C5A6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Technology </w:t>
            </w:r>
            <w:r w:rsidRPr="00730471">
              <w:rPr>
                <w:rFonts w:ascii="Arial" w:hAnsi="Arial" w:cs="Arial"/>
                <w:sz w:val="24"/>
                <w:szCs w:val="24"/>
              </w:rPr>
              <w:lastRenderedPageBreak/>
              <w:t>Aids</w:t>
            </w:r>
          </w:p>
        </w:tc>
        <w:tc>
          <w:tcPr>
            <w:tcW w:w="3750" w:type="dxa"/>
          </w:tcPr>
          <w:p w14:paraId="0E95F63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Laptop/projector (optional), </w:t>
            </w:r>
            <w:r w:rsidRPr="00730471">
              <w:rPr>
                <w:rFonts w:ascii="Arial" w:hAnsi="Arial" w:cs="Arial"/>
                <w:sz w:val="24"/>
                <w:szCs w:val="24"/>
              </w:rPr>
              <w:lastRenderedPageBreak/>
              <w:t>interactive whiteboard</w:t>
            </w:r>
          </w:p>
        </w:tc>
        <w:tc>
          <w:tcPr>
            <w:tcW w:w="3165" w:type="dxa"/>
          </w:tcPr>
          <w:p w14:paraId="2A12AA8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Display resources and </w:t>
            </w:r>
            <w:r w:rsidRPr="00730471">
              <w:rPr>
                <w:rFonts w:ascii="Arial" w:hAnsi="Arial" w:cs="Arial"/>
                <w:sz w:val="24"/>
                <w:szCs w:val="24"/>
              </w:rPr>
              <w:lastRenderedPageBreak/>
              <w:t>videos</w:t>
            </w:r>
          </w:p>
        </w:tc>
      </w:tr>
    </w:tbl>
    <w:p w14:paraId="168DE764" w14:textId="77777777" w:rsidR="00BF019E" w:rsidRPr="00730471" w:rsidRDefault="00BF019E" w:rsidP="008F26AB">
      <w:pPr>
        <w:spacing w:after="0" w:line="360" w:lineRule="auto"/>
        <w:jc w:val="both"/>
        <w:rPr>
          <w:rFonts w:ascii="Arial" w:hAnsi="Arial" w:cs="Arial"/>
          <w:sz w:val="24"/>
          <w:szCs w:val="24"/>
        </w:rPr>
      </w:pPr>
    </w:p>
    <w:p w14:paraId="5CF2A29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IX. Guidance and Assessment</w:t>
      </w:r>
    </w:p>
    <w:p w14:paraId="6354950E"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Facilitator’s Guide</w:t>
      </w:r>
    </w:p>
    <w:p w14:paraId="3EE7333F"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Implementation Plan (Suggested Timeline):</w:t>
      </w:r>
    </w:p>
    <w:p w14:paraId="46A5C6B6" w14:textId="77777777" w:rsidR="00BF019E" w:rsidRPr="00730471" w:rsidRDefault="00BF019E" w:rsidP="008F26AB">
      <w:pPr>
        <w:spacing w:after="0" w:line="360" w:lineRule="auto"/>
        <w:jc w:val="both"/>
        <w:rPr>
          <w:rFonts w:ascii="Arial" w:hAnsi="Arial" w:cs="Arial"/>
          <w:sz w:val="24"/>
          <w:szCs w:val="24"/>
        </w:rPr>
      </w:pPr>
    </w:p>
    <w:tbl>
      <w:tblPr>
        <w:tblStyle w:val="a7"/>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3510"/>
        <w:gridCol w:w="3480"/>
      </w:tblGrid>
      <w:tr w:rsidR="00BF019E" w:rsidRPr="00730471" w14:paraId="3AFAB24F" w14:textId="77777777">
        <w:trPr>
          <w:trHeight w:val="493"/>
        </w:trPr>
        <w:tc>
          <w:tcPr>
            <w:tcW w:w="1485" w:type="dxa"/>
          </w:tcPr>
          <w:p w14:paraId="60C511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w:t>
            </w:r>
          </w:p>
        </w:tc>
        <w:tc>
          <w:tcPr>
            <w:tcW w:w="3510" w:type="dxa"/>
          </w:tcPr>
          <w:p w14:paraId="0333BB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Focus Activity</w:t>
            </w:r>
          </w:p>
        </w:tc>
        <w:tc>
          <w:tcPr>
            <w:tcW w:w="3480" w:type="dxa"/>
          </w:tcPr>
          <w:p w14:paraId="72BF966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Outcome</w:t>
            </w:r>
          </w:p>
        </w:tc>
      </w:tr>
      <w:tr w:rsidR="00BF019E" w:rsidRPr="00730471" w14:paraId="2F6B2493" w14:textId="77777777">
        <w:trPr>
          <w:trHeight w:val="504"/>
        </w:trPr>
        <w:tc>
          <w:tcPr>
            <w:tcW w:w="1485" w:type="dxa"/>
          </w:tcPr>
          <w:p w14:paraId="3E97620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1</w:t>
            </w:r>
          </w:p>
        </w:tc>
        <w:tc>
          <w:tcPr>
            <w:tcW w:w="3510" w:type="dxa"/>
          </w:tcPr>
          <w:p w14:paraId="5098A4D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Eco-Discovery Walk</w:t>
            </w:r>
          </w:p>
        </w:tc>
        <w:tc>
          <w:tcPr>
            <w:tcW w:w="3480" w:type="dxa"/>
          </w:tcPr>
          <w:p w14:paraId="0AF9E24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&amp; description</w:t>
            </w:r>
          </w:p>
        </w:tc>
      </w:tr>
      <w:tr w:rsidR="00BF019E" w:rsidRPr="00730471" w14:paraId="626ABD09" w14:textId="77777777">
        <w:trPr>
          <w:trHeight w:val="504"/>
        </w:trPr>
        <w:tc>
          <w:tcPr>
            <w:tcW w:w="1485" w:type="dxa"/>
          </w:tcPr>
          <w:p w14:paraId="3C66E04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2</w:t>
            </w:r>
          </w:p>
        </w:tc>
        <w:tc>
          <w:tcPr>
            <w:tcW w:w="3510" w:type="dxa"/>
          </w:tcPr>
          <w:p w14:paraId="51B6416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Storytelling Circle</w:t>
            </w:r>
          </w:p>
        </w:tc>
        <w:tc>
          <w:tcPr>
            <w:tcW w:w="3480" w:type="dxa"/>
          </w:tcPr>
          <w:p w14:paraId="57F80F2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Emotional awareness</w:t>
            </w:r>
          </w:p>
        </w:tc>
      </w:tr>
      <w:tr w:rsidR="00BF019E" w:rsidRPr="00730471" w14:paraId="07EB4B07" w14:textId="77777777">
        <w:trPr>
          <w:trHeight w:val="504"/>
        </w:trPr>
        <w:tc>
          <w:tcPr>
            <w:tcW w:w="1485" w:type="dxa"/>
          </w:tcPr>
          <w:p w14:paraId="33E2E8F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3</w:t>
            </w:r>
          </w:p>
        </w:tc>
        <w:tc>
          <w:tcPr>
            <w:tcW w:w="3510" w:type="dxa"/>
          </w:tcPr>
          <w:p w14:paraId="2311599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Mapping &amp; Art</w:t>
            </w:r>
          </w:p>
        </w:tc>
        <w:tc>
          <w:tcPr>
            <w:tcW w:w="3480" w:type="dxa"/>
          </w:tcPr>
          <w:p w14:paraId="6BA7300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Creative understanding</w:t>
            </w:r>
          </w:p>
        </w:tc>
      </w:tr>
      <w:tr w:rsidR="00BF019E" w:rsidRPr="00730471" w14:paraId="16010E7B" w14:textId="77777777">
        <w:trPr>
          <w:trHeight w:val="493"/>
        </w:trPr>
        <w:tc>
          <w:tcPr>
            <w:tcW w:w="1485" w:type="dxa"/>
          </w:tcPr>
          <w:p w14:paraId="68A9F90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4</w:t>
            </w:r>
          </w:p>
        </w:tc>
        <w:tc>
          <w:tcPr>
            <w:tcW w:w="3510" w:type="dxa"/>
          </w:tcPr>
          <w:p w14:paraId="5BC33ED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Eco-Action Project</w:t>
            </w:r>
          </w:p>
        </w:tc>
        <w:tc>
          <w:tcPr>
            <w:tcW w:w="3480" w:type="dxa"/>
          </w:tcPr>
          <w:p w14:paraId="6C4E618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Responsibility &amp; initiative</w:t>
            </w:r>
          </w:p>
        </w:tc>
      </w:tr>
    </w:tbl>
    <w:p w14:paraId="41953743" w14:textId="77777777" w:rsidR="00BF019E" w:rsidRPr="00730471" w:rsidRDefault="00BF019E" w:rsidP="008F26AB">
      <w:pPr>
        <w:spacing w:after="0" w:line="360" w:lineRule="auto"/>
        <w:jc w:val="both"/>
        <w:rPr>
          <w:rFonts w:ascii="Arial" w:hAnsi="Arial" w:cs="Arial"/>
          <w:sz w:val="24"/>
          <w:szCs w:val="24"/>
        </w:rPr>
      </w:pPr>
    </w:p>
    <w:p w14:paraId="1475D01F"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Adaptation Tips:</w:t>
      </w:r>
    </w:p>
    <w:p w14:paraId="06BDF362"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Shorten or extend modules based on time.</w:t>
      </w:r>
    </w:p>
    <w:p w14:paraId="402E99F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Pair activities with MELC competencies per subject.</w:t>
      </w:r>
    </w:p>
    <w:p w14:paraId="56D58EBE"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Combine journal writing with EsP reflections.</w:t>
      </w:r>
    </w:p>
    <w:p w14:paraId="59D1EC15" w14:textId="77777777" w:rsidR="00BF019E" w:rsidRPr="00730471" w:rsidRDefault="00BF019E" w:rsidP="008F26AB">
      <w:pPr>
        <w:spacing w:after="0" w:line="360" w:lineRule="auto"/>
        <w:jc w:val="both"/>
        <w:rPr>
          <w:rFonts w:ascii="Arial" w:hAnsi="Arial" w:cs="Arial"/>
          <w:sz w:val="24"/>
          <w:szCs w:val="24"/>
        </w:rPr>
      </w:pPr>
    </w:p>
    <w:p w14:paraId="655AD265"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Assessment Tools</w:t>
      </w:r>
    </w:p>
    <w:tbl>
      <w:tblPr>
        <w:tblStyle w:val="a8"/>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3240"/>
        <w:gridCol w:w="2535"/>
      </w:tblGrid>
      <w:tr w:rsidR="00BF019E" w:rsidRPr="00730471" w14:paraId="381612BB" w14:textId="77777777">
        <w:trPr>
          <w:trHeight w:val="405"/>
        </w:trPr>
        <w:tc>
          <w:tcPr>
            <w:tcW w:w="2730" w:type="dxa"/>
          </w:tcPr>
          <w:p w14:paraId="684654B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Method</w:t>
            </w:r>
          </w:p>
        </w:tc>
        <w:tc>
          <w:tcPr>
            <w:tcW w:w="3240" w:type="dxa"/>
          </w:tcPr>
          <w:p w14:paraId="6D2BE8A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It Measures</w:t>
            </w:r>
          </w:p>
        </w:tc>
        <w:tc>
          <w:tcPr>
            <w:tcW w:w="2535" w:type="dxa"/>
          </w:tcPr>
          <w:p w14:paraId="488882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Sample Tool</w:t>
            </w:r>
          </w:p>
        </w:tc>
      </w:tr>
      <w:tr w:rsidR="00BF019E" w:rsidRPr="00730471" w14:paraId="1B4C47C5" w14:textId="77777777">
        <w:trPr>
          <w:trHeight w:val="504"/>
        </w:trPr>
        <w:tc>
          <w:tcPr>
            <w:tcW w:w="2730" w:type="dxa"/>
          </w:tcPr>
          <w:p w14:paraId="41D95C3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Checklist</w:t>
            </w:r>
          </w:p>
        </w:tc>
        <w:tc>
          <w:tcPr>
            <w:tcW w:w="3240" w:type="dxa"/>
          </w:tcPr>
          <w:p w14:paraId="4AB35A0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Engagement and participation</w:t>
            </w:r>
          </w:p>
        </w:tc>
        <w:tc>
          <w:tcPr>
            <w:tcW w:w="2535" w:type="dxa"/>
          </w:tcPr>
          <w:p w14:paraId="5D90E92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During eco-walks</w:t>
            </w:r>
          </w:p>
        </w:tc>
      </w:tr>
      <w:tr w:rsidR="00BF019E" w:rsidRPr="00730471" w14:paraId="5F54B191" w14:textId="77777777">
        <w:trPr>
          <w:trHeight w:val="504"/>
        </w:trPr>
        <w:tc>
          <w:tcPr>
            <w:tcW w:w="2730" w:type="dxa"/>
          </w:tcPr>
          <w:p w14:paraId="586A0D8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Rubric for Reflection Journals</w:t>
            </w:r>
          </w:p>
        </w:tc>
        <w:tc>
          <w:tcPr>
            <w:tcW w:w="3240" w:type="dxa"/>
          </w:tcPr>
          <w:p w14:paraId="7796FB3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Depth of reflection</w:t>
            </w:r>
          </w:p>
        </w:tc>
        <w:tc>
          <w:tcPr>
            <w:tcW w:w="2535" w:type="dxa"/>
          </w:tcPr>
          <w:p w14:paraId="7631609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4-point scale</w:t>
            </w:r>
          </w:p>
        </w:tc>
      </w:tr>
      <w:tr w:rsidR="00BF019E" w:rsidRPr="00730471" w14:paraId="5A7500BE" w14:textId="77777777">
        <w:trPr>
          <w:trHeight w:val="504"/>
        </w:trPr>
        <w:tc>
          <w:tcPr>
            <w:tcW w:w="2730" w:type="dxa"/>
          </w:tcPr>
          <w:p w14:paraId="4F2CE09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Creative Output Rubric</w:t>
            </w:r>
          </w:p>
        </w:tc>
        <w:tc>
          <w:tcPr>
            <w:tcW w:w="3240" w:type="dxa"/>
          </w:tcPr>
          <w:p w14:paraId="07B1D82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Clarity and originality</w:t>
            </w:r>
          </w:p>
        </w:tc>
        <w:tc>
          <w:tcPr>
            <w:tcW w:w="2535" w:type="dxa"/>
          </w:tcPr>
          <w:p w14:paraId="4CBF1AD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Mapping/posters</w:t>
            </w:r>
          </w:p>
        </w:tc>
      </w:tr>
      <w:tr w:rsidR="00BF019E" w:rsidRPr="00730471" w14:paraId="137A4E29" w14:textId="77777777">
        <w:trPr>
          <w:trHeight w:val="493"/>
        </w:trPr>
        <w:tc>
          <w:tcPr>
            <w:tcW w:w="2730" w:type="dxa"/>
          </w:tcPr>
          <w:p w14:paraId="55AA6F0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Project-Based Assessment</w:t>
            </w:r>
          </w:p>
        </w:tc>
        <w:tc>
          <w:tcPr>
            <w:tcW w:w="3240" w:type="dxa"/>
          </w:tcPr>
          <w:p w14:paraId="0672895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Collaboration and initiative</w:t>
            </w:r>
          </w:p>
        </w:tc>
        <w:tc>
          <w:tcPr>
            <w:tcW w:w="2535" w:type="dxa"/>
          </w:tcPr>
          <w:p w14:paraId="730B4C4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Action project logbook</w:t>
            </w:r>
          </w:p>
        </w:tc>
      </w:tr>
    </w:tbl>
    <w:p w14:paraId="561532DD" w14:textId="77777777" w:rsidR="00BF019E" w:rsidRPr="00730471" w:rsidRDefault="00BF019E" w:rsidP="008F26AB">
      <w:pPr>
        <w:spacing w:after="0" w:line="360" w:lineRule="auto"/>
        <w:jc w:val="both"/>
        <w:rPr>
          <w:rFonts w:ascii="Arial" w:hAnsi="Arial" w:cs="Arial"/>
          <w:sz w:val="24"/>
          <w:szCs w:val="24"/>
        </w:rPr>
      </w:pPr>
    </w:p>
    <w:p w14:paraId="064D3C6E"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Sample 4-Point Rubric:</w:t>
      </w:r>
    </w:p>
    <w:tbl>
      <w:tblPr>
        <w:tblStyle w:val="a9"/>
        <w:tblW w:w="8385" w:type="dxa"/>
        <w:tblInd w:w="0" w:type="dxa"/>
        <w:tblLayout w:type="fixed"/>
        <w:tblLook w:val="0400" w:firstRow="0" w:lastRow="0" w:firstColumn="0" w:lastColumn="0" w:noHBand="0" w:noVBand="1"/>
      </w:tblPr>
      <w:tblGrid>
        <w:gridCol w:w="1555"/>
        <w:gridCol w:w="6830"/>
      </w:tblGrid>
      <w:tr w:rsidR="00BF019E" w:rsidRPr="00730471" w14:paraId="5E59DD65" w14:textId="77777777" w:rsidTr="008F26AB">
        <w:trPr>
          <w:tblHeader/>
        </w:trPr>
        <w:tc>
          <w:tcPr>
            <w:tcW w:w="1555" w:type="dxa"/>
            <w:tcBorders>
              <w:top w:val="single" w:sz="8" w:space="0" w:color="000000"/>
              <w:left w:val="single" w:sz="8" w:space="0" w:color="000000"/>
              <w:bottom w:val="single" w:sz="8" w:space="0" w:color="000000"/>
              <w:right w:val="single" w:sz="8" w:space="0" w:color="000000"/>
            </w:tcBorders>
            <w:vAlign w:val="center"/>
          </w:tcPr>
          <w:p w14:paraId="5C13E9E7"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Level</w:t>
            </w:r>
          </w:p>
        </w:tc>
        <w:tc>
          <w:tcPr>
            <w:tcW w:w="6830" w:type="dxa"/>
            <w:tcBorders>
              <w:top w:val="single" w:sz="8" w:space="0" w:color="000000"/>
              <w:left w:val="single" w:sz="8" w:space="0" w:color="000000"/>
              <w:bottom w:val="single" w:sz="8" w:space="0" w:color="000000"/>
              <w:right w:val="single" w:sz="8" w:space="0" w:color="000000"/>
            </w:tcBorders>
            <w:vAlign w:val="center"/>
          </w:tcPr>
          <w:p w14:paraId="030127A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Description</w:t>
            </w:r>
          </w:p>
        </w:tc>
      </w:tr>
      <w:tr w:rsidR="00BF019E" w:rsidRPr="00730471" w14:paraId="749B4BE1"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388F555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4 – Excellent</w:t>
            </w:r>
          </w:p>
        </w:tc>
        <w:tc>
          <w:tcPr>
            <w:tcW w:w="6830" w:type="dxa"/>
            <w:tcBorders>
              <w:top w:val="single" w:sz="8" w:space="0" w:color="000000"/>
              <w:left w:val="single" w:sz="8" w:space="0" w:color="000000"/>
              <w:bottom w:val="single" w:sz="8" w:space="0" w:color="000000"/>
              <w:right w:val="single" w:sz="8" w:space="0" w:color="000000"/>
            </w:tcBorders>
            <w:vAlign w:val="center"/>
          </w:tcPr>
          <w:p w14:paraId="6DC9DFCA"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Demonstrates critical insight, creativity, and initiative</w:t>
            </w:r>
          </w:p>
        </w:tc>
      </w:tr>
      <w:tr w:rsidR="00BF019E" w:rsidRPr="00730471" w14:paraId="48F3E936"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04BAEE8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3 – Proficient</w:t>
            </w:r>
          </w:p>
        </w:tc>
        <w:tc>
          <w:tcPr>
            <w:tcW w:w="6830" w:type="dxa"/>
            <w:tcBorders>
              <w:top w:val="single" w:sz="8" w:space="0" w:color="000000"/>
              <w:left w:val="single" w:sz="8" w:space="0" w:color="000000"/>
              <w:bottom w:val="single" w:sz="8" w:space="0" w:color="000000"/>
              <w:right w:val="single" w:sz="8" w:space="0" w:color="000000"/>
            </w:tcBorders>
            <w:vAlign w:val="center"/>
          </w:tcPr>
          <w:p w14:paraId="125E5BC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Shows good understanding and consistent effort</w:t>
            </w:r>
          </w:p>
        </w:tc>
      </w:tr>
      <w:tr w:rsidR="00BF019E" w:rsidRPr="00730471" w14:paraId="6E7D1FF7"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5046A97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lastRenderedPageBreak/>
              <w:t>2 – Developing</w:t>
            </w:r>
          </w:p>
        </w:tc>
        <w:tc>
          <w:tcPr>
            <w:tcW w:w="6830" w:type="dxa"/>
            <w:tcBorders>
              <w:top w:val="single" w:sz="8" w:space="0" w:color="000000"/>
              <w:left w:val="single" w:sz="8" w:space="0" w:color="000000"/>
              <w:bottom w:val="single" w:sz="8" w:space="0" w:color="000000"/>
              <w:right w:val="single" w:sz="8" w:space="0" w:color="000000"/>
            </w:tcBorders>
            <w:vAlign w:val="center"/>
          </w:tcPr>
          <w:p w14:paraId="41E0F754"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Basic understanding; needs guidance</w:t>
            </w:r>
          </w:p>
        </w:tc>
      </w:tr>
      <w:tr w:rsidR="00BF019E" w:rsidRPr="00730471" w14:paraId="53354D4C"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5140276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1 – Beginning</w:t>
            </w:r>
          </w:p>
        </w:tc>
        <w:tc>
          <w:tcPr>
            <w:tcW w:w="6830" w:type="dxa"/>
            <w:tcBorders>
              <w:top w:val="single" w:sz="8" w:space="0" w:color="000000"/>
              <w:left w:val="single" w:sz="8" w:space="0" w:color="000000"/>
              <w:bottom w:val="single" w:sz="8" w:space="0" w:color="000000"/>
              <w:right w:val="single" w:sz="8" w:space="0" w:color="000000"/>
            </w:tcBorders>
            <w:vAlign w:val="center"/>
          </w:tcPr>
          <w:p w14:paraId="2533E71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Limited participation or incomplete work</w:t>
            </w:r>
          </w:p>
        </w:tc>
      </w:tr>
    </w:tbl>
    <w:p w14:paraId="3EE344AF" w14:textId="77777777" w:rsidR="00BF019E" w:rsidRPr="00730471" w:rsidRDefault="00BF019E" w:rsidP="008F26AB">
      <w:pPr>
        <w:spacing w:after="0" w:line="360" w:lineRule="auto"/>
        <w:jc w:val="both"/>
        <w:rPr>
          <w:rFonts w:ascii="Arial" w:hAnsi="Arial" w:cs="Arial"/>
          <w:sz w:val="24"/>
          <w:szCs w:val="24"/>
        </w:rPr>
      </w:pPr>
    </w:p>
    <w:p w14:paraId="2FCED2E1"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Feedback Mechanisms</w:t>
      </w:r>
    </w:p>
    <w:p w14:paraId="2C7CCB65" w14:textId="77777777" w:rsidR="00BF019E" w:rsidRPr="00AD005F" w:rsidRDefault="00CB26E4" w:rsidP="00531930">
      <w:pPr>
        <w:pStyle w:val="ListParagraph"/>
        <w:numPr>
          <w:ilvl w:val="0"/>
          <w:numId w:val="10"/>
        </w:numPr>
        <w:spacing w:after="0" w:line="360" w:lineRule="auto"/>
        <w:jc w:val="both"/>
        <w:rPr>
          <w:rFonts w:ascii="Arial" w:hAnsi="Arial" w:cs="Arial"/>
          <w:sz w:val="24"/>
          <w:szCs w:val="24"/>
        </w:rPr>
      </w:pPr>
      <w:r w:rsidRPr="00AD005F">
        <w:rPr>
          <w:rFonts w:ascii="Arial" w:hAnsi="Arial" w:cs="Arial"/>
          <w:sz w:val="24"/>
          <w:szCs w:val="24"/>
        </w:rPr>
        <w:t>Student Feedback Forms: Rate interest and difficulty (1–5 scale).</w:t>
      </w:r>
    </w:p>
    <w:p w14:paraId="4A93AA5F" w14:textId="77777777" w:rsidR="00BF019E" w:rsidRPr="00AD005F" w:rsidRDefault="00CB26E4" w:rsidP="00531930">
      <w:pPr>
        <w:pStyle w:val="ListParagraph"/>
        <w:numPr>
          <w:ilvl w:val="0"/>
          <w:numId w:val="10"/>
        </w:numPr>
        <w:spacing w:after="0" w:line="360" w:lineRule="auto"/>
        <w:jc w:val="both"/>
        <w:rPr>
          <w:rFonts w:ascii="Arial" w:hAnsi="Arial" w:cs="Arial"/>
          <w:sz w:val="24"/>
          <w:szCs w:val="24"/>
        </w:rPr>
      </w:pPr>
      <w:r w:rsidRPr="00AD005F">
        <w:rPr>
          <w:rFonts w:ascii="Arial" w:hAnsi="Arial" w:cs="Arial"/>
          <w:sz w:val="24"/>
          <w:szCs w:val="24"/>
        </w:rPr>
        <w:t>Teacher Reflection Log: Record what worked and what needs adjustment.</w:t>
      </w:r>
    </w:p>
    <w:p w14:paraId="1DFBDFB2" w14:textId="77777777" w:rsidR="00BF019E" w:rsidRPr="00AD005F" w:rsidRDefault="00CB26E4" w:rsidP="00531930">
      <w:pPr>
        <w:pStyle w:val="ListParagraph"/>
        <w:numPr>
          <w:ilvl w:val="0"/>
          <w:numId w:val="10"/>
        </w:numPr>
        <w:spacing w:after="0" w:line="360" w:lineRule="auto"/>
        <w:jc w:val="both"/>
        <w:rPr>
          <w:rFonts w:ascii="Arial" w:hAnsi="Arial" w:cs="Arial"/>
          <w:sz w:val="24"/>
          <w:szCs w:val="24"/>
        </w:rPr>
      </w:pPr>
      <w:r w:rsidRPr="00AD005F">
        <w:rPr>
          <w:rFonts w:ascii="Arial" w:hAnsi="Arial" w:cs="Arial"/>
          <w:sz w:val="24"/>
          <w:szCs w:val="24"/>
        </w:rPr>
        <w:t>Peer Review Circles: Students discuss each other’s work and learn collaboratively.</w:t>
      </w:r>
    </w:p>
    <w:p w14:paraId="62C179B1" w14:textId="77777777" w:rsidR="00BF019E" w:rsidRPr="00730471" w:rsidRDefault="00BF019E" w:rsidP="008F26AB">
      <w:pPr>
        <w:spacing w:after="0" w:line="360" w:lineRule="auto"/>
        <w:jc w:val="both"/>
        <w:rPr>
          <w:rFonts w:ascii="Arial" w:hAnsi="Arial" w:cs="Arial"/>
          <w:sz w:val="24"/>
          <w:szCs w:val="24"/>
        </w:rPr>
      </w:pPr>
    </w:p>
    <w:p w14:paraId="336666D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X. Design and Usability</w:t>
      </w:r>
    </w:p>
    <w:p w14:paraId="7A83793A" w14:textId="77777777" w:rsidR="00BF019E" w:rsidRPr="00AD005F" w:rsidRDefault="00CB26E4" w:rsidP="00531930">
      <w:pPr>
        <w:pStyle w:val="ListParagraph"/>
        <w:numPr>
          <w:ilvl w:val="0"/>
          <w:numId w:val="9"/>
        </w:numPr>
        <w:spacing w:after="0" w:line="360" w:lineRule="auto"/>
        <w:jc w:val="both"/>
        <w:rPr>
          <w:rFonts w:ascii="Arial" w:hAnsi="Arial" w:cs="Arial"/>
          <w:sz w:val="24"/>
          <w:szCs w:val="24"/>
        </w:rPr>
      </w:pPr>
      <w:r w:rsidRPr="00AD005F">
        <w:rPr>
          <w:rFonts w:ascii="Arial" w:hAnsi="Arial" w:cs="Arial"/>
          <w:sz w:val="24"/>
          <w:szCs w:val="24"/>
        </w:rPr>
        <w:t>Logical Organization: Divided into modules that progress from awareness → reflection → action.</w:t>
      </w:r>
    </w:p>
    <w:p w14:paraId="20CE9857" w14:textId="77777777" w:rsidR="00BF019E" w:rsidRPr="00AD005F" w:rsidRDefault="00CB26E4" w:rsidP="00531930">
      <w:pPr>
        <w:pStyle w:val="ListParagraph"/>
        <w:numPr>
          <w:ilvl w:val="0"/>
          <w:numId w:val="9"/>
        </w:numPr>
        <w:spacing w:after="0" w:line="360" w:lineRule="auto"/>
        <w:jc w:val="both"/>
        <w:rPr>
          <w:rFonts w:ascii="Arial" w:hAnsi="Arial" w:cs="Arial"/>
          <w:sz w:val="24"/>
          <w:szCs w:val="24"/>
        </w:rPr>
      </w:pPr>
      <w:r w:rsidRPr="00AD005F">
        <w:rPr>
          <w:rFonts w:ascii="Arial" w:hAnsi="Arial" w:cs="Arial"/>
          <w:sz w:val="24"/>
          <w:szCs w:val="24"/>
        </w:rPr>
        <w:t>High-Quality Design: Use visual aids, colorful worksheets, and story visuals.</w:t>
      </w:r>
    </w:p>
    <w:p w14:paraId="30B6F53B" w14:textId="77777777" w:rsidR="00BF019E" w:rsidRPr="00AD005F" w:rsidRDefault="00CB26E4" w:rsidP="00531930">
      <w:pPr>
        <w:pStyle w:val="ListParagraph"/>
        <w:numPr>
          <w:ilvl w:val="0"/>
          <w:numId w:val="9"/>
        </w:numPr>
        <w:spacing w:after="0" w:line="360" w:lineRule="auto"/>
        <w:jc w:val="both"/>
        <w:rPr>
          <w:rFonts w:ascii="Arial" w:hAnsi="Arial" w:cs="Arial"/>
          <w:sz w:val="24"/>
          <w:szCs w:val="24"/>
        </w:rPr>
      </w:pPr>
      <w:r w:rsidRPr="00AD005F">
        <w:rPr>
          <w:rFonts w:ascii="Arial" w:hAnsi="Arial" w:cs="Arial"/>
          <w:sz w:val="24"/>
          <w:szCs w:val="24"/>
        </w:rPr>
        <w:t>Accessibility: Printable in black-and-white; adaptable for limited-resource classrooms.</w:t>
      </w:r>
    </w:p>
    <w:p w14:paraId="3C200D7E" w14:textId="152D81CC" w:rsidR="00BF019E" w:rsidRPr="001A10EE" w:rsidRDefault="00CB26E4" w:rsidP="00531930">
      <w:pPr>
        <w:pStyle w:val="ListParagraph"/>
        <w:numPr>
          <w:ilvl w:val="0"/>
          <w:numId w:val="9"/>
        </w:numPr>
        <w:spacing w:after="0" w:line="360" w:lineRule="auto"/>
        <w:jc w:val="both"/>
        <w:rPr>
          <w:rFonts w:ascii="Arial" w:hAnsi="Arial" w:cs="Arial"/>
          <w:sz w:val="24"/>
          <w:szCs w:val="24"/>
        </w:rPr>
        <w:sectPr w:rsidR="00BF019E" w:rsidRPr="001A10EE" w:rsidSect="007D28E1">
          <w:footerReference w:type="default" r:id="rId37"/>
          <w:pgSz w:w="11906" w:h="16838"/>
          <w:pgMar w:top="1440" w:right="1440" w:bottom="1440" w:left="2160" w:header="0" w:footer="432" w:gutter="0"/>
          <w:cols w:space="720"/>
          <w:docGrid w:linePitch="299"/>
        </w:sectPr>
      </w:pPr>
      <w:r w:rsidRPr="00AD005F">
        <w:rPr>
          <w:rFonts w:ascii="Arial" w:hAnsi="Arial" w:cs="Arial"/>
          <w:sz w:val="24"/>
          <w:szCs w:val="24"/>
        </w:rPr>
        <w:t>Flexibility: Activities can be done indoors or outdoors, individually or in groups.</w:t>
      </w:r>
    </w:p>
    <w:p w14:paraId="34B26674" w14:textId="77777777" w:rsidR="00BF019E" w:rsidRPr="00361BB9" w:rsidRDefault="00CB26E4" w:rsidP="008F26AB">
      <w:pPr>
        <w:spacing w:line="360" w:lineRule="auto"/>
        <w:jc w:val="center"/>
        <w:rPr>
          <w:rFonts w:ascii="Arial" w:hAnsi="Arial" w:cs="Arial"/>
          <w:b/>
          <w:bCs/>
          <w:sz w:val="24"/>
          <w:szCs w:val="24"/>
        </w:rPr>
      </w:pPr>
      <w:r w:rsidRPr="00361BB9">
        <w:rPr>
          <w:rFonts w:ascii="Arial" w:hAnsi="Arial" w:cs="Arial"/>
          <w:b/>
          <w:bCs/>
          <w:sz w:val="24"/>
          <w:szCs w:val="24"/>
        </w:rPr>
        <w:lastRenderedPageBreak/>
        <w:t>Chapter 5</w:t>
      </w:r>
    </w:p>
    <w:p w14:paraId="3B113526" w14:textId="77777777" w:rsidR="00BF019E" w:rsidRPr="00361BB9" w:rsidRDefault="00CB26E4" w:rsidP="008F26AB">
      <w:pPr>
        <w:spacing w:line="360" w:lineRule="auto"/>
        <w:jc w:val="center"/>
        <w:rPr>
          <w:rFonts w:ascii="Arial" w:hAnsi="Arial" w:cs="Arial"/>
          <w:b/>
          <w:bCs/>
          <w:sz w:val="24"/>
          <w:szCs w:val="24"/>
        </w:rPr>
      </w:pPr>
      <w:r w:rsidRPr="00361BB9">
        <w:rPr>
          <w:rFonts w:ascii="Arial" w:hAnsi="Arial" w:cs="Arial"/>
          <w:b/>
          <w:bCs/>
          <w:sz w:val="24"/>
          <w:szCs w:val="24"/>
        </w:rPr>
        <w:t>Summary of findings and Recommendations</w:t>
      </w:r>
    </w:p>
    <w:p w14:paraId="73003B3A" w14:textId="77777777" w:rsidR="00361BB9" w:rsidRDefault="00361BB9" w:rsidP="008F26AB">
      <w:pPr>
        <w:spacing w:line="360" w:lineRule="auto"/>
        <w:jc w:val="both"/>
        <w:rPr>
          <w:rFonts w:ascii="Arial" w:hAnsi="Arial" w:cs="Arial"/>
          <w:sz w:val="24"/>
          <w:szCs w:val="24"/>
        </w:rPr>
      </w:pPr>
    </w:p>
    <w:p w14:paraId="1E30D7CF" w14:textId="7220E50E"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 xml:space="preserve">Summary of Findings </w:t>
      </w:r>
    </w:p>
    <w:p w14:paraId="52D3F45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b/>
        <w:t xml:space="preserve">This study assessed the environmental awareness of the learners from Cabili Village Elementary School, Santiago, Iligan City and Sultan Mamarinta Panandigan Integrated School, Bonbonon, Iligan City. The assessment aims to identify environmental knowledge and understanding, environmental attitudes, and environmental practice. Data collected were analyzed using performance rubrics which have 4 levels -Excellent, Proficient, Developing, and Beginning) complimented by a qualitative method. The study Reveled the following: </w:t>
      </w:r>
    </w:p>
    <w:p w14:paraId="2851AD23"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Environmental Knowledge and Understanding</w:t>
      </w:r>
    </w:p>
    <w:p w14:paraId="606BD109"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Students from both schools Sultan Mamarinta Panandigan Integrated School and Cabili Village Elementary School have reached the “proficient” level showing a strong recognition of basic environmental issues. Results have also shown that both schools struggle with scientific vocabulary, as fewer than 2% have reached “excellent” level. Furthermore, Sultan Mamarinta Panandigan Integrated School learners compared to learners from Cabili Village Elementary School (73.25% at excellent), have shown a consistent greater depth in understanding especially in cause-and-effect reasoning with the percentage of 88.71% at Excellent. This finding only suggests that learners have a surface-level awareness; however, their conceptual understanding and use of language remain limited, particularly learners from Cabili Village Elementary School whose performance showed more variability. </w:t>
      </w:r>
    </w:p>
    <w:p w14:paraId="233F1E63"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 xml:space="preserve">Environmental Attitudes </w:t>
      </w:r>
    </w:p>
    <w:p w14:paraId="477D86D1"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Students from both schools expressed strong emotional responses toward nature—happiness toward clean environments and sadness toward pollution. In terms of engagement levels learners from Cabili Village </w:t>
      </w:r>
      <w:r w:rsidRPr="00730471">
        <w:rPr>
          <w:rFonts w:ascii="Arial" w:hAnsi="Arial" w:cs="Arial"/>
          <w:sz w:val="24"/>
          <w:szCs w:val="24"/>
        </w:rPr>
        <w:lastRenderedPageBreak/>
        <w:t>Elementary School shows “Excellent” level in discussion participation. Clarity of expression remained basic; nearly all stayed at the Proficient level with no Excellent ratings. Respect for others’ ideas was identified as “weakness”, with the majority in both schools rated as Developing. Students from both schools could visually represent environmental features with reasonable accuracy, with most rated as Proficient. Creativity and depth of interpretation were limited; no students achieved the Excellent level for creativity. Cabili Village Elementary School showed higher variability, with both stronger detailed drawings and more “beginning” outputs compared to Sultan Mamarinta Panandigan Integrated School. Students often visually represented the environment well  but struggled to explain the environmental meaning behind their drawings.</w:t>
      </w:r>
    </w:p>
    <w:p w14:paraId="35A9EB60"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 xml:space="preserve">Environmental Practice </w:t>
      </w:r>
    </w:p>
    <w:p w14:paraId="52B7877C"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Observation skills were generally Developing, with very few able to provide detailed or analytical observations. Reflection and analysis were mostly Proficient, but none reached Excellent—indicating limited higher-order thinking. Descriptive language was adequate for basic communication but lacked richness and precision. Overall, children could describe what they saw but lacked the ability to critically interpret environmental systems. When asked about environmental solutions, learners from both school proposed a general and common solution such as tree planting and cleaning the surroundings. Their responses seem to lack specification, feasibility and contextual grounding. Children possess concern but have limited capacity to transform or translate this concern into practical action. </w:t>
      </w:r>
    </w:p>
    <w:p w14:paraId="65D57011"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Conclusions</w:t>
      </w:r>
    </w:p>
    <w:p w14:paraId="48393C1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Children’s environmental awareness from both schools shows a strong surface level understanding  but remains underdeveloped conceptually. Learners can identify environmental issues and express emotional concern; however, they struggle with higher-order reasoning, scientific terminology, and articulating environmental significance. Learners can name issues but do not </w:t>
      </w:r>
      <w:r w:rsidRPr="00730471">
        <w:rPr>
          <w:rFonts w:ascii="Arial" w:hAnsi="Arial" w:cs="Arial"/>
          <w:sz w:val="24"/>
          <w:szCs w:val="24"/>
        </w:rPr>
        <w:lastRenderedPageBreak/>
        <w:t xml:space="preserve">yet demonstrate critical, scientific, or solution-oriented thinking. Concern or affection towards the environment does not automatically translate into deep understanding of environmental concepts, issues, and dynamics or can act sustainably and critically about them. Differences between schools suggest that environmental context influence how learners process and interpret environmental concepts. Learners in rural environment demonstrate stronger ecological reasoning, while learners from urban environments show greater expressiveness but with less conceptual depth. Thus, these findings reveal a pedagogical gap between awareness and action. Addressing this gap requires an instructional approach that focuses on experience and reflective learning, which is emphasized by John Dewey’s principle of learning. Therefore, the Deweyan-inspired Instructional Toolkit which emphasizes experiential, inquiry-based and community engaged learning can  deepen students' reflection, strengthen their inquiry, enrich students' scientific vocabulary, promote collaborative dialogue between students, and teachers, and guide learners toward meaningful ecological action. </w:t>
      </w:r>
    </w:p>
    <w:p w14:paraId="56C2A76D"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Recommendations</w:t>
      </w:r>
    </w:p>
    <w:p w14:paraId="049DEA7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Based on the findings and conclusions, the following recommendations are proposed:</w:t>
      </w:r>
    </w:p>
    <w:p w14:paraId="3938F0AF"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School-Level Recommendations</w:t>
      </w:r>
    </w:p>
    <w:p w14:paraId="58764369" w14:textId="77777777" w:rsidR="00BF019E" w:rsidRPr="00361BB9" w:rsidRDefault="00CB26E4" w:rsidP="008F26AB">
      <w:pPr>
        <w:spacing w:line="360" w:lineRule="auto"/>
        <w:ind w:left="720"/>
        <w:jc w:val="both"/>
        <w:rPr>
          <w:rFonts w:ascii="Arial" w:hAnsi="Arial" w:cs="Arial"/>
          <w:b/>
          <w:bCs/>
          <w:sz w:val="24"/>
          <w:szCs w:val="24"/>
        </w:rPr>
      </w:pPr>
      <w:r w:rsidRPr="00361BB9">
        <w:rPr>
          <w:rFonts w:ascii="Arial" w:hAnsi="Arial" w:cs="Arial"/>
          <w:b/>
          <w:bCs/>
          <w:sz w:val="24"/>
          <w:szCs w:val="24"/>
        </w:rPr>
        <w:t xml:space="preserve">Strengthening Teachers </w:t>
      </w:r>
    </w:p>
    <w:p w14:paraId="4C050B2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 Teachers trained in experiential environmental learning can better guide children through toolkit activities, promoting awareness and action. Improving teacher training enables children to engage in experiential learning activities effectively, informing the development of toolkit activities. As seen in the literatures teacher has a big role in fostering environmental awareness to learners that would lead to action, if the teacher themselves does not have the ability or is not trained to guide children this no matter how perfect the developed instructional toolkit for environmental education is its effect will still be </w:t>
      </w:r>
      <w:r w:rsidRPr="00730471">
        <w:rPr>
          <w:rFonts w:ascii="Arial" w:hAnsi="Arial" w:cs="Arial"/>
          <w:sz w:val="24"/>
          <w:szCs w:val="24"/>
        </w:rPr>
        <w:lastRenderedPageBreak/>
        <w:t xml:space="preserve">negative. Teacher will serve as the bridge between this gap (awareness and practice)  and if the bridge it self also has this gap, the bridge can serve its purpose. </w:t>
      </w:r>
    </w:p>
    <w:p w14:paraId="788ABD19" w14:textId="77777777" w:rsidR="00BF019E" w:rsidRPr="00361BB9" w:rsidRDefault="00CB26E4" w:rsidP="008F26AB">
      <w:pPr>
        <w:spacing w:line="360" w:lineRule="auto"/>
        <w:ind w:left="720"/>
        <w:jc w:val="both"/>
        <w:rPr>
          <w:rFonts w:ascii="Arial" w:hAnsi="Arial" w:cs="Arial"/>
          <w:b/>
          <w:bCs/>
          <w:sz w:val="24"/>
          <w:szCs w:val="24"/>
        </w:rPr>
      </w:pPr>
      <w:r w:rsidRPr="00361BB9">
        <w:rPr>
          <w:rFonts w:ascii="Arial" w:hAnsi="Arial" w:cs="Arial"/>
          <w:b/>
          <w:bCs/>
          <w:sz w:val="24"/>
          <w:szCs w:val="24"/>
        </w:rPr>
        <w:t xml:space="preserve">Develop context-specific environmental programs. </w:t>
      </w:r>
    </w:p>
    <w:p w14:paraId="7D855CA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Sultan Mamarinta Panandigan Integrated School or Rural-highlands can focus on forest, land-use, and agricultural issues. Cabili Village Elementary School or Urban–coastal schools can focus on waste management, coastal hazards, and urban pollution. Context-specific environmental programs are needed as the environment can affect the acquisition and processing of information (like environmental issues). The more the learners can observe and experience environmental concepts, the deeper they feel connected to it. </w:t>
      </w:r>
    </w:p>
    <w:p w14:paraId="0040FE3E" w14:textId="77777777" w:rsidR="00BF019E" w:rsidRPr="00361BB9" w:rsidRDefault="00CB26E4" w:rsidP="008F26AB">
      <w:pPr>
        <w:spacing w:line="360" w:lineRule="auto"/>
        <w:ind w:left="720"/>
        <w:jc w:val="both"/>
        <w:rPr>
          <w:rFonts w:ascii="Arial" w:hAnsi="Arial" w:cs="Arial"/>
          <w:b/>
          <w:bCs/>
          <w:sz w:val="24"/>
          <w:szCs w:val="24"/>
        </w:rPr>
      </w:pPr>
      <w:r w:rsidRPr="00361BB9">
        <w:rPr>
          <w:rFonts w:ascii="Arial" w:hAnsi="Arial" w:cs="Arial"/>
          <w:b/>
          <w:bCs/>
          <w:sz w:val="24"/>
          <w:szCs w:val="24"/>
        </w:rPr>
        <w:t>Strengthen community-based environmental activities.</w:t>
      </w:r>
    </w:p>
    <w:p w14:paraId="58663636"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Schools, especially elementary schools, should have a good relationship and partnership with barangay units, NGOs, and parent groups to conduct local clean-ups, tree-planting with monitoring, recycling workshops, and children-led environmental campaigns. In this way we can be a reflection of a community that is not just environmentally knowledgeable but a community with good environmental practice. This would also be an example of the “experience” children need to gain to bridge the gap between environmental knowledge and environmental praxis. Williams (2017) foregrounds the idea that “school should be representative of a social environment” — real-life, community-based, interactive settings — because social interaction is central to learning. And according to John Dewey, its is in the environment, the  place they live, who will give the students experience they need for better learning. This environment he is referring to is not just the physical and natural environment but this environment includes us. Hence, we should give the students not just a </w:t>
      </w:r>
      <w:r w:rsidRPr="00730471">
        <w:rPr>
          <w:rFonts w:ascii="Arial" w:hAnsi="Arial" w:cs="Arial"/>
          <w:sz w:val="24"/>
          <w:szCs w:val="24"/>
        </w:rPr>
        <w:lastRenderedPageBreak/>
        <w:t xml:space="preserve">school that fosters learning but a community that gives them experience. </w:t>
      </w:r>
    </w:p>
    <w:p w14:paraId="643A9D78" w14:textId="77777777" w:rsidR="00BF019E" w:rsidRPr="00730471" w:rsidRDefault="00CB26E4" w:rsidP="008F26AB">
      <w:pPr>
        <w:spacing w:line="360" w:lineRule="auto"/>
        <w:ind w:left="720"/>
        <w:jc w:val="both"/>
        <w:rPr>
          <w:rFonts w:ascii="Arial" w:hAnsi="Arial" w:cs="Arial"/>
          <w:sz w:val="24"/>
          <w:szCs w:val="24"/>
        </w:rPr>
      </w:pPr>
      <w:r w:rsidRPr="00730471">
        <w:rPr>
          <w:rFonts w:ascii="Arial" w:hAnsi="Arial" w:cs="Arial"/>
          <w:sz w:val="24"/>
          <w:szCs w:val="24"/>
        </w:rPr>
        <w:t>Integrate/ enhace eco-literacy across subjects.</w:t>
      </w:r>
    </w:p>
    <w:p w14:paraId="37B7E361"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Environmental learning should not remain isolated in science but can be embedded into subjects like Araling Panlipunan, where they can tackle community issues concerning environmental degradation and protection. Filipino/English where teachers shares environmental storyand narratives that is relatable to the kind of environment the School is located. Arts where teacher can conduct activities like eco-drawing and poster-making this is not just an activity where students produce an art there should be a reflection or an art processing at the end, where children needs to narrate how they interpret there art and why choose to draw this art.  Although eco-literacy has already been reflected in the subjects above, enhancing its method of teaching and delivery is needed to inculcate environmental knowledge and practice.</w:t>
      </w:r>
    </w:p>
    <w:p w14:paraId="249AD176"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Recommendations for Future Research</w:t>
      </w:r>
    </w:p>
    <w:p w14:paraId="626271CF"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 future researchers should conduct longitudinal studies to observe whether experiential learning sustainably improves children’s ecological literacy over time, as this is what this study fails or is limited to do. They should also explore the teacher readiness and pedagogical practices in integrating environmental education for a competency-based curriculum. Teacher competencies is crucial in the learning process. Lastly, future researchers should also need to examine socio-cultural factors—family practices, community norms, and local environmental conditions—that influence children’s development of environmental awareness. Although this study aims to identify the difference between how geographic location and socio-cultural implications affect the environmental awareness of the students, the researcher still finds it supplementary.</w:t>
      </w:r>
    </w:p>
    <w:p w14:paraId="75B4F926"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findings of this study reveal that while children exhibit strong environmental concern and recognition of issues, their ecological literacy </w:t>
      </w:r>
      <w:r w:rsidRPr="00730471">
        <w:rPr>
          <w:rFonts w:ascii="Arial" w:hAnsi="Arial" w:cs="Arial"/>
          <w:sz w:val="24"/>
          <w:szCs w:val="24"/>
        </w:rPr>
        <w:lastRenderedPageBreak/>
        <w:t xml:space="preserve">remains limited by insufficient vocabulary, analytical reasoning, and actionable understanding. The proposed Deweyan-inspired instructional toolkit emerges as not just an academic outcome and pedagogical necessity but as a way to promote or achieve a sustainable future. By engaging learners through experiential, guided reflective, and inquiry-based activities, schools can cultivate environmentally-aware citizens capable of critical thought and meaningful action, which will lead to a sustainable future. </w:t>
      </w:r>
    </w:p>
    <w:p w14:paraId="3AC716AC" w14:textId="77777777" w:rsidR="00BF019E" w:rsidRPr="00730471" w:rsidRDefault="00BF019E" w:rsidP="008F26AB">
      <w:pPr>
        <w:spacing w:line="360" w:lineRule="auto"/>
        <w:jc w:val="both"/>
        <w:rPr>
          <w:rFonts w:ascii="Arial" w:hAnsi="Arial" w:cs="Arial"/>
          <w:sz w:val="24"/>
          <w:szCs w:val="24"/>
        </w:rPr>
      </w:pPr>
    </w:p>
    <w:p w14:paraId="02BDA5AC" w14:textId="77777777" w:rsidR="00BF019E" w:rsidRPr="00730471" w:rsidRDefault="00BF019E" w:rsidP="008F26AB">
      <w:pPr>
        <w:spacing w:line="360" w:lineRule="auto"/>
        <w:jc w:val="both"/>
        <w:rPr>
          <w:rFonts w:ascii="Arial" w:hAnsi="Arial" w:cs="Arial"/>
          <w:sz w:val="24"/>
          <w:szCs w:val="24"/>
        </w:rPr>
        <w:sectPr w:rsidR="00BF019E" w:rsidRPr="00730471" w:rsidSect="007D28E1">
          <w:pgSz w:w="11906" w:h="16838"/>
          <w:pgMar w:top="1440" w:right="1440" w:bottom="1440" w:left="2160" w:header="720" w:footer="708" w:gutter="0"/>
          <w:cols w:space="720"/>
          <w:docGrid w:linePitch="299"/>
        </w:sectPr>
      </w:pPr>
    </w:p>
    <w:p w14:paraId="40895B27" w14:textId="77777777" w:rsidR="00BF019E" w:rsidRPr="00730471" w:rsidRDefault="00BF019E" w:rsidP="008F26AB">
      <w:pPr>
        <w:spacing w:line="360" w:lineRule="auto"/>
        <w:jc w:val="both"/>
        <w:rPr>
          <w:rFonts w:ascii="Arial" w:hAnsi="Arial" w:cs="Arial"/>
          <w:sz w:val="24"/>
          <w:szCs w:val="24"/>
        </w:rPr>
      </w:pPr>
    </w:p>
    <w:p w14:paraId="707AAC54" w14:textId="77777777" w:rsidR="00BF019E" w:rsidRPr="00730471" w:rsidRDefault="00BF019E" w:rsidP="008F26AB">
      <w:pPr>
        <w:spacing w:line="360" w:lineRule="auto"/>
        <w:jc w:val="both"/>
        <w:rPr>
          <w:rFonts w:ascii="Arial" w:hAnsi="Arial" w:cs="Arial"/>
          <w:sz w:val="24"/>
          <w:szCs w:val="24"/>
        </w:rPr>
      </w:pPr>
    </w:p>
    <w:p w14:paraId="2D31F619" w14:textId="77777777" w:rsidR="00BF019E" w:rsidRPr="00730471" w:rsidRDefault="00BF019E" w:rsidP="008F26AB">
      <w:pPr>
        <w:spacing w:line="360" w:lineRule="auto"/>
        <w:jc w:val="both"/>
        <w:rPr>
          <w:rFonts w:ascii="Arial" w:hAnsi="Arial" w:cs="Arial"/>
          <w:sz w:val="24"/>
          <w:szCs w:val="24"/>
        </w:rPr>
      </w:pPr>
    </w:p>
    <w:p w14:paraId="70BADFFE" w14:textId="77777777" w:rsidR="00BF019E" w:rsidRDefault="00BF019E" w:rsidP="008F26AB">
      <w:pPr>
        <w:spacing w:line="360" w:lineRule="auto"/>
        <w:jc w:val="both"/>
        <w:rPr>
          <w:rFonts w:ascii="Arial" w:hAnsi="Arial" w:cs="Arial"/>
          <w:sz w:val="24"/>
          <w:szCs w:val="24"/>
        </w:rPr>
      </w:pPr>
    </w:p>
    <w:p w14:paraId="2FC69743" w14:textId="77777777" w:rsidR="008F26AB" w:rsidRDefault="008F26AB" w:rsidP="008F26AB">
      <w:pPr>
        <w:spacing w:line="360" w:lineRule="auto"/>
        <w:jc w:val="both"/>
        <w:rPr>
          <w:rFonts w:ascii="Arial" w:hAnsi="Arial" w:cs="Arial"/>
          <w:sz w:val="24"/>
          <w:szCs w:val="24"/>
        </w:rPr>
      </w:pPr>
    </w:p>
    <w:p w14:paraId="70A5A840" w14:textId="77777777" w:rsidR="008F26AB" w:rsidRDefault="008F26AB" w:rsidP="008F26AB">
      <w:pPr>
        <w:spacing w:line="360" w:lineRule="auto"/>
        <w:jc w:val="both"/>
        <w:rPr>
          <w:rFonts w:ascii="Arial" w:hAnsi="Arial" w:cs="Arial"/>
          <w:sz w:val="24"/>
          <w:szCs w:val="24"/>
        </w:rPr>
      </w:pPr>
    </w:p>
    <w:p w14:paraId="1E3480F5" w14:textId="77777777" w:rsidR="008F26AB" w:rsidRDefault="008F26AB" w:rsidP="008F26AB">
      <w:pPr>
        <w:spacing w:line="360" w:lineRule="auto"/>
        <w:jc w:val="both"/>
        <w:rPr>
          <w:rFonts w:ascii="Arial" w:hAnsi="Arial" w:cs="Arial"/>
          <w:sz w:val="24"/>
          <w:szCs w:val="24"/>
        </w:rPr>
      </w:pPr>
    </w:p>
    <w:p w14:paraId="5F440B72" w14:textId="77777777" w:rsidR="008F26AB" w:rsidRDefault="008F26AB" w:rsidP="008F26AB">
      <w:pPr>
        <w:spacing w:line="360" w:lineRule="auto"/>
        <w:jc w:val="both"/>
        <w:rPr>
          <w:rFonts w:ascii="Arial" w:hAnsi="Arial" w:cs="Arial"/>
          <w:sz w:val="24"/>
          <w:szCs w:val="24"/>
        </w:rPr>
      </w:pPr>
    </w:p>
    <w:p w14:paraId="50780974" w14:textId="77777777" w:rsidR="008F26AB" w:rsidRDefault="008F26AB" w:rsidP="008F26AB">
      <w:pPr>
        <w:spacing w:line="360" w:lineRule="auto"/>
        <w:jc w:val="both"/>
        <w:rPr>
          <w:rFonts w:ascii="Arial" w:hAnsi="Arial" w:cs="Arial"/>
          <w:sz w:val="24"/>
          <w:szCs w:val="24"/>
        </w:rPr>
      </w:pPr>
    </w:p>
    <w:p w14:paraId="280F7657" w14:textId="77777777" w:rsidR="008F26AB" w:rsidRDefault="008F26AB" w:rsidP="008F26AB">
      <w:pPr>
        <w:spacing w:line="360" w:lineRule="auto"/>
        <w:jc w:val="both"/>
        <w:rPr>
          <w:rFonts w:ascii="Arial" w:hAnsi="Arial" w:cs="Arial"/>
          <w:sz w:val="24"/>
          <w:szCs w:val="24"/>
        </w:rPr>
      </w:pPr>
    </w:p>
    <w:p w14:paraId="743BC138" w14:textId="77777777" w:rsidR="008F26AB" w:rsidRDefault="008F26AB" w:rsidP="008F26AB">
      <w:pPr>
        <w:spacing w:line="360" w:lineRule="auto"/>
        <w:jc w:val="both"/>
        <w:rPr>
          <w:rFonts w:ascii="Arial" w:hAnsi="Arial" w:cs="Arial"/>
          <w:sz w:val="24"/>
          <w:szCs w:val="24"/>
        </w:rPr>
      </w:pPr>
    </w:p>
    <w:p w14:paraId="3370647A" w14:textId="77777777" w:rsidR="008F26AB" w:rsidRDefault="008F26AB" w:rsidP="008F26AB">
      <w:pPr>
        <w:spacing w:line="360" w:lineRule="auto"/>
        <w:jc w:val="both"/>
        <w:rPr>
          <w:rFonts w:ascii="Arial" w:hAnsi="Arial" w:cs="Arial"/>
          <w:sz w:val="24"/>
          <w:szCs w:val="24"/>
        </w:rPr>
      </w:pPr>
    </w:p>
    <w:p w14:paraId="79CB5BC8" w14:textId="77777777" w:rsidR="008F26AB" w:rsidRDefault="008F26AB" w:rsidP="008F26AB">
      <w:pPr>
        <w:spacing w:line="360" w:lineRule="auto"/>
        <w:jc w:val="both"/>
        <w:rPr>
          <w:rFonts w:ascii="Arial" w:hAnsi="Arial" w:cs="Arial"/>
          <w:sz w:val="24"/>
          <w:szCs w:val="24"/>
        </w:rPr>
      </w:pPr>
    </w:p>
    <w:p w14:paraId="098D0218" w14:textId="77777777" w:rsidR="008F26AB" w:rsidRDefault="008F26AB" w:rsidP="008F26AB">
      <w:pPr>
        <w:spacing w:line="360" w:lineRule="auto"/>
        <w:jc w:val="both"/>
        <w:rPr>
          <w:rFonts w:ascii="Arial" w:hAnsi="Arial" w:cs="Arial"/>
          <w:sz w:val="24"/>
          <w:szCs w:val="24"/>
        </w:rPr>
      </w:pPr>
    </w:p>
    <w:p w14:paraId="0195FEB5" w14:textId="77777777" w:rsidR="008F26AB" w:rsidRDefault="008F26AB" w:rsidP="008F26AB">
      <w:pPr>
        <w:spacing w:line="360" w:lineRule="auto"/>
        <w:jc w:val="both"/>
        <w:rPr>
          <w:rFonts w:ascii="Arial" w:hAnsi="Arial" w:cs="Arial"/>
          <w:sz w:val="24"/>
          <w:szCs w:val="24"/>
        </w:rPr>
      </w:pPr>
    </w:p>
    <w:p w14:paraId="72590AC4" w14:textId="77777777" w:rsidR="008F26AB" w:rsidRDefault="008F26AB" w:rsidP="008F26AB">
      <w:pPr>
        <w:spacing w:line="360" w:lineRule="auto"/>
        <w:jc w:val="both"/>
        <w:rPr>
          <w:rFonts w:ascii="Arial" w:hAnsi="Arial" w:cs="Arial"/>
          <w:sz w:val="24"/>
          <w:szCs w:val="24"/>
        </w:rPr>
      </w:pPr>
    </w:p>
    <w:p w14:paraId="5CFEF711" w14:textId="77777777" w:rsidR="008F26AB" w:rsidRPr="00730471" w:rsidRDefault="008F26AB" w:rsidP="008F26AB">
      <w:pPr>
        <w:spacing w:line="360" w:lineRule="auto"/>
        <w:jc w:val="both"/>
        <w:rPr>
          <w:rFonts w:ascii="Arial" w:hAnsi="Arial" w:cs="Arial"/>
          <w:sz w:val="24"/>
          <w:szCs w:val="24"/>
        </w:rPr>
      </w:pPr>
    </w:p>
    <w:p w14:paraId="1BB95F32" w14:textId="77777777" w:rsidR="00EF7C8D" w:rsidRPr="00927530" w:rsidRDefault="00EF7C8D" w:rsidP="008F26AB">
      <w:pPr>
        <w:spacing w:line="360" w:lineRule="auto"/>
        <w:jc w:val="both"/>
        <w:rPr>
          <w:rFonts w:ascii="Arial" w:hAnsi="Arial" w:cs="Arial"/>
          <w:b/>
          <w:bCs/>
          <w:sz w:val="24"/>
          <w:szCs w:val="24"/>
          <w:highlight w:val="white"/>
        </w:rPr>
      </w:pPr>
      <w:r w:rsidRPr="00927530">
        <w:rPr>
          <w:rFonts w:ascii="Arial" w:hAnsi="Arial" w:cs="Arial"/>
          <w:b/>
          <w:bCs/>
          <w:sz w:val="24"/>
          <w:szCs w:val="24"/>
          <w:highlight w:val="white"/>
        </w:rPr>
        <w:lastRenderedPageBreak/>
        <w:t>References</w:t>
      </w:r>
    </w:p>
    <w:p w14:paraId="3185CB0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Aboitiz Power Corporation. (n.d.). About AboitizPower. Retrieved April 17, 2026, from</w:t>
      </w:r>
      <w:hyperlink r:id="rId38">
        <w:r w:rsidRPr="00730471">
          <w:rPr>
            <w:rStyle w:val="Hyperlink"/>
            <w:rFonts w:ascii="Arial" w:hAnsi="Arial" w:cs="Arial"/>
            <w:sz w:val="24"/>
            <w:szCs w:val="24"/>
            <w:highlight w:val="white"/>
          </w:rPr>
          <w:t xml:space="preserve"> </w:t>
        </w:r>
      </w:hyperlink>
      <w:hyperlink r:id="rId39">
        <w:r w:rsidRPr="00730471">
          <w:rPr>
            <w:rStyle w:val="Hyperlink"/>
            <w:rFonts w:ascii="Arial" w:hAnsi="Arial" w:cs="Arial"/>
            <w:sz w:val="24"/>
            <w:szCs w:val="24"/>
            <w:highlight w:val="white"/>
          </w:rPr>
          <w:t>https://aboitizpower.com</w:t>
        </w:r>
      </w:hyperlink>
    </w:p>
    <w:p w14:paraId="74CB4E1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Agarwal, N., Chunyan, Z., &amp; Islam, A. (2024). The effect of a nature-based environmental education of children: The importance of environmental knowledge and the connectedness to nature together are related to ecological behavior and environmental attitude. Scientific Journal of Arts, Humanities and Social Science, 4(2), 1–7.</w:t>
      </w:r>
      <w:hyperlink r:id="rId40">
        <w:r w:rsidRPr="00730471">
          <w:rPr>
            <w:rStyle w:val="Hyperlink"/>
            <w:rFonts w:ascii="Arial" w:hAnsi="Arial" w:cs="Arial"/>
            <w:sz w:val="24"/>
            <w:szCs w:val="24"/>
            <w:highlight w:val="white"/>
          </w:rPr>
          <w:t xml:space="preserve"> </w:t>
        </w:r>
      </w:hyperlink>
      <w:hyperlink r:id="rId41">
        <w:r w:rsidRPr="00730471">
          <w:rPr>
            <w:rStyle w:val="Hyperlink"/>
            <w:rFonts w:ascii="Arial" w:hAnsi="Arial" w:cs="Arial"/>
            <w:sz w:val="24"/>
            <w:szCs w:val="24"/>
            <w:highlight w:val="white"/>
          </w:rPr>
          <w:t>https://doi.org/10.47310/sjahss.2024.v04i02.001</w:t>
        </w:r>
      </w:hyperlink>
    </w:p>
    <w:p w14:paraId="367F5F1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Agbor, C. N. (2016). The importance of incorporating environmental education (EE) into teacher education programmes in Nigeria.</w:t>
      </w:r>
    </w:p>
    <w:p w14:paraId="4F700DA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Álvarez-García, O., Sureda-Negre, J., &amp; Comas-Forgas, R. (2015). Environmental education in pre-service teacher training: A literature review of existing evidence. Journal of Teacher Education for Sustainability, 17, 72–85.</w:t>
      </w:r>
    </w:p>
    <w:p w14:paraId="18C9D6F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Ante, C. (n.d.). Level of competence of environmental education concepts and principles. BU R&amp;D Journal.</w:t>
      </w:r>
      <w:hyperlink r:id="rId42">
        <w:r w:rsidRPr="00730471">
          <w:rPr>
            <w:rStyle w:val="Hyperlink"/>
            <w:rFonts w:ascii="Arial" w:hAnsi="Arial" w:cs="Arial"/>
            <w:sz w:val="24"/>
            <w:szCs w:val="24"/>
            <w:highlight w:val="white"/>
          </w:rPr>
          <w:t>https://systems.bicol-u.edu.ph/journal/assets/journal_pdf/7%20Ante%2058-72.pdf</w:t>
        </w:r>
      </w:hyperlink>
    </w:p>
    <w:p w14:paraId="12491DF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Ante, M. E. (2020). Level of competence of environmental education concepts and principles of students from the National Network of Normal Schools (3NS). Bicol University Research and Development Journal.</w:t>
      </w:r>
    </w:p>
    <w:p w14:paraId="1A0EA0B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Aphamis, G., Chatzipanteli, A., Giannaki, C., Grivas, G. V., Kouthouris, C.,   Tsartsapakis, I., Vasilaki, M.-M., and Zafeiroudi, A. (2025). Learning in nature: A systematic review and meta-analysis of outdoor recreation’s role in youth development. Education Sciences, 15(3), 332. </w:t>
      </w:r>
      <w:hyperlink r:id="rId43">
        <w:r w:rsidRPr="00730471">
          <w:rPr>
            <w:rStyle w:val="Hyperlink"/>
            <w:rFonts w:ascii="Arial" w:hAnsi="Arial" w:cs="Arial"/>
            <w:sz w:val="24"/>
            <w:szCs w:val="24"/>
            <w:highlight w:val="white"/>
          </w:rPr>
          <w:t>https://doi.org/10.3390/educsci15030332</w:t>
        </w:r>
      </w:hyperlink>
    </w:p>
    <w:p w14:paraId="3E37364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Araña, R. V. E., Ocapan, E. D., Celestino, R. K. M., Zaportiza, R. K., Pantaleon, A. J. F., &amp; Alinsonorin, M. S. (n.d.). Assessment of the implementation of Republic Act 9003 in Iligan City.</w:t>
      </w:r>
    </w:p>
    <w:p w14:paraId="6729764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Aribowo, S., Nadiroh, N., &amp; Faesal, M. (2025). Implementation of experiential learning methods in environmental education. International Journal of Business, Law, and Education, 6(1), 468–476. </w:t>
      </w:r>
      <w:hyperlink r:id="rId44">
        <w:r w:rsidRPr="00730471">
          <w:rPr>
            <w:rStyle w:val="Hyperlink"/>
            <w:rFonts w:ascii="Arial" w:hAnsi="Arial" w:cs="Arial"/>
            <w:sz w:val="24"/>
            <w:szCs w:val="24"/>
            <w:highlight w:val="white"/>
          </w:rPr>
          <w:t>https://doi.org/10.56442/ijble.v6i1.1037</w:t>
        </w:r>
      </w:hyperlink>
    </w:p>
    <w:p w14:paraId="3CAAE4F2"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Bonwell, C. C., &amp; Eison, J. A. (1991). Active learning: Creating excitement in the classroom. ASHE-ERIC Higher Education Report No. 1. George Washington University.</w:t>
      </w:r>
    </w:p>
    <w:p w14:paraId="031DF461"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Bulbert, M., Campera, M.,and Granato, C., &amp; (2025). Active learning affects children’s intention to act and awareness of the importance of nature and understanding environmental change. World, 6(2), 36.</w:t>
      </w:r>
      <w:hyperlink r:id="rId45">
        <w:r w:rsidRPr="00730471">
          <w:rPr>
            <w:rStyle w:val="Hyperlink"/>
            <w:rFonts w:ascii="Arial" w:hAnsi="Arial" w:cs="Arial"/>
            <w:sz w:val="24"/>
            <w:szCs w:val="24"/>
            <w:highlight w:val="white"/>
          </w:rPr>
          <w:t xml:space="preserve"> </w:t>
        </w:r>
      </w:hyperlink>
      <w:hyperlink r:id="rId46">
        <w:r w:rsidRPr="00730471">
          <w:rPr>
            <w:rStyle w:val="Hyperlink"/>
            <w:rFonts w:ascii="Arial" w:hAnsi="Arial" w:cs="Arial"/>
            <w:sz w:val="24"/>
            <w:szCs w:val="24"/>
            <w:highlight w:val="white"/>
          </w:rPr>
          <w:t>https://doi.org/10.3390/world6020036</w:t>
        </w:r>
      </w:hyperlink>
    </w:p>
    <w:p w14:paraId="2F34E64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Buot, M. K., &amp; Manalo, C. V. (2024). Evaluating environmental awareness in practice on the concept of nutrient cycling among senior high school students. BIO Web of Conferences.</w:t>
      </w:r>
    </w:p>
    <w:p w14:paraId="1B72549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Burns, T. and Kovacs, R. (2014). Think green: education and environmental awareness. OECD Education and Skills Today, July 13, 2014. </w:t>
      </w:r>
      <w:hyperlink r:id="rId47">
        <w:r w:rsidRPr="00730471">
          <w:rPr>
            <w:rStyle w:val="Hyperlink"/>
            <w:rFonts w:ascii="Arial" w:hAnsi="Arial" w:cs="Arial"/>
            <w:sz w:val="24"/>
            <w:szCs w:val="24"/>
            <w:highlight w:val="white"/>
          </w:rPr>
          <w:t>oecdedutoday.com</w:t>
        </w:r>
      </w:hyperlink>
    </w:p>
    <w:p w14:paraId="0C23CA7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Cañón-Vargas, A. M., Melo-Mora, S. P., &amp; Sosa, E. (2025). School gardens as a research setting for early childhood children to strengthen their </w:t>
      </w:r>
      <w:r w:rsidRPr="00730471">
        <w:rPr>
          <w:rFonts w:ascii="Arial" w:hAnsi="Arial" w:cs="Arial"/>
          <w:sz w:val="24"/>
          <w:szCs w:val="24"/>
          <w:highlight w:val="white"/>
        </w:rPr>
        <w:lastRenderedPageBreak/>
        <w:t xml:space="preserve">environmental awareness and scientific skills. Discover Education, 4(1). </w:t>
      </w:r>
      <w:hyperlink r:id="rId48">
        <w:r w:rsidRPr="00730471">
          <w:rPr>
            <w:rStyle w:val="Hyperlink"/>
            <w:rFonts w:ascii="Arial" w:hAnsi="Arial" w:cs="Arial"/>
            <w:sz w:val="24"/>
            <w:szCs w:val="24"/>
            <w:highlight w:val="white"/>
          </w:rPr>
          <w:t>https://doi.org/10.1007/s44217-025-00785-z</w:t>
        </w:r>
      </w:hyperlink>
    </w:p>
    <w:p w14:paraId="541B3E7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Cheong, I. P. (2005). Educating pre</w:t>
      </w:r>
      <w:r w:rsidRPr="00730471">
        <w:rPr>
          <w:rFonts w:ascii="Cambria Math" w:hAnsi="Cambria Math" w:cs="Cambria Math"/>
          <w:sz w:val="24"/>
          <w:szCs w:val="24"/>
          <w:highlight w:val="white"/>
        </w:rPr>
        <w:t>‐</w:t>
      </w:r>
      <w:r w:rsidRPr="00730471">
        <w:rPr>
          <w:rFonts w:ascii="Arial" w:hAnsi="Arial" w:cs="Arial"/>
          <w:sz w:val="24"/>
          <w:szCs w:val="24"/>
          <w:highlight w:val="white"/>
        </w:rPr>
        <w:t>service teachers for a sustainable environment. Asia-Pacific Journal of Teacher Education, 33, 110–97.</w:t>
      </w:r>
    </w:p>
    <w:p w14:paraId="3438A2D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City Government of Iligan. (n.d.). Iligan City solid waste management system project.</w:t>
      </w:r>
    </w:p>
    <w:p w14:paraId="7BCBE7B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Collado, S., Rosa, C. D., &amp; Corraliza, J. A. (2020). The effect of a nature-based environmental education program on children’s environmental attitudes and behaviors: A randomized experiment with primary schools. Sustainability, 12(17), 6817.</w:t>
      </w:r>
      <w:hyperlink r:id="rId49">
        <w:r w:rsidRPr="00730471">
          <w:rPr>
            <w:rStyle w:val="Hyperlink"/>
            <w:rFonts w:ascii="Arial" w:hAnsi="Arial" w:cs="Arial"/>
            <w:sz w:val="24"/>
            <w:szCs w:val="24"/>
            <w:highlight w:val="white"/>
          </w:rPr>
          <w:t xml:space="preserve"> </w:t>
        </w:r>
      </w:hyperlink>
      <w:hyperlink r:id="rId50">
        <w:r w:rsidRPr="00730471">
          <w:rPr>
            <w:rStyle w:val="Hyperlink"/>
            <w:rFonts w:ascii="Arial" w:hAnsi="Arial" w:cs="Arial"/>
            <w:sz w:val="24"/>
            <w:szCs w:val="24"/>
            <w:highlight w:val="white"/>
          </w:rPr>
          <w:t>https://doi.org/10.3390/su12176817</w:t>
        </w:r>
      </w:hyperlink>
    </w:p>
    <w:p w14:paraId="58867BD4"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Collado, S., Rosa, C. D., &amp; Corraliza, J. A. (2020). The effect of a nature-based environmental education program on children’s environmental attitudes and behaviors: A randomized experiment with primary schools. Sustainability, 12(17), 6817.</w:t>
      </w:r>
      <w:hyperlink r:id="rId51">
        <w:r w:rsidRPr="00730471">
          <w:rPr>
            <w:rStyle w:val="Hyperlink"/>
            <w:rFonts w:ascii="Arial" w:hAnsi="Arial" w:cs="Arial"/>
            <w:sz w:val="24"/>
            <w:szCs w:val="24"/>
            <w:highlight w:val="white"/>
          </w:rPr>
          <w:t xml:space="preserve"> </w:t>
        </w:r>
      </w:hyperlink>
      <w:hyperlink r:id="rId52">
        <w:r w:rsidRPr="00730471">
          <w:rPr>
            <w:rStyle w:val="Hyperlink"/>
            <w:rFonts w:ascii="Arial" w:hAnsi="Arial" w:cs="Arial"/>
            <w:sz w:val="24"/>
            <w:szCs w:val="24"/>
            <w:highlight w:val="white"/>
          </w:rPr>
          <w:t>https://doi.org/10.3390/su12176817</w:t>
        </w:r>
      </w:hyperlink>
    </w:p>
    <w:p w14:paraId="3A494E2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Creencia, E. C. (2017). The role of chemical engineering in Iligan City’s solid waste management program. Chemical Engineering Transactions, 56.</w:t>
      </w:r>
    </w:p>
    <w:p w14:paraId="29481BB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Cuizon, R. C. (2012). Analysis of Iligan City solid waste management: Basis for an effective solid waste management program. IAMURE International Journal of Ecology and Conservation, 4(1).</w:t>
      </w:r>
    </w:p>
    <w:p w14:paraId="4E5C046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 Forest Management Bureau. (n.d.). National Greening Program. Retrieved April 17, 2026, from</w:t>
      </w:r>
      <w:hyperlink r:id="rId53">
        <w:r w:rsidRPr="00730471">
          <w:rPr>
            <w:rStyle w:val="Hyperlink"/>
            <w:rFonts w:ascii="Arial" w:hAnsi="Arial" w:cs="Arial"/>
            <w:sz w:val="24"/>
            <w:szCs w:val="24"/>
            <w:highlight w:val="white"/>
          </w:rPr>
          <w:t xml:space="preserve"> </w:t>
        </w:r>
      </w:hyperlink>
      <w:hyperlink r:id="rId54">
        <w:r w:rsidRPr="00730471">
          <w:rPr>
            <w:rStyle w:val="Hyperlink"/>
            <w:rFonts w:ascii="Arial" w:hAnsi="Arial" w:cs="Arial"/>
            <w:sz w:val="24"/>
            <w:szCs w:val="24"/>
            <w:highlight w:val="white"/>
          </w:rPr>
          <w:t>https://fmb.denr.gov.ph/ngp/</w:t>
        </w:r>
      </w:hyperlink>
    </w:p>
    <w:p w14:paraId="3B2119B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 Forest Management Bureau. (n.d.). What is the National Greening Program? Retrieved April 17, 2026, from</w:t>
      </w:r>
      <w:hyperlink r:id="rId55">
        <w:r w:rsidRPr="00730471">
          <w:rPr>
            <w:rStyle w:val="Hyperlink"/>
            <w:rFonts w:ascii="Arial" w:hAnsi="Arial" w:cs="Arial"/>
            <w:sz w:val="24"/>
            <w:szCs w:val="24"/>
            <w:highlight w:val="white"/>
          </w:rPr>
          <w:t xml:space="preserve"> </w:t>
        </w:r>
      </w:hyperlink>
      <w:hyperlink r:id="rId56">
        <w:r w:rsidRPr="00730471">
          <w:rPr>
            <w:rStyle w:val="Hyperlink"/>
            <w:rFonts w:ascii="Arial" w:hAnsi="Arial" w:cs="Arial"/>
            <w:sz w:val="24"/>
            <w:szCs w:val="24"/>
            <w:highlight w:val="white"/>
          </w:rPr>
          <w:t>https://fmb.denr.gov.ph/ngp/what-is-ngp/</w:t>
        </w:r>
      </w:hyperlink>
    </w:p>
    <w:p w14:paraId="7FE358F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(2019). Enhanced National Greening Program. Retrieved April 17, 2026, from</w:t>
      </w:r>
      <w:hyperlink r:id="rId57">
        <w:r w:rsidRPr="00730471">
          <w:rPr>
            <w:rStyle w:val="Hyperlink"/>
            <w:rFonts w:ascii="Arial" w:hAnsi="Arial" w:cs="Arial"/>
            <w:sz w:val="24"/>
            <w:szCs w:val="24"/>
            <w:highlight w:val="white"/>
          </w:rPr>
          <w:t xml:space="preserve"> </w:t>
        </w:r>
      </w:hyperlink>
      <w:bookmarkStart w:id="42" w:name="_GoBack"/>
      <w:bookmarkEnd w:id="42"/>
      <w:r>
        <w:fldChar w:fldCharType="begin"/>
      </w:r>
      <w:r>
        <w:instrText xml:space="preserve"> HYPERLINK "https://sdg.depdev.gov.ph/enhanced-national-greening-program/" \h </w:instrText>
      </w:r>
      <w:r>
        <w:fldChar w:fldCharType="separate"/>
      </w:r>
      <w:r w:rsidRPr="00730471">
        <w:rPr>
          <w:rStyle w:val="Hyperlink"/>
          <w:rFonts w:ascii="Arial" w:hAnsi="Arial" w:cs="Arial"/>
          <w:sz w:val="24"/>
          <w:szCs w:val="24"/>
          <w:highlight w:val="white"/>
        </w:rPr>
        <w:t>https://sdg.depdev.gov.ph/enhanced-national-greening-program/</w:t>
      </w:r>
      <w:r>
        <w:rPr>
          <w:rStyle w:val="Hyperlink"/>
          <w:rFonts w:ascii="Arial" w:hAnsi="Arial" w:cs="Arial"/>
          <w:sz w:val="24"/>
          <w:szCs w:val="24"/>
          <w:highlight w:val="white"/>
        </w:rPr>
        <w:fldChar w:fldCharType="end"/>
      </w:r>
    </w:p>
    <w:p w14:paraId="4FD8E86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(2023). Philippine guidebook on plant species suitable for urban greening. Retrieved April 17, 2026, from</w:t>
      </w:r>
      <w:hyperlink r:id="rId58">
        <w:r w:rsidRPr="00730471">
          <w:rPr>
            <w:rStyle w:val="Hyperlink"/>
            <w:rFonts w:ascii="Arial" w:hAnsi="Arial" w:cs="Arial"/>
            <w:sz w:val="24"/>
            <w:szCs w:val="24"/>
            <w:highlight w:val="white"/>
          </w:rPr>
          <w:t xml:space="preserve"> </w:t>
        </w:r>
      </w:hyperlink>
      <w:hyperlink r:id="rId59">
        <w:r w:rsidRPr="00730471">
          <w:rPr>
            <w:rStyle w:val="Hyperlink"/>
            <w:rFonts w:ascii="Arial" w:hAnsi="Arial" w:cs="Arial"/>
            <w:sz w:val="24"/>
            <w:szCs w:val="24"/>
            <w:highlight w:val="white"/>
          </w:rPr>
          <w:t>https://forestry.denr.gov.ph</w:t>
        </w:r>
      </w:hyperlink>
    </w:p>
    <w:p w14:paraId="4F57936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(n.d.). Programs and projects on water and environmental management. Retrieved April 17, 2026, from</w:t>
      </w:r>
      <w:hyperlink r:id="rId60">
        <w:r w:rsidRPr="00730471">
          <w:rPr>
            <w:rStyle w:val="Hyperlink"/>
            <w:rFonts w:ascii="Arial" w:hAnsi="Arial" w:cs="Arial"/>
            <w:sz w:val="24"/>
            <w:szCs w:val="24"/>
            <w:highlight w:val="white"/>
          </w:rPr>
          <w:t xml:space="preserve"> </w:t>
        </w:r>
      </w:hyperlink>
      <w:hyperlink r:id="rId61">
        <w:r w:rsidRPr="00730471">
          <w:rPr>
            <w:rStyle w:val="Hyperlink"/>
            <w:rFonts w:ascii="Arial" w:hAnsi="Arial" w:cs="Arial"/>
            <w:sz w:val="24"/>
            <w:szCs w:val="24"/>
            <w:highlight w:val="white"/>
          </w:rPr>
          <w:t>https://www.denr.gov.ph</w:t>
        </w:r>
      </w:hyperlink>
    </w:p>
    <w:p w14:paraId="6DBE98C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DepEd Order No. 72, s. 2003. Youth for Environment in Schools Organization (YES-O). Encourages student participation in environmental preservation initiatives.</w:t>
      </w:r>
    </w:p>
    <w:p w14:paraId="43F8EE21"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Dewey, J. (1902). The child and the curriculum. University of Chicago Press.</w:t>
      </w:r>
    </w:p>
    <w:p w14:paraId="3FD432F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Dewey, J. (1916). Democracy and education: An introduction to the philosophy of education. The Macmillan Company. </w:t>
      </w:r>
      <w:hyperlink r:id="rId62">
        <w:r w:rsidRPr="00730471">
          <w:rPr>
            <w:rStyle w:val="Hyperlink"/>
            <w:rFonts w:ascii="Arial" w:hAnsi="Arial" w:cs="Arial"/>
            <w:sz w:val="24"/>
            <w:szCs w:val="24"/>
            <w:highlight w:val="white"/>
          </w:rPr>
          <w:t>https://nsee.memberclicks.net/assets/docs/KnowledgeCenter/BuildingExpEduc/BooksReports/10.%20democracy%20and%20education%20by%20dewey.pdf</w:t>
        </w:r>
      </w:hyperlink>
    </w:p>
    <w:p w14:paraId="4AB50D4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Dewey, J. (1938). Experience and education. Macmillan.</w:t>
      </w:r>
    </w:p>
    <w:p w14:paraId="1ECBD9F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Eliyawati, E., Widodo, A., Kaniawati, I., &amp; Fujii, H. (2023). Effectiveness of teacher training on environmental education: Challenges and strategy for future training programs. Jurnal Penelitian Pendidikan IPA.</w:t>
      </w:r>
    </w:p>
    <w:p w14:paraId="0D761C9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lastRenderedPageBreak/>
        <w:t>Ellos, D. M. A. E. C. (2025). Brand audit of single-use plastics in Iligan City. Journal of Sustainability Science and Management, 20(4).</w:t>
      </w:r>
    </w:p>
    <w:p w14:paraId="0733C5B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Esa, N. (2010). Environmental knowledge, attitudes and practices of student teachers. International Research in Geographical and Environmental Education, 19(1): 39-50.</w:t>
      </w:r>
    </w:p>
    <w:p w14:paraId="6834D6C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Escatron, M. J., Adlaon, M. S., Flores, D. K., &amp; Escatron, R. A. (2023). Environmental awareness and practices of the selected public senior high school in Surigao City, Philippines: A case study. Cognizance Journal of Multidisciplinary Studies.</w:t>
      </w:r>
    </w:p>
    <w:p w14:paraId="4E21175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Galorio, I. J., &amp; Naling, C. S. (2024). Awareness and practices of senior high school students and teachers on environmental education: Basis for instructional materials development. Asian Journal of Environment &amp; Ecology.</w:t>
      </w:r>
    </w:p>
    <w:p w14:paraId="668A410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Garcia, M. N. Z., &amp; Cobar-Garcia, M. R. V. (2018). The environmental literacy of elementary school teachers based in the City of Manila and Nueva Ecija Province. Journal of Nature Studies, 17(2), 10–29. </w:t>
      </w:r>
      <w:hyperlink r:id="rId63">
        <w:r w:rsidRPr="00730471">
          <w:rPr>
            <w:rStyle w:val="Hyperlink"/>
            <w:rFonts w:ascii="Arial" w:hAnsi="Arial" w:cs="Arial"/>
            <w:sz w:val="24"/>
            <w:szCs w:val="24"/>
            <w:highlight w:val="white"/>
          </w:rPr>
          <w:t>https://www.journalofnaturestudies.org/files/JNS17-2/10-29_Garcia_Environmental%20Literacy%20Elementary.pdf</w:t>
        </w:r>
      </w:hyperlink>
    </w:p>
    <w:p w14:paraId="60ED4EC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Granato, C., Campera, M., &amp; Bulbert, M. (2025). Active learning affects children’s intention to act and awareness of the importance of nature and understanding environmental change. World, 6(2), 36.</w:t>
      </w:r>
      <w:hyperlink r:id="rId64">
        <w:r w:rsidRPr="00730471">
          <w:rPr>
            <w:rStyle w:val="Hyperlink"/>
            <w:rFonts w:ascii="Arial" w:hAnsi="Arial" w:cs="Arial"/>
            <w:sz w:val="24"/>
            <w:szCs w:val="24"/>
            <w:highlight w:val="white"/>
          </w:rPr>
          <w:t xml:space="preserve"> </w:t>
        </w:r>
      </w:hyperlink>
      <w:hyperlink r:id="rId65">
        <w:r w:rsidRPr="00730471">
          <w:rPr>
            <w:rStyle w:val="Hyperlink"/>
            <w:rFonts w:ascii="Arial" w:hAnsi="Arial" w:cs="Arial"/>
            <w:sz w:val="24"/>
            <w:szCs w:val="24"/>
            <w:highlight w:val="white"/>
          </w:rPr>
          <w:t>https://doi.org/10.3390/world6020036</w:t>
        </w:r>
      </w:hyperlink>
    </w:p>
    <w:p w14:paraId="0AF4331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Güller, E., &amp; Tokuç, A. (2020). World from children’s eyes: This is our world!</w:t>
      </w:r>
    </w:p>
    <w:p w14:paraId="5557AF9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Hadzigeorgiou, Y. and Skoumios, M. (2013). The development of environmental awareness through school science: problems and possibilities. International Journal of Environmental and Science Education. 8, 405-426.</w:t>
      </w:r>
    </w:p>
    <w:p w14:paraId="1FF76E2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Hargraves, V. (n.d.). Dewey’s educational philosophy. The Education Hub. </w:t>
      </w:r>
      <w:hyperlink r:id="rId66">
        <w:r w:rsidRPr="00730471">
          <w:rPr>
            <w:rStyle w:val="Hyperlink"/>
            <w:rFonts w:ascii="Arial" w:hAnsi="Arial" w:cs="Arial"/>
            <w:sz w:val="24"/>
            <w:szCs w:val="24"/>
            <w:highlight w:val="white"/>
          </w:rPr>
          <w:t>https://theeducationhub.org.nz/deweys-educational-philosophy/</w:t>
        </w:r>
      </w:hyperlink>
    </w:p>
    <w:p w14:paraId="724A6AA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Hmelo-Silver, C. E., Duncan, R. G., &amp; Chinn, C. A. (2007). Scaffolding and achievement in problem-based and inquiry learning: A response to Kirschner, Sweller, and Clark (2006). Educational Psychologist, 42(2), 99-107. https://doi.org/10.1080/00461520701263368</w:t>
      </w:r>
    </w:p>
    <w:p w14:paraId="2BEB166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Hollweg, K. S., Taylor, J. R., Bybee, R. W., Marcinkowski, T. J., McBeth, W. C., &amp; Zoido, P. (2011). Developing a framework for assessing environmental literacy. Washington, DC: North American Association for Environmental Education. Available at </w:t>
      </w:r>
      <w:hyperlink r:id="rId67">
        <w:r w:rsidRPr="00730471">
          <w:rPr>
            <w:rStyle w:val="Hyperlink"/>
            <w:rFonts w:ascii="Arial" w:hAnsi="Arial" w:cs="Arial"/>
            <w:sz w:val="24"/>
            <w:szCs w:val="24"/>
            <w:highlight w:val="white"/>
          </w:rPr>
          <w:t>http://www</w:t>
        </w:r>
      </w:hyperlink>
      <w:hyperlink r:id="rId68">
        <w:r w:rsidRPr="00730471">
          <w:rPr>
            <w:rStyle w:val="Hyperlink"/>
            <w:rFonts w:ascii="Arial" w:hAnsi="Arial" w:cs="Arial"/>
            <w:sz w:val="24"/>
            <w:szCs w:val="24"/>
            <w:highlight w:val="white"/>
          </w:rPr>
          <w:t>naaee.net</w:t>
        </w:r>
      </w:hyperlink>
      <w:r w:rsidRPr="00730471">
        <w:rPr>
          <w:rFonts w:ascii="Arial" w:hAnsi="Arial" w:cs="Arial"/>
          <w:sz w:val="24"/>
          <w:szCs w:val="24"/>
          <w:highlight w:val="white"/>
        </w:rPr>
        <w:t>.</w:t>
      </w:r>
    </w:p>
    <w:p w14:paraId="74C79062"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Jensen, B. B. (2002). Knowledge, action and pro-environmental behaviour. Environmental Education Research, 8(3), 325–334. https://doi.org/10.1080/13504620220145474</w:t>
      </w:r>
    </w:p>
    <w:p w14:paraId="26FB026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Klement, S. (2025). Climate change education and the knowledge–action gap. Cambridge Assessment. </w:t>
      </w:r>
      <w:hyperlink r:id="rId69">
        <w:r w:rsidRPr="00730471">
          <w:rPr>
            <w:rStyle w:val="Hyperlink"/>
            <w:rFonts w:ascii="Arial" w:hAnsi="Arial" w:cs="Arial"/>
            <w:sz w:val="24"/>
            <w:szCs w:val="24"/>
            <w:highlight w:val="white"/>
          </w:rPr>
          <w:t>https://www.cambridgeassessment.org.uk/Images/745148-climate-change-education-and-the-knowledge-action-gap.pdf</w:t>
        </w:r>
      </w:hyperlink>
    </w:p>
    <w:p w14:paraId="0698EF2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Kolb, D. A. (1984). Experiential learning: Experience as the source of learning and development. Prentice Hall.</w:t>
      </w:r>
    </w:p>
    <w:p w14:paraId="341AB58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Kollmuss, A., &amp; Agyeman, J. (2002). Mind the gap: Why do people act environmentally and what are the barriers to pro-environmental </w:t>
      </w:r>
      <w:r w:rsidRPr="00730471">
        <w:rPr>
          <w:rFonts w:ascii="Arial" w:hAnsi="Arial" w:cs="Arial"/>
          <w:sz w:val="24"/>
          <w:szCs w:val="24"/>
          <w:highlight w:val="white"/>
        </w:rPr>
        <w:lastRenderedPageBreak/>
        <w:t xml:space="preserve">behavior? Environmental Education Research, 8(3), 239–260. </w:t>
      </w:r>
      <w:hyperlink r:id="rId70">
        <w:r w:rsidRPr="00730471">
          <w:rPr>
            <w:rStyle w:val="Hyperlink"/>
            <w:rFonts w:ascii="Arial" w:hAnsi="Arial" w:cs="Arial"/>
            <w:sz w:val="24"/>
            <w:szCs w:val="24"/>
            <w:highlight w:val="white"/>
          </w:rPr>
          <w:t>https://doi.org/10.1080/13504620220145401</w:t>
        </w:r>
      </w:hyperlink>
    </w:p>
    <w:p w14:paraId="7FB2F58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Kumar, P. N., &amp; Rani, D. T. (2021). A study on environmental competencies of teacher trainees.</w:t>
      </w:r>
    </w:p>
    <w:p w14:paraId="0F811A3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Lopez, L. M. (2020). Pagpapalaganap sa edukasyong pangkalikasan sa mga kursong edukasyong Filipino. Bicol University Research and Development Journal.</w:t>
      </w:r>
    </w:p>
    <w:p w14:paraId="66D6E32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Louv, R. (2008). Last child in the woods: Saving our children from nature-deficit disorder. Algonquin Books.</w:t>
      </w:r>
    </w:p>
    <w:p w14:paraId="5CD62E9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Lualhati, G. P., Catibog, F. J., Holgado, R. A., &amp; Liwanag, J. M. (2018). Discovering ecological awareness of Filipino education students. International Journal of Applied Science.</w:t>
      </w:r>
    </w:p>
    <w:p w14:paraId="1FC5DFE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Magdugo, J. A., Perpetua, A. D., Trinidad, R. B., Pardillo, J. S., &amp; Vedra, S. A. (2024). Students’ perspectives on environmental waste problems in schools of Iligan City, Philippines. International Journal of Science and Management Studies, 7(2), 89–93.</w:t>
      </w:r>
    </w:p>
    <w:p w14:paraId="052C39C1"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Merrill, M. D. (2002). First principles of instruction. Educational Technology Research and Development, 50(3), 43-59. https://doi.org/10.1007/BF02505024</w:t>
      </w:r>
    </w:p>
    <w:p w14:paraId="0CB04C8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Naess, A. (1986). The deep ecology movement: Some philosophical aspects. Open Air Philosophy. </w:t>
      </w:r>
      <w:hyperlink r:id="rId71">
        <w:r w:rsidRPr="00730471">
          <w:rPr>
            <w:rStyle w:val="Hyperlink"/>
            <w:rFonts w:ascii="Arial" w:hAnsi="Arial" w:cs="Arial"/>
            <w:sz w:val="24"/>
            <w:szCs w:val="24"/>
            <w:highlight w:val="white"/>
          </w:rPr>
          <w:t>https://openairphilosophy.org/wp-content/uploads/2019/02/OAP_Naess_Deep_Ecology_Movement.pdf</w:t>
        </w:r>
      </w:hyperlink>
    </w:p>
    <w:p w14:paraId="6273847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Naess, A. (1989). Ecology, community and lifestyle: Outline of an ecosophy. Cambridge University Press.</w:t>
      </w:r>
    </w:p>
    <w:p w14:paraId="04AEC63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Naess, A. (n.d.). The deep ecology movement: Some philosophical aspects. OpenAirPhilosophy. Retrieved April 17, 2026, from</w:t>
      </w:r>
      <w:hyperlink r:id="rId72">
        <w:r w:rsidRPr="00730471">
          <w:rPr>
            <w:rStyle w:val="Hyperlink"/>
            <w:rFonts w:ascii="Arial" w:hAnsi="Arial" w:cs="Arial"/>
            <w:sz w:val="24"/>
            <w:szCs w:val="24"/>
            <w:highlight w:val="white"/>
          </w:rPr>
          <w:t xml:space="preserve"> https://openairphilosophy.org/wp-content/uploads/2019/02/OAP_Naess_Deep_Ecology_Movement.pdf</w:t>
        </w:r>
      </w:hyperlink>
    </w:p>
    <w:p w14:paraId="3FF804A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National University. (2019, April 11). Why is early childhood education important? </w:t>
      </w:r>
      <w:hyperlink r:id="rId73">
        <w:r w:rsidRPr="00730471">
          <w:rPr>
            <w:rStyle w:val="Hyperlink"/>
            <w:rFonts w:ascii="Arial" w:hAnsi="Arial" w:cs="Arial"/>
            <w:sz w:val="24"/>
            <w:szCs w:val="24"/>
            <w:highlight w:val="white"/>
          </w:rPr>
          <w:t>https://www.nu.edu/blog/why-is-early-childhood-education-important/</w:t>
        </w:r>
      </w:hyperlink>
    </w:p>
    <w:p w14:paraId="28D7432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Nazir, J., &amp; Pedretti, E. (2016). Educators’ perceptions of bringing students to environmental consciousness through engaging outdoor experiences. Environmental Education Research, 22, 288–304.</w:t>
      </w:r>
    </w:p>
    <w:p w14:paraId="6536EEE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North American Association for Environmental Education. (n.d.). Experiential learning.</w:t>
      </w:r>
      <w:hyperlink r:id="rId74">
        <w:r w:rsidRPr="00730471">
          <w:rPr>
            <w:rStyle w:val="Hyperlink"/>
            <w:rFonts w:ascii="Arial" w:hAnsi="Arial" w:cs="Arial"/>
            <w:sz w:val="24"/>
            <w:szCs w:val="24"/>
            <w:highlight w:val="white"/>
          </w:rPr>
          <w:t xml:space="preserve"> </w:t>
        </w:r>
      </w:hyperlink>
      <w:hyperlink r:id="rId75">
        <w:r w:rsidRPr="00730471">
          <w:rPr>
            <w:rStyle w:val="Hyperlink"/>
            <w:rFonts w:ascii="Arial" w:hAnsi="Arial" w:cs="Arial"/>
            <w:sz w:val="24"/>
            <w:szCs w:val="24"/>
            <w:highlight w:val="white"/>
          </w:rPr>
          <w:t>https://eepro.naaee.org/learning/eelearn/eelearn-1-what-ee/lesson-2-big-ideas/education-big-ideas/experiential-learning</w:t>
        </w:r>
      </w:hyperlink>
    </w:p>
    <w:p w14:paraId="0777EA5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Olmos-Gómez, M. D., Estrada-Vidal, L. I., Ruiz-Garzón, F., López-Cordero, R., &amp; Mohamed-Mohand, L. (2019). Making future teachers more aware of issues related to sustainability: An assessment of best practices. Sustainability, 11, 7222.</w:t>
      </w:r>
    </w:p>
    <w:p w14:paraId="1E64C31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Orr, D. W. (1992). Ecological literacy: Education and the transition to a postmodern world. State University of New York Press.</w:t>
      </w:r>
    </w:p>
    <w:p w14:paraId="1A9D6D3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Panganiban-Lualhati, G. (2017). Filipino student teachers‘ environmental competencies: Basis for development of a training module. Asia Pacific Journal of Multidisciplinary Research, 5, 62–72.</w:t>
      </w:r>
    </w:p>
    <w:p w14:paraId="2474071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Piaget, J. (1950). The psychology of intelligence. Routledge &amp; Kegan Paul.</w:t>
      </w:r>
    </w:p>
    <w:p w14:paraId="123FC51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lastRenderedPageBreak/>
        <w:t>Portus, R. (2024). Exploring the environmental value–action gap in education. Environmental Education Research.</w:t>
      </w:r>
      <w:hyperlink r:id="rId76" w:history="1">
        <w:r w:rsidRPr="0031596E">
          <w:rPr>
            <w:rStyle w:val="Hyperlink"/>
            <w:rFonts w:ascii="Arial" w:hAnsi="Arial" w:cs="Arial"/>
            <w:sz w:val="24"/>
            <w:szCs w:val="24"/>
            <w:highlight w:val="white"/>
          </w:rPr>
          <w:t>https://doi.org/10.1080/13504622.2024.2314060</w:t>
        </w:r>
      </w:hyperlink>
    </w:p>
    <w:p w14:paraId="337983E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Punzalan, C. H. (2020). Evaluating the environmental awareness and practices of senior high school students: Basis for environmental education program. Aquademia.</w:t>
      </w:r>
    </w:p>
    <w:p w14:paraId="57C6591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Republic Act No. 9512 (2008). Environmental Awareness and Education Act of 2008.</w:t>
      </w:r>
    </w:p>
    <w:p w14:paraId="6F5479D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Rickinson, M. (2001). Learners and learning in environmental education: A critical review of the evidence. Environmental Education Research, 7(3), 207–320. </w:t>
      </w:r>
      <w:hyperlink r:id="rId77">
        <w:r w:rsidRPr="00730471">
          <w:rPr>
            <w:rStyle w:val="Hyperlink"/>
            <w:rFonts w:ascii="Arial" w:hAnsi="Arial" w:cs="Arial"/>
            <w:sz w:val="24"/>
            <w:szCs w:val="24"/>
            <w:highlight w:val="white"/>
          </w:rPr>
          <w:t>https://doi.org/10.1080/13504620120065230</w:t>
        </w:r>
      </w:hyperlink>
    </w:p>
    <w:p w14:paraId="16D3B0B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Rogayan, D. V., &amp; Nebrida, E. E. (2019). Environmental awareness and practices of science students: Input for ecological management plan.</w:t>
      </w:r>
    </w:p>
    <w:p w14:paraId="522FDE9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Soliman, A., &amp; Marasigan, C. (2021). Evaluation of environmental education MELCS-based self-learning modules in asynchronous learning modality during the pandemic. International Multidisciplinary Research Journal.[JG1] </w:t>
      </w:r>
    </w:p>
    <w:p w14:paraId="117BD70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Tarubal, L. (2021, June 29). [OPINION] The sad reality of environmental education in the Philippines. Rappler. </w:t>
      </w:r>
      <w:hyperlink r:id="rId78">
        <w:r w:rsidRPr="00730471">
          <w:rPr>
            <w:rStyle w:val="Hyperlink"/>
            <w:rFonts w:ascii="Arial" w:hAnsi="Arial" w:cs="Arial"/>
            <w:sz w:val="24"/>
            <w:szCs w:val="24"/>
            <w:highlight w:val="white"/>
          </w:rPr>
          <w:t>https://www.rappler.com/voices/ispeak/opinion-sad-reality-environmental-education-in-the-philippines/</w:t>
        </w:r>
      </w:hyperlink>
    </w:p>
    <w:p w14:paraId="56F3C3A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The Editors of Encyclopaedia Britannica. (n.d.). Anthropocentrism. In Encyclopaedia Britannica. Retrieved April 17, 2026, from</w:t>
      </w:r>
      <w:hyperlink r:id="rId79">
        <w:r w:rsidRPr="00730471">
          <w:rPr>
            <w:rStyle w:val="Hyperlink"/>
            <w:rFonts w:ascii="Arial" w:hAnsi="Arial" w:cs="Arial"/>
            <w:sz w:val="24"/>
            <w:szCs w:val="24"/>
            <w:highlight w:val="white"/>
          </w:rPr>
          <w:t xml:space="preserve"> https://www.britannica.com/topic/anthropocentrism</w:t>
        </w:r>
      </w:hyperlink>
    </w:p>
    <w:p w14:paraId="60A7029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Tomar, C.S. (2017). Environmental awareness through education. International Journal of Engineering and Management Research, 7(3), 752-757.</w:t>
      </w:r>
    </w:p>
    <w:p w14:paraId="021C2C6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UNESCO. (2017). Education for sustainable development goals: Learning objectives.</w:t>
      </w:r>
    </w:p>
    <w:p w14:paraId="0DE076C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United Nations Educational, Scientific and Cultural Organization (UNESCO). (1977). Intergovernmental Conference on Environmental Education: Final report. UNESCO.</w:t>
      </w:r>
    </w:p>
    <w:p w14:paraId="7739D12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United Nations Educational, Scientific and Cultural Organization (UNESCO). (2021). Education for sustainable development: A roadmap. UNESCO.</w:t>
      </w:r>
    </w:p>
    <w:p w14:paraId="001A286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United Nations. (2015). Transforming our world: The 2030 agenda for sustainable development. https://sdgs.un.org/2030agenda</w:t>
      </w:r>
    </w:p>
    <w:p w14:paraId="068DB44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van de Wetering, J., Leijten, P., Spitzer, J., &amp; Thomaes, S. (2022). Does environmental education benefit environmental outcomes in children and adolescents? A meta-analysis. Journal of Environmental Psychology, 81, 101782.</w:t>
      </w:r>
      <w:hyperlink r:id="rId80">
        <w:r w:rsidRPr="00730471">
          <w:rPr>
            <w:rStyle w:val="Hyperlink"/>
            <w:rFonts w:ascii="Arial" w:hAnsi="Arial" w:cs="Arial"/>
            <w:sz w:val="24"/>
            <w:szCs w:val="24"/>
            <w:highlight w:val="white"/>
          </w:rPr>
          <w:t xml:space="preserve"> </w:t>
        </w:r>
      </w:hyperlink>
      <w:hyperlink r:id="rId81">
        <w:r w:rsidRPr="00730471">
          <w:rPr>
            <w:rStyle w:val="Hyperlink"/>
            <w:rFonts w:ascii="Arial" w:hAnsi="Arial" w:cs="Arial"/>
            <w:sz w:val="24"/>
            <w:szCs w:val="24"/>
            <w:highlight w:val="white"/>
          </w:rPr>
          <w:t>https://doi.org/10.1016/j.jenvp.2022.101782</w:t>
        </w:r>
      </w:hyperlink>
    </w:p>
    <w:p w14:paraId="054A5AC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Vega-Marcote, P., &amp; Varela-Losada, M. (2016). Basic teacher training oriented toward sustainability: Why and how to carry it out today?</w:t>
      </w:r>
    </w:p>
    <w:p w14:paraId="1089F2C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Vygotsky, L. S. (1978). Mind in society: The development of higher psychological processes. Harvard University Press.</w:t>
      </w:r>
    </w:p>
    <w:p w14:paraId="1733857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Vygotsky, L. S. (1978). Mind in society: The development of higher psychological processes. Harvard University Press.</w:t>
      </w:r>
    </w:p>
    <w:p w14:paraId="2E9402C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Wanchana, Y., Inprom, P., Rawang, W., &amp; Ayudhya, A. J. (2020). Environmental education competency: Enhancing the work of teachers. Journal of Teacher Education for Sustainability, 22, 140–152.</w:t>
      </w:r>
    </w:p>
    <w:p w14:paraId="7F3BB78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lastRenderedPageBreak/>
        <w:t>World Commission on Environment and Development (WCED). (1987). Our common future. Oxford University Press.</w:t>
      </w:r>
    </w:p>
    <w:p w14:paraId="30FC638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Zelezny, L. C., &amp; Schultz, P. W. (2000). Promoting environmentalism. Journal of Social Issues, 56(3), 365–371</w:t>
      </w:r>
    </w:p>
    <w:p w14:paraId="5D82EF6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Zhang, X., Jung, W., &amp; Asari, M. (2025). Systematic review of environmental education teaching practices in schools: Trends and gaps (2015–2024). Sustainability, 17(19), 8561.</w:t>
      </w:r>
      <w:hyperlink r:id="rId82">
        <w:r w:rsidRPr="00730471">
          <w:rPr>
            <w:rStyle w:val="Hyperlink"/>
            <w:rFonts w:ascii="Arial" w:hAnsi="Arial" w:cs="Arial"/>
            <w:sz w:val="24"/>
            <w:szCs w:val="24"/>
            <w:highlight w:val="white"/>
          </w:rPr>
          <w:t xml:space="preserve"> </w:t>
        </w:r>
      </w:hyperlink>
      <w:hyperlink r:id="rId83">
        <w:r w:rsidRPr="00730471">
          <w:rPr>
            <w:rStyle w:val="Hyperlink"/>
            <w:rFonts w:ascii="Arial" w:hAnsi="Arial" w:cs="Arial"/>
            <w:sz w:val="24"/>
            <w:szCs w:val="24"/>
            <w:highlight w:val="white"/>
          </w:rPr>
          <w:t>https://doi.org/10.3390/su17198561</w:t>
        </w:r>
      </w:hyperlink>
    </w:p>
    <w:p w14:paraId="4C2FF4FB" w14:textId="77777777" w:rsidR="00BF019E" w:rsidRPr="00730471" w:rsidRDefault="00BF019E" w:rsidP="008F26AB">
      <w:pPr>
        <w:spacing w:line="360" w:lineRule="auto"/>
        <w:jc w:val="both"/>
        <w:rPr>
          <w:rFonts w:ascii="Arial" w:hAnsi="Arial" w:cs="Arial"/>
          <w:sz w:val="24"/>
          <w:szCs w:val="24"/>
        </w:rPr>
      </w:pPr>
    </w:p>
    <w:p w14:paraId="66D615A0" w14:textId="77777777" w:rsidR="00BF019E" w:rsidRPr="00730471" w:rsidRDefault="00BF019E" w:rsidP="008F26AB">
      <w:pPr>
        <w:spacing w:line="360" w:lineRule="auto"/>
        <w:jc w:val="both"/>
        <w:rPr>
          <w:rFonts w:ascii="Arial" w:hAnsi="Arial" w:cs="Arial"/>
          <w:sz w:val="24"/>
          <w:szCs w:val="24"/>
        </w:rPr>
      </w:pPr>
    </w:p>
    <w:p w14:paraId="21DA1EC5" w14:textId="77777777" w:rsidR="00361BB9" w:rsidRDefault="00361BB9" w:rsidP="008F26AB">
      <w:pPr>
        <w:spacing w:line="360" w:lineRule="auto"/>
        <w:jc w:val="both"/>
        <w:rPr>
          <w:rFonts w:ascii="Arial" w:hAnsi="Arial" w:cs="Arial"/>
          <w:sz w:val="24"/>
          <w:szCs w:val="24"/>
        </w:rPr>
      </w:pPr>
    </w:p>
    <w:sectPr w:rsidR="00361BB9" w:rsidSect="007D28E1">
      <w:type w:val="continuous"/>
      <w:pgSz w:w="11906" w:h="16838" w:code="9"/>
      <w:pgMar w:top="1440" w:right="1440" w:bottom="1440" w:left="2160" w:header="0" w:footer="100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28712" w14:textId="77777777" w:rsidR="00531930" w:rsidRDefault="00531930">
      <w:pPr>
        <w:spacing w:after="0" w:line="240" w:lineRule="auto"/>
      </w:pPr>
      <w:r>
        <w:separator/>
      </w:r>
    </w:p>
  </w:endnote>
  <w:endnote w:type="continuationSeparator" w:id="0">
    <w:p w14:paraId="103601F5" w14:textId="77777777" w:rsidR="00531930" w:rsidRDefault="00531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2F8FA1-FD90-40B5-A62B-9750BC87FB23}"/>
    <w:embedBold r:id="rId2" w:fontKey="{7699C41E-8721-4C39-B78F-03854CCCB54A}"/>
    <w:embedItalic r:id="rId3" w:fontKey="{42547625-15E1-400D-B6A7-C874879C096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A05C0F0-C3A3-434F-98F2-EECC674B4128}"/>
  </w:font>
  <w:font w:name="Cambria Math">
    <w:panose1 w:val="02040503050406030204"/>
    <w:charset w:val="00"/>
    <w:family w:val="roman"/>
    <w:pitch w:val="variable"/>
    <w:sig w:usb0="E00006FF" w:usb1="420024FF" w:usb2="02000000" w:usb3="00000000" w:csb0="0000019F" w:csb1="00000000"/>
    <w:embedRegular r:id="rId5" w:fontKey="{26546D17-3BDF-4C1E-9BF5-02DEA5F31037}"/>
  </w:font>
  <w:font w:name="Cambria">
    <w:panose1 w:val="02040503050406030204"/>
    <w:charset w:val="00"/>
    <w:family w:val="roman"/>
    <w:pitch w:val="variable"/>
    <w:sig w:usb0="E00006FF" w:usb1="420024FF" w:usb2="02000000" w:usb3="00000000" w:csb0="0000019F" w:csb1="00000000"/>
    <w:embedRegular r:id="rId6" w:fontKey="{DB169683-0799-48E4-A3B2-2C295EC99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687216"/>
      <w:docPartObj>
        <w:docPartGallery w:val="Page Numbers (Bottom of Page)"/>
        <w:docPartUnique/>
      </w:docPartObj>
    </w:sdtPr>
    <w:sdtEndPr>
      <w:rPr>
        <w:noProof/>
      </w:rPr>
    </w:sdtEndPr>
    <w:sdtContent>
      <w:p w14:paraId="58180DD2" w14:textId="7CA90D9B" w:rsidR="00CB26E4" w:rsidRDefault="00CB26E4">
        <w:pPr>
          <w:pStyle w:val="Footer"/>
          <w:jc w:val="right"/>
        </w:pPr>
        <w:r>
          <w:fldChar w:fldCharType="begin"/>
        </w:r>
        <w:r>
          <w:instrText xml:space="preserve"> PAGE   \* MERGEFORMAT </w:instrText>
        </w:r>
        <w:r>
          <w:fldChar w:fldCharType="separate"/>
        </w:r>
        <w:r w:rsidR="008F26AB">
          <w:rPr>
            <w:noProof/>
          </w:rPr>
          <w:t>5</w:t>
        </w:r>
        <w:r>
          <w:rPr>
            <w:noProof/>
          </w:rPr>
          <w:fldChar w:fldCharType="end"/>
        </w:r>
      </w:p>
    </w:sdtContent>
  </w:sdt>
  <w:p w14:paraId="32A5FB62" w14:textId="77777777" w:rsidR="00CB26E4" w:rsidRDefault="00CB26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98A87" w14:textId="77777777" w:rsidR="00531930" w:rsidRDefault="00531930">
      <w:pPr>
        <w:spacing w:after="0" w:line="240" w:lineRule="auto"/>
      </w:pPr>
      <w:r>
        <w:separator/>
      </w:r>
    </w:p>
  </w:footnote>
  <w:footnote w:type="continuationSeparator" w:id="0">
    <w:p w14:paraId="26B314A6" w14:textId="77777777" w:rsidR="00531930" w:rsidRDefault="00531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9ED9D" w14:textId="77777777" w:rsidR="00C81F9F" w:rsidRDefault="00C81F9F">
    <w:pPr>
      <w:jc w:val="right"/>
      <w:rPr>
        <w:rFonts w:ascii="Arial" w:eastAsia="Arial" w:hAnsi="Arial" w:cs="Arial"/>
        <w:b/>
        <w:bCs/>
        <w:sz w:val="24"/>
        <w:szCs w:val="24"/>
      </w:rPr>
    </w:pPr>
  </w:p>
  <w:p w14:paraId="3E0D4E44" w14:textId="77777777" w:rsidR="00C81F9F" w:rsidRDefault="00C81F9F">
    <w:pPr>
      <w:jc w:val="right"/>
      <w:rPr>
        <w:rFonts w:ascii="Arial" w:eastAsia="Arial" w:hAnsi="Arial" w:cs="Arial"/>
        <w:b/>
        <w:bCs/>
        <w:sz w:val="24"/>
        <w:szCs w:val="24"/>
      </w:rPr>
    </w:pPr>
  </w:p>
  <w:p w14:paraId="1F806351" w14:textId="77777777" w:rsidR="00C81F9F" w:rsidRDefault="00C81F9F">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72D3"/>
    <w:multiLevelType w:val="hybridMultilevel"/>
    <w:tmpl w:val="CC54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D2C7F"/>
    <w:multiLevelType w:val="hybridMultilevel"/>
    <w:tmpl w:val="A80E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653F5D"/>
    <w:multiLevelType w:val="hybridMultilevel"/>
    <w:tmpl w:val="3388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F06B8"/>
    <w:multiLevelType w:val="hybridMultilevel"/>
    <w:tmpl w:val="3ABA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426FC8"/>
    <w:multiLevelType w:val="hybridMultilevel"/>
    <w:tmpl w:val="1D2A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85607E"/>
    <w:multiLevelType w:val="hybridMultilevel"/>
    <w:tmpl w:val="3020C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10030"/>
    <w:multiLevelType w:val="hybridMultilevel"/>
    <w:tmpl w:val="B504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AB73AF"/>
    <w:multiLevelType w:val="hybridMultilevel"/>
    <w:tmpl w:val="BADA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319D6"/>
    <w:multiLevelType w:val="hybridMultilevel"/>
    <w:tmpl w:val="06DE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98643F"/>
    <w:multiLevelType w:val="hybridMultilevel"/>
    <w:tmpl w:val="30B2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3"/>
  </w:num>
  <w:num w:numId="5">
    <w:abstractNumId w:val="0"/>
  </w:num>
  <w:num w:numId="6">
    <w:abstractNumId w:val="7"/>
  </w:num>
  <w:num w:numId="7">
    <w:abstractNumId w:val="6"/>
  </w:num>
  <w:num w:numId="8">
    <w:abstractNumId w:val="9"/>
  </w:num>
  <w:num w:numId="9">
    <w:abstractNumId w:val="2"/>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19E"/>
    <w:rsid w:val="00102AD2"/>
    <w:rsid w:val="0016719D"/>
    <w:rsid w:val="001A10EE"/>
    <w:rsid w:val="001F428D"/>
    <w:rsid w:val="00361BB9"/>
    <w:rsid w:val="003651C8"/>
    <w:rsid w:val="00492843"/>
    <w:rsid w:val="004B789F"/>
    <w:rsid w:val="004D4CCA"/>
    <w:rsid w:val="004E31EA"/>
    <w:rsid w:val="00531930"/>
    <w:rsid w:val="00730471"/>
    <w:rsid w:val="007C7756"/>
    <w:rsid w:val="007D28E1"/>
    <w:rsid w:val="008B4C22"/>
    <w:rsid w:val="008F26AB"/>
    <w:rsid w:val="00965567"/>
    <w:rsid w:val="00A81BA8"/>
    <w:rsid w:val="00AA1AA9"/>
    <w:rsid w:val="00AD005F"/>
    <w:rsid w:val="00BA2B27"/>
    <w:rsid w:val="00BF019E"/>
    <w:rsid w:val="00C04AFC"/>
    <w:rsid w:val="00C05B1F"/>
    <w:rsid w:val="00C81F9F"/>
    <w:rsid w:val="00CB26E4"/>
    <w:rsid w:val="00DC16E9"/>
    <w:rsid w:val="00E87451"/>
    <w:rsid w:val="00EE5CC4"/>
    <w:rsid w:val="00EF7C8D"/>
    <w:rsid w:val="00FC3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1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68" w:after="0" w:line="240" w:lineRule="auto"/>
      <w:ind w:left="716" w:right="717"/>
      <w:jc w:val="center"/>
      <w:outlineLvl w:val="0"/>
    </w:pPr>
    <w:rPr>
      <w:rFonts w:ascii="Arial" w:eastAsia="Arial" w:hAnsi="Arial" w:cs="Arial"/>
      <w:b/>
      <w:bCs/>
    </w:rPr>
  </w:style>
  <w:style w:type="paragraph" w:styleId="Heading2">
    <w:name w:val="heading 2"/>
    <w:basedOn w:val="Normal"/>
    <w:next w:val="Normal"/>
    <w:uiPriority w:val="9"/>
    <w:unhideWhenUsed/>
    <w:qFormat/>
    <w:pPr>
      <w:keepNext/>
      <w:keepLines/>
      <w:spacing w:line="480" w:lineRule="auto"/>
      <w:jc w:val="both"/>
      <w:outlineLvl w:val="1"/>
    </w:pPr>
    <w:rPr>
      <w:rFonts w:ascii="Arial" w:eastAsia="Arial" w:hAnsi="Arial" w:cs="Arial"/>
      <w:b/>
      <w:bCs/>
      <w:sz w:val="24"/>
      <w:szCs w:val="24"/>
    </w:rPr>
  </w:style>
  <w:style w:type="paragraph" w:styleId="Heading3">
    <w:name w:val="heading 3"/>
    <w:basedOn w:val="Normal"/>
    <w:next w:val="Normal"/>
    <w:uiPriority w:val="9"/>
    <w:unhideWhenUsed/>
    <w:qFormat/>
    <w:pPr>
      <w:keepNext/>
      <w:keepLines/>
      <w:spacing w:before="280" w:after="280" w:line="480" w:lineRule="auto"/>
      <w:ind w:firstLine="720"/>
      <w:jc w:val="both"/>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730471"/>
    <w:rPr>
      <w:color w:val="0000FF" w:themeColor="hyperlink"/>
      <w:u w:val="single"/>
    </w:rPr>
  </w:style>
  <w:style w:type="paragraph" w:styleId="ListParagraph">
    <w:name w:val="List Paragraph"/>
    <w:basedOn w:val="Normal"/>
    <w:uiPriority w:val="34"/>
    <w:qFormat/>
    <w:rsid w:val="00730471"/>
    <w:pPr>
      <w:ind w:left="720"/>
      <w:contextualSpacing/>
    </w:pPr>
  </w:style>
  <w:style w:type="character" w:customStyle="1" w:styleId="UnresolvedMention">
    <w:name w:val="Unresolved Mention"/>
    <w:basedOn w:val="DefaultParagraphFont"/>
    <w:uiPriority w:val="99"/>
    <w:semiHidden/>
    <w:unhideWhenUsed/>
    <w:rsid w:val="00E87451"/>
    <w:rPr>
      <w:color w:val="605E5C"/>
      <w:shd w:val="clear" w:color="auto" w:fill="E1DFDD"/>
    </w:rPr>
  </w:style>
  <w:style w:type="paragraph" w:styleId="Header">
    <w:name w:val="header"/>
    <w:basedOn w:val="Normal"/>
    <w:link w:val="HeaderChar"/>
    <w:uiPriority w:val="99"/>
    <w:unhideWhenUsed/>
    <w:rsid w:val="001A1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0EE"/>
  </w:style>
  <w:style w:type="paragraph" w:styleId="Footer">
    <w:name w:val="footer"/>
    <w:basedOn w:val="Normal"/>
    <w:link w:val="FooterChar"/>
    <w:uiPriority w:val="99"/>
    <w:unhideWhenUsed/>
    <w:rsid w:val="001A1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0EE"/>
  </w:style>
  <w:style w:type="paragraph" w:styleId="BalloonText">
    <w:name w:val="Balloon Text"/>
    <w:basedOn w:val="Normal"/>
    <w:link w:val="BalloonTextChar"/>
    <w:uiPriority w:val="99"/>
    <w:semiHidden/>
    <w:unhideWhenUsed/>
    <w:rsid w:val="00CB2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6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68" w:after="0" w:line="240" w:lineRule="auto"/>
      <w:ind w:left="716" w:right="717"/>
      <w:jc w:val="center"/>
      <w:outlineLvl w:val="0"/>
    </w:pPr>
    <w:rPr>
      <w:rFonts w:ascii="Arial" w:eastAsia="Arial" w:hAnsi="Arial" w:cs="Arial"/>
      <w:b/>
      <w:bCs/>
    </w:rPr>
  </w:style>
  <w:style w:type="paragraph" w:styleId="Heading2">
    <w:name w:val="heading 2"/>
    <w:basedOn w:val="Normal"/>
    <w:next w:val="Normal"/>
    <w:uiPriority w:val="9"/>
    <w:unhideWhenUsed/>
    <w:qFormat/>
    <w:pPr>
      <w:keepNext/>
      <w:keepLines/>
      <w:spacing w:line="480" w:lineRule="auto"/>
      <w:jc w:val="both"/>
      <w:outlineLvl w:val="1"/>
    </w:pPr>
    <w:rPr>
      <w:rFonts w:ascii="Arial" w:eastAsia="Arial" w:hAnsi="Arial" w:cs="Arial"/>
      <w:b/>
      <w:bCs/>
      <w:sz w:val="24"/>
      <w:szCs w:val="24"/>
    </w:rPr>
  </w:style>
  <w:style w:type="paragraph" w:styleId="Heading3">
    <w:name w:val="heading 3"/>
    <w:basedOn w:val="Normal"/>
    <w:next w:val="Normal"/>
    <w:uiPriority w:val="9"/>
    <w:unhideWhenUsed/>
    <w:qFormat/>
    <w:pPr>
      <w:keepNext/>
      <w:keepLines/>
      <w:spacing w:before="280" w:after="280" w:line="480" w:lineRule="auto"/>
      <w:ind w:firstLine="720"/>
      <w:jc w:val="both"/>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730471"/>
    <w:rPr>
      <w:color w:val="0000FF" w:themeColor="hyperlink"/>
      <w:u w:val="single"/>
    </w:rPr>
  </w:style>
  <w:style w:type="paragraph" w:styleId="ListParagraph">
    <w:name w:val="List Paragraph"/>
    <w:basedOn w:val="Normal"/>
    <w:uiPriority w:val="34"/>
    <w:qFormat/>
    <w:rsid w:val="00730471"/>
    <w:pPr>
      <w:ind w:left="720"/>
      <w:contextualSpacing/>
    </w:pPr>
  </w:style>
  <w:style w:type="character" w:customStyle="1" w:styleId="UnresolvedMention">
    <w:name w:val="Unresolved Mention"/>
    <w:basedOn w:val="DefaultParagraphFont"/>
    <w:uiPriority w:val="99"/>
    <w:semiHidden/>
    <w:unhideWhenUsed/>
    <w:rsid w:val="00E87451"/>
    <w:rPr>
      <w:color w:val="605E5C"/>
      <w:shd w:val="clear" w:color="auto" w:fill="E1DFDD"/>
    </w:rPr>
  </w:style>
  <w:style w:type="paragraph" w:styleId="Header">
    <w:name w:val="header"/>
    <w:basedOn w:val="Normal"/>
    <w:link w:val="HeaderChar"/>
    <w:uiPriority w:val="99"/>
    <w:unhideWhenUsed/>
    <w:rsid w:val="001A1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0EE"/>
  </w:style>
  <w:style w:type="paragraph" w:styleId="Footer">
    <w:name w:val="footer"/>
    <w:basedOn w:val="Normal"/>
    <w:link w:val="FooterChar"/>
    <w:uiPriority w:val="99"/>
    <w:unhideWhenUsed/>
    <w:rsid w:val="001A1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0EE"/>
  </w:style>
  <w:style w:type="paragraph" w:styleId="BalloonText">
    <w:name w:val="Balloon Text"/>
    <w:basedOn w:val="Normal"/>
    <w:link w:val="BalloonTextChar"/>
    <w:uiPriority w:val="99"/>
    <w:semiHidden/>
    <w:unhideWhenUsed/>
    <w:rsid w:val="00CB2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6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iberdrola.com/sustainability/against-climate-change/environmental-awareness/educaclima?utm_source=chatgpt.com" TargetMode="External"/><Relationship Id="rId26" Type="http://schemas.openxmlformats.org/officeDocument/2006/relationships/hyperlink" Target="https://ia800801.us.archive.org/20/items/in.ernet.dli.2015.179772/2015.179772.Human-Nature-And-Conduct.pdf" TargetMode="External"/><Relationship Id="rId39" Type="http://schemas.openxmlformats.org/officeDocument/2006/relationships/hyperlink" Target="https://aboitizpower.com" TargetMode="External"/><Relationship Id="rId21" Type="http://schemas.openxmlformats.org/officeDocument/2006/relationships/hyperlink" Target="https://naaee.org/programs/eeworks/benefits-early-childhood?utm_source=chatgpt.com" TargetMode="External"/><Relationship Id="rId34" Type="http://schemas.openxmlformats.org/officeDocument/2006/relationships/hyperlink" Target="https://www.schoolofeducators.com/wp-content/uploads/2011/12/EXPERIENCE-EDUCATION-JOHN-DEWEY.pdf?utm_source=chatgpt.com" TargetMode="External"/><Relationship Id="rId42" Type="http://schemas.openxmlformats.org/officeDocument/2006/relationships/hyperlink" Target="https://systems.bicol-u.edu.ph/journal/assets/journal_pdf/7%20Ante%2058-72.pdf" TargetMode="External"/><Relationship Id="rId47" Type="http://schemas.openxmlformats.org/officeDocument/2006/relationships/hyperlink" Target="http://oecdedutoday.com" TargetMode="External"/><Relationship Id="rId50" Type="http://schemas.openxmlformats.org/officeDocument/2006/relationships/hyperlink" Target="https://doi.org/10.3390/su12176817" TargetMode="External"/><Relationship Id="rId55" Type="http://schemas.openxmlformats.org/officeDocument/2006/relationships/hyperlink" Target="https://fmb.denr.gov.ph/ngp/what-is-ngp/" TargetMode="External"/><Relationship Id="rId63" Type="http://schemas.openxmlformats.org/officeDocument/2006/relationships/hyperlink" Target="https://www.journalofnaturestudies.org/files/JNS17-2/10-29_Garcia_Environmental%20Literacy%20Elementary.pdf" TargetMode="External"/><Relationship Id="rId68" Type="http://schemas.openxmlformats.org/officeDocument/2006/relationships/hyperlink" Target="http://naaee.net" TargetMode="External"/><Relationship Id="rId76" Type="http://schemas.openxmlformats.org/officeDocument/2006/relationships/hyperlink" Target="https://doi.org/10.1080/13504622.2024.2314060"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openairphilosophy.org/wp-content/uploads/2019/02/OAP_Naess_Deep_Ecology_Movement.pdf" TargetMode="External"/><Relationship Id="rId2" Type="http://schemas.openxmlformats.org/officeDocument/2006/relationships/numbering" Target="numbering.xml"/><Relationship Id="rId16" Type="http://schemas.openxmlformats.org/officeDocument/2006/relationships/hyperlink" Target="https://www.epa.gov/students" TargetMode="External"/><Relationship Id="rId29" Type="http://schemas.openxmlformats.org/officeDocument/2006/relationships/hyperlink" Target="https://theccd.org/article/development-of-empathy-with-nature-in-early-learning/?utm_source=chatgpt.com" TargetMode="External"/><Relationship Id="rId11" Type="http://schemas.openxmlformats.org/officeDocument/2006/relationships/diagramLayout" Target="diagrams/layout1.xml"/><Relationship Id="rId24" Type="http://schemas.openxmlformats.org/officeDocument/2006/relationships/hyperlink" Target="https://www.ecomena.org/the-importance-of-environmental-education-for-children/?utm_source=chatgpt.com" TargetMode="External"/><Relationship Id="rId32" Type="http://schemas.openxmlformats.org/officeDocument/2006/relationships/hyperlink" Target="https://lrmds.deped.gov.ph/detail/1225(AP-" TargetMode="External"/><Relationship Id="rId37" Type="http://schemas.openxmlformats.org/officeDocument/2006/relationships/footer" Target="footer1.xml"/><Relationship Id="rId40" Type="http://schemas.openxmlformats.org/officeDocument/2006/relationships/hyperlink" Target="https://doi.org/10.47310/sjahss.2024.v04i02.001" TargetMode="External"/><Relationship Id="rId45" Type="http://schemas.openxmlformats.org/officeDocument/2006/relationships/hyperlink" Target="https://doi.org/10.3390/world6020036" TargetMode="External"/><Relationship Id="rId53" Type="http://schemas.openxmlformats.org/officeDocument/2006/relationships/hyperlink" Target="https://fmb.denr.gov.ph/ngp/" TargetMode="External"/><Relationship Id="rId58" Type="http://schemas.openxmlformats.org/officeDocument/2006/relationships/hyperlink" Target="https://forestry.denr.gov.ph" TargetMode="External"/><Relationship Id="rId66" Type="http://schemas.openxmlformats.org/officeDocument/2006/relationships/hyperlink" Target="https://theeducationhub.org.nz/deweys-educational-philosophy/" TargetMode="External"/><Relationship Id="rId74" Type="http://schemas.openxmlformats.org/officeDocument/2006/relationships/hyperlink" Target="https://eepro.naaee.org/learning/eelearn/eelearn-1-what-ee/lesson-2-big-ideas/education-big-ideas/experiential-learning" TargetMode="External"/><Relationship Id="rId79" Type="http://schemas.openxmlformats.org/officeDocument/2006/relationships/hyperlink" Target="https://www.britannica.com/topic/anthropocentrism" TargetMode="External"/><Relationship Id="rId5" Type="http://schemas.openxmlformats.org/officeDocument/2006/relationships/settings" Target="settings.xml"/><Relationship Id="rId61" Type="http://schemas.openxmlformats.org/officeDocument/2006/relationships/hyperlink" Target="https://www.denr.gov.ph" TargetMode="External"/><Relationship Id="rId82" Type="http://schemas.openxmlformats.org/officeDocument/2006/relationships/hyperlink" Target="https://doi.org/10.3390/su17198561" TargetMode="External"/><Relationship Id="rId19" Type="http://schemas.openxmlformats.org/officeDocument/2006/relationships/hyperlink" Target="https://education.nationalgeographic.org/resource/ecosystem/?utm_source=chatgpt.com" TargetMode="External"/><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hyperlink" Target="https://populationeducation.org/environmental-education-for-elementary-students-how-to-integrate-ee-in-k-5-core-subjects/?utm_source=chatgpt.com" TargetMode="External"/><Relationship Id="rId27" Type="http://schemas.openxmlformats.org/officeDocument/2006/relationships/hyperlink" Target="https://doi.org/10.3390/su14084622" TargetMode="External"/><Relationship Id="rId30" Type="http://schemas.openxmlformats.org/officeDocument/2006/relationships/hyperlink" Target="https://lrmds.deped.gov.ph/detail/1192?utm_source=chatgpt.com" TargetMode="External"/><Relationship Id="rId35" Type="http://schemas.openxmlformats.org/officeDocument/2006/relationships/hyperlink" Target="https://naaee.org/programs/eeworks/benefits-early-childhood?utm_source=chatgpt.com" TargetMode="External"/><Relationship Id="rId43" Type="http://schemas.openxmlformats.org/officeDocument/2006/relationships/hyperlink" Target="https://doi.org/10.3390/educsci15030332" TargetMode="External"/><Relationship Id="rId48" Type="http://schemas.openxmlformats.org/officeDocument/2006/relationships/hyperlink" Target="https://doi.org/10.1007/s44217-025-00785-z" TargetMode="External"/><Relationship Id="rId56" Type="http://schemas.openxmlformats.org/officeDocument/2006/relationships/hyperlink" Target="https://fmb.denr.gov.ph/ngp/what-is-ngp/" TargetMode="External"/><Relationship Id="rId64" Type="http://schemas.openxmlformats.org/officeDocument/2006/relationships/hyperlink" Target="https://doi.org/10.3390/world6020036" TargetMode="External"/><Relationship Id="rId69" Type="http://schemas.openxmlformats.org/officeDocument/2006/relationships/hyperlink" Target="https://www.cambridgeassessment.org.uk/Images/745148-climate-change-education-and-the-knowledge-action-gap.pdf" TargetMode="External"/><Relationship Id="rId77" Type="http://schemas.openxmlformats.org/officeDocument/2006/relationships/hyperlink" Target="https://doi.org/10.1080/13504620120065230" TargetMode="External"/><Relationship Id="rId8" Type="http://schemas.openxmlformats.org/officeDocument/2006/relationships/endnotes" Target="endnotes.xml"/><Relationship Id="rId51" Type="http://schemas.openxmlformats.org/officeDocument/2006/relationships/hyperlink" Target="https://doi.org/10.3390/su12176817" TargetMode="External"/><Relationship Id="rId72" Type="http://schemas.openxmlformats.org/officeDocument/2006/relationships/hyperlink" Target="https://openairphilosophy.org/wp-content/uploads/2019/02/OAP_Naess_Deep_Ecology_Movement.pdf" TargetMode="External"/><Relationship Id="rId80" Type="http://schemas.openxmlformats.org/officeDocument/2006/relationships/hyperlink" Target="https://doi.org/10.1016/j.jenvp.2022.101782"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scribd.com/document/496741020/6-Grade-5-SLM-Q2-Module-6-Interactions-Among-Living-Things-and-Non-Living-edited?utm_source=chatgpt.com" TargetMode="External"/><Relationship Id="rId25" Type="http://schemas.openxmlformats.org/officeDocument/2006/relationships/hyperlink" Target="https://www.iberdrola.com/sustainability/enviromental-education-for-kids?utm_source=chatgpt.com" TargetMode="External"/><Relationship Id="rId33" Type="http://schemas.openxmlformats.org/officeDocument/2006/relationships/hyperlink" Target="https://lrmds.deped.gov.ph/detail/1458?utm_source=chatgpt.com" TargetMode="External"/><Relationship Id="rId38" Type="http://schemas.openxmlformats.org/officeDocument/2006/relationships/hyperlink" Target="https://aboitizpower.com" TargetMode="External"/><Relationship Id="rId46" Type="http://schemas.openxmlformats.org/officeDocument/2006/relationships/hyperlink" Target="https://doi.org/10.3390/world6020036" TargetMode="External"/><Relationship Id="rId59" Type="http://schemas.openxmlformats.org/officeDocument/2006/relationships/hyperlink" Target="https://forestry.denr.gov.ph" TargetMode="External"/><Relationship Id="rId67" Type="http://schemas.openxmlformats.org/officeDocument/2006/relationships/hyperlink" Target="http://www" TargetMode="External"/><Relationship Id="rId20" Type="http://schemas.openxmlformats.org/officeDocument/2006/relationships/hyperlink" Target="https://naaee.org/programs/eeworks/benefits-early-childhood?utm_source=chatgpt.com" TargetMode="External"/><Relationship Id="rId41" Type="http://schemas.openxmlformats.org/officeDocument/2006/relationships/hyperlink" Target="https://doi.org/10.47310/sjahss.2024.v04i02.001" TargetMode="External"/><Relationship Id="rId54" Type="http://schemas.openxmlformats.org/officeDocument/2006/relationships/hyperlink" Target="https://fmb.denr.gov.ph/ngp/" TargetMode="External"/><Relationship Id="rId62" Type="http://schemas.openxmlformats.org/officeDocument/2006/relationships/hyperlink" Target="https://nsee.memberclicks.net/assets/docs/KnowledgeCenter/BuildingExpEduc/BooksReports/10.%20democracy%20and%20education%20by%20dewey.pdf" TargetMode="External"/><Relationship Id="rId70" Type="http://schemas.openxmlformats.org/officeDocument/2006/relationships/hyperlink" Target="https://doi.org/10.1080/13504620220145401" TargetMode="External"/><Relationship Id="rId75" Type="http://schemas.openxmlformats.org/officeDocument/2006/relationships/hyperlink" Target="https://eepro.naaee.org/learning/eelearn/eelearn-1-what-ee/lesson-2-big-ideas/education-big-ideas/experiential-learning" TargetMode="External"/><Relationship Id="rId83" Type="http://schemas.openxmlformats.org/officeDocument/2006/relationships/hyperlink" Target="https://doi.org/10.3390/su1719856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ed" TargetMode="External"/><Relationship Id="rId23" Type="http://schemas.openxmlformats.org/officeDocument/2006/relationships/hyperlink" Target="https://dn710102.ca.archive.org/0/items/democracyandeduc00deweuoft/democracyandeduc00deweuoft.pdf" TargetMode="External"/><Relationship Id="rId28" Type="http://schemas.openxmlformats.org/officeDocument/2006/relationships/hyperlink" Target="https://files.eric.ed.gov/fulltext/EJ1336288.pdf?utm_source=chatgpt.com" TargetMode="External"/><Relationship Id="rId36" Type="http://schemas.openxmlformats.org/officeDocument/2006/relationships/hyperlink" Target="https://www.neefusa.org/what-we-do/k-12-education/environmental-education-resources?utm_source=chatgpt.com" TargetMode="External"/><Relationship Id="rId49" Type="http://schemas.openxmlformats.org/officeDocument/2006/relationships/hyperlink" Target="https://doi.org/10.3390/su12176817" TargetMode="External"/><Relationship Id="rId57" Type="http://schemas.openxmlformats.org/officeDocument/2006/relationships/hyperlink" Target="https://sdg.depdev.gov.ph/enhanced-national-greening-program/" TargetMode="External"/><Relationship Id="rId10" Type="http://schemas.openxmlformats.org/officeDocument/2006/relationships/diagramData" Target="diagrams/data1.xml"/><Relationship Id="rId31" Type="http://schemas.openxmlformats.org/officeDocument/2006/relationships/hyperlink" Target="https://lrmds.deped.gov.ph/detail/1203?utm_source=chatgpt.com" TargetMode="External"/><Relationship Id="rId44" Type="http://schemas.openxmlformats.org/officeDocument/2006/relationships/hyperlink" Target="https://doi.org/10.56442/ijble.v6i1.1037" TargetMode="External"/><Relationship Id="rId52" Type="http://schemas.openxmlformats.org/officeDocument/2006/relationships/hyperlink" Target="https://doi.org/10.3390/su12176817" TargetMode="External"/><Relationship Id="rId60" Type="http://schemas.openxmlformats.org/officeDocument/2006/relationships/hyperlink" Target="https://www.denr.gov.ph" TargetMode="External"/><Relationship Id="rId65" Type="http://schemas.openxmlformats.org/officeDocument/2006/relationships/hyperlink" Target="https://doi.org/10.3390/world6020036" TargetMode="External"/><Relationship Id="rId73" Type="http://schemas.openxmlformats.org/officeDocument/2006/relationships/hyperlink" Target="https://www.nu.edu/blog/why-is-early-childhood-education-important/" TargetMode="External"/><Relationship Id="rId78" Type="http://schemas.openxmlformats.org/officeDocument/2006/relationships/hyperlink" Target="https://www.rappler.com/voices/ispeak/opinion-sad-reality-environmental-education-in-the-philippines/" TargetMode="External"/><Relationship Id="rId81" Type="http://schemas.openxmlformats.org/officeDocument/2006/relationships/hyperlink" Target="https://doi.org/10.1016/j.jenvp.2022.1017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38951B-627C-4073-A6F1-55F1FA9792C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AE61BB68-531E-4A86-A5B7-45E310A50A4C}">
      <dgm:prSet phldrT="[Text]">
        <dgm:style>
          <a:lnRef idx="3">
            <a:schemeClr val="lt1"/>
          </a:lnRef>
          <a:fillRef idx="1">
            <a:schemeClr val="accent3"/>
          </a:fillRef>
          <a:effectRef idx="1">
            <a:schemeClr val="accent3"/>
          </a:effectRef>
          <a:fontRef idx="minor">
            <a:schemeClr val="lt1"/>
          </a:fontRef>
        </dgm:style>
      </dgm:prSet>
      <dgm:spPr/>
      <dgm:t>
        <a:bodyPr/>
        <a:lstStyle/>
        <a:p>
          <a:pPr algn="just">
            <a:buFont typeface="Symbol" panose="05050102010706020507" pitchFamily="18" charset="2"/>
            <a:buChar char=""/>
          </a:pPr>
          <a:r>
            <a:rPr lang="en-PH" b="1"/>
            <a:t>Assessment of Children's Environmental Awareness (</a:t>
          </a:r>
          <a:r>
            <a:rPr lang="en-PH"/>
            <a:t>Cognitive, Affective, and  Behavioral) </a:t>
          </a:r>
        </a:p>
        <a:p>
          <a:pPr algn="just">
            <a:buFont typeface="Symbol" panose="05050102010706020507" pitchFamily="18" charset="2"/>
            <a:buChar char=""/>
          </a:pPr>
          <a:r>
            <a:rPr lang="en-PH"/>
            <a:t>How children’s environmental awareness may vary between distinct ecological contexts — a rural-highland school (SMIS) and an urban-coastal school (CVES) — both located near dumpsite areas.</a:t>
          </a:r>
          <a:endParaRPr lang="en-US"/>
        </a:p>
      </dgm:t>
    </dgm:pt>
    <dgm:pt modelId="{C3D33B96-14BC-4A01-98CC-DD9AA6508B28}" type="parTrans" cxnId="{BBB7EE1B-22EB-4C9B-85B3-B3EB18305F71}">
      <dgm:prSet/>
      <dgm:spPr/>
      <dgm:t>
        <a:bodyPr/>
        <a:lstStyle/>
        <a:p>
          <a:endParaRPr lang="en-US"/>
        </a:p>
      </dgm:t>
    </dgm:pt>
    <dgm:pt modelId="{06B0CDE7-9322-44A5-878B-AE4BD3F14625}" type="sibTrans" cxnId="{BBB7EE1B-22EB-4C9B-85B3-B3EB18305F71}">
      <dgm:prSet/>
      <dgm:spPr/>
      <dgm:t>
        <a:bodyPr/>
        <a:lstStyle/>
        <a:p>
          <a:endParaRPr lang="en-US"/>
        </a:p>
      </dgm:t>
    </dgm:pt>
    <dgm:pt modelId="{A8BA93EC-E928-4CF4-9A26-F19C88603CDB}">
      <dgm:prSet phldrT="[Text]">
        <dgm:style>
          <a:lnRef idx="3">
            <a:schemeClr val="lt1"/>
          </a:lnRef>
          <a:fillRef idx="1">
            <a:schemeClr val="accent3"/>
          </a:fillRef>
          <a:effectRef idx="1">
            <a:schemeClr val="accent3"/>
          </a:effectRef>
          <a:fontRef idx="minor">
            <a:schemeClr val="lt1"/>
          </a:fontRef>
        </dgm:style>
      </dgm:prSet>
      <dgm:spPr/>
      <dgm:t>
        <a:bodyPr/>
        <a:lstStyle/>
        <a:p>
          <a:pPr>
            <a:buNone/>
          </a:pPr>
          <a:r>
            <a:rPr lang="en-PH" b="1"/>
            <a:t>Data Analysis &amp; Interpretation </a:t>
          </a:r>
          <a:endParaRPr lang="en-US"/>
        </a:p>
        <a:p>
          <a:pPr>
            <a:buNone/>
          </a:pPr>
          <a:r>
            <a:rPr lang="en-PH"/>
            <a:t>Identify gaps in environmental awareness  </a:t>
          </a:r>
          <a:endParaRPr lang="en-US"/>
        </a:p>
        <a:p>
          <a:pPr>
            <a:buNone/>
          </a:pPr>
          <a:r>
            <a:rPr lang="en-PH"/>
            <a:t>Determine key learning needs  </a:t>
          </a:r>
          <a:endParaRPr lang="en-US"/>
        </a:p>
      </dgm:t>
    </dgm:pt>
    <dgm:pt modelId="{0629F179-44D7-4428-A805-FB795DB2843F}" type="parTrans" cxnId="{55AE6E76-ED80-4905-8281-A8DD0457CDD1}">
      <dgm:prSet/>
      <dgm:spPr/>
      <dgm:t>
        <a:bodyPr/>
        <a:lstStyle/>
        <a:p>
          <a:endParaRPr lang="en-US"/>
        </a:p>
      </dgm:t>
    </dgm:pt>
    <dgm:pt modelId="{5A98047B-1331-46F9-8221-25A32EA765FD}" type="sibTrans" cxnId="{55AE6E76-ED80-4905-8281-A8DD0457CDD1}">
      <dgm:prSet/>
      <dgm:spPr/>
      <dgm:t>
        <a:bodyPr/>
        <a:lstStyle/>
        <a:p>
          <a:endParaRPr lang="en-US"/>
        </a:p>
      </dgm:t>
    </dgm:pt>
    <dgm:pt modelId="{B0F87A77-0DDC-4896-8959-C02F125F3F14}">
      <dgm:prSet phldrT="[Text]">
        <dgm:style>
          <a:lnRef idx="3">
            <a:schemeClr val="lt1"/>
          </a:lnRef>
          <a:fillRef idx="1">
            <a:schemeClr val="accent3"/>
          </a:fillRef>
          <a:effectRef idx="1">
            <a:schemeClr val="accent3"/>
          </a:effectRef>
          <a:fontRef idx="minor">
            <a:schemeClr val="lt1"/>
          </a:fontRef>
        </dgm:style>
      </dgm:prSet>
      <dgm:spPr/>
      <dgm:t>
        <a:bodyPr/>
        <a:lstStyle/>
        <a:p>
          <a:pPr>
            <a:buNone/>
          </a:pPr>
          <a:r>
            <a:rPr lang="en-PH" b="1"/>
            <a:t>Design of Dewey-Inspired Instructional Toolkit  </a:t>
          </a:r>
          <a:endParaRPr lang="en-US"/>
        </a:p>
        <a:p>
          <a:pPr>
            <a:buNone/>
          </a:pPr>
          <a:r>
            <a:rPr lang="en-PH"/>
            <a:t>Hands-on environmental activities  </a:t>
          </a:r>
          <a:endParaRPr lang="en-US"/>
        </a:p>
        <a:p>
          <a:pPr>
            <a:buNone/>
          </a:pPr>
          <a:r>
            <a:rPr lang="en-PH"/>
            <a:t>Inquiry-based and experiential learning  </a:t>
          </a:r>
          <a:endParaRPr lang="en-US"/>
        </a:p>
        <a:p>
          <a:pPr>
            <a:buNone/>
          </a:pPr>
          <a:r>
            <a:rPr lang="en-PH"/>
            <a:t>├── Sustainability projects (school &amp; community</a:t>
          </a:r>
          <a:endParaRPr lang="en-US"/>
        </a:p>
      </dgm:t>
    </dgm:pt>
    <dgm:pt modelId="{A5F24B9E-FBF4-4E12-9D40-EA8AF509058C}" type="parTrans" cxnId="{C3284110-E87E-498F-8E79-ECF25D750233}">
      <dgm:prSet/>
      <dgm:spPr/>
      <dgm:t>
        <a:bodyPr/>
        <a:lstStyle/>
        <a:p>
          <a:endParaRPr lang="en-US"/>
        </a:p>
      </dgm:t>
    </dgm:pt>
    <dgm:pt modelId="{A5D95A5C-0695-4B4C-B0F2-39DC84E9A021}" type="sibTrans" cxnId="{C3284110-E87E-498F-8E79-ECF25D750233}">
      <dgm:prSet/>
      <dgm:spPr/>
      <dgm:t>
        <a:bodyPr/>
        <a:lstStyle/>
        <a:p>
          <a:endParaRPr lang="en-US"/>
        </a:p>
      </dgm:t>
    </dgm:pt>
    <dgm:pt modelId="{52AB0B57-0638-4F55-A3CF-B82804296567}" type="pres">
      <dgm:prSet presAssocID="{0B38951B-627C-4073-A6F1-55F1FA9792C5}" presName="linearFlow" presStyleCnt="0">
        <dgm:presLayoutVars>
          <dgm:resizeHandles val="exact"/>
        </dgm:presLayoutVars>
      </dgm:prSet>
      <dgm:spPr/>
      <dgm:t>
        <a:bodyPr/>
        <a:lstStyle/>
        <a:p>
          <a:endParaRPr lang="en-US"/>
        </a:p>
      </dgm:t>
    </dgm:pt>
    <dgm:pt modelId="{2B0AD580-C7D9-40B4-8148-4731F5891366}" type="pres">
      <dgm:prSet presAssocID="{AE61BB68-531E-4A86-A5B7-45E310A50A4C}" presName="node" presStyleLbl="node1" presStyleIdx="0" presStyleCnt="3" custScaleX="124885" custScaleY="160842">
        <dgm:presLayoutVars>
          <dgm:bulletEnabled val="1"/>
        </dgm:presLayoutVars>
      </dgm:prSet>
      <dgm:spPr/>
      <dgm:t>
        <a:bodyPr/>
        <a:lstStyle/>
        <a:p>
          <a:endParaRPr lang="en-US"/>
        </a:p>
      </dgm:t>
    </dgm:pt>
    <dgm:pt modelId="{B74CFF80-2E46-46B3-BCEE-27D791CC01D6}" type="pres">
      <dgm:prSet presAssocID="{06B0CDE7-9322-44A5-878B-AE4BD3F14625}" presName="sibTrans" presStyleLbl="sibTrans2D1" presStyleIdx="0" presStyleCnt="2"/>
      <dgm:spPr/>
      <dgm:t>
        <a:bodyPr/>
        <a:lstStyle/>
        <a:p>
          <a:endParaRPr lang="en-US"/>
        </a:p>
      </dgm:t>
    </dgm:pt>
    <dgm:pt modelId="{BBE1B3FF-EF98-45CF-BB3D-1B2313813B56}" type="pres">
      <dgm:prSet presAssocID="{06B0CDE7-9322-44A5-878B-AE4BD3F14625}" presName="connectorText" presStyleLbl="sibTrans2D1" presStyleIdx="0" presStyleCnt="2"/>
      <dgm:spPr/>
      <dgm:t>
        <a:bodyPr/>
        <a:lstStyle/>
        <a:p>
          <a:endParaRPr lang="en-US"/>
        </a:p>
      </dgm:t>
    </dgm:pt>
    <dgm:pt modelId="{5BFF2491-74B3-425C-A01C-C8E115E2C574}" type="pres">
      <dgm:prSet presAssocID="{A8BA93EC-E928-4CF4-9A26-F19C88603CDB}" presName="node" presStyleLbl="node1" presStyleIdx="1" presStyleCnt="3" custScaleX="124885" custScaleY="67460">
        <dgm:presLayoutVars>
          <dgm:bulletEnabled val="1"/>
        </dgm:presLayoutVars>
      </dgm:prSet>
      <dgm:spPr/>
      <dgm:t>
        <a:bodyPr/>
        <a:lstStyle/>
        <a:p>
          <a:endParaRPr lang="en-US"/>
        </a:p>
      </dgm:t>
    </dgm:pt>
    <dgm:pt modelId="{2F154F51-2327-4FD7-8ECD-CE423FF65888}" type="pres">
      <dgm:prSet presAssocID="{5A98047B-1331-46F9-8221-25A32EA765FD}" presName="sibTrans" presStyleLbl="sibTrans2D1" presStyleIdx="1" presStyleCnt="2"/>
      <dgm:spPr/>
      <dgm:t>
        <a:bodyPr/>
        <a:lstStyle/>
        <a:p>
          <a:endParaRPr lang="en-US"/>
        </a:p>
      </dgm:t>
    </dgm:pt>
    <dgm:pt modelId="{FE510A10-DC0B-47DD-8267-BA8359EC348D}" type="pres">
      <dgm:prSet presAssocID="{5A98047B-1331-46F9-8221-25A32EA765FD}" presName="connectorText" presStyleLbl="sibTrans2D1" presStyleIdx="1" presStyleCnt="2"/>
      <dgm:spPr/>
      <dgm:t>
        <a:bodyPr/>
        <a:lstStyle/>
        <a:p>
          <a:endParaRPr lang="en-US"/>
        </a:p>
      </dgm:t>
    </dgm:pt>
    <dgm:pt modelId="{90C22AF1-36BF-4692-8F26-4AB6201D600D}" type="pres">
      <dgm:prSet presAssocID="{B0F87A77-0DDC-4896-8959-C02F125F3F14}" presName="node" presStyleLbl="node1" presStyleIdx="2" presStyleCnt="3" custScaleX="124885">
        <dgm:presLayoutVars>
          <dgm:bulletEnabled val="1"/>
        </dgm:presLayoutVars>
      </dgm:prSet>
      <dgm:spPr/>
      <dgm:t>
        <a:bodyPr/>
        <a:lstStyle/>
        <a:p>
          <a:endParaRPr lang="en-US"/>
        </a:p>
      </dgm:t>
    </dgm:pt>
  </dgm:ptLst>
  <dgm:cxnLst>
    <dgm:cxn modelId="{D99F53A5-5479-4BFE-8B0F-9E679ECD961F}" type="presOf" srcId="{06B0CDE7-9322-44A5-878B-AE4BD3F14625}" destId="{BBE1B3FF-EF98-45CF-BB3D-1B2313813B56}" srcOrd="1" destOrd="0" presId="urn:microsoft.com/office/officeart/2005/8/layout/process2"/>
    <dgm:cxn modelId="{E4761965-A7CF-400B-918C-FC5247B9B4D3}" type="presOf" srcId="{AE61BB68-531E-4A86-A5B7-45E310A50A4C}" destId="{2B0AD580-C7D9-40B4-8148-4731F5891366}" srcOrd="0" destOrd="0" presId="urn:microsoft.com/office/officeart/2005/8/layout/process2"/>
    <dgm:cxn modelId="{2CC44297-2C12-4B05-AED3-C54996C79F2E}" type="presOf" srcId="{06B0CDE7-9322-44A5-878B-AE4BD3F14625}" destId="{B74CFF80-2E46-46B3-BCEE-27D791CC01D6}" srcOrd="0" destOrd="0" presId="urn:microsoft.com/office/officeart/2005/8/layout/process2"/>
    <dgm:cxn modelId="{C3284110-E87E-498F-8E79-ECF25D750233}" srcId="{0B38951B-627C-4073-A6F1-55F1FA9792C5}" destId="{B0F87A77-0DDC-4896-8959-C02F125F3F14}" srcOrd="2" destOrd="0" parTransId="{A5F24B9E-FBF4-4E12-9D40-EA8AF509058C}" sibTransId="{A5D95A5C-0695-4B4C-B0F2-39DC84E9A021}"/>
    <dgm:cxn modelId="{8FE7586D-32ED-4185-A7A2-D7CD442BE6D4}" type="presOf" srcId="{A8BA93EC-E928-4CF4-9A26-F19C88603CDB}" destId="{5BFF2491-74B3-425C-A01C-C8E115E2C574}" srcOrd="0" destOrd="0" presId="urn:microsoft.com/office/officeart/2005/8/layout/process2"/>
    <dgm:cxn modelId="{08368871-485C-42DC-AAA1-C645B52B3689}" type="presOf" srcId="{B0F87A77-0DDC-4896-8959-C02F125F3F14}" destId="{90C22AF1-36BF-4692-8F26-4AB6201D600D}" srcOrd="0" destOrd="0" presId="urn:microsoft.com/office/officeart/2005/8/layout/process2"/>
    <dgm:cxn modelId="{BBB7EE1B-22EB-4C9B-85B3-B3EB18305F71}" srcId="{0B38951B-627C-4073-A6F1-55F1FA9792C5}" destId="{AE61BB68-531E-4A86-A5B7-45E310A50A4C}" srcOrd="0" destOrd="0" parTransId="{C3D33B96-14BC-4A01-98CC-DD9AA6508B28}" sibTransId="{06B0CDE7-9322-44A5-878B-AE4BD3F14625}"/>
    <dgm:cxn modelId="{55AE6E76-ED80-4905-8281-A8DD0457CDD1}" srcId="{0B38951B-627C-4073-A6F1-55F1FA9792C5}" destId="{A8BA93EC-E928-4CF4-9A26-F19C88603CDB}" srcOrd="1" destOrd="0" parTransId="{0629F179-44D7-4428-A805-FB795DB2843F}" sibTransId="{5A98047B-1331-46F9-8221-25A32EA765FD}"/>
    <dgm:cxn modelId="{9DE26285-D4C5-4DBA-B09C-A3B3516B6A9E}" type="presOf" srcId="{5A98047B-1331-46F9-8221-25A32EA765FD}" destId="{2F154F51-2327-4FD7-8ECD-CE423FF65888}" srcOrd="0" destOrd="0" presId="urn:microsoft.com/office/officeart/2005/8/layout/process2"/>
    <dgm:cxn modelId="{4130DB9B-CB21-45D8-9931-64B7E74E7593}" type="presOf" srcId="{0B38951B-627C-4073-A6F1-55F1FA9792C5}" destId="{52AB0B57-0638-4F55-A3CF-B82804296567}" srcOrd="0" destOrd="0" presId="urn:microsoft.com/office/officeart/2005/8/layout/process2"/>
    <dgm:cxn modelId="{1AB76A0D-7BE6-4959-B419-48B76F57A2F6}" type="presOf" srcId="{5A98047B-1331-46F9-8221-25A32EA765FD}" destId="{FE510A10-DC0B-47DD-8267-BA8359EC348D}" srcOrd="1" destOrd="0" presId="urn:microsoft.com/office/officeart/2005/8/layout/process2"/>
    <dgm:cxn modelId="{12B181A9-3531-4722-99B8-EB44B6291B8D}" type="presParOf" srcId="{52AB0B57-0638-4F55-A3CF-B82804296567}" destId="{2B0AD580-C7D9-40B4-8148-4731F5891366}" srcOrd="0" destOrd="0" presId="urn:microsoft.com/office/officeart/2005/8/layout/process2"/>
    <dgm:cxn modelId="{41E63503-7738-4291-BD9B-7E8C5A9D2096}" type="presParOf" srcId="{52AB0B57-0638-4F55-A3CF-B82804296567}" destId="{B74CFF80-2E46-46B3-BCEE-27D791CC01D6}" srcOrd="1" destOrd="0" presId="urn:microsoft.com/office/officeart/2005/8/layout/process2"/>
    <dgm:cxn modelId="{DD6429DF-D45C-43D9-B234-107F4E3C2D06}" type="presParOf" srcId="{B74CFF80-2E46-46B3-BCEE-27D791CC01D6}" destId="{BBE1B3FF-EF98-45CF-BB3D-1B2313813B56}" srcOrd="0" destOrd="0" presId="urn:microsoft.com/office/officeart/2005/8/layout/process2"/>
    <dgm:cxn modelId="{E13AE38B-037F-41D9-9A56-778FC9B1B685}" type="presParOf" srcId="{52AB0B57-0638-4F55-A3CF-B82804296567}" destId="{5BFF2491-74B3-425C-A01C-C8E115E2C574}" srcOrd="2" destOrd="0" presId="urn:microsoft.com/office/officeart/2005/8/layout/process2"/>
    <dgm:cxn modelId="{FC4ADECC-BCB6-490F-B743-066318933AE1}" type="presParOf" srcId="{52AB0B57-0638-4F55-A3CF-B82804296567}" destId="{2F154F51-2327-4FD7-8ECD-CE423FF65888}" srcOrd="3" destOrd="0" presId="urn:microsoft.com/office/officeart/2005/8/layout/process2"/>
    <dgm:cxn modelId="{2C18425A-0056-40FC-B9B9-2E49037BFCD9}" type="presParOf" srcId="{2F154F51-2327-4FD7-8ECD-CE423FF65888}" destId="{FE510A10-DC0B-47DD-8267-BA8359EC348D}" srcOrd="0" destOrd="0" presId="urn:microsoft.com/office/officeart/2005/8/layout/process2"/>
    <dgm:cxn modelId="{A29E4708-8C1B-49CB-8ABF-3CD11EF6BD2D}" type="presParOf" srcId="{52AB0B57-0638-4F55-A3CF-B82804296567}" destId="{90C22AF1-36BF-4692-8F26-4AB6201D600D}" srcOrd="4"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AD580-C7D9-40B4-8148-4731F5891366}">
      <dsp:nvSpPr>
        <dsp:cNvPr id="0" name=""/>
        <dsp:cNvSpPr/>
      </dsp:nvSpPr>
      <dsp:spPr>
        <a:xfrm>
          <a:off x="0" y="1178"/>
          <a:ext cx="5443855" cy="2529934"/>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57150" tIns="57150" rIns="57150" bIns="57150" numCol="1" spcCol="1270" anchor="ctr" anchorCtr="0">
          <a:noAutofit/>
        </a:bodyPr>
        <a:lstStyle/>
        <a:p>
          <a:pPr lvl="0" algn="just" defTabSz="666750">
            <a:lnSpc>
              <a:spcPct val="90000"/>
            </a:lnSpc>
            <a:spcBef>
              <a:spcPct val="0"/>
            </a:spcBef>
            <a:spcAft>
              <a:spcPct val="35000"/>
            </a:spcAft>
            <a:buFont typeface="Symbol" panose="05050102010706020507" pitchFamily="18" charset="2"/>
            <a:buChar char=""/>
          </a:pPr>
          <a:r>
            <a:rPr lang="en-PH" sz="1500" b="1" kern="1200"/>
            <a:t>Assessment of Children's Environmental Awareness (</a:t>
          </a:r>
          <a:r>
            <a:rPr lang="en-PH" sz="1500" kern="1200"/>
            <a:t>Cognitive, Affective, and  Behavioral) </a:t>
          </a:r>
        </a:p>
        <a:p>
          <a:pPr lvl="0" algn="just" defTabSz="666750">
            <a:lnSpc>
              <a:spcPct val="90000"/>
            </a:lnSpc>
            <a:spcBef>
              <a:spcPct val="0"/>
            </a:spcBef>
            <a:spcAft>
              <a:spcPct val="35000"/>
            </a:spcAft>
            <a:buFont typeface="Symbol" panose="05050102010706020507" pitchFamily="18" charset="2"/>
            <a:buChar char=""/>
          </a:pPr>
          <a:r>
            <a:rPr lang="en-PH" sz="1500" kern="1200"/>
            <a:t>How children’s environmental awareness may vary between distinct ecological contexts — a rural-highland school (SMIS) and an urban-coastal school (CVES) — both located near dumpsite areas.</a:t>
          </a:r>
          <a:endParaRPr lang="en-US" sz="1500" kern="1200"/>
        </a:p>
      </dsp:txBody>
      <dsp:txXfrm>
        <a:off x="74099" y="75277"/>
        <a:ext cx="5295657" cy="2381736"/>
      </dsp:txXfrm>
    </dsp:sp>
    <dsp:sp modelId="{B74CFF80-2E46-46B3-BCEE-27D791CC01D6}">
      <dsp:nvSpPr>
        <dsp:cNvPr id="0" name=""/>
        <dsp:cNvSpPr/>
      </dsp:nvSpPr>
      <dsp:spPr>
        <a:xfrm rot="5400000">
          <a:off x="2427002" y="2570436"/>
          <a:ext cx="589849" cy="7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09582" y="2629421"/>
        <a:ext cx="424691" cy="412894"/>
      </dsp:txXfrm>
    </dsp:sp>
    <dsp:sp modelId="{5BFF2491-74B3-425C-A01C-C8E115E2C574}">
      <dsp:nvSpPr>
        <dsp:cNvPr id="0" name=""/>
        <dsp:cNvSpPr/>
      </dsp:nvSpPr>
      <dsp:spPr>
        <a:xfrm>
          <a:off x="0" y="3317579"/>
          <a:ext cx="5443855" cy="1061099"/>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en-PH" sz="1500" b="1" kern="1200"/>
            <a:t>Data Analysis &amp; Interpretation </a:t>
          </a:r>
          <a:endParaRPr lang="en-US" sz="1500" kern="1200"/>
        </a:p>
        <a:p>
          <a:pPr lvl="0" algn="ctr" defTabSz="666750">
            <a:lnSpc>
              <a:spcPct val="90000"/>
            </a:lnSpc>
            <a:spcBef>
              <a:spcPct val="0"/>
            </a:spcBef>
            <a:spcAft>
              <a:spcPct val="35000"/>
            </a:spcAft>
            <a:buNone/>
          </a:pPr>
          <a:r>
            <a:rPr lang="en-PH" sz="1500" kern="1200"/>
            <a:t>Identify gaps in environmental awareness  </a:t>
          </a:r>
          <a:endParaRPr lang="en-US" sz="1500" kern="1200"/>
        </a:p>
        <a:p>
          <a:pPr lvl="0" algn="ctr" defTabSz="666750">
            <a:lnSpc>
              <a:spcPct val="90000"/>
            </a:lnSpc>
            <a:spcBef>
              <a:spcPct val="0"/>
            </a:spcBef>
            <a:spcAft>
              <a:spcPct val="35000"/>
            </a:spcAft>
            <a:buNone/>
          </a:pPr>
          <a:r>
            <a:rPr lang="en-PH" sz="1500" kern="1200"/>
            <a:t>Determine key learning needs  </a:t>
          </a:r>
          <a:endParaRPr lang="en-US" sz="1500" kern="1200"/>
        </a:p>
      </dsp:txBody>
      <dsp:txXfrm>
        <a:off x="31079" y="3348658"/>
        <a:ext cx="5381697" cy="998941"/>
      </dsp:txXfrm>
    </dsp:sp>
    <dsp:sp modelId="{2F154F51-2327-4FD7-8ECD-CE423FF65888}">
      <dsp:nvSpPr>
        <dsp:cNvPr id="0" name=""/>
        <dsp:cNvSpPr/>
      </dsp:nvSpPr>
      <dsp:spPr>
        <a:xfrm rot="5400000">
          <a:off x="2427002" y="4418002"/>
          <a:ext cx="589849" cy="7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09582" y="4476987"/>
        <a:ext cx="424691" cy="412894"/>
      </dsp:txXfrm>
    </dsp:sp>
    <dsp:sp modelId="{90C22AF1-36BF-4692-8F26-4AB6201D600D}">
      <dsp:nvSpPr>
        <dsp:cNvPr id="0" name=""/>
        <dsp:cNvSpPr/>
      </dsp:nvSpPr>
      <dsp:spPr>
        <a:xfrm>
          <a:off x="0" y="5165144"/>
          <a:ext cx="5443855" cy="1572931"/>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en-PH" sz="1500" b="1" kern="1200"/>
            <a:t>Design of Dewey-Inspired Instructional Toolkit  </a:t>
          </a:r>
          <a:endParaRPr lang="en-US" sz="1500" kern="1200"/>
        </a:p>
        <a:p>
          <a:pPr lvl="0" algn="ctr" defTabSz="666750">
            <a:lnSpc>
              <a:spcPct val="90000"/>
            </a:lnSpc>
            <a:spcBef>
              <a:spcPct val="0"/>
            </a:spcBef>
            <a:spcAft>
              <a:spcPct val="35000"/>
            </a:spcAft>
            <a:buNone/>
          </a:pPr>
          <a:r>
            <a:rPr lang="en-PH" sz="1500" kern="1200"/>
            <a:t>Hands-on environmental activities  </a:t>
          </a:r>
          <a:endParaRPr lang="en-US" sz="1500" kern="1200"/>
        </a:p>
        <a:p>
          <a:pPr lvl="0" algn="ctr" defTabSz="666750">
            <a:lnSpc>
              <a:spcPct val="90000"/>
            </a:lnSpc>
            <a:spcBef>
              <a:spcPct val="0"/>
            </a:spcBef>
            <a:spcAft>
              <a:spcPct val="35000"/>
            </a:spcAft>
            <a:buNone/>
          </a:pPr>
          <a:r>
            <a:rPr lang="en-PH" sz="1500" kern="1200"/>
            <a:t>Inquiry-based and experiential learning  </a:t>
          </a:r>
          <a:endParaRPr lang="en-US" sz="1500" kern="1200"/>
        </a:p>
        <a:p>
          <a:pPr lvl="0" algn="ctr" defTabSz="666750">
            <a:lnSpc>
              <a:spcPct val="90000"/>
            </a:lnSpc>
            <a:spcBef>
              <a:spcPct val="0"/>
            </a:spcBef>
            <a:spcAft>
              <a:spcPct val="35000"/>
            </a:spcAft>
            <a:buNone/>
          </a:pPr>
          <a:r>
            <a:rPr lang="en-PH" sz="1500" kern="1200"/>
            <a:t>├── Sustainability projects (school &amp; community</a:t>
          </a:r>
          <a:endParaRPr lang="en-US" sz="1500" kern="1200"/>
        </a:p>
      </dsp:txBody>
      <dsp:txXfrm>
        <a:off x="46070" y="5211214"/>
        <a:ext cx="5351715" cy="14807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6824C-89F3-4465-BB34-F1B8609E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25472</Words>
  <Characters>145193</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 Lyne Gamos</dc:creator>
  <cp:lastModifiedBy>ACER</cp:lastModifiedBy>
  <cp:revision>2</cp:revision>
  <dcterms:created xsi:type="dcterms:W3CDTF">2026-05-08T11:54:00Z</dcterms:created>
  <dcterms:modified xsi:type="dcterms:W3CDTF">2026-05-08T11:54:00Z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04bfd082-f1d2-4f4d-a852-fa169e43dff8</vt:lpwstr>
  </property>
</Properties>
</file>