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35AF" w14:textId="1025ED1F" w:rsidR="009C0DB0" w:rsidRPr="00BB5215" w:rsidRDefault="00A16044" w:rsidP="00BB5215">
      <w:pPr>
        <w:jc w:val="center"/>
        <w:rPr>
          <w:rFonts w:eastAsia="Times New Roman" w:cs="Times New Roman"/>
          <w:b/>
          <w:bCs/>
          <w:szCs w:val="24"/>
          <w:lang w:eastAsia="en-ID"/>
        </w:rPr>
      </w:pPr>
      <w:r w:rsidRPr="00A16044">
        <w:rPr>
          <w:rFonts w:eastAsia="Times New Roman" w:cs="Times New Roman"/>
          <w:b/>
          <w:bCs/>
          <w:szCs w:val="24"/>
          <w:lang w:eastAsia="en-ID"/>
        </w:rPr>
        <w:t xml:space="preserve">Policy Implementation of the Recognition and Protection of the Kampung Kuta Indigenous Community in </w:t>
      </w:r>
      <w:proofErr w:type="spellStart"/>
      <w:r w:rsidRPr="00A16044">
        <w:rPr>
          <w:rFonts w:eastAsia="Times New Roman" w:cs="Times New Roman"/>
          <w:b/>
          <w:bCs/>
          <w:szCs w:val="24"/>
          <w:lang w:eastAsia="en-ID"/>
        </w:rPr>
        <w:t>Ciamis</w:t>
      </w:r>
      <w:proofErr w:type="spellEnd"/>
      <w:r w:rsidRPr="00A16044">
        <w:rPr>
          <w:rFonts w:eastAsia="Times New Roman" w:cs="Times New Roman"/>
          <w:b/>
          <w:bCs/>
          <w:szCs w:val="24"/>
          <w:lang w:eastAsia="en-ID"/>
        </w:rPr>
        <w:t xml:space="preserve"> Regency</w:t>
      </w:r>
    </w:p>
    <w:p w14:paraId="79FC992D" w14:textId="6A8D4C6E" w:rsidR="009C0DB0" w:rsidRPr="00BB5215" w:rsidRDefault="009C0DB0" w:rsidP="00BB5215">
      <w:pPr>
        <w:jc w:val="center"/>
        <w:rPr>
          <w:rFonts w:eastAsia="Times New Roman" w:cs="Times New Roman"/>
          <w:b/>
          <w:bCs/>
          <w:szCs w:val="24"/>
          <w:lang w:eastAsia="en-ID"/>
        </w:rPr>
      </w:pPr>
    </w:p>
    <w:p w14:paraId="49BA062E" w14:textId="72DB75AE" w:rsidR="009C0DB0" w:rsidRPr="00BB5215" w:rsidRDefault="00A16044" w:rsidP="00BB5215">
      <w:pPr>
        <w:jc w:val="center"/>
        <w:rPr>
          <w:rFonts w:eastAsia="Times New Roman" w:cs="Times New Roman"/>
          <w:szCs w:val="24"/>
          <w:lang w:eastAsia="en-ID"/>
        </w:rPr>
      </w:pPr>
      <w:r w:rsidRPr="00A16044">
        <w:rPr>
          <w:rFonts w:eastAsia="Times New Roman" w:cs="Times New Roman"/>
          <w:szCs w:val="24"/>
          <w:lang w:eastAsia="en-ID"/>
        </w:rPr>
        <w:t/>
      </w:r>
      <w:r w:rsidR="00BB5215" w:rsidRPr="00BB5215">
        <w:rPr>
          <w:rFonts w:eastAsia="Times New Roman" w:cs="Times New Roman"/>
          <w:szCs w:val="24"/>
          <w:vertAlign w:val="superscript"/>
          <w:lang w:eastAsia="en-ID"/>
        </w:rPr>
        <w:t/>
      </w:r>
      <w:r w:rsidR="00BB5215" w:rsidRPr="00BB5215">
        <w:rPr>
          <w:rFonts w:eastAsia="Times New Roman" w:cs="Times New Roman"/>
          <w:szCs w:val="24"/>
          <w:lang w:eastAsia="en-ID"/>
        </w:rPr>
        <w:t xml:space="preserve"/>
      </w:r>
      <w:proofErr w:type="spellStart"/>
      <w:r w:rsidR="00BB5215" w:rsidRPr="00BB5215">
        <w:rPr>
          <w:rFonts w:eastAsia="Times New Roman" w:cs="Times New Roman"/>
          <w:szCs w:val="24"/>
          <w:lang w:eastAsia="en-ID"/>
        </w:rPr>
        <w:t/>
      </w:r>
      <w:proofErr w:type="spellEnd"/>
      <w:r w:rsidR="00BB5215" w:rsidRPr="00BB5215">
        <w:rPr>
          <w:rFonts w:eastAsia="Times New Roman" w:cs="Times New Roman"/>
          <w:szCs w:val="24"/>
          <w:lang w:eastAsia="en-ID"/>
        </w:rPr>
        <w:t xml:space="preserve"/>
      </w:r>
      <w:r w:rsidR="00BB5215" w:rsidRPr="00BB5215">
        <w:rPr>
          <w:rFonts w:eastAsia="Times New Roman" w:cs="Times New Roman"/>
          <w:szCs w:val="24"/>
          <w:vertAlign w:val="superscript"/>
          <w:lang w:eastAsia="en-ID"/>
        </w:rPr>
        <w:t/>
      </w:r>
    </w:p>
    <w:p w14:paraId="543C2D4D" w14:textId="4DCECC61" w:rsidR="009C0DB0" w:rsidRPr="00BB5215" w:rsidRDefault="00BB5215" w:rsidP="00BB5215">
      <w:pPr>
        <w:jc w:val="center"/>
        <w:rPr>
          <w:rFonts w:eastAsia="Times New Roman" w:cs="Times New Roman"/>
          <w:szCs w:val="24"/>
          <w:lang w:eastAsia="en-ID"/>
        </w:rPr>
      </w:pPr>
      <w:r w:rsidRPr="00BB5215">
        <w:rPr>
          <w:rFonts w:eastAsia="Times New Roman" w:cs="Times New Roman"/>
          <w:szCs w:val="24"/>
          <w:vertAlign w:val="superscript"/>
          <w:lang w:eastAsia="en-ID"/>
        </w:rPr>
        <w:t/>
      </w:r>
      <w:r w:rsidRPr="00BB5215">
        <w:rPr>
          <w:rFonts w:eastAsia="Times New Roman" w:cs="Times New Roman"/>
          <w:szCs w:val="24"/>
          <w:lang w:eastAsia="en-ID"/>
        </w:rPr>
        <w:t xml:space="preserve"/>
      </w:r>
      <w:proofErr w:type="spellStart"/>
      <w:r w:rsidRPr="00BB5215">
        <w:rPr>
          <w:rFonts w:eastAsia="Times New Roman" w:cs="Times New Roman"/>
          <w:szCs w:val="24"/>
          <w:lang w:eastAsia="en-ID"/>
        </w:rPr>
        <w:t/>
      </w:r>
      <w:proofErr w:type="spellEnd"/>
      <w:r w:rsidRPr="00BB5215">
        <w:rPr>
          <w:rFonts w:eastAsia="Times New Roman" w:cs="Times New Roman"/>
          <w:szCs w:val="24"/>
          <w:lang w:eastAsia="en-ID"/>
        </w:rPr>
        <w:t/>
      </w:r>
    </w:p>
    <w:p w14:paraId="1183847A" w14:textId="66C36211" w:rsidR="00BB5215" w:rsidRPr="00BB5215" w:rsidRDefault="00BB5215" w:rsidP="00BB5215">
      <w:pPr>
        <w:jc w:val="center"/>
        <w:rPr>
          <w:rFonts w:eastAsia="Times New Roman" w:cs="Times New Roman"/>
          <w:szCs w:val="24"/>
          <w:lang w:eastAsia="en-ID"/>
        </w:rPr>
      </w:pPr>
      <w:r w:rsidRPr="00BB5215">
        <w:rPr>
          <w:rFonts w:eastAsia="Times New Roman" w:cs="Times New Roman"/>
          <w:szCs w:val="24"/>
          <w:lang w:eastAsia="en-ID"/>
        </w:rPr>
        <w:t xml:space="preserve"/>
      </w:r>
      <w:r w:rsidR="00A16044">
        <w:rPr>
          <w:rFonts w:eastAsia="Times New Roman" w:cs="Times New Roman"/>
          <w:szCs w:val="24"/>
          <w:lang w:eastAsia="en-ID"/>
        </w:rPr>
        <w:t/>
      </w:r>
      <w:r w:rsidRPr="00BB5215">
        <w:rPr>
          <w:rFonts w:eastAsia="Times New Roman" w:cs="Times New Roman"/>
          <w:szCs w:val="24"/>
          <w:lang w:eastAsia="en-ID"/>
        </w:rPr>
        <w:t/>
      </w:r>
      <w:r w:rsidR="00A16044">
        <w:rPr>
          <w:rFonts w:eastAsia="Times New Roman" w:cs="Times New Roman"/>
          <w:szCs w:val="24"/>
          <w:lang w:eastAsia="en-ID"/>
        </w:rPr>
        <w:t/>
      </w:r>
      <w:r w:rsidRPr="00BB5215">
        <w:rPr>
          <w:rFonts w:eastAsia="Times New Roman" w:cs="Times New Roman"/>
          <w:szCs w:val="24"/>
          <w:lang w:eastAsia="en-ID"/>
        </w:rPr>
        <w:t/>
      </w:r>
    </w:p>
    <w:p w14:paraId="26114CE0" w14:textId="77777777" w:rsidR="00BB5215" w:rsidRPr="009C0DB0" w:rsidRDefault="00BB5215" w:rsidP="00BB5215">
      <w:pPr>
        <w:jc w:val="center"/>
        <w:rPr>
          <w:rFonts w:eastAsia="Times New Roman" w:cs="Times New Roman"/>
          <w:b/>
          <w:bCs/>
          <w:szCs w:val="24"/>
          <w:lang w:eastAsia="en-ID"/>
        </w:rPr>
      </w:pPr>
    </w:p>
    <w:p w14:paraId="321F3D06" w14:textId="77777777" w:rsidR="00BB5215" w:rsidRPr="00BB5215" w:rsidRDefault="009C0DB0" w:rsidP="00BB5215">
      <w:pPr>
        <w:jc w:val="center"/>
        <w:rPr>
          <w:rFonts w:eastAsia="Times New Roman" w:cs="Times New Roman"/>
          <w:b/>
          <w:bCs/>
          <w:szCs w:val="24"/>
          <w:lang w:eastAsia="en-ID"/>
        </w:rPr>
      </w:pPr>
      <w:r w:rsidRPr="009C0DB0">
        <w:rPr>
          <w:rFonts w:eastAsia="Times New Roman" w:cs="Times New Roman"/>
          <w:b/>
          <w:bCs/>
          <w:szCs w:val="24"/>
          <w:lang w:eastAsia="en-ID"/>
        </w:rPr>
        <w:t>ABSTRACT</w:t>
      </w:r>
    </w:p>
    <w:p w14:paraId="56C73910" w14:textId="63BB4527" w:rsidR="009C0DB0" w:rsidRPr="009C0DB0" w:rsidRDefault="00A16044" w:rsidP="00BB5215">
      <w:pPr>
        <w:jc w:val="both"/>
        <w:rPr>
          <w:rFonts w:eastAsia="Times New Roman" w:cs="Times New Roman"/>
          <w:szCs w:val="24"/>
          <w:lang w:eastAsia="en-ID"/>
        </w:rPr>
      </w:pPr>
      <w:r w:rsidRPr="00A16044">
        <w:rPr>
          <w:rFonts w:eastAsia="Times New Roman" w:cs="Times New Roman"/>
          <w:szCs w:val="24"/>
          <w:lang w:eastAsia="en-ID"/>
        </w:rPr>
        <w:t xml:space="preserve">The recognition and protection of indigenous peoples' rights remain a complex challenge in public administration, particularly concerning land conflicts and overlapping authorities. This study </w:t>
      </w:r>
      <w:proofErr w:type="spellStart"/>
      <w:r w:rsidRPr="00A16044">
        <w:rPr>
          <w:rFonts w:eastAsia="Times New Roman" w:cs="Times New Roman"/>
          <w:szCs w:val="24"/>
          <w:lang w:eastAsia="en-ID"/>
        </w:rPr>
        <w:t>analyzes</w:t>
      </w:r>
      <w:proofErr w:type="spellEnd"/>
      <w:r w:rsidRPr="00A16044">
        <w:rPr>
          <w:rFonts w:eastAsia="Times New Roman" w:cs="Times New Roman"/>
          <w:szCs w:val="24"/>
          <w:lang w:eastAsia="en-ID"/>
        </w:rPr>
        <w:t xml:space="preserve"> the implementation of the </w:t>
      </w:r>
      <w:proofErr w:type="spellStart"/>
      <w:r w:rsidRPr="00A16044">
        <w:rPr>
          <w:rFonts w:eastAsia="Times New Roman" w:cs="Times New Roman"/>
          <w:szCs w:val="24"/>
          <w:lang w:eastAsia="en-ID"/>
        </w:rPr>
        <w:t>Ciamis</w:t>
      </w:r>
      <w:proofErr w:type="spellEnd"/>
      <w:r w:rsidRPr="00A16044">
        <w:rPr>
          <w:rFonts w:eastAsia="Times New Roman" w:cs="Times New Roman"/>
          <w:szCs w:val="24"/>
          <w:lang w:eastAsia="en-ID"/>
        </w:rPr>
        <w:t xml:space="preserve"> Regency Local Regulation No. 15 of 2016 concerning the Recognition and Protection of the Kampung Kuta Indigenous Community. Utilizing a qualitative descriptive approach, this research applies the Mazmanian and Sabatier policy implementation model, focusing on the tractability of the problem, the ability of the statute to structure implementation, and non-statutory variables. Data were collected through in-depth interviews, observation, and literature studies. The results indicate that while the local regulation exists, its implementation is hindered by several structural and normative barriers. First, the complexity of customary land (</w:t>
      </w:r>
      <w:proofErr w:type="spellStart"/>
      <w:r w:rsidRPr="00A16044">
        <w:rPr>
          <w:rFonts w:eastAsia="Times New Roman" w:cs="Times New Roman"/>
          <w:szCs w:val="24"/>
          <w:lang w:eastAsia="en-ID"/>
        </w:rPr>
        <w:t>tanah</w:t>
      </w:r>
      <w:proofErr w:type="spellEnd"/>
      <w:r w:rsidRPr="00A16044">
        <w:rPr>
          <w:rFonts w:eastAsia="Times New Roman" w:cs="Times New Roman"/>
          <w:szCs w:val="24"/>
          <w:lang w:eastAsia="en-ID"/>
        </w:rPr>
        <w:t xml:space="preserve"> </w:t>
      </w:r>
      <w:proofErr w:type="spellStart"/>
      <w:r w:rsidRPr="00A16044">
        <w:rPr>
          <w:rFonts w:eastAsia="Times New Roman" w:cs="Times New Roman"/>
          <w:szCs w:val="24"/>
          <w:lang w:eastAsia="en-ID"/>
        </w:rPr>
        <w:t>ulayat</w:t>
      </w:r>
      <w:proofErr w:type="spellEnd"/>
      <w:r w:rsidRPr="00A16044">
        <w:rPr>
          <w:rFonts w:eastAsia="Times New Roman" w:cs="Times New Roman"/>
          <w:szCs w:val="24"/>
          <w:lang w:eastAsia="en-ID"/>
        </w:rPr>
        <w:t>) status intersecting with state land regimes makes the problem difficult to manage. Second, the policy lacks derivative technical regulations (Regent Regulations), leading to an operational void, ambiguous distribution of authority among local agencies, and limited budget allocation. Third, environmental factors such as fluctuating political commitment and the lack of collaborative governance weaken the formal capacity of the customary institution. The study concludes that effective protection requires formulating clear derivative regulations, integrating local wisdom with modern governance practices, and establishing a collaborative framework between the local government and indigenous institutions.</w:t>
      </w:r>
    </w:p>
    <w:p w14:paraId="33E50762" w14:textId="13C75A93" w:rsidR="009C0DB0" w:rsidRPr="00BB5215" w:rsidRDefault="009C0DB0" w:rsidP="00BB5215">
      <w:pPr>
        <w:jc w:val="both"/>
        <w:rPr>
          <w:rFonts w:eastAsia="Times New Roman" w:cs="Times New Roman"/>
          <w:szCs w:val="24"/>
          <w:lang w:eastAsia="en-ID"/>
        </w:rPr>
      </w:pPr>
      <w:r w:rsidRPr="009C0DB0">
        <w:rPr>
          <w:rFonts w:eastAsia="Times New Roman" w:cs="Times New Roman"/>
          <w:b/>
          <w:bCs/>
          <w:szCs w:val="24"/>
          <w:lang w:eastAsia="en-ID"/>
        </w:rPr>
        <w:t>Keywords:</w:t>
      </w:r>
      <w:r w:rsidRPr="009C0DB0">
        <w:rPr>
          <w:rFonts w:eastAsia="Times New Roman" w:cs="Times New Roman"/>
          <w:szCs w:val="24"/>
          <w:lang w:eastAsia="en-ID"/>
        </w:rPr>
        <w:t xml:space="preserve"> </w:t>
      </w:r>
      <w:r w:rsidR="00A16044" w:rsidRPr="00A16044">
        <w:rPr>
          <w:rFonts w:eastAsia="Times New Roman" w:cs="Times New Roman"/>
          <w:szCs w:val="24"/>
          <w:lang w:eastAsia="en-ID"/>
        </w:rPr>
        <w:t>Policy Implementation, Indigenous Community, Kampung Kuta, Public Administration, Local Wisdom</w:t>
      </w:r>
      <w:r w:rsidRPr="009C0DB0">
        <w:rPr>
          <w:rFonts w:eastAsia="Times New Roman" w:cs="Times New Roman"/>
          <w:szCs w:val="24"/>
          <w:lang w:eastAsia="en-ID"/>
        </w:rPr>
        <w:t>.</w:t>
      </w:r>
    </w:p>
    <w:p w14:paraId="12EFFE7D" w14:textId="77777777" w:rsidR="00BB5215" w:rsidRPr="009C0DB0" w:rsidRDefault="00BB5215" w:rsidP="00BB5215">
      <w:pPr>
        <w:jc w:val="both"/>
        <w:rPr>
          <w:rFonts w:eastAsia="Times New Roman" w:cs="Times New Roman"/>
          <w:szCs w:val="24"/>
          <w:lang w:eastAsia="en-ID"/>
        </w:rPr>
      </w:pPr>
    </w:p>
    <w:p w14:paraId="658FCBC5" w14:textId="58893E06" w:rsidR="00BB5215" w:rsidRPr="00B130EF" w:rsidRDefault="009C0DB0" w:rsidP="00B130EF">
      <w:pPr>
        <w:pStyle w:val="Heading1"/>
        <w:numPr>
          <w:ilvl w:val="0"/>
          <w:numId w:val="5"/>
        </w:numPr>
        <w:spacing w:after="240"/>
        <w:ind w:left="567" w:hanging="567"/>
        <w:jc w:val="both"/>
        <w:rPr>
          <w:rFonts w:ascii="Times New Roman" w:eastAsia="Times New Roman" w:hAnsi="Times New Roman" w:cs="Times New Roman"/>
          <w:b/>
          <w:bCs/>
          <w:color w:val="000000" w:themeColor="text1"/>
          <w:sz w:val="24"/>
          <w:szCs w:val="24"/>
          <w:lang w:eastAsia="en-ID"/>
        </w:rPr>
      </w:pPr>
      <w:r w:rsidRPr="00B130EF">
        <w:rPr>
          <w:rFonts w:ascii="Times New Roman" w:eastAsia="Times New Roman" w:hAnsi="Times New Roman" w:cs="Times New Roman"/>
          <w:b/>
          <w:bCs/>
          <w:color w:val="000000" w:themeColor="text1"/>
          <w:sz w:val="24"/>
          <w:szCs w:val="24"/>
          <w:lang w:eastAsia="en-ID"/>
        </w:rPr>
        <w:t>INTRODUCTION</w:t>
      </w:r>
    </w:p>
    <w:p w14:paraId="338BFFEA" w14:textId="48130290"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It is estimated that there are more than 370 million indigenous people spread across 70 countries globally. Indigenous communities have lived and developed long before the formation of modern states, possessing unique social, economic, cultural, and belief systems that are deeply intertwined with their ancestral environments. Historically, these communities have acted as the primary guardians of the earth's biodiversity, utilizing inherited local wisdom to maintain ecological balance. However, the relentless pace of global modernization, urbanization, and state-centric developmental agendas has continually positioned these communities in a vulnerable state, often alienating them from their socio-cultural roots and traditional land rights </w:t>
      </w:r>
      <w:r w:rsidR="00BC7989">
        <w:rPr>
          <w:rFonts w:eastAsia="Times New Roman" w:cs="Times New Roman"/>
          <w:szCs w:val="24"/>
          <w:lang w:eastAsia="en-ID"/>
        </w:rPr>
        <w:fldChar w:fldCharType="begin" w:fldLock="1"/>
      </w:r>
      <w:r w:rsidR="005C4662">
        <w:rPr>
          <w:rFonts w:eastAsia="Times New Roman" w:cs="Times New Roman"/>
          <w:szCs w:val="24"/>
          <w:lang w:eastAsia="en-ID"/>
        </w:rPr>
        <w:instrText>ADDIN CSL_CITATION {"citationItems":[{"id":"ITEM-1","itemData":{"author":[{"dropping-particle":"","family":"Moniaga","given":"Rio Rocky George Wakary","non-dropping-particle":"","parse-names":false,"suffix":""},{"dropping-particle":"","family":"Sondakh","given":"Jemmy","non-dropping-particle":"","parse-names":false,"suffix":""},{"dropping-particle":"","family":"Korah","given":"Revy Semuel M.","non-dropping-particle":"","parse-names":false,"suffix":""}],"container-title":"Lex Administratum","id":"ITEM-1","issue":"4","issued":{"date-parts":[["2024"]]},"title":"Perlindungan Hukum Hak-Hak Masyarakat Atas Tanah Adat Di Tengah Modernisasi","type":"article-journal","volume":"12"},"uris":["http://www.mendeley.com/documents/?uuid=76c0a1f1-4245-4f00-ac44-2f8820ee5984"]}],"mendeley":{"formattedCitation":"(1)","plainTextFormattedCitation":"(1)","previouslyFormattedCitation":"(1)"},"properties":{"noteIndex":0},"schema":"https://github.com/citation-style-language/schema/raw/master/csl-citation.json"}</w:instrText>
      </w:r>
      <w:r w:rsidR="00BC7989">
        <w:rPr>
          <w:rFonts w:eastAsia="Times New Roman" w:cs="Times New Roman"/>
          <w:szCs w:val="24"/>
          <w:lang w:eastAsia="en-ID"/>
        </w:rPr>
        <w:fldChar w:fldCharType="separate"/>
      </w:r>
      <w:r w:rsidR="00BC7989" w:rsidRPr="00BC7989">
        <w:rPr>
          <w:rFonts w:eastAsia="Times New Roman" w:cs="Times New Roman"/>
          <w:noProof/>
          <w:szCs w:val="24"/>
          <w:lang w:eastAsia="en-ID"/>
        </w:rPr>
        <w:t>(1)</w:t>
      </w:r>
      <w:r w:rsidR="00BC7989">
        <w:rPr>
          <w:rFonts w:eastAsia="Times New Roman" w:cs="Times New Roman"/>
          <w:szCs w:val="24"/>
          <w:lang w:eastAsia="en-ID"/>
        </w:rPr>
        <w:fldChar w:fldCharType="end"/>
      </w:r>
      <w:r w:rsidRPr="00B130EF">
        <w:rPr>
          <w:rFonts w:eastAsia="Times New Roman" w:cs="Times New Roman"/>
          <w:szCs w:val="24"/>
          <w:lang w:eastAsia="en-ID"/>
        </w:rPr>
        <w:t>.</w:t>
      </w:r>
    </w:p>
    <w:p w14:paraId="295C4F2A" w14:textId="1C33B8C0"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The global trajectory of indigenous marginalization is frequently exacerbated by structural agrarian and environmental crises. Indigenous peoples worldwide face significant threats from "green grabbing" and large-scale state developmental paradigms, where their collective sovereignty is overridden by national economic interests </w:t>
      </w:r>
      <w:r w:rsidR="005C4662">
        <w:rPr>
          <w:rFonts w:eastAsia="Times New Roman" w:cs="Times New Roman"/>
          <w:szCs w:val="24"/>
          <w:lang w:eastAsia="en-ID"/>
        </w:rPr>
        <w:fldChar w:fldCharType="begin" w:fldLock="1"/>
      </w:r>
      <w:r w:rsidR="005C4662">
        <w:rPr>
          <w:rFonts w:eastAsia="Times New Roman" w:cs="Times New Roman"/>
          <w:szCs w:val="24"/>
          <w:lang w:eastAsia="en-ID"/>
        </w:rPr>
        <w:instrText>ADDIN CSL_CITATION {"citationItems":[{"id":"ITEM-1","itemData":{"DOI":"10.33506/js.v11i3.4601","ISSN":"2686-0821","abstract":"This study aims to examine the threat of green grabbing in the implementation of Law No. 32 of 2024 concerning Natural Resource and Ecosystem Management, with a focus on its impact on land tenure by indigenous peoples and environmental governance. This study uses normative legal research methods by analyzing legislation, international legal instruments, and related academic literature. A doctrinal approach is applied to assess the alignment between the normative ideals of the law and the practical implications of Law No. 32 of 2024, particularly those related to the recognition of customary land rights and environmental management involving indigenous peoples. The novelty of this research lies in its critical assessment of the conservation framework as a potential instrument for land grabbing legalized by the state in the era after the enactment of Law Number 32 of 2024. This research highlights the tension between the goals of ecological preservation and the protection of indigenous peoples' rights, which are often neglected in the implementation of conservation policies. The results of the study show that although Law No. 32 of 2024 contains progressive principles such as community participation and recognition of indigenous peoples, its implementation remains weak. This is reflected in the lack of adequate recognition of customary land rights and the weak application of the Free, Prior, and Informed Consent (FPIC) procedure, which opens up opportunities for the misuse of conservation policies as a pretext for land grabbing. This study concludes that the effectiveness of Law No. 32 of 2024 depends on the establishment of clear technical regulations, strong protection mechanisms for customary territories, and integrative agrarian reform. To prevent conservation policies from becoming a justification for land grabbing, indigenous communities must be recognized not only as affected parties but as key stakeholders in natural resource management.","author":[{"dropping-particle":"","family":"Mandala","given":"Maulana Hendra","non-dropping-particle":"","parse-names":false,"suffix":""},{"dropping-particle":"","family":"Muryani","given":"Maria Ana","non-dropping-particle":"","parse-names":false,"suffix":""},{"dropping-particle":"","family":"Rofiq","given":"M.Khoirur","non-dropping-particle":"","parse-names":false,"suffix":""}],"container-title":"JUSTISI","id":"ITEM-1","issue":"3","issued":{"date-parts":[["2025","9","6"]]},"page":"874-888","title":"The Threat of Green Grabbing to Indigenous Peoples’ Rights in the Implementation of Law Number 32 of 2024","type":"article-journal","volume":"11"},"uris":["http://www.mendeley.com/documents/?uuid=f7722270-601b-4c8a-8d9b-7a2fbe4df914"]}],"mendeley":{"formattedCitation":"(2)","plainTextFormattedCitation":"(2)","previouslyFormattedCitation":"(2)"},"properties":{"noteIndex":0},"schema":"https://github.com/citation-style-language/schema/raw/master/csl-citation.json"}</w:instrText>
      </w:r>
      <w:r w:rsidR="005C4662">
        <w:rPr>
          <w:rFonts w:eastAsia="Times New Roman" w:cs="Times New Roman"/>
          <w:szCs w:val="24"/>
          <w:lang w:eastAsia="en-ID"/>
        </w:rPr>
        <w:fldChar w:fldCharType="separate"/>
      </w:r>
      <w:r w:rsidR="005C4662" w:rsidRPr="005C4662">
        <w:rPr>
          <w:rFonts w:eastAsia="Times New Roman" w:cs="Times New Roman"/>
          <w:noProof/>
          <w:szCs w:val="24"/>
          <w:lang w:eastAsia="en-ID"/>
        </w:rPr>
        <w:t>(2)</w:t>
      </w:r>
      <w:r w:rsidR="005C4662">
        <w:rPr>
          <w:rFonts w:eastAsia="Times New Roman" w:cs="Times New Roman"/>
          <w:szCs w:val="24"/>
          <w:lang w:eastAsia="en-ID"/>
        </w:rPr>
        <w:fldChar w:fldCharType="end"/>
      </w:r>
      <w:r w:rsidRPr="00B130EF">
        <w:rPr>
          <w:rFonts w:eastAsia="Times New Roman" w:cs="Times New Roman"/>
          <w:szCs w:val="24"/>
          <w:lang w:eastAsia="en-ID"/>
        </w:rPr>
        <w:t xml:space="preserve">. State interventions, even those ostensibly designed for national progress, often adopt top-down approaches that ignore the principle of Free, Prior, and Informed Consent (FPIC), turning indigenous communities into objects of development rather than empowered subjects with sovereign rights over their living spaces </w:t>
      </w:r>
      <w:r w:rsidR="005C4662">
        <w:rPr>
          <w:rFonts w:eastAsia="Times New Roman" w:cs="Times New Roman"/>
          <w:szCs w:val="24"/>
          <w:lang w:eastAsia="en-ID"/>
        </w:rPr>
        <w:fldChar w:fldCharType="begin" w:fldLock="1"/>
      </w:r>
      <w:r w:rsidR="00271BAE">
        <w:rPr>
          <w:rFonts w:eastAsia="Times New Roman" w:cs="Times New Roman"/>
          <w:szCs w:val="24"/>
          <w:lang w:eastAsia="en-ID"/>
        </w:rPr>
        <w:instrText>ADDIN CSL_CITATION {"citationItems":[{"id":"ITEM-1","itemData":{"author":[{"dropping-particle":"","family":"ICEL","given":"","non-dropping-particle":"","parse-names":false,"suffix":""}],"id":"ITEM-1","issued":{"date-parts":[["2023"]]},"number-of-pages":"30","publisher-place":"Jakarta","title":"Amici curiae brief: Judicial review UU Cipta Kerja cluster proyek strategis nasional","type":"report"},"uris":["http://www.mendeley.com/documents/?uuid=f078286d-1dff-4a92-a2d6-1bcee712c1e2"]}],"mendeley":{"formattedCitation":"(3)","plainTextFormattedCitation":"(3)","previouslyFormattedCitation":"(3)"},"properties":{"noteIndex":0},"schema":"https://github.com/citation-style-language/schema/raw/master/csl-citation.json"}</w:instrText>
      </w:r>
      <w:r w:rsidR="005C4662">
        <w:rPr>
          <w:rFonts w:eastAsia="Times New Roman" w:cs="Times New Roman"/>
          <w:szCs w:val="24"/>
          <w:lang w:eastAsia="en-ID"/>
        </w:rPr>
        <w:fldChar w:fldCharType="separate"/>
      </w:r>
      <w:r w:rsidR="005C4662" w:rsidRPr="005C4662">
        <w:rPr>
          <w:rFonts w:eastAsia="Times New Roman" w:cs="Times New Roman"/>
          <w:noProof/>
          <w:szCs w:val="24"/>
          <w:lang w:eastAsia="en-ID"/>
        </w:rPr>
        <w:t>(3)</w:t>
      </w:r>
      <w:r w:rsidR="005C4662">
        <w:rPr>
          <w:rFonts w:eastAsia="Times New Roman" w:cs="Times New Roman"/>
          <w:szCs w:val="24"/>
          <w:lang w:eastAsia="en-ID"/>
        </w:rPr>
        <w:fldChar w:fldCharType="end"/>
      </w:r>
      <w:r w:rsidRPr="00B130EF">
        <w:rPr>
          <w:rFonts w:eastAsia="Times New Roman" w:cs="Times New Roman"/>
          <w:szCs w:val="24"/>
          <w:lang w:eastAsia="en-ID"/>
        </w:rPr>
        <w:t>.</w:t>
      </w:r>
    </w:p>
    <w:p w14:paraId="53FC161E" w14:textId="518FF2EF"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lastRenderedPageBreak/>
        <w:t xml:space="preserve">In the context of Indonesia, the existence of customary law communities (Masyarakat Hukum Adat) is formally and constitutionally recognized under Article 18B paragraph (2) and Article 28I paragraph (3) of the 1945 Constitution. However, this constitutional umbrella contains a critical ambiguity. The normative requirement stipulating </w:t>
      </w:r>
      <w:proofErr w:type="gramStart"/>
      <w:r w:rsidRPr="00B130EF">
        <w:rPr>
          <w:rFonts w:eastAsia="Times New Roman" w:cs="Times New Roman"/>
          <w:szCs w:val="24"/>
          <w:lang w:eastAsia="en-ID"/>
        </w:rPr>
        <w:t>that indigenous rights</w:t>
      </w:r>
      <w:proofErr w:type="gramEnd"/>
      <w:r w:rsidRPr="00B130EF">
        <w:rPr>
          <w:rFonts w:eastAsia="Times New Roman" w:cs="Times New Roman"/>
          <w:szCs w:val="24"/>
          <w:lang w:eastAsia="en-ID"/>
        </w:rPr>
        <w:t xml:space="preserve"> are recognized only "as long as they are alive and follow the development of society and the principles of the Unitary State" creates a systemic barrier. This conditional clause forces indigenous communities to prove their existence through rigid, bureaucratic positive law frameworks, an </w:t>
      </w:r>
      <w:proofErr w:type="spellStart"/>
      <w:r w:rsidRPr="00B130EF">
        <w:rPr>
          <w:rFonts w:eastAsia="Times New Roman" w:cs="Times New Roman"/>
          <w:szCs w:val="24"/>
          <w:lang w:eastAsia="en-ID"/>
        </w:rPr>
        <w:t>endeavor</w:t>
      </w:r>
      <w:proofErr w:type="spellEnd"/>
      <w:r w:rsidRPr="00B130EF">
        <w:rPr>
          <w:rFonts w:eastAsia="Times New Roman" w:cs="Times New Roman"/>
          <w:szCs w:val="24"/>
          <w:lang w:eastAsia="en-ID"/>
        </w:rPr>
        <w:t xml:space="preserve"> that often clashes with their organic, unwritten customary traditions </w:t>
      </w:r>
      <w:r w:rsidR="00271BAE">
        <w:rPr>
          <w:rFonts w:eastAsia="Times New Roman" w:cs="Times New Roman"/>
          <w:szCs w:val="24"/>
          <w:lang w:eastAsia="en-ID"/>
        </w:rPr>
        <w:fldChar w:fldCharType="begin" w:fldLock="1"/>
      </w:r>
      <w:r w:rsidR="00A24817">
        <w:rPr>
          <w:rFonts w:eastAsia="Times New Roman" w:cs="Times New Roman"/>
          <w:szCs w:val="24"/>
          <w:lang w:eastAsia="en-ID"/>
        </w:rPr>
        <w:instrText>ADDIN CSL_CITATION {"citationItems":[{"id":"ITEM-1","itemData":{"DOI":"10.5281/zenodo.8418048","author":[{"dropping-particle":"","family":"Neltje","given":"Jeane","non-dropping-particle":"","parse-names":false,"suffix":""},{"dropping-particle":"","family":"Delicia","given":"Nadya Frisca","non-dropping-particle":"","parse-names":false,"suffix":""},{"dropping-particle":"","family":"Putri","given":"Belicia Widhyana Yulia","non-dropping-particle":"","parse-names":false,"suffix":""},{"dropping-particle":"","family":"Lestari","given":"Novianti","non-dropping-particle":"","parse-names":false,"suffix":""}],"container-title":"Jurnal Ilmiah Wahana Pendidikan","id":"ITEM-1","issue":"20","issued":{"date-parts":[["2023"]]},"page":"361-367","title":"Analisis Perlindungan Masyarakat Hukum Adat Ditinjau Dalam Perspektif Hukum Positif Indonesia","type":"article-journal","volume":"9"},"uris":["http://www.mendeley.com/documents/?uuid=f9cdaad1-3793-4518-8515-24d6f1316e70"]}],"mendeley":{"formattedCitation":"(4)","plainTextFormattedCitation":"(4)","previouslyFormattedCitation":"(4)"},"properties":{"noteIndex":0},"schema":"https://github.com/citation-style-language/schema/raw/master/csl-citation.json"}</w:instrText>
      </w:r>
      <w:r w:rsidR="00271BAE">
        <w:rPr>
          <w:rFonts w:eastAsia="Times New Roman" w:cs="Times New Roman"/>
          <w:szCs w:val="24"/>
          <w:lang w:eastAsia="en-ID"/>
        </w:rPr>
        <w:fldChar w:fldCharType="separate"/>
      </w:r>
      <w:r w:rsidR="00271BAE" w:rsidRPr="00271BAE">
        <w:rPr>
          <w:rFonts w:eastAsia="Times New Roman" w:cs="Times New Roman"/>
          <w:noProof/>
          <w:szCs w:val="24"/>
          <w:lang w:eastAsia="en-ID"/>
        </w:rPr>
        <w:t>(4)</w:t>
      </w:r>
      <w:r w:rsidR="00271BAE">
        <w:rPr>
          <w:rFonts w:eastAsia="Times New Roman" w:cs="Times New Roman"/>
          <w:szCs w:val="24"/>
          <w:lang w:eastAsia="en-ID"/>
        </w:rPr>
        <w:fldChar w:fldCharType="end"/>
      </w:r>
      <w:r w:rsidRPr="00B130EF">
        <w:rPr>
          <w:rFonts w:eastAsia="Times New Roman" w:cs="Times New Roman"/>
          <w:szCs w:val="24"/>
          <w:lang w:eastAsia="en-ID"/>
        </w:rPr>
        <w:t>.</w:t>
      </w:r>
    </w:p>
    <w:p w14:paraId="7D54E3F0" w14:textId="0D63FB30"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This legal ambiguity has been further complicated by recent national regulatory shifts. The enactment of the Job Creation Law (UU Cipta </w:t>
      </w:r>
      <w:proofErr w:type="spellStart"/>
      <w:r w:rsidRPr="00B130EF">
        <w:rPr>
          <w:rFonts w:eastAsia="Times New Roman" w:cs="Times New Roman"/>
          <w:szCs w:val="24"/>
          <w:lang w:eastAsia="en-ID"/>
        </w:rPr>
        <w:t>Kerja</w:t>
      </w:r>
      <w:proofErr w:type="spellEnd"/>
      <w:r w:rsidRPr="00B130EF">
        <w:rPr>
          <w:rFonts w:eastAsia="Times New Roman" w:cs="Times New Roman"/>
          <w:szCs w:val="24"/>
          <w:lang w:eastAsia="en-ID"/>
        </w:rPr>
        <w:t>) and its derivative regulations has intensified the vulnerability of customary lands (</w:t>
      </w:r>
      <w:proofErr w:type="spellStart"/>
      <w:r w:rsidRPr="00B130EF">
        <w:rPr>
          <w:rFonts w:eastAsia="Times New Roman" w:cs="Times New Roman"/>
          <w:szCs w:val="24"/>
          <w:lang w:eastAsia="en-ID"/>
        </w:rPr>
        <w:t>tanah</w:t>
      </w:r>
      <w:proofErr w:type="spellEnd"/>
      <w:r w:rsidRPr="00B130EF">
        <w:rPr>
          <w:rFonts w:eastAsia="Times New Roman" w:cs="Times New Roman"/>
          <w:szCs w:val="24"/>
          <w:lang w:eastAsia="en-ID"/>
        </w:rPr>
        <w:t xml:space="preserve"> </w:t>
      </w:r>
      <w:proofErr w:type="spellStart"/>
      <w:r w:rsidRPr="00B130EF">
        <w:rPr>
          <w:rFonts w:eastAsia="Times New Roman" w:cs="Times New Roman"/>
          <w:szCs w:val="24"/>
          <w:lang w:eastAsia="en-ID"/>
        </w:rPr>
        <w:t>ulayat</w:t>
      </w:r>
      <w:proofErr w:type="spellEnd"/>
      <w:r w:rsidRPr="00B130EF">
        <w:rPr>
          <w:rFonts w:eastAsia="Times New Roman" w:cs="Times New Roman"/>
          <w:szCs w:val="24"/>
          <w:lang w:eastAsia="en-ID"/>
        </w:rPr>
        <w:t xml:space="preserve">). Current legal frameworks tend to </w:t>
      </w:r>
      <w:proofErr w:type="spellStart"/>
      <w:r w:rsidRPr="00B130EF">
        <w:rPr>
          <w:rFonts w:eastAsia="Times New Roman" w:cs="Times New Roman"/>
          <w:szCs w:val="24"/>
          <w:lang w:eastAsia="en-ID"/>
        </w:rPr>
        <w:t>favor</w:t>
      </w:r>
      <w:proofErr w:type="spellEnd"/>
      <w:r w:rsidRPr="00B130EF">
        <w:rPr>
          <w:rFonts w:eastAsia="Times New Roman" w:cs="Times New Roman"/>
          <w:szCs w:val="24"/>
          <w:lang w:eastAsia="en-ID"/>
        </w:rPr>
        <w:t xml:space="preserve"> the issuance of Management Rights (</w:t>
      </w:r>
      <w:proofErr w:type="spellStart"/>
      <w:r w:rsidRPr="00B130EF">
        <w:rPr>
          <w:rFonts w:eastAsia="Times New Roman" w:cs="Times New Roman"/>
          <w:szCs w:val="24"/>
          <w:lang w:eastAsia="en-ID"/>
        </w:rPr>
        <w:t>Hak</w:t>
      </w:r>
      <w:proofErr w:type="spellEnd"/>
      <w:r w:rsidRPr="00B130EF">
        <w:rPr>
          <w:rFonts w:eastAsia="Times New Roman" w:cs="Times New Roman"/>
          <w:szCs w:val="24"/>
          <w:lang w:eastAsia="en-ID"/>
        </w:rPr>
        <w:t xml:space="preserve"> Pengelolaan/HPL) and commercial land individualization, which inadvertently facilitate the systemic dispossession of collective indigenous territories by corporate entities and national strategic projects </w:t>
      </w:r>
      <w:r w:rsidR="00A24817">
        <w:rPr>
          <w:rFonts w:eastAsia="Times New Roman" w:cs="Times New Roman"/>
          <w:szCs w:val="24"/>
          <w:lang w:eastAsia="en-ID"/>
        </w:rPr>
        <w:fldChar w:fldCharType="begin" w:fldLock="1"/>
      </w:r>
      <w:r w:rsidR="000C5AB2">
        <w:rPr>
          <w:rFonts w:eastAsia="Times New Roman" w:cs="Times New Roman"/>
          <w:szCs w:val="24"/>
          <w:lang w:eastAsia="en-ID"/>
        </w:rPr>
        <w:instrText>ADDIN CSL_CITATION {"citationItems":[{"id":"ITEM-1","itemData":{"DOI":"10.22225/juinhum.5.1.7166.721-732","ISSN":"2809-977X","abstract":"Indonesia telah mengesahkan Undang-Undang Nomor 11 Tahun 2020 Tentang Cipta Kerja. Konsespi hukum Undang-Undang Nomor 11 Tahun 2020 pada sebagian sektor mengatur mengenai pengakuan hak atas tanah ulayat masyarakat hukum. Jenis penelitian yang digunakan adalah penelitian hukum hukum normatif. Pendekatan hukum yang digunakan dalam penelitian ini adalah pendekatan peraturan perundang-undangan dan pendekatan konsep. Hasil penelitian menunjukkan bahwa Undang-Undang Nomor 11 Tahun 2020 telah mmengatur hak ulayat masyarakat hukum adat pada bidang investasi. Namun dalam pengaturan tersebut, Undang-Undang Nomor 11 Tahun 2020 menerapkan prinsip persetujuan dalam pengelolaan dan pemanfaatan tanah ulayat masyarakat hukum adat. Hal ini sangat bertentangan degan prinsip dalam Free, Prior, and Informed Consent (FPIC) yang mengabaikan dua prinsip lainnya yakni free and prior dalam pengelolaan dan pemanfaatan tanah ulayat masyarakat hukum adat. Pengabaian prinsip FPIC terhadap pengaturan hak-hak masyarakat hukum adat telah menjadikan kedudukan hukum masyarakat hukum adat semakin lemah dalam hal pengambilan keputusan terkait pengelolaan dan pemanfaatan tanah ulayat apabila berhadapan dengan pemerintah atau perusahaan swasta. Sedangkan menurut Teori hukum kritis pengakuan hak masyarakat hukum adat dalam Undang-Undang Nomor 11 Tahun 2020 ditemukan beberapa persoalan baik persoalan pada dimensi prosedural, distributif dan kontekstual. Saran dari penelitian ini adalah UU No. 11 Tahun 2022 perlu dilakukan revisi, revisi UU No. 11 Tahun 2022 dapat direvisi melalui pengujian pasal-pasal yang berkaitan dengan tanah ulayat masyarakat hukum adat di Mahkamah Konstitusi yang mana proses pengujiannya berlandaskan padal Pasal 18 B ayat 2 UUD 1945 terkhusus yang mengatur prinsip persetujuan yang harus berlandaskan pada prinsip Free, Prior, and Informed Consent (FPIC). Selain itu pula, perlu dibuatkan Perpu yang berkaitan pengaturan tanah ulayat dibidang investasi dengan berlandaskan pada prinsip Free, Prior, and Informed Consent (FPIC). Hal ini penting untuk menjamin kepastian hukum masyarakat hukum adat atas tanah ulayat","author":[{"dropping-particle":"","family":"Salam","given":"Safrin","non-dropping-particle":"","parse-names":false,"suffix":""},{"dropping-particle":"","family":"Suhartono","given":"Rizki Mustika","non-dropping-particle":"","parse-names":false,"suffix":""},{"dropping-particle":"","family":"Nurcahyo","given":"Edy","non-dropping-particle":"","parse-names":false,"suffix":""},{"dropping-particle":"","family":"Karim","given":"La Ode Muhammad","non-dropping-particle":"","parse-names":false,"suffix":""},{"dropping-particle":"","family":"Bason","given":"Erick","non-dropping-particle":"","parse-names":false,"suffix":""},{"dropping-particle":"","family":"Sulayman","given":"","non-dropping-particle":"","parse-names":false,"suffix":""}],"container-title":"Jurnal Interpretasi Hukum","id":"ITEM-1","issue":"1","issued":{"date-parts":[["2024","1","3"]]},"page":"721-732","title":"Pengakuan Hak Atas Tanah Ulayat Masyarakat Hukum Adat di Undang-Undang Nomor 11 Tahun 2020 Tentang Cipta Kerja: Perspektfi Teori Hukum Kritis","type":"article-journal","volume":"5"},"uris":["http://www.mendeley.com/documents/?uuid=ed399820-dedd-4dfe-972c-535801511fb2"]},{"id":"ITEM-2","itemData":{"DOI":"10.30812/fundamental.v6i2.5119","ISSN":"2721-7671","abstract":"Penelitian ini bertujuan untuk mengetahui dan menganalisis dampak kehadiran HPL bagi tanah ulayat masyarakat adat pasca UU Cipta Kerja. Tipe penelitian yang digunakan adalah yuridis normatif dengan menggunakan pendekatan perundang-undangan, konseptual, dan historis. Hasil penelitian menunjukkan bahwa: 1) Kehadiran HPL (Hak Pengelolaan) yang diberikan di atas tanah ulayat masyarakat adat memang memiliki manfaat positif, tetapi tidak sebanding dengan problem negatif yang timbul akibat keberadaannya. 2) Peran pemerintah dalam menyelesaikan konflik agraria, pertama-tama adalah mencabut UU Cipta Kerja yang merampas hak masyarakat hukum adat. Kedua, pemerintah juga harus mencabut turunan dari UU tersebut agar penyelesaian konflik agraria dapat tercapai. Yang paling penting, pemerintah perlu menerbitkan RUU Hukum Adat sebagai aturan khusus, mengingat ketentuan mengenai hukum adat saat ini tersebar di berbagai undang-undang lainnya. Dengan demikian, agenda reformasi agraria dapat diwujudkan bukan hanya sebagai slogan semata, tetapi benar-benar nyata dilaksanakan oleh pemerintah.","author":[{"dropping-particle":"","family":"Herwansyah","given":"Herwansyah","non-dropping-particle":"","parse-names":false,"suffix":""}],"container-title":"Jurnal Fundamental Justice","id":"ITEM-2","issue":"2","issued":{"date-parts":[["2025","9","23"]]},"page":"165-176","title":"Analisis Dampak Kehadiran Hak Pengelolaan (HPL) bagi Tanah Ulayat MasyarakatAdat Pasca Disahkannya UU Cipta Kerja","type":"article-journal","volume":"6"},"uris":["http://www.mendeley.com/documents/?uuid=d313bebd-e8b5-400b-9598-06e3c5faab31"]},{"id":"ITEM-3","itemData":{"DOI":"10.51749/eduyustisia.v1i3.88","author":[{"dropping-particle":"","family":"Fariz","given":"Tengku","non-dropping-particle":"","parse-names":false,"suffix":""},{"dropping-particle":"","family":"Kodiyat","given":"Benito Asdhie","non-dropping-particle":"","parse-names":false,"suffix":""}],"container-title":"EduYustisia Jurnal Edukasi Hukum","id":"ITEM-3","issue":"3","issued":{"date-parts":[["2023"]]},"page":"36-42","title":"Perlindungan Hukum Hak Masyarakat Adat Atas Tanah Ulayat Pasca Undang - Undang Cipta Kerja","type":"article-journal","volume":"1"},"uris":["http://www.mendeley.com/documents/?uuid=416f2a51-8780-4252-9a2e-b90b7f698959"]}],"mendeley":{"formattedCitation":"(5–7)","plainTextFormattedCitation":"(5–7)","previouslyFormattedCitation":"(5–7)"},"properties":{"noteIndex":0},"schema":"https://github.com/citation-style-language/schema/raw/master/csl-citation.json"}</w:instrText>
      </w:r>
      <w:r w:rsidR="00A24817">
        <w:rPr>
          <w:rFonts w:eastAsia="Times New Roman" w:cs="Times New Roman"/>
          <w:szCs w:val="24"/>
          <w:lang w:eastAsia="en-ID"/>
        </w:rPr>
        <w:fldChar w:fldCharType="separate"/>
      </w:r>
      <w:r w:rsidR="00A24817" w:rsidRPr="00A24817">
        <w:rPr>
          <w:rFonts w:eastAsia="Times New Roman" w:cs="Times New Roman"/>
          <w:noProof/>
          <w:szCs w:val="24"/>
          <w:lang w:eastAsia="en-ID"/>
        </w:rPr>
        <w:t>(5–7)</w:t>
      </w:r>
      <w:r w:rsidR="00A24817">
        <w:rPr>
          <w:rFonts w:eastAsia="Times New Roman" w:cs="Times New Roman"/>
          <w:szCs w:val="24"/>
          <w:lang w:eastAsia="en-ID"/>
        </w:rPr>
        <w:fldChar w:fldCharType="end"/>
      </w:r>
      <w:r w:rsidRPr="00B130EF">
        <w:rPr>
          <w:rFonts w:eastAsia="Times New Roman" w:cs="Times New Roman"/>
          <w:szCs w:val="24"/>
          <w:lang w:eastAsia="en-ID"/>
        </w:rPr>
        <w:t xml:space="preserve">. Consequently, the principle of in </w:t>
      </w:r>
      <w:proofErr w:type="spellStart"/>
      <w:r w:rsidRPr="00B130EF">
        <w:rPr>
          <w:rFonts w:eastAsia="Times New Roman" w:cs="Times New Roman"/>
          <w:szCs w:val="24"/>
          <w:lang w:eastAsia="en-ID"/>
        </w:rPr>
        <w:t>dubio</w:t>
      </w:r>
      <w:proofErr w:type="spellEnd"/>
      <w:r w:rsidRPr="00B130EF">
        <w:rPr>
          <w:rFonts w:eastAsia="Times New Roman" w:cs="Times New Roman"/>
          <w:szCs w:val="24"/>
          <w:lang w:eastAsia="en-ID"/>
        </w:rPr>
        <w:t xml:space="preserve"> pro natura</w:t>
      </w:r>
      <w:r>
        <w:rPr>
          <w:rFonts w:eastAsia="Times New Roman" w:cs="Times New Roman"/>
          <w:szCs w:val="24"/>
          <w:lang w:eastAsia="en-ID"/>
        </w:rPr>
        <w:t xml:space="preserve"> </w:t>
      </w:r>
      <w:r w:rsidRPr="00B130EF">
        <w:rPr>
          <w:rFonts w:eastAsia="Times New Roman" w:cs="Times New Roman"/>
          <w:szCs w:val="24"/>
          <w:lang w:eastAsia="en-ID"/>
        </w:rPr>
        <w:t xml:space="preserve">when in doubt, </w:t>
      </w:r>
      <w:proofErr w:type="spellStart"/>
      <w:r w:rsidRPr="00B130EF">
        <w:rPr>
          <w:rFonts w:eastAsia="Times New Roman" w:cs="Times New Roman"/>
          <w:szCs w:val="24"/>
          <w:lang w:eastAsia="en-ID"/>
        </w:rPr>
        <w:t>favor</w:t>
      </w:r>
      <w:proofErr w:type="spellEnd"/>
      <w:r w:rsidRPr="00B130EF">
        <w:rPr>
          <w:rFonts w:eastAsia="Times New Roman" w:cs="Times New Roman"/>
          <w:szCs w:val="24"/>
          <w:lang w:eastAsia="en-ID"/>
        </w:rPr>
        <w:t xml:space="preserve"> nature and its traditional guardians</w:t>
      </w:r>
      <w:r>
        <w:rPr>
          <w:rFonts w:eastAsia="Times New Roman" w:cs="Times New Roman"/>
          <w:szCs w:val="24"/>
          <w:lang w:eastAsia="en-ID"/>
        </w:rPr>
        <w:t xml:space="preserve"> </w:t>
      </w:r>
      <w:r w:rsidRPr="00B130EF">
        <w:rPr>
          <w:rFonts w:eastAsia="Times New Roman" w:cs="Times New Roman"/>
          <w:szCs w:val="24"/>
          <w:lang w:eastAsia="en-ID"/>
        </w:rPr>
        <w:t xml:space="preserve">is frequently neglected in the enforcement of environmental and agrarian policies </w:t>
      </w:r>
      <w:r w:rsidR="000C5AB2">
        <w:rPr>
          <w:rFonts w:eastAsia="Times New Roman" w:cs="Times New Roman"/>
          <w:szCs w:val="24"/>
          <w:lang w:eastAsia="en-ID"/>
        </w:rPr>
        <w:fldChar w:fldCharType="begin" w:fldLock="1"/>
      </w:r>
      <w:r w:rsidR="000C5AB2">
        <w:rPr>
          <w:rFonts w:eastAsia="Times New Roman" w:cs="Times New Roman"/>
          <w:szCs w:val="24"/>
          <w:lang w:eastAsia="en-ID"/>
        </w:rPr>
        <w:instrText>ADDIN CSL_CITATION {"citationItems":[{"id":"ITEM-1","itemData":{"DOI":"10.38035/jihhp.v5i6.5855","ISSN":"2747-1993","abstract":"Permasalahan pencemaran lingkungan hidup di Indonesia terus mengalami peningkatan seiring dengan pesatnya aktivitas industri, urbanisasi, dan eksploitasi sumber daya alam. Meski telah diatur dalam Undang-Undang Nomor 32 Tahun 2009 tentang Perlindungan dan Pengelolaan Lingkungan Hidup, pelaksanaan penegakan hukum terhadap pelaku pencemaran masih menghadapi berbagai kendala, khususnya dalam aspek pembuktian di pengadilan. Dalam situasi demikian, prinsip In Dubio Pro Natura menjadi relevan untuk diterapkan sebagai asas hukum lingkungan yang mengutamakan keberpihakan kepada alam saat terjadi keraguan dalam proses peradilan. Penelitian ini bertujuan untuk menganalisis eksistensi dan urgensi prinsip In Dubio Pro Natura dalam sistem hukum lingkungan Indonesia serta potensi penerapannya dalam penegakan hukum terhadap pelaku pencemaran lingkungan. Metode penelitian yang digunakan adalah yuridis normatif dengan pendekatan perundang-undangan, konseptual, dan komparatif terhadap praktik hukum lingkungan di beberapa negara yang telah menerapkan prinsip tersebut. Hasil penelitian menunjukkan bahwa meskipun prinsip In Dubio Pro Natura belum diatur secara eksplisit dalam hukum positif Indonesia, substansi dan semangatnya telah tercermin dalam prinsip kehati-hatian dan prinsip tanggung jawab negara dalam menjaga kelestarian lingkungan. Penerapan prinsip ini dipandang penting untuk memperkuat posisi hukum lingkungan dalam menghadapi berbagai tantangan pembuktian, sekaligus sebagai langkah progresif dalam mewujudkan keadilan ekologis. Penelitian ini merekomendasikan agar prinsip In Dubio Pro Natura diakomodasi secara tegas dalam peraturan perundang-undangan nasional dan diterapkan dalam praktik peradilan lingkungan guna memastikan perlindungan maksimal terhadap alam serta memberikan kepastian hukum bagi masyarakat dalam memperoleh hak atas lingkungan hidup yang baik dan sehat.","author":[{"dropping-particle":"","family":"Shah","given":"Saifullah Fakhreza","non-dropping-particle":"","parse-names":false,"suffix":""},{"dropping-particle":"","family":"Syahrin","given":"Alvi","non-dropping-particle":"","parse-names":false,"suffix":""},{"dropping-particle":"","family":"Sutiartono","given":"Sutiartono","non-dropping-particle":"","parse-names":false,"suffix":""}],"container-title":"Jurnal Ilmu Hukum, Humaniora dan Politik","id":"ITEM-1","issue":"6","issued":{"date-parts":[["2025","9","20"]]},"page":"5179-5193","title":"Eksistensi Prinsip In Dubio Pro Natura dalam Penegakan Hukum terhadap Pelaku Pencemaran Lingkungan Hidup","type":"article-journal","volume":"5"},"uris":["http://www.mendeley.com/documents/?uuid=2d1637ce-cdb2-44e1-ba5f-83a7e4a828dd"]}],"mendeley":{"formattedCitation":"(8)","plainTextFormattedCitation":"(8)","previouslyFormattedCitation":"(8)"},"properties":{"noteIndex":0},"schema":"https://github.com/citation-style-language/schema/raw/master/csl-citation.json"}</w:instrText>
      </w:r>
      <w:r w:rsidR="000C5AB2">
        <w:rPr>
          <w:rFonts w:eastAsia="Times New Roman" w:cs="Times New Roman"/>
          <w:szCs w:val="24"/>
          <w:lang w:eastAsia="en-ID"/>
        </w:rPr>
        <w:fldChar w:fldCharType="separate"/>
      </w:r>
      <w:r w:rsidR="000C5AB2" w:rsidRPr="000C5AB2">
        <w:rPr>
          <w:rFonts w:eastAsia="Times New Roman" w:cs="Times New Roman"/>
          <w:noProof/>
          <w:szCs w:val="24"/>
          <w:lang w:eastAsia="en-ID"/>
        </w:rPr>
        <w:t>(8)</w:t>
      </w:r>
      <w:r w:rsidR="000C5AB2">
        <w:rPr>
          <w:rFonts w:eastAsia="Times New Roman" w:cs="Times New Roman"/>
          <w:szCs w:val="24"/>
          <w:lang w:eastAsia="en-ID"/>
        </w:rPr>
        <w:fldChar w:fldCharType="end"/>
      </w:r>
      <w:r w:rsidRPr="00B130EF">
        <w:rPr>
          <w:rFonts w:eastAsia="Times New Roman" w:cs="Times New Roman"/>
          <w:szCs w:val="24"/>
          <w:lang w:eastAsia="en-ID"/>
        </w:rPr>
        <w:t>.</w:t>
      </w:r>
      <w:r w:rsidR="00A24817" w:rsidRPr="00A24817">
        <w:t xml:space="preserve"> </w:t>
      </w:r>
    </w:p>
    <w:p w14:paraId="2F5434F1" w14:textId="004D2F25"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The tangible urgency of this normative failure is reflected in the escalating number of agrarian conflicts nationwide. In 2024 alone, the Indigenous Peoples Alliance of the Archipelago (AMAN) recorded at least 121 agrarian conflicts directly impacting indigenous communities. These conflicts resulted in the dispossession of over 2.82 million hectares of customary territories, primarily driven by overlapping concessions for large-scale plantations, mining operations, and infrastructure projects</w:t>
      </w:r>
      <w:r w:rsidR="000C5AB2">
        <w:rPr>
          <w:rFonts w:eastAsia="Times New Roman" w:cs="Times New Roman"/>
          <w:szCs w:val="24"/>
          <w:lang w:eastAsia="en-ID"/>
        </w:rPr>
        <w:t xml:space="preserve"> </w:t>
      </w:r>
      <w:r w:rsidR="000C5AB2">
        <w:rPr>
          <w:rFonts w:eastAsia="Times New Roman" w:cs="Times New Roman"/>
          <w:szCs w:val="24"/>
          <w:lang w:eastAsia="en-ID"/>
        </w:rPr>
        <w:fldChar w:fldCharType="begin" w:fldLock="1"/>
      </w:r>
      <w:r w:rsidR="00E30F2D">
        <w:rPr>
          <w:rFonts w:eastAsia="Times New Roman" w:cs="Times New Roman"/>
          <w:szCs w:val="24"/>
          <w:lang w:eastAsia="en-ID"/>
        </w:rPr>
        <w:instrText>ADDIN CSL_CITATION {"citationItems":[{"id":"ITEM-1","itemData":{"author":[{"dropping-particle":"","family":"AMAN (Aliansi Masyarakat Adat Nusantara)","given":"","non-dropping-particle":"","parse-names":false,"suffix":""}],"id":"ITEM-1","issued":{"date-parts":[["2024"]]},"number-of-pages":"48","publisher-place":"Jakarta","title":"Catatan Akhir Tahun 2024 Aliansi Masyarakat Adat Nusantara","type":"report"},"uris":["http://www.mendeley.com/documents/?uuid=5b78319f-aff0-4637-8714-575cbeb4c2fc"]}],"mendeley":{"formattedCitation":"(9)","plainTextFormattedCitation":"(9)","previouslyFormattedCitation":"(9)"},"properties":{"noteIndex":0},"schema":"https://github.com/citation-style-language/schema/raw/master/csl-citation.json"}</w:instrText>
      </w:r>
      <w:r w:rsidR="000C5AB2">
        <w:rPr>
          <w:rFonts w:eastAsia="Times New Roman" w:cs="Times New Roman"/>
          <w:szCs w:val="24"/>
          <w:lang w:eastAsia="en-ID"/>
        </w:rPr>
        <w:fldChar w:fldCharType="separate"/>
      </w:r>
      <w:r w:rsidR="000C5AB2" w:rsidRPr="000C5AB2">
        <w:rPr>
          <w:rFonts w:eastAsia="Times New Roman" w:cs="Times New Roman"/>
          <w:noProof/>
          <w:szCs w:val="24"/>
          <w:lang w:eastAsia="en-ID"/>
        </w:rPr>
        <w:t>(9)</w:t>
      </w:r>
      <w:r w:rsidR="000C5AB2">
        <w:rPr>
          <w:rFonts w:eastAsia="Times New Roman" w:cs="Times New Roman"/>
          <w:szCs w:val="24"/>
          <w:lang w:eastAsia="en-ID"/>
        </w:rPr>
        <w:fldChar w:fldCharType="end"/>
      </w:r>
      <w:r w:rsidRPr="00B130EF">
        <w:rPr>
          <w:rFonts w:eastAsia="Times New Roman" w:cs="Times New Roman"/>
          <w:szCs w:val="24"/>
          <w:lang w:eastAsia="en-ID"/>
        </w:rPr>
        <w:t xml:space="preserve">. This absence of legal certainty does not merely strip communities of their physical assets but systematically destroys their cultural identity and socio-economic resilience </w:t>
      </w:r>
      <w:r w:rsidR="00E30F2D">
        <w:rPr>
          <w:rFonts w:eastAsia="Times New Roman" w:cs="Times New Roman"/>
          <w:szCs w:val="24"/>
          <w:lang w:eastAsia="en-ID"/>
        </w:rPr>
        <w:fldChar w:fldCharType="begin" w:fldLock="1"/>
      </w:r>
      <w:r w:rsidR="003078DA">
        <w:rPr>
          <w:rFonts w:eastAsia="Times New Roman" w:cs="Times New Roman"/>
          <w:szCs w:val="24"/>
          <w:lang w:eastAsia="en-ID"/>
        </w:rPr>
        <w:instrText>ADDIN CSL_CITATION {"citationItems":[{"id":"ITEM-1","itemData":{"DOI":"10.62383/amandemen.v2i3.1060","ISSN":"3032-5854","abstract":"The National Strategic Projects (PSN) launched by the Indonesian government aim to accelerate development and drive national economic growth. However, in practice, many of these projects overlap with customary territories that lack formal legal certainty. This legal uncertainty gives rise to various problems, such as agrarian conflicts, criminalization of indigenous peoples, and the loss of living space and cultural identity of local communities. This study aims to analyze the forms of legal uncertainty experienced by indigenous peoples in the implementation of PSN and its impact on the protection of their collective rights. Additionally, this study explores the relevance of the principle of legal pluralism as a normative foundation for reforming national development policies to be more inclusive and ensure legal certainty for indigenous peoples. The approach used is normative qualitative with a literature study of regulations, court decisions, and reports from civil society organizations. The results of the analysis show that the legal imbalance between state law and customary law is the root cause of the marginalization of indigenous peoples in large-scale national development projects. The principle of legal pluralism, which recognizes the existence of customary law as a legitimate legal system, can be an alternative approach in formulating future development policies. The application of legal pluralism enables the state to build a development model based on social justice, participation, and respect for legal and cultural diversity. Thus, policy reform based on legal pluralism is an urgent necessity in addressing the challenges of structural justice for indigenous communities amid the tide of national development.","author":[{"dropping-particle":"","family":"Nabil","given":"Muhammad Mujab","non-dropping-particle":"","parse-names":false,"suffix":""},{"dropping-particle":"","family":"Salim","given":"Zahran Qolbi","non-dropping-particle":"","parse-names":false,"suffix":""},{"dropping-particle":"","family":"Pramesthi","given":"Amelia Nabila","non-dropping-particle":"","parse-names":false,"suffix":""},{"dropping-particle":"","family":"Tinambunan","given":"Ianju Parlindungan","non-dropping-particle":"","parse-names":false,"suffix":""}],"container-title":"Amandemen: Jurnal Ilmu pertahanan, Politik dan Hukum Indonesia","id":"ITEM-1","issue":"3","issued":{"date-parts":[["2025","6","18"]]},"page":"194-205","title":"Analisis Ketiadaan Kepastian Hukum bagi Masyarakat Adat dalam Proyek Strategis Nasional Guna Mendorong Revisi Kebijakan Pembangunan Nasional Berdasarkan Prinsip Pluralisme Hukum","type":"article-journal","volume":"2"},"uris":["http://www.mendeley.com/documents/?uuid=f4a5d8ef-4529-4f45-8c57-cc45c63def7a"]}],"mendeley":{"formattedCitation":"(10)","plainTextFormattedCitation":"(10)","previouslyFormattedCitation":"(10)"},"properties":{"noteIndex":0},"schema":"https://github.com/citation-style-language/schema/raw/master/csl-citation.json"}</w:instrText>
      </w:r>
      <w:r w:rsidR="00E30F2D">
        <w:rPr>
          <w:rFonts w:eastAsia="Times New Roman" w:cs="Times New Roman"/>
          <w:szCs w:val="24"/>
          <w:lang w:eastAsia="en-ID"/>
        </w:rPr>
        <w:fldChar w:fldCharType="separate"/>
      </w:r>
      <w:r w:rsidR="00E30F2D" w:rsidRPr="00E30F2D">
        <w:rPr>
          <w:rFonts w:eastAsia="Times New Roman" w:cs="Times New Roman"/>
          <w:noProof/>
          <w:szCs w:val="24"/>
          <w:lang w:eastAsia="en-ID"/>
        </w:rPr>
        <w:t>(10)</w:t>
      </w:r>
      <w:r w:rsidR="00E30F2D">
        <w:rPr>
          <w:rFonts w:eastAsia="Times New Roman" w:cs="Times New Roman"/>
          <w:szCs w:val="24"/>
          <w:lang w:eastAsia="en-ID"/>
        </w:rPr>
        <w:fldChar w:fldCharType="end"/>
      </w:r>
      <w:r w:rsidRPr="00B130EF">
        <w:rPr>
          <w:rFonts w:eastAsia="Times New Roman" w:cs="Times New Roman"/>
          <w:szCs w:val="24"/>
          <w:lang w:eastAsia="en-ID"/>
        </w:rPr>
        <w:t xml:space="preserve">. Cases such as the resistance of the </w:t>
      </w:r>
      <w:proofErr w:type="spellStart"/>
      <w:r w:rsidRPr="00B130EF">
        <w:rPr>
          <w:rFonts w:eastAsia="Times New Roman" w:cs="Times New Roman"/>
          <w:szCs w:val="24"/>
          <w:lang w:eastAsia="en-ID"/>
        </w:rPr>
        <w:t>Awyu</w:t>
      </w:r>
      <w:proofErr w:type="spellEnd"/>
      <w:r w:rsidRPr="00B130EF">
        <w:rPr>
          <w:rFonts w:eastAsia="Times New Roman" w:cs="Times New Roman"/>
          <w:szCs w:val="24"/>
          <w:lang w:eastAsia="en-ID"/>
        </w:rPr>
        <w:t xml:space="preserve"> Tribe against massive plantation corporations in Papua serve as stark proxies illustrating how widespread structural agrarian conflicts trigger the political mobilization and marginalization of indigenous groups across the archipelago</w:t>
      </w:r>
      <w:r w:rsidR="003078DA">
        <w:rPr>
          <w:rFonts w:eastAsia="Times New Roman" w:cs="Times New Roman"/>
          <w:szCs w:val="24"/>
          <w:lang w:eastAsia="en-ID"/>
        </w:rPr>
        <w:t xml:space="preserve"> </w:t>
      </w:r>
      <w:r w:rsidR="003078DA">
        <w:rPr>
          <w:rFonts w:eastAsia="Times New Roman" w:cs="Times New Roman"/>
          <w:szCs w:val="24"/>
          <w:lang w:eastAsia="en-ID"/>
        </w:rPr>
        <w:fldChar w:fldCharType="begin" w:fldLock="1"/>
      </w:r>
      <w:r w:rsidR="00A950A9">
        <w:rPr>
          <w:rFonts w:eastAsia="Times New Roman" w:cs="Times New Roman"/>
          <w:szCs w:val="24"/>
          <w:lang w:eastAsia="en-ID"/>
        </w:rPr>
        <w:instrText>ADDIN CSL_CITATION {"citationItems":[{"id":"ITEM-1","itemData":{"DOI":"10.36563/publiciana.v17i02.1140","author":[{"dropping-particle":"","family":"Vandito","given":"Revo Linggar","non-dropping-particle":"","parse-names":false,"suffix":""},{"dropping-particle":"","family":"Paramesti","given":"Artanti","non-dropping-particle":"","parse-names":false,"suffix":""}],"container-title":"Publiciana","id":"ITEM-1","issue":"2","issued":{"date-parts":[["2024"]]},"page":"91-106","title":"Partisipasi Politik Masyarakat Adat Dalam Konflik Agraria Di Papua: Studi Kasus Partisipasi Suku Awyu Melawan PT Megakarya Jaya Raya Dan PT Kartika Cipta Pratama","type":"article-journal","volume":"17"},"uris":["http://www.mendeley.com/documents/?uuid=af1307e2-3fe4-4b88-9d57-41fdb2d74d95"]}],"mendeley":{"formattedCitation":"(11)","plainTextFormattedCitation":"(11)","previouslyFormattedCitation":"(11)"},"properties":{"noteIndex":0},"schema":"https://github.com/citation-style-language/schema/raw/master/csl-citation.json"}</w:instrText>
      </w:r>
      <w:r w:rsidR="003078DA">
        <w:rPr>
          <w:rFonts w:eastAsia="Times New Roman" w:cs="Times New Roman"/>
          <w:szCs w:val="24"/>
          <w:lang w:eastAsia="en-ID"/>
        </w:rPr>
        <w:fldChar w:fldCharType="separate"/>
      </w:r>
      <w:r w:rsidR="003078DA" w:rsidRPr="003078DA">
        <w:rPr>
          <w:rFonts w:eastAsia="Times New Roman" w:cs="Times New Roman"/>
          <w:noProof/>
          <w:szCs w:val="24"/>
          <w:lang w:eastAsia="en-ID"/>
        </w:rPr>
        <w:t>(11)</w:t>
      </w:r>
      <w:r w:rsidR="003078DA">
        <w:rPr>
          <w:rFonts w:eastAsia="Times New Roman" w:cs="Times New Roman"/>
          <w:szCs w:val="24"/>
          <w:lang w:eastAsia="en-ID"/>
        </w:rPr>
        <w:fldChar w:fldCharType="end"/>
      </w:r>
      <w:r w:rsidRPr="00B130EF">
        <w:rPr>
          <w:rFonts w:eastAsia="Times New Roman" w:cs="Times New Roman"/>
          <w:szCs w:val="24"/>
          <w:lang w:eastAsia="en-ID"/>
        </w:rPr>
        <w:t>.</w:t>
      </w:r>
    </w:p>
    <w:p w14:paraId="606978FD" w14:textId="43CD1ADC"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At the core of this marginalization is a profound crisis in public policy formulation, specifically the absence of meaningful participation. The state's bureaucratic machinery frequently formulates policies affecting indigenous lives without engaging them in genuine dialogic processes</w:t>
      </w:r>
      <w:r w:rsidR="00566E3E">
        <w:rPr>
          <w:rFonts w:eastAsia="Times New Roman" w:cs="Times New Roman"/>
          <w:szCs w:val="24"/>
          <w:lang w:eastAsia="en-ID"/>
        </w:rPr>
        <w:t xml:space="preserve"> </w:t>
      </w:r>
      <w:r w:rsidR="00A950A9">
        <w:rPr>
          <w:rFonts w:eastAsia="Times New Roman" w:cs="Times New Roman"/>
          <w:szCs w:val="24"/>
          <w:lang w:eastAsia="en-ID"/>
        </w:rPr>
        <w:fldChar w:fldCharType="begin" w:fldLock="1"/>
      </w:r>
      <w:r w:rsidR="00A950A9">
        <w:rPr>
          <w:rFonts w:eastAsia="Times New Roman" w:cs="Times New Roman"/>
          <w:szCs w:val="24"/>
          <w:lang w:eastAsia="en-ID"/>
        </w:rPr>
        <w:instrText>ADDIN CSL_CITATION {"citationItems":[{"id":"ITEM-1","itemData":{"author":[{"dropping-particle":"","family":"Julianova","given":"Thevanisa","non-dropping-particle":"","parse-names":false,"suffix":""},{"dropping-particle":"","family":"Flambonita","given":"Suci","non-dropping-particle":"","parse-names":false,"suffix":""},{"dropping-particle":"","family":"Apriyani","given":"Lusi","non-dropping-particle":"","parse-names":false,"suffix":""}],"id":"ITEM-1","issued":{"date-parts":[["2025"]]},"publisher":"Sriwijaya University","title":"Penerapan Meaningful Participation Dalam Pembentukan Undang-Undang Nomor 6 Tahun 2023 Pasca Putusan Mahkamah Konstitusi Nomor 91/PUU-XVIII/2020","type":"thesis"},"uris":["http://www.mendeley.com/documents/?uuid=06a961c5-354b-44f3-89de-e3029c47eab2"]}],"mendeley":{"formattedCitation":"(12)","plainTextFormattedCitation":"(12)","previouslyFormattedCitation":"(12)"},"properties":{"noteIndex":0},"schema":"https://github.com/citation-style-language/schema/raw/master/csl-citation.json"}</w:instrText>
      </w:r>
      <w:r w:rsidR="00A950A9">
        <w:rPr>
          <w:rFonts w:eastAsia="Times New Roman" w:cs="Times New Roman"/>
          <w:szCs w:val="24"/>
          <w:lang w:eastAsia="en-ID"/>
        </w:rPr>
        <w:fldChar w:fldCharType="separate"/>
      </w:r>
      <w:r w:rsidR="00A950A9" w:rsidRPr="00A950A9">
        <w:rPr>
          <w:rFonts w:eastAsia="Times New Roman" w:cs="Times New Roman"/>
          <w:noProof/>
          <w:szCs w:val="24"/>
          <w:lang w:eastAsia="en-ID"/>
        </w:rPr>
        <w:t>(12)</w:t>
      </w:r>
      <w:r w:rsidR="00A950A9">
        <w:rPr>
          <w:rFonts w:eastAsia="Times New Roman" w:cs="Times New Roman"/>
          <w:szCs w:val="24"/>
          <w:lang w:eastAsia="en-ID"/>
        </w:rPr>
        <w:fldChar w:fldCharType="end"/>
      </w:r>
      <w:r w:rsidRPr="00B130EF">
        <w:rPr>
          <w:rFonts w:eastAsia="Times New Roman" w:cs="Times New Roman"/>
          <w:szCs w:val="24"/>
          <w:lang w:eastAsia="en-ID"/>
        </w:rPr>
        <w:t xml:space="preserve">. From a modern public administration perspective, overcoming this crisis requires a decentralized approach where the state actively protects vulnerable groups through responsive local governance systems </w:t>
      </w:r>
      <w:r w:rsidR="00A950A9">
        <w:rPr>
          <w:rFonts w:eastAsia="Times New Roman" w:cs="Times New Roman"/>
          <w:szCs w:val="24"/>
          <w:lang w:eastAsia="en-ID"/>
        </w:rPr>
        <w:fldChar w:fldCharType="begin" w:fldLock="1"/>
      </w:r>
      <w:r w:rsidR="00A44603">
        <w:rPr>
          <w:rFonts w:eastAsia="Times New Roman" w:cs="Times New Roman"/>
          <w:szCs w:val="24"/>
          <w:lang w:eastAsia="en-ID"/>
        </w:rPr>
        <w:instrText>ADDIN CSL_CITATION {"citationItems":[{"id":"ITEM-1","itemData":{"ISBN":"9786235173245","PMID":"38252772","author":[{"dropping-particle":"","family":"Saputra","given":"Ginanjar Wira","non-dropping-particle":"","parse-names":false,"suffix":""},{"dropping-particle":"","family":"Kurniawati","given":"","non-dropping-particle":"","parse-names":false,"suffix":""},{"dropping-particle":"","family":"Susilawati","given":"","non-dropping-particle":"","parse-names":false,"suffix":""}],"edition":"Pertama","id":"ITEM-1","issued":{"date-parts":[["2025"]]},"number-of-pages":"i-vii, 1-107","publisher":"CV. Dewa Publishing","publisher-place":"Nganjuk","title":"Manajemen Pemerintahan Daerah dan Desa: Konsep Dinamika dan Implementasi di Indonesia","type":"book"},"uris":["http://www.mendeley.com/documents/?uuid=3ec4c755-0224-4891-b4f5-e856cc05cd8a"]}],"mendeley":{"formattedCitation":"(13)","plainTextFormattedCitation":"(13)","previouslyFormattedCitation":"(13)"},"properties":{"noteIndex":0},"schema":"https://github.com/citation-style-language/schema/raw/master/csl-citation.json"}</w:instrText>
      </w:r>
      <w:r w:rsidR="00A950A9">
        <w:rPr>
          <w:rFonts w:eastAsia="Times New Roman" w:cs="Times New Roman"/>
          <w:szCs w:val="24"/>
          <w:lang w:eastAsia="en-ID"/>
        </w:rPr>
        <w:fldChar w:fldCharType="separate"/>
      </w:r>
      <w:r w:rsidR="00A950A9" w:rsidRPr="00A950A9">
        <w:rPr>
          <w:rFonts w:eastAsia="Times New Roman" w:cs="Times New Roman"/>
          <w:noProof/>
          <w:szCs w:val="24"/>
          <w:lang w:eastAsia="en-ID"/>
        </w:rPr>
        <w:t>(13)</w:t>
      </w:r>
      <w:r w:rsidR="00A950A9">
        <w:rPr>
          <w:rFonts w:eastAsia="Times New Roman" w:cs="Times New Roman"/>
          <w:szCs w:val="24"/>
          <w:lang w:eastAsia="en-ID"/>
        </w:rPr>
        <w:fldChar w:fldCharType="end"/>
      </w:r>
      <w:r w:rsidRPr="00B130EF">
        <w:rPr>
          <w:rFonts w:eastAsia="Times New Roman" w:cs="Times New Roman"/>
          <w:szCs w:val="24"/>
          <w:lang w:eastAsia="en-ID"/>
        </w:rPr>
        <w:t>. The shift toward regional autonomy technically mandates local governments to act as the primary shield for indigenous peoples, requiring them to translate constitutional recognition into actionable regional policies.</w:t>
      </w:r>
    </w:p>
    <w:p w14:paraId="21BC5AD7" w14:textId="296A845F"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To address these overarching issues at the local level, regional governments have the authority to enact specific Regional Regulations (</w:t>
      </w:r>
      <w:proofErr w:type="spellStart"/>
      <w:r w:rsidRPr="00B130EF">
        <w:rPr>
          <w:rFonts w:eastAsia="Times New Roman" w:cs="Times New Roman"/>
          <w:szCs w:val="24"/>
          <w:lang w:eastAsia="en-ID"/>
        </w:rPr>
        <w:t>Peraturan</w:t>
      </w:r>
      <w:proofErr w:type="spellEnd"/>
      <w:r w:rsidRPr="00B130EF">
        <w:rPr>
          <w:rFonts w:eastAsia="Times New Roman" w:cs="Times New Roman"/>
          <w:szCs w:val="24"/>
          <w:lang w:eastAsia="en-ID"/>
        </w:rPr>
        <w:t xml:space="preserve"> Daerah/</w:t>
      </w:r>
      <w:proofErr w:type="spellStart"/>
      <w:r w:rsidRPr="00B130EF">
        <w:rPr>
          <w:rFonts w:eastAsia="Times New Roman" w:cs="Times New Roman"/>
          <w:szCs w:val="24"/>
          <w:lang w:eastAsia="en-ID"/>
        </w:rPr>
        <w:t>Perda</w:t>
      </w:r>
      <w:proofErr w:type="spellEnd"/>
      <w:r w:rsidRPr="00B130EF">
        <w:rPr>
          <w:rFonts w:eastAsia="Times New Roman" w:cs="Times New Roman"/>
          <w:szCs w:val="24"/>
          <w:lang w:eastAsia="en-ID"/>
        </w:rPr>
        <w:t xml:space="preserve">). Through collaborative governance, local authorities must bridge the gap between formal bureaucratic procedures and dynamic customary laws, aiming to establish legitimate social synergy </w:t>
      </w:r>
      <w:r w:rsidR="00A44603">
        <w:rPr>
          <w:rFonts w:eastAsia="Times New Roman" w:cs="Times New Roman"/>
          <w:szCs w:val="24"/>
          <w:lang w:eastAsia="en-ID"/>
        </w:rPr>
        <w:fldChar w:fldCharType="begin" w:fldLock="1"/>
      </w:r>
      <w:r w:rsidR="00A44603">
        <w:rPr>
          <w:rFonts w:eastAsia="Times New Roman" w:cs="Times New Roman"/>
          <w:szCs w:val="24"/>
          <w:lang w:eastAsia="en-ID"/>
        </w:rPr>
        <w:instrText>ADDIN CSL_CITATION {"citationItems":[{"id":"ITEM-1","itemData":{"DOI":"10.63822/txcghp67","author":[{"dropping-particle":"","family":"Wika","given":"Martinus","non-dropping-particle":"","parse-names":false,"suffix":""}],"container-title":"Jurnal Ilmu Sosial Dan Humaniora","id":"ITEM-1","issue":"4","issued":{"date-parts":[["2025"]]},"page":"1909-1920","title":"Implementasi Kebijakan Pembangunan Kampung di Kawasan Adat: Studi Kasus Peran Pemerintah Kampung di Merauke","type":"article-journal","volume":"1"},"uris":["http://www.mendeley.com/documents/?uuid=f4a0a259-5d10-443e-9465-8cff330589f9"]},{"id":"ITEM-2","itemData":{"DOI":"10.63822/9grpkg89","author":[{"dropping-particle":"","family":"Nathan","given":"Ivone Agustina","non-dropping-particle":"","parse-names":false,"suffix":""}],"container-title":"Jurnal Ilmu Sosial Dan Humaniora","id":"ITEM-2","issue":"1","issued":{"date-parts":[["2026"]]},"page":"802-812","title":"Partisipasi Masyarakat Adat dalam Perencanaan Pembangunan Daerah: Perspektif Tata Kelola Inklusif","type":"article-journal","volume":"2"},"uris":["http://www.mendeley.com/documents/?uuid=5f337461-4930-4ed6-8cf6-073eae5c58ed"]}],"mendeley":{"formattedCitation":"(14,15)","plainTextFormattedCitation":"(14,15)","previouslyFormattedCitation":"(14,15)"},"properties":{"noteIndex":0},"schema":"https://github.com/citation-style-language/schema/raw/master/csl-citation.json"}</w:instrText>
      </w:r>
      <w:r w:rsidR="00A44603">
        <w:rPr>
          <w:rFonts w:eastAsia="Times New Roman" w:cs="Times New Roman"/>
          <w:szCs w:val="24"/>
          <w:lang w:eastAsia="en-ID"/>
        </w:rPr>
        <w:fldChar w:fldCharType="separate"/>
      </w:r>
      <w:r w:rsidR="00A44603" w:rsidRPr="00A44603">
        <w:rPr>
          <w:rFonts w:eastAsia="Times New Roman" w:cs="Times New Roman"/>
          <w:noProof/>
          <w:szCs w:val="24"/>
          <w:lang w:eastAsia="en-ID"/>
        </w:rPr>
        <w:t>(14,15)</w:t>
      </w:r>
      <w:r w:rsidR="00A44603">
        <w:rPr>
          <w:rFonts w:eastAsia="Times New Roman" w:cs="Times New Roman"/>
          <w:szCs w:val="24"/>
          <w:lang w:eastAsia="en-ID"/>
        </w:rPr>
        <w:fldChar w:fldCharType="end"/>
      </w:r>
      <w:r w:rsidRPr="00B130EF">
        <w:rPr>
          <w:rFonts w:eastAsia="Times New Roman" w:cs="Times New Roman"/>
          <w:szCs w:val="24"/>
          <w:lang w:eastAsia="en-ID"/>
        </w:rPr>
        <w:t xml:space="preserve">. According to </w:t>
      </w:r>
      <w:r w:rsidR="00606A8F">
        <w:rPr>
          <w:rFonts w:eastAsia="Times New Roman" w:cs="Times New Roman"/>
          <w:szCs w:val="24"/>
          <w:lang w:eastAsia="en-ID"/>
        </w:rPr>
        <w:fldChar w:fldCharType="begin" w:fldLock="1"/>
      </w:r>
      <w:r w:rsidR="005A3538">
        <w:rPr>
          <w:rFonts w:eastAsia="Times New Roman" w:cs="Times New Roman"/>
          <w:szCs w:val="24"/>
          <w:lang w:eastAsia="en-ID"/>
        </w:rPr>
        <w:instrText>ADDIN CSL_CITATION {"citationItems":[{"id":"ITEM-1","itemData":{"author":[{"dropping-particle":"","family":"Perkumpulan HuMa","given":"","non-dropping-particle":"","parse-names":false,"suffix":""}],"id":"ITEM-1","issued":{"date-parts":[["2024"]]},"number-of-pages":"43","publisher-place":"Sulawesi Selatan","title":"Laporan Asistensi Produk Hukum Daerah dan Penetapan Hutan Adat di Wilayah Kerja AMAN Sulawesi Selatan","type":"report"},"uris":["http://www.mendeley.com/documents/?uuid=9b91c087-d239-413f-9131-ce540214708b"]}],"mendeley":{"formattedCitation":"(16)","manualFormatting":"HuMa (2024)","plainTextFormattedCitation":"(16)","previouslyFormattedCitation":"(16)"},"properties":{"noteIndex":0},"schema":"https://github.com/citation-style-language/schema/raw/master/csl-citation.json"}</w:instrText>
      </w:r>
      <w:r w:rsidR="00606A8F">
        <w:rPr>
          <w:rFonts w:eastAsia="Times New Roman" w:cs="Times New Roman"/>
          <w:szCs w:val="24"/>
          <w:lang w:eastAsia="en-ID"/>
        </w:rPr>
        <w:fldChar w:fldCharType="separate"/>
      </w:r>
      <w:r w:rsidR="00606A8F">
        <w:rPr>
          <w:rFonts w:eastAsia="Times New Roman" w:cs="Times New Roman"/>
          <w:noProof/>
          <w:szCs w:val="24"/>
          <w:lang w:eastAsia="en-ID"/>
        </w:rPr>
        <w:t>HuMa (2024</w:t>
      </w:r>
      <w:r w:rsidR="00606A8F" w:rsidRPr="00606A8F">
        <w:rPr>
          <w:rFonts w:eastAsia="Times New Roman" w:cs="Times New Roman"/>
          <w:noProof/>
          <w:szCs w:val="24"/>
          <w:lang w:eastAsia="en-ID"/>
        </w:rPr>
        <w:t>)</w:t>
      </w:r>
      <w:r w:rsidR="00606A8F">
        <w:rPr>
          <w:rFonts w:eastAsia="Times New Roman" w:cs="Times New Roman"/>
          <w:szCs w:val="24"/>
          <w:lang w:eastAsia="en-ID"/>
        </w:rPr>
        <w:fldChar w:fldCharType="end"/>
      </w:r>
      <w:r w:rsidRPr="00B130EF">
        <w:rPr>
          <w:rFonts w:eastAsia="Times New Roman" w:cs="Times New Roman"/>
          <w:szCs w:val="24"/>
          <w:lang w:eastAsia="en-ID"/>
        </w:rPr>
        <w:t>, effective local regulations should not be merely declarative but must represent a hybrid legal commitment to empower customary institutions and guarantee spatial sovereignty.</w:t>
      </w:r>
    </w:p>
    <w:p w14:paraId="5B319AAE" w14:textId="230D31DB"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A prominent example of such an initiative at the regional level is found in </w:t>
      </w:r>
      <w:proofErr w:type="spellStart"/>
      <w:r w:rsidRPr="00B130EF">
        <w:rPr>
          <w:rFonts w:eastAsia="Times New Roman" w:cs="Times New Roman"/>
          <w:szCs w:val="24"/>
          <w:lang w:eastAsia="en-ID"/>
        </w:rPr>
        <w:t>Ciamis</w:t>
      </w:r>
      <w:proofErr w:type="spellEnd"/>
      <w:r w:rsidRPr="00B130EF">
        <w:rPr>
          <w:rFonts w:eastAsia="Times New Roman" w:cs="Times New Roman"/>
          <w:szCs w:val="24"/>
          <w:lang w:eastAsia="en-ID"/>
        </w:rPr>
        <w:t xml:space="preserve"> Regency, West Java, through the enactment of Local Regulation (</w:t>
      </w:r>
      <w:proofErr w:type="spellStart"/>
      <w:r w:rsidRPr="00B130EF">
        <w:rPr>
          <w:rFonts w:eastAsia="Times New Roman" w:cs="Times New Roman"/>
          <w:szCs w:val="24"/>
          <w:lang w:eastAsia="en-ID"/>
        </w:rPr>
        <w:t>Perda</w:t>
      </w:r>
      <w:proofErr w:type="spellEnd"/>
      <w:r w:rsidRPr="00B130EF">
        <w:rPr>
          <w:rFonts w:eastAsia="Times New Roman" w:cs="Times New Roman"/>
          <w:szCs w:val="24"/>
          <w:lang w:eastAsia="en-ID"/>
        </w:rPr>
        <w:t xml:space="preserve">) No. 15 of 2016 concerning the Recognition and Protection of the Kampung Kuta Indigenous Community. Kampung Kuta, located in </w:t>
      </w:r>
      <w:proofErr w:type="spellStart"/>
      <w:r w:rsidRPr="00B130EF">
        <w:rPr>
          <w:rFonts w:eastAsia="Times New Roman" w:cs="Times New Roman"/>
          <w:szCs w:val="24"/>
          <w:lang w:eastAsia="en-ID"/>
        </w:rPr>
        <w:t>Tambaksari</w:t>
      </w:r>
      <w:proofErr w:type="spellEnd"/>
      <w:r w:rsidRPr="00B130EF">
        <w:rPr>
          <w:rFonts w:eastAsia="Times New Roman" w:cs="Times New Roman"/>
          <w:szCs w:val="24"/>
          <w:lang w:eastAsia="en-ID"/>
        </w:rPr>
        <w:t xml:space="preserve"> District, represents a unique indigenous enclave that strictly adheres to the ancestral traditions and local wisdom of the Sundanese people. The community is globally recognized for their profound obedience to </w:t>
      </w:r>
      <w:proofErr w:type="spellStart"/>
      <w:r w:rsidRPr="00B130EF">
        <w:rPr>
          <w:rFonts w:eastAsia="Times New Roman" w:cs="Times New Roman"/>
          <w:szCs w:val="24"/>
          <w:lang w:eastAsia="en-ID"/>
        </w:rPr>
        <w:t>pamali</w:t>
      </w:r>
      <w:proofErr w:type="spellEnd"/>
      <w:r w:rsidRPr="00B130EF">
        <w:rPr>
          <w:rFonts w:eastAsia="Times New Roman" w:cs="Times New Roman"/>
          <w:szCs w:val="24"/>
          <w:lang w:eastAsia="en-ID"/>
        </w:rPr>
        <w:t xml:space="preserve"> (cultural taboos) aimed at protecting their sacred forest, </w:t>
      </w:r>
      <w:proofErr w:type="spellStart"/>
      <w:r w:rsidRPr="00B130EF">
        <w:rPr>
          <w:rFonts w:eastAsia="Times New Roman" w:cs="Times New Roman"/>
          <w:szCs w:val="24"/>
          <w:lang w:eastAsia="en-ID"/>
        </w:rPr>
        <w:t>Leuweung</w:t>
      </w:r>
      <w:proofErr w:type="spellEnd"/>
      <w:r w:rsidRPr="00B130EF">
        <w:rPr>
          <w:rFonts w:eastAsia="Times New Roman" w:cs="Times New Roman"/>
          <w:szCs w:val="24"/>
          <w:lang w:eastAsia="en-ID"/>
        </w:rPr>
        <w:t xml:space="preserve"> Karamat</w:t>
      </w:r>
      <w:r w:rsidR="00606A8F">
        <w:rPr>
          <w:rFonts w:eastAsia="Times New Roman" w:cs="Times New Roman"/>
          <w:szCs w:val="24"/>
          <w:lang w:eastAsia="en-ID"/>
        </w:rPr>
        <w:t xml:space="preserve"> </w:t>
      </w:r>
      <w:r w:rsidR="005A3538">
        <w:rPr>
          <w:rFonts w:eastAsia="Times New Roman" w:cs="Times New Roman"/>
          <w:szCs w:val="24"/>
          <w:lang w:eastAsia="en-ID"/>
        </w:rPr>
        <w:fldChar w:fldCharType="begin" w:fldLock="1"/>
      </w:r>
      <w:r w:rsidR="00E52F4B">
        <w:rPr>
          <w:rFonts w:eastAsia="Times New Roman" w:cs="Times New Roman"/>
          <w:szCs w:val="24"/>
          <w:lang w:eastAsia="en-ID"/>
        </w:rPr>
        <w:instrText>ADDIN CSL_CITATION {"citationItems":[{"id":"ITEM-1","itemData":{"author":[{"dropping-particle":"","family":"Rohman","given":"Slamet Nopharipaldi","non-dropping-particle":"","parse-names":false,"suffix":""}],"container-title":"Jurnal GEOSEE (Geography Science Education Explored)","id":"ITEM-1","issue":"1","issued":{"date-parts":[["2023"]]},"page":"40-49","title":"Kearifan Lokal Masyarakat Adat Kampung Kuta Dalam Membangun Rumah Adat Sebagai Upaya Pelestarian Lingkungan Hidup","type":"article-journal","volume":"4"},"uris":["http://www.mendeley.com/documents/?uuid=2d7643d3-05a0-40a0-851c-3d2295fc813b"]}],"mendeley":{"formattedCitation":"(17)","plainTextFormattedCitation":"(17)","previouslyFormattedCitation":"(17)"},"properties":{"noteIndex":0},"schema":"https://github.com/citation-style-language/schema/raw/master/csl-citation.json"}</w:instrText>
      </w:r>
      <w:r w:rsidR="005A3538">
        <w:rPr>
          <w:rFonts w:eastAsia="Times New Roman" w:cs="Times New Roman"/>
          <w:szCs w:val="24"/>
          <w:lang w:eastAsia="en-ID"/>
        </w:rPr>
        <w:fldChar w:fldCharType="separate"/>
      </w:r>
      <w:r w:rsidR="005A3538" w:rsidRPr="005A3538">
        <w:rPr>
          <w:rFonts w:eastAsia="Times New Roman" w:cs="Times New Roman"/>
          <w:noProof/>
          <w:szCs w:val="24"/>
          <w:lang w:eastAsia="en-ID"/>
        </w:rPr>
        <w:t>(17)</w:t>
      </w:r>
      <w:r w:rsidR="005A3538">
        <w:rPr>
          <w:rFonts w:eastAsia="Times New Roman" w:cs="Times New Roman"/>
          <w:szCs w:val="24"/>
          <w:lang w:eastAsia="en-ID"/>
        </w:rPr>
        <w:fldChar w:fldCharType="end"/>
      </w:r>
      <w:r w:rsidRPr="00B130EF">
        <w:rPr>
          <w:rFonts w:eastAsia="Times New Roman" w:cs="Times New Roman"/>
          <w:szCs w:val="24"/>
          <w:lang w:eastAsia="en-ID"/>
        </w:rPr>
        <w:t>. Their ecological and cultural principles</w:t>
      </w:r>
      <w:r>
        <w:rPr>
          <w:rFonts w:eastAsia="Times New Roman" w:cs="Times New Roman"/>
          <w:szCs w:val="24"/>
          <w:lang w:eastAsia="en-ID"/>
        </w:rPr>
        <w:t xml:space="preserve"> </w:t>
      </w:r>
      <w:r w:rsidRPr="00B130EF">
        <w:rPr>
          <w:rFonts w:eastAsia="Times New Roman" w:cs="Times New Roman"/>
          <w:szCs w:val="24"/>
          <w:lang w:eastAsia="en-ID"/>
        </w:rPr>
        <w:t>such as prohibiting the construction of permanent brick houses to prevent environmental degradation, or banning the use of footwear in the sacred forest</w:t>
      </w:r>
      <w:r>
        <w:rPr>
          <w:rFonts w:eastAsia="Times New Roman" w:cs="Times New Roman"/>
          <w:szCs w:val="24"/>
          <w:lang w:eastAsia="en-ID"/>
        </w:rPr>
        <w:t xml:space="preserve"> </w:t>
      </w:r>
      <w:r w:rsidRPr="00B130EF">
        <w:rPr>
          <w:rFonts w:eastAsia="Times New Roman" w:cs="Times New Roman"/>
          <w:szCs w:val="24"/>
          <w:lang w:eastAsia="en-ID"/>
        </w:rPr>
        <w:t xml:space="preserve">demonstrate a highly advanced, traditional mitigation strategy for environmental conservation </w:t>
      </w:r>
      <w:r w:rsidR="00E52F4B">
        <w:rPr>
          <w:rFonts w:eastAsia="Times New Roman" w:cs="Times New Roman"/>
          <w:szCs w:val="24"/>
          <w:lang w:eastAsia="en-ID"/>
        </w:rPr>
        <w:fldChar w:fldCharType="begin" w:fldLock="1"/>
      </w:r>
      <w:r w:rsidR="00E52F4B">
        <w:rPr>
          <w:rFonts w:eastAsia="Times New Roman" w:cs="Times New Roman"/>
          <w:szCs w:val="24"/>
          <w:lang w:eastAsia="en-ID"/>
        </w:rPr>
        <w:instrText>ADDIN CSL_CITATION {"citationItems":[{"id":"ITEM-1","itemData":{"DOI":"10.23969/biosfer.v8i1.8405","ISSN":"2549-0486","abstract":"Saat ini telah banyak terjadi kerusakan lingkungan yang disebabkan oleh ekpolitasi sumber daya alam yang berlebihan oleh manusia. Lingkungan hidup erat kaitannya dengan manusia, hewan, tumbuhan, dan berbagai jenis makhluk hidup lainnya. Manusia dan makhluk hidup lainnya memiliki ketergantungan terhadap lingkungan melalui proses dan interkasi kehidupan dan saling membutuhkan satu sama lain. Meski demikian, masih terdapat kelompok warga yang berada di daerah yang masih menjaga lingkungan melalui kearifan lokal yang terus dipertahankan hingga saat ini. Salah satunya kelompok warga yang terdapat di Desa Ciwarna Kecamatan Mancak Kabupaten Serang, Banten yang mana lokasinya berdekatan dengan aliran sungai di kawasan Cagar Alam Rawa Danau (CARD). Penelitian ini menggunakan penelitian dengan pendekatan kualitatif yaitu melalui teknik wawancara, observasi, dan dokumentasi. Penelitian ini dilaksanakan di Desa Bulakan, Kecamatan Mancak, Kabupaten Serang, Banten. Tahapan pada penelitian dimulai dari persiapan, studi pendahuluan, wawancara, observasi, pengolahan dan analisis data. Hasil penelitian ini menunjukkan bahwa kearifan lokal memberikan dampak yang baik terhadap kelestarian sumber air, flora dan fauna di kawasan Cagar Alam Rawa Danau. Aliran air di kawasan Cagar Alam Rawa Danau sangat terjaga kualitasnya, begitupun dengan flora dan faunanya. Kearifan lokal tersebut diharapkan mampu menyadarkan warga yang lain dan disekitarnya bahwa pentingnya menjaga lingkungan.","author":[{"dropping-particle":"","family":"Firmansyah","given":"Fahmie","non-dropping-particle":"","parse-names":false,"suffix":""},{"dropping-particle":"","family":"Sholeh Hidayat","given":"","non-dropping-particle":"","parse-names":false,"suffix":""},{"dropping-particle":"","family":"Suroso Mukti Leksono","given":"","non-dropping-particle":"","parse-names":false,"suffix":""},{"dropping-particle":"","family":"Ujang Jamaludin","given":"","non-dropping-particle":"","parse-names":false,"suffix":""}],"container-title":"Biosfer : Jurnal Biologi dan Pendidikan Biologi","id":"ITEM-1","issue":"1","issued":{"date-parts":[["2023","6","30"]]},"page":"1-5","title":"Kearifan Lokal dalam Menjaga Kelestarian Lingkungan Hidup di Cagar Alam Rawa Danau (CARD)","type":"article-journal","volume":"8"},"uris":["http://www.mendeley.com/documents/?uuid=5fa60177-9f6f-4a11-b79c-a584467844f2"]}],"mendeley":{"formattedCitation":"(18)","plainTextFormattedCitation":"(18)","previouslyFormattedCitation":"(18)"},"properties":{"noteIndex":0},"schema":"https://github.com/citation-style-language/schema/raw/master/csl-citation.json"}</w:instrText>
      </w:r>
      <w:r w:rsidR="00E52F4B">
        <w:rPr>
          <w:rFonts w:eastAsia="Times New Roman" w:cs="Times New Roman"/>
          <w:szCs w:val="24"/>
          <w:lang w:eastAsia="en-ID"/>
        </w:rPr>
        <w:fldChar w:fldCharType="separate"/>
      </w:r>
      <w:r w:rsidR="00E52F4B" w:rsidRPr="00E52F4B">
        <w:rPr>
          <w:rFonts w:eastAsia="Times New Roman" w:cs="Times New Roman"/>
          <w:noProof/>
          <w:szCs w:val="24"/>
          <w:lang w:eastAsia="en-ID"/>
        </w:rPr>
        <w:t>(18)</w:t>
      </w:r>
      <w:r w:rsidR="00E52F4B">
        <w:rPr>
          <w:rFonts w:eastAsia="Times New Roman" w:cs="Times New Roman"/>
          <w:szCs w:val="24"/>
          <w:lang w:eastAsia="en-ID"/>
        </w:rPr>
        <w:fldChar w:fldCharType="end"/>
      </w:r>
      <w:r w:rsidRPr="00B130EF">
        <w:rPr>
          <w:rFonts w:eastAsia="Times New Roman" w:cs="Times New Roman"/>
          <w:szCs w:val="24"/>
          <w:lang w:eastAsia="en-ID"/>
        </w:rPr>
        <w:t>.</w:t>
      </w:r>
    </w:p>
    <w:p w14:paraId="6206F939" w14:textId="6958B617"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Despite the noble intentions behind </w:t>
      </w:r>
      <w:proofErr w:type="spellStart"/>
      <w:r w:rsidRPr="00B130EF">
        <w:rPr>
          <w:rFonts w:eastAsia="Times New Roman" w:cs="Times New Roman"/>
          <w:szCs w:val="24"/>
          <w:lang w:eastAsia="en-ID"/>
        </w:rPr>
        <w:t>Perda</w:t>
      </w:r>
      <w:proofErr w:type="spellEnd"/>
      <w:r w:rsidRPr="00B130EF">
        <w:rPr>
          <w:rFonts w:eastAsia="Times New Roman" w:cs="Times New Roman"/>
          <w:szCs w:val="24"/>
          <w:lang w:eastAsia="en-ID"/>
        </w:rPr>
        <w:t xml:space="preserve"> No. 15 of 2016, enacting a policy is merely the first step; the true measure of policy success lies in its implementation. Having a legal document does not automatically safeguard indigenous rights against external pressures. In reality, the policy faces severe structural and administrative bottlenecks. The absence of derivative technical regulations (such as Regent Regulations), unmapped customary </w:t>
      </w:r>
      <w:r w:rsidRPr="00B130EF">
        <w:rPr>
          <w:rFonts w:eastAsia="Times New Roman" w:cs="Times New Roman"/>
          <w:szCs w:val="24"/>
          <w:lang w:eastAsia="en-ID"/>
        </w:rPr>
        <w:lastRenderedPageBreak/>
        <w:t xml:space="preserve">boundaries, and a lack of dedicated budget allocation render the </w:t>
      </w:r>
      <w:proofErr w:type="spellStart"/>
      <w:r w:rsidRPr="00B130EF">
        <w:rPr>
          <w:rFonts w:eastAsia="Times New Roman" w:cs="Times New Roman"/>
          <w:szCs w:val="24"/>
          <w:lang w:eastAsia="en-ID"/>
        </w:rPr>
        <w:t>Perda</w:t>
      </w:r>
      <w:proofErr w:type="spellEnd"/>
      <w:r w:rsidRPr="00B130EF">
        <w:rPr>
          <w:rFonts w:eastAsia="Times New Roman" w:cs="Times New Roman"/>
          <w:szCs w:val="24"/>
          <w:lang w:eastAsia="en-ID"/>
        </w:rPr>
        <w:t xml:space="preserve"> largely symbolic. This operational void leaves the Kampung Kuta community susceptible to the commercial individualization of their lands and the gradual erosion of their social cohesion </w:t>
      </w:r>
      <w:r w:rsidR="00E52F4B">
        <w:rPr>
          <w:rFonts w:eastAsia="Times New Roman" w:cs="Times New Roman"/>
          <w:szCs w:val="24"/>
          <w:lang w:eastAsia="en-ID"/>
        </w:rPr>
        <w:fldChar w:fldCharType="begin" w:fldLock="1"/>
      </w:r>
      <w:r w:rsidR="00AF6BCA">
        <w:rPr>
          <w:rFonts w:eastAsia="Times New Roman" w:cs="Times New Roman"/>
          <w:szCs w:val="24"/>
          <w:lang w:eastAsia="en-ID"/>
        </w:rPr>
        <w:instrText>ADDIN CSL_CITATION {"citationItems":[{"id":"ITEM-1","itemData":{"DOI":"10.26905/blj.v2i1.5857","ISSN":"2775-2070","abstract":"The 1945 Constitution of the Republic of Indonesia has a very large role as the foundation of all existing laws and regulations in Indonesia. Including regarding the respect and recognition of customary law community units whose traditional rights as long as their existence still exist. In this paper, one of the examples taken by the authoris the indigenous people in the eastern part of East Nusa Tenggara Province, namely the indigenous people of Pubabu. The existence of the Pubabu indigenous people is very critical because the recognition they get is very weak. This causes their customary rights to be in a complicated position when it comes to dealing with the state’s right tocontrol. The local government seems to interfere with the rights of indigenous peoples because it is in the interests of the state. This certainly should not be done. Therefore, so that customary rights are not disturbed, let alone eliminating the right to control the state, it is necessary to have restrictions as well as strong legal protection from both the Central Government and the Regional Government, this is aimed at achieving the welfare of the customary law community and protection of the people. human rights, policies related to indigenous peoples must also be aspirational.","author":[{"dropping-particle":"","family":"Poro","given":"Stivani Marantika","non-dropping-particle":"","parse-names":false,"suffix":""},{"dropping-particle":"","family":"Imron","given":"Ali","non-dropping-particle":"","parse-names":false,"suffix":""},{"dropping-particle":"","family":"Shanty","given":"Wika Yudha","non-dropping-particle":"","parse-names":false,"suffix":""}],"container-title":"Bhirawa Law Journal","id":"ITEM-1","issue":"1","issued":{"date-parts":[["2021","5","31"]]},"page":"73-78","title":"Perlindungan Hukum Hak Tradisional Masyarakat Hukum Adat Terhadap Tindakan Individualisasi Tanah Ulayat Untuk Tujuan Komersial","type":"article-journal","volume":"2"},"uris":["http://www.mendeley.com/documents/?uuid=0156f490-c1c9-4b46-9202-cafc357bb697"]}],"mendeley":{"formattedCitation":"(19)","plainTextFormattedCitation":"(19)","previouslyFormattedCitation":"(19)"},"properties":{"noteIndex":0},"schema":"https://github.com/citation-style-language/schema/raw/master/csl-citation.json"}</w:instrText>
      </w:r>
      <w:r w:rsidR="00E52F4B">
        <w:rPr>
          <w:rFonts w:eastAsia="Times New Roman" w:cs="Times New Roman"/>
          <w:szCs w:val="24"/>
          <w:lang w:eastAsia="en-ID"/>
        </w:rPr>
        <w:fldChar w:fldCharType="separate"/>
      </w:r>
      <w:r w:rsidR="00E52F4B" w:rsidRPr="00E52F4B">
        <w:rPr>
          <w:rFonts w:eastAsia="Times New Roman" w:cs="Times New Roman"/>
          <w:noProof/>
          <w:szCs w:val="24"/>
          <w:lang w:eastAsia="en-ID"/>
        </w:rPr>
        <w:t>(19)</w:t>
      </w:r>
      <w:r w:rsidR="00E52F4B">
        <w:rPr>
          <w:rFonts w:eastAsia="Times New Roman" w:cs="Times New Roman"/>
          <w:szCs w:val="24"/>
          <w:lang w:eastAsia="en-ID"/>
        </w:rPr>
        <w:fldChar w:fldCharType="end"/>
      </w:r>
      <w:r w:rsidRPr="00B130EF">
        <w:rPr>
          <w:rFonts w:eastAsia="Times New Roman" w:cs="Times New Roman"/>
          <w:szCs w:val="24"/>
          <w:lang w:eastAsia="en-ID"/>
        </w:rPr>
        <w:t>.</w:t>
      </w:r>
    </w:p>
    <w:p w14:paraId="06B9973F" w14:textId="778EA644"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Previous studies on Kampung Kuta have predominantly focused on the anthropological, cultural, and ecological dimensions of the community. For instance, </w:t>
      </w:r>
      <w:r w:rsidR="00AF6BCA">
        <w:rPr>
          <w:rFonts w:eastAsia="Times New Roman" w:cs="Times New Roman"/>
          <w:szCs w:val="24"/>
          <w:lang w:eastAsia="en-ID"/>
        </w:rPr>
        <w:fldChar w:fldCharType="begin" w:fldLock="1"/>
      </w:r>
      <w:r w:rsidR="00AF6BCA">
        <w:rPr>
          <w:rFonts w:eastAsia="Times New Roman" w:cs="Times New Roman"/>
          <w:szCs w:val="24"/>
          <w:lang w:eastAsia="en-ID"/>
        </w:rPr>
        <w:instrText>ADDIN CSL_CITATION {"citationItems":[{"id":"ITEM-1","itemData":{"DOI":"10.4108/eai.19-7-2021.2313065","ISBN":"978-1-63190-323-6","author":[{"dropping-particle":"","family":"Pujiawati","given":"Nurul","non-dropping-particle":"","parse-names":false,"suffix":""},{"dropping-particle":"","family":"Rasito","given":"Rasito","non-dropping-particle":"","parse-names":false,"suffix":""},{"dropping-particle":"","family":"Suyitno","given":"Y.","non-dropping-particle":"","parse-names":false,"suffix":""}],"container-title":"Proceedings of the 1st International Conference on Social Sciences, ICONESS 2021, 19 July 2021, Purwokerto, Central Java, Indonesia","id":"ITEM-1","issued":{"date-parts":[["2021"]]},"publisher":"EAI","title":"Relevance Between the Pamali Culture of Kuta Traditional Village Society With the Value of Character Education in Elementary School","type":"paper-conference"},"uris":["http://www.mendeley.com/documents/?uuid=d2a9cb3c-4b6b-40a5-9fe6-5417f57b2ba5"]}],"mendeley":{"formattedCitation":"(20)","manualFormatting":"Pujiawati et al. (2021)","plainTextFormattedCitation":"(20)","previouslyFormattedCitation":"(20)"},"properties":{"noteIndex":0},"schema":"https://github.com/citation-style-language/schema/raw/master/csl-citation.json"}</w:instrText>
      </w:r>
      <w:r w:rsidR="00AF6BCA">
        <w:rPr>
          <w:rFonts w:eastAsia="Times New Roman" w:cs="Times New Roman"/>
          <w:szCs w:val="24"/>
          <w:lang w:eastAsia="en-ID"/>
        </w:rPr>
        <w:fldChar w:fldCharType="separate"/>
      </w:r>
      <w:r w:rsidR="00AF6BCA" w:rsidRPr="00AF6BCA">
        <w:rPr>
          <w:rFonts w:eastAsia="Times New Roman" w:cs="Times New Roman"/>
          <w:noProof/>
          <w:szCs w:val="24"/>
          <w:lang w:eastAsia="en-ID"/>
        </w:rPr>
        <w:t>Pujiawati et al.</w:t>
      </w:r>
      <w:r w:rsidR="00AF6BCA" w:rsidRPr="00AF6BCA">
        <w:rPr>
          <w:rFonts w:eastAsia="Times New Roman" w:cs="Times New Roman"/>
          <w:noProof/>
          <w:szCs w:val="24"/>
          <w:lang w:eastAsia="en-ID"/>
        </w:rPr>
        <w:t xml:space="preserve"> </w:t>
      </w:r>
      <w:r w:rsidR="00AF6BCA">
        <w:rPr>
          <w:rFonts w:eastAsia="Times New Roman" w:cs="Times New Roman"/>
          <w:noProof/>
          <w:szCs w:val="24"/>
          <w:lang w:eastAsia="en-ID"/>
        </w:rPr>
        <w:t>(</w:t>
      </w:r>
      <w:r w:rsidR="00AF6BCA" w:rsidRPr="00AF6BCA">
        <w:rPr>
          <w:rFonts w:eastAsia="Times New Roman" w:cs="Times New Roman"/>
          <w:noProof/>
          <w:szCs w:val="24"/>
          <w:lang w:eastAsia="en-ID"/>
        </w:rPr>
        <w:t>20</w:t>
      </w:r>
      <w:r w:rsidR="00AF6BCA">
        <w:rPr>
          <w:rFonts w:eastAsia="Times New Roman" w:cs="Times New Roman"/>
          <w:noProof/>
          <w:szCs w:val="24"/>
          <w:lang w:eastAsia="en-ID"/>
        </w:rPr>
        <w:t>21</w:t>
      </w:r>
      <w:r w:rsidR="00AF6BCA" w:rsidRPr="00AF6BCA">
        <w:rPr>
          <w:rFonts w:eastAsia="Times New Roman" w:cs="Times New Roman"/>
          <w:noProof/>
          <w:szCs w:val="24"/>
          <w:lang w:eastAsia="en-ID"/>
        </w:rPr>
        <w:t>)</w:t>
      </w:r>
      <w:r w:rsidR="00AF6BCA">
        <w:rPr>
          <w:rFonts w:eastAsia="Times New Roman" w:cs="Times New Roman"/>
          <w:szCs w:val="24"/>
          <w:lang w:eastAsia="en-ID"/>
        </w:rPr>
        <w:fldChar w:fldCharType="end"/>
      </w:r>
      <w:r w:rsidRPr="00B130EF">
        <w:rPr>
          <w:rFonts w:eastAsia="Times New Roman" w:cs="Times New Roman"/>
          <w:szCs w:val="24"/>
          <w:lang w:eastAsia="en-ID"/>
        </w:rPr>
        <w:t xml:space="preserve"> examined the </w:t>
      </w:r>
      <w:proofErr w:type="spellStart"/>
      <w:r w:rsidRPr="00B130EF">
        <w:rPr>
          <w:rFonts w:eastAsia="Times New Roman" w:cs="Times New Roman"/>
          <w:szCs w:val="24"/>
          <w:lang w:eastAsia="en-ID"/>
        </w:rPr>
        <w:t>pamali</w:t>
      </w:r>
      <w:proofErr w:type="spellEnd"/>
      <w:r w:rsidRPr="00B130EF">
        <w:rPr>
          <w:rFonts w:eastAsia="Times New Roman" w:cs="Times New Roman"/>
          <w:szCs w:val="24"/>
          <w:lang w:eastAsia="en-ID"/>
        </w:rPr>
        <w:t xml:space="preserve"> culture as an invaluable source of character education for younger generations, while </w:t>
      </w:r>
      <w:r w:rsidR="00AF6BCA">
        <w:rPr>
          <w:rFonts w:eastAsia="Times New Roman" w:cs="Times New Roman"/>
          <w:szCs w:val="24"/>
          <w:lang w:eastAsia="en-ID"/>
        </w:rPr>
        <w:fldChar w:fldCharType="begin" w:fldLock="1"/>
      </w:r>
      <w:r w:rsidR="00AF6BCA">
        <w:rPr>
          <w:rFonts w:eastAsia="Times New Roman" w:cs="Times New Roman"/>
          <w:szCs w:val="24"/>
          <w:lang w:eastAsia="en-ID"/>
        </w:rPr>
        <w:instrText>ADDIN CSL_CITATION {"citationItems":[{"id":"ITEM-1","itemData":{"DOI":"10.20961/shes.v5i4.69116","ISSN":"2620-9292","abstract":"Masyarakat adat memiliki banyak kekayaan pengetahuan untuk melestarikan hutan berlandaskan pada kearifan lokal. Pengetahuan lokal yang dimiliki masyarakat adat diperoleh dari pengalaman para leluhur yang dijadikan pedoman untuk berinteraksi dengan lingkungan. Penelitian ini bertujuan untuk mengidentifikasi kearifan lokal Kampung Kuta dalam pelestarian hutan sebagai bentuk ketangguhan masyarakat adat. Metode penelitian yang digunakan adalah kualitatif dengan teknik pengumpulan data menggunakan observasi, wawancara, dan studi literatur. Hasil penelitian menunjukkan bahwa bentuk-bentuk kearifan lokal dalam pelestarian hutan bersumber pada kepercayaan atau tradisi adat istiadat leluhur yang memposisikan hutan sebagai tempat keramat. Cara dan bentuk penghormatan terhadap hutan adalah diberlakukannya aturan dan larangan ketika memasuki hutan. Tradisi leluhur dalam menjaga hutan terbukti membuat kampung tidak pernah kekurangan air selama musim kemarau atau kebanjiran pada musim hujan, padahal lokasinya berada di lembah. Bentuk kearifan lokal dalam pelestarian hutan ini memiliki rasionalitas dan berpotensi untuk dijadikan sumber dan bahan ajar geografi.","author":[{"dropping-particle":"","family":"Hilman","given":"Iman","non-dropping-particle":"","parse-names":false,"suffix":""},{"dropping-particle":"","family":"Rosali","given":"Ely Satiyasih","non-dropping-particle":"","parse-names":false,"suffix":""}],"container-title":"Social, Humanities, and Educational Studies (SHES): Conference Series","id":"ITEM-1","issue":"4","issued":{"date-parts":[["2022","12","25"]]},"page":"393","title":"The Resilience of The Indigenous Community of Kampung Kuta In Conserving Forest With Local Wisdom","type":"article-journal","volume":"5"},"uris":["http://www.mendeley.com/documents/?uuid=d6250590-659b-4189-ac32-8ae65f055bcd"]}],"mendeley":{"formattedCitation":"(21)","manualFormatting":"Hilman &amp; Rosali (2022)","plainTextFormattedCitation":"(21)","previouslyFormattedCitation":"(21)"},"properties":{"noteIndex":0},"schema":"https://github.com/citation-style-language/schema/raw/master/csl-citation.json"}</w:instrText>
      </w:r>
      <w:r w:rsidR="00AF6BCA">
        <w:rPr>
          <w:rFonts w:eastAsia="Times New Roman" w:cs="Times New Roman"/>
          <w:szCs w:val="24"/>
          <w:lang w:eastAsia="en-ID"/>
        </w:rPr>
        <w:fldChar w:fldCharType="separate"/>
      </w:r>
      <w:r w:rsidR="00AF6BCA" w:rsidRPr="00B130EF">
        <w:rPr>
          <w:rFonts w:eastAsia="Times New Roman" w:cs="Times New Roman"/>
          <w:noProof/>
          <w:szCs w:val="24"/>
          <w:lang w:eastAsia="en-ID"/>
        </w:rPr>
        <w:t>Hilman &amp; Rosali</w:t>
      </w:r>
      <w:r w:rsidR="00AF6BCA" w:rsidRPr="00AF6BCA">
        <w:rPr>
          <w:rFonts w:eastAsia="Times New Roman" w:cs="Times New Roman"/>
          <w:noProof/>
          <w:szCs w:val="24"/>
          <w:lang w:eastAsia="en-ID"/>
        </w:rPr>
        <w:t xml:space="preserve"> </w:t>
      </w:r>
      <w:r w:rsidR="00AF6BCA">
        <w:rPr>
          <w:rFonts w:eastAsia="Times New Roman" w:cs="Times New Roman"/>
          <w:noProof/>
          <w:szCs w:val="24"/>
          <w:lang w:eastAsia="en-ID"/>
        </w:rPr>
        <w:t>(</w:t>
      </w:r>
      <w:r w:rsidR="00AF6BCA" w:rsidRPr="00AF6BCA">
        <w:rPr>
          <w:rFonts w:eastAsia="Times New Roman" w:cs="Times New Roman"/>
          <w:noProof/>
          <w:szCs w:val="24"/>
          <w:lang w:eastAsia="en-ID"/>
        </w:rPr>
        <w:t>2</w:t>
      </w:r>
      <w:r w:rsidR="00AF6BCA">
        <w:rPr>
          <w:rFonts w:eastAsia="Times New Roman" w:cs="Times New Roman"/>
          <w:noProof/>
          <w:szCs w:val="24"/>
          <w:lang w:eastAsia="en-ID"/>
        </w:rPr>
        <w:t>022</w:t>
      </w:r>
      <w:r w:rsidR="00AF6BCA" w:rsidRPr="00AF6BCA">
        <w:rPr>
          <w:rFonts w:eastAsia="Times New Roman" w:cs="Times New Roman"/>
          <w:noProof/>
          <w:szCs w:val="24"/>
          <w:lang w:eastAsia="en-ID"/>
        </w:rPr>
        <w:t>)</w:t>
      </w:r>
      <w:r w:rsidR="00AF6BCA">
        <w:rPr>
          <w:rFonts w:eastAsia="Times New Roman" w:cs="Times New Roman"/>
          <w:szCs w:val="24"/>
          <w:lang w:eastAsia="en-ID"/>
        </w:rPr>
        <w:fldChar w:fldCharType="end"/>
      </w:r>
      <w:r w:rsidRPr="00B130EF">
        <w:rPr>
          <w:rFonts w:eastAsia="Times New Roman" w:cs="Times New Roman"/>
          <w:szCs w:val="24"/>
          <w:lang w:eastAsia="en-ID"/>
        </w:rPr>
        <w:t xml:space="preserve"> highlighted the community's ecological resilience through local wisdom in forest conservation. These profound cultural analyses confirm the immense social capital possessed by the Kampung Kuta community.</w:t>
      </w:r>
    </w:p>
    <w:p w14:paraId="2FE44DA4" w14:textId="0B66004A"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However, there remains a significant and critical research gap regarding how the state formally administers and implements policies to protect this specific community. While anthropological literature is abundant, rigorous evaluations from a public administration and policy implementation perspective are scarce. Understanding this phenomenon requires dissecting how local governance dynamics</w:t>
      </w:r>
      <w:r>
        <w:rPr>
          <w:rFonts w:eastAsia="Times New Roman" w:cs="Times New Roman"/>
          <w:szCs w:val="24"/>
          <w:lang w:eastAsia="en-ID"/>
        </w:rPr>
        <w:t xml:space="preserve"> </w:t>
      </w:r>
      <w:r w:rsidRPr="00B130EF">
        <w:rPr>
          <w:rFonts w:eastAsia="Times New Roman" w:cs="Times New Roman"/>
          <w:szCs w:val="24"/>
          <w:lang w:eastAsia="en-ID"/>
        </w:rPr>
        <w:t>including inter-agency coordination, bureaucratic commitment, and policy structuring</w:t>
      </w:r>
      <w:r>
        <w:rPr>
          <w:rFonts w:eastAsia="Times New Roman" w:cs="Times New Roman"/>
          <w:szCs w:val="24"/>
          <w:lang w:eastAsia="en-ID"/>
        </w:rPr>
        <w:t xml:space="preserve"> </w:t>
      </w:r>
      <w:r w:rsidRPr="00B130EF">
        <w:rPr>
          <w:rFonts w:eastAsia="Times New Roman" w:cs="Times New Roman"/>
          <w:szCs w:val="24"/>
          <w:lang w:eastAsia="en-ID"/>
        </w:rPr>
        <w:t xml:space="preserve">translate into tangible public service and protection for indigenous groups </w:t>
      </w:r>
      <w:r w:rsidR="00AF6BCA">
        <w:rPr>
          <w:rFonts w:eastAsia="Times New Roman" w:cs="Times New Roman"/>
          <w:szCs w:val="24"/>
          <w:lang w:eastAsia="en-ID"/>
        </w:rPr>
        <w:fldChar w:fldCharType="begin" w:fldLock="1"/>
      </w:r>
      <w:r w:rsidR="001D3B22">
        <w:rPr>
          <w:rFonts w:eastAsia="Times New Roman" w:cs="Times New Roman"/>
          <w:szCs w:val="24"/>
          <w:lang w:eastAsia="en-ID"/>
        </w:rPr>
        <w:instrText>ADDIN CSL_CITATION {"citationItems":[{"id":"ITEM-1","itemData":{"DOI":"10.70825/jptb.v7i2.2372","author":[{"dropping-particle":"","family":"Andhani","given":"Dewi","non-dropping-particle":"","parse-names":false,"suffix":""},{"dropping-particle":"","family":"Rachmawati","given":"Emi","non-dropping-particle":"","parse-names":false,"suffix":""},{"dropping-particle":"","family":"Saputra","given":"Ginanjar Wira","non-dropping-particle":"","parse-names":false,"suffix":""},{"dropping-particle":"","family":"Yusri","given":"Amri","non-dropping-particle":"","parse-names":false,"suffix":""},{"dropping-particle":"","family":"Mulyasana","given":"Dedi","non-dropping-particle":"","parse-names":false,"suffix":""},{"dropping-particle":"","family":"Santosa","given":"Pandji","non-dropping-particle":"","parse-names":false,"suffix":""},{"dropping-particle":"","family":"Sarihati","given":"Tati","non-dropping-particle":"","parse-names":false,"suffix":""}],"container-title":"Jurnal Pengabdian Tri Bhakti","id":"ITEM-1","issue":"2","issued":{"date-parts":[["2025"]]},"page":"66-77","title":"Kolaborasi Governance dalam Penyusunan Regulasi Desa Tentang Pelindungan Pekerja Migran Indonesia di Kecamatan Ngamprah","type":"article-journal","volume":"7"},"uris":["http://www.mendeley.com/documents/?uuid=38a380d2-1cfe-402e-b823-e6d188329582"]},{"id":"ITEM-2","itemData":{"ISBN":"9786342586679","author":[{"dropping-particle":"","family":"Saputra","given":"Ginanjar Wira","non-dropping-particle":"","parse-names":false,"suffix":""},{"dropping-particle":"","family":"Zairusi","given":"","non-dropping-particle":"","parse-names":false,"suffix":""},{"dropping-particle":"","family":"Andhani","given":"Dewi","non-dropping-particle":"","parse-names":false,"suffix":""},{"dropping-particle":"","family":"Triadi","given":"Rahma","non-dropping-particle":"","parse-names":false,"suffix":""},{"dropping-particle":"","family":"Suarha","given":"Cecep","non-dropping-particle":"","parse-names":false,"suffix":""},{"dropping-particle":"","family":"Kurniawati","given":"","non-dropping-particle":"","parse-names":false,"suffix":""}],"edition":"1","id":"ITEM-2","issued":{"date-parts":[["2026"]]},"number-of-pages":"165","publisher":"Mafy Media Literasi Indonesia","publisher-place":"Solok","title":"Sistem Administrasi Negara Indonesia: Konsep, Dinamika, dan Praktik Tata Kelola Pemerintahan Modern","type":"book"},"uris":["http://www.mendeley.com/documents/?uuid=7b9c6a14-259e-4546-9040-521fbc1cacac"]}],"mendeley":{"formattedCitation":"(22,23)","plainTextFormattedCitation":"(22,23)","previouslyFormattedCitation":"(22,23)"},"properties":{"noteIndex":0},"schema":"https://github.com/citation-style-language/schema/raw/master/csl-citation.json"}</w:instrText>
      </w:r>
      <w:r w:rsidR="00AF6BCA">
        <w:rPr>
          <w:rFonts w:eastAsia="Times New Roman" w:cs="Times New Roman"/>
          <w:szCs w:val="24"/>
          <w:lang w:eastAsia="en-ID"/>
        </w:rPr>
        <w:fldChar w:fldCharType="separate"/>
      </w:r>
      <w:r w:rsidR="00AF6BCA" w:rsidRPr="00AF6BCA">
        <w:rPr>
          <w:rFonts w:eastAsia="Times New Roman" w:cs="Times New Roman"/>
          <w:noProof/>
          <w:szCs w:val="24"/>
          <w:lang w:eastAsia="en-ID"/>
        </w:rPr>
        <w:t>(22,23)</w:t>
      </w:r>
      <w:r w:rsidR="00AF6BCA">
        <w:rPr>
          <w:rFonts w:eastAsia="Times New Roman" w:cs="Times New Roman"/>
          <w:szCs w:val="24"/>
          <w:lang w:eastAsia="en-ID"/>
        </w:rPr>
        <w:fldChar w:fldCharType="end"/>
      </w:r>
      <w:r w:rsidRPr="00B130EF">
        <w:rPr>
          <w:rFonts w:eastAsia="Times New Roman" w:cs="Times New Roman"/>
          <w:szCs w:val="24"/>
          <w:lang w:eastAsia="en-ID"/>
        </w:rPr>
        <w:t>.</w:t>
      </w:r>
    </w:p>
    <w:p w14:paraId="1DC6A206" w14:textId="3ACA32F1" w:rsidR="00B130EF" w:rsidRP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Therefore, this study aims to fill this academic gap by systematically </w:t>
      </w:r>
      <w:proofErr w:type="spellStart"/>
      <w:r w:rsidRPr="00B130EF">
        <w:rPr>
          <w:rFonts w:eastAsia="Times New Roman" w:cs="Times New Roman"/>
          <w:szCs w:val="24"/>
          <w:lang w:eastAsia="en-ID"/>
        </w:rPr>
        <w:t>analyzing</w:t>
      </w:r>
      <w:proofErr w:type="spellEnd"/>
      <w:r w:rsidRPr="00B130EF">
        <w:rPr>
          <w:rFonts w:eastAsia="Times New Roman" w:cs="Times New Roman"/>
          <w:szCs w:val="24"/>
          <w:lang w:eastAsia="en-ID"/>
        </w:rPr>
        <w:t xml:space="preserve"> the implementation of </w:t>
      </w:r>
      <w:proofErr w:type="spellStart"/>
      <w:r w:rsidRPr="00B130EF">
        <w:rPr>
          <w:rFonts w:eastAsia="Times New Roman" w:cs="Times New Roman"/>
          <w:szCs w:val="24"/>
          <w:lang w:eastAsia="en-ID"/>
        </w:rPr>
        <w:t>Perda</w:t>
      </w:r>
      <w:proofErr w:type="spellEnd"/>
      <w:r w:rsidRPr="00B130EF">
        <w:rPr>
          <w:rFonts w:eastAsia="Times New Roman" w:cs="Times New Roman"/>
          <w:szCs w:val="24"/>
          <w:lang w:eastAsia="en-ID"/>
        </w:rPr>
        <w:t xml:space="preserve"> No. 15 of 2016 using the robust Policy Implementation Framework developed by </w:t>
      </w:r>
      <w:r w:rsidR="001D3B22">
        <w:rPr>
          <w:rFonts w:eastAsia="Times New Roman" w:cs="Times New Roman"/>
          <w:szCs w:val="24"/>
          <w:lang w:eastAsia="en-ID"/>
        </w:rPr>
        <w:fldChar w:fldCharType="begin" w:fldLock="1"/>
      </w:r>
      <w:r w:rsidR="00CD161C">
        <w:rPr>
          <w:rFonts w:eastAsia="Times New Roman" w:cs="Times New Roman"/>
          <w:szCs w:val="24"/>
          <w:lang w:eastAsia="en-ID"/>
        </w:rPr>
        <w:instrText>ADDIN CSL_CITATION {"citationItems":[{"id":"ITEM-1","itemData":{"author":[{"dropping-particle":"","family":"Mazmanian","given":"Daniel A.","non-dropping-particle":"","parse-names":false,"suffix":""},{"dropping-particle":"","family":"Sabatier","given":"Paul A.","non-dropping-particle":"","parse-names":false,"suffix":""}],"id":"ITEM-1","issued":{"date-parts":[["1983"]]},"publisher":"Scott","publisher-place":"Foresman","title":"Implementation and Public Policy","type":"book"},"uris":["http://www.mendeley.com/documents/?uuid=02c0e305-016d-47c0-a74e-2811916727c7"]}],"mendeley":{"formattedCitation":"(24)","manualFormatting":"Mazmanian and Sabatier (1983)","plainTextFormattedCitation":"(24)","previouslyFormattedCitation":"(24)"},"properties":{"noteIndex":0},"schema":"https://github.com/citation-style-language/schema/raw/master/csl-citation.json"}</w:instrText>
      </w:r>
      <w:r w:rsidR="001D3B22">
        <w:rPr>
          <w:rFonts w:eastAsia="Times New Roman" w:cs="Times New Roman"/>
          <w:szCs w:val="24"/>
          <w:lang w:eastAsia="en-ID"/>
        </w:rPr>
        <w:fldChar w:fldCharType="separate"/>
      </w:r>
      <w:r w:rsidR="001D3B22" w:rsidRPr="00B130EF">
        <w:rPr>
          <w:rFonts w:eastAsia="Times New Roman" w:cs="Times New Roman"/>
          <w:noProof/>
          <w:szCs w:val="24"/>
          <w:lang w:eastAsia="en-ID"/>
        </w:rPr>
        <w:t xml:space="preserve">Mazmanian and Sabatier </w:t>
      </w:r>
      <w:r w:rsidR="001D3B22">
        <w:rPr>
          <w:rFonts w:eastAsia="Times New Roman" w:cs="Times New Roman"/>
          <w:noProof/>
          <w:szCs w:val="24"/>
          <w:lang w:eastAsia="en-ID"/>
        </w:rPr>
        <w:t>(1983</w:t>
      </w:r>
      <w:r w:rsidR="001D3B22" w:rsidRPr="001D3B22">
        <w:rPr>
          <w:rFonts w:eastAsia="Times New Roman" w:cs="Times New Roman"/>
          <w:noProof/>
          <w:szCs w:val="24"/>
          <w:lang w:eastAsia="en-ID"/>
        </w:rPr>
        <w:t>)</w:t>
      </w:r>
      <w:r w:rsidR="001D3B22">
        <w:rPr>
          <w:rFonts w:eastAsia="Times New Roman" w:cs="Times New Roman"/>
          <w:szCs w:val="24"/>
          <w:lang w:eastAsia="en-ID"/>
        </w:rPr>
        <w:fldChar w:fldCharType="end"/>
      </w:r>
      <w:r w:rsidRPr="00B130EF">
        <w:rPr>
          <w:rFonts w:eastAsia="Times New Roman" w:cs="Times New Roman"/>
          <w:szCs w:val="24"/>
          <w:lang w:eastAsia="en-ID"/>
        </w:rPr>
        <w:t xml:space="preserve">. This specific framework was chosen because it comprehensively accommodates the complexities of indigenous policy by examining three pivotal variables: the inherent tractability of the problem (such as the difficulty of mapping customary lands), the ability of the statute to structure the implementation process (the clarity of the </w:t>
      </w:r>
      <w:proofErr w:type="spellStart"/>
      <w:r w:rsidRPr="00B130EF">
        <w:rPr>
          <w:rFonts w:eastAsia="Times New Roman" w:cs="Times New Roman"/>
          <w:szCs w:val="24"/>
          <w:lang w:eastAsia="en-ID"/>
        </w:rPr>
        <w:t>Perda</w:t>
      </w:r>
      <w:proofErr w:type="spellEnd"/>
      <w:r w:rsidRPr="00B130EF">
        <w:rPr>
          <w:rFonts w:eastAsia="Times New Roman" w:cs="Times New Roman"/>
          <w:szCs w:val="24"/>
          <w:lang w:eastAsia="en-ID"/>
        </w:rPr>
        <w:t xml:space="preserve"> and the lack of derivative rules), and the non-statutory variables affecting outcomes (political will, cross-sectoral support, and modernization pressures).</w:t>
      </w:r>
    </w:p>
    <w:p w14:paraId="4F4B448D" w14:textId="59391BBE" w:rsidR="00B130EF" w:rsidRDefault="00B130EF" w:rsidP="00B130EF">
      <w:pPr>
        <w:jc w:val="both"/>
        <w:rPr>
          <w:rFonts w:eastAsia="Times New Roman" w:cs="Times New Roman"/>
          <w:szCs w:val="24"/>
          <w:lang w:eastAsia="en-ID"/>
        </w:rPr>
      </w:pPr>
      <w:r w:rsidRPr="00B130EF">
        <w:rPr>
          <w:rFonts w:eastAsia="Times New Roman" w:cs="Times New Roman"/>
          <w:szCs w:val="24"/>
          <w:lang w:eastAsia="en-ID"/>
        </w:rPr>
        <w:t xml:space="preserve">Ultimately, the primary objective of this research is to evaluate the extent of policy implementation, identify the core supporting and inhibiting factors, and propose a more effective, collaborative implementation model. Theoretically, this study is expected to enrich the literature on public administration and policy implementation concerning indigenous rights in developing nations. Practically, the findings intend to provide an evaluative blueprint for the </w:t>
      </w:r>
      <w:proofErr w:type="spellStart"/>
      <w:r w:rsidRPr="00B130EF">
        <w:rPr>
          <w:rFonts w:eastAsia="Times New Roman" w:cs="Times New Roman"/>
          <w:szCs w:val="24"/>
          <w:lang w:eastAsia="en-ID"/>
        </w:rPr>
        <w:t>Ciamis</w:t>
      </w:r>
      <w:proofErr w:type="spellEnd"/>
      <w:r w:rsidRPr="00B130EF">
        <w:rPr>
          <w:rFonts w:eastAsia="Times New Roman" w:cs="Times New Roman"/>
          <w:szCs w:val="24"/>
          <w:lang w:eastAsia="en-ID"/>
        </w:rPr>
        <w:t xml:space="preserve"> Regency Government and other regional policymakers in Indonesia to transition from merely formal recognition to substantive, collaborative, and sustainable protection of indigenous communities.</w:t>
      </w:r>
    </w:p>
    <w:p w14:paraId="42FF45E7" w14:textId="77777777" w:rsidR="00B81C36" w:rsidRPr="009C0DB0" w:rsidRDefault="00B81C36" w:rsidP="008664CD">
      <w:pPr>
        <w:jc w:val="both"/>
        <w:rPr>
          <w:rFonts w:eastAsia="Times New Roman" w:cs="Times New Roman"/>
          <w:szCs w:val="24"/>
          <w:lang w:eastAsia="en-ID"/>
        </w:rPr>
      </w:pPr>
    </w:p>
    <w:p w14:paraId="26246E29" w14:textId="00AF4D33" w:rsidR="009C0DB0" w:rsidRPr="00B130EF" w:rsidRDefault="009C0DB0" w:rsidP="00B130EF">
      <w:pPr>
        <w:pStyle w:val="Heading1"/>
        <w:numPr>
          <w:ilvl w:val="0"/>
          <w:numId w:val="5"/>
        </w:numPr>
        <w:spacing w:after="240"/>
        <w:ind w:left="567" w:hanging="567"/>
        <w:jc w:val="both"/>
        <w:rPr>
          <w:rFonts w:ascii="Times New Roman" w:eastAsia="Times New Roman" w:hAnsi="Times New Roman" w:cs="Times New Roman"/>
          <w:b/>
          <w:bCs/>
          <w:color w:val="000000" w:themeColor="text1"/>
          <w:sz w:val="24"/>
          <w:szCs w:val="24"/>
          <w:lang w:eastAsia="en-ID"/>
        </w:rPr>
      </w:pPr>
      <w:r w:rsidRPr="00B130EF">
        <w:rPr>
          <w:rFonts w:ascii="Times New Roman" w:eastAsia="Times New Roman" w:hAnsi="Times New Roman" w:cs="Times New Roman"/>
          <w:b/>
          <w:bCs/>
          <w:color w:val="000000" w:themeColor="text1"/>
          <w:sz w:val="24"/>
          <w:szCs w:val="24"/>
          <w:lang w:eastAsia="en-ID"/>
        </w:rPr>
        <w:t>METHODS</w:t>
      </w:r>
    </w:p>
    <w:p w14:paraId="0647D2DA" w14:textId="77777777" w:rsidR="00CD161C" w:rsidRPr="00CD161C" w:rsidRDefault="00CD161C" w:rsidP="00CD161C">
      <w:pPr>
        <w:jc w:val="both"/>
        <w:rPr>
          <w:rFonts w:eastAsia="Times New Roman" w:cs="Times New Roman"/>
          <w:szCs w:val="24"/>
          <w:lang w:eastAsia="en-ID"/>
        </w:rPr>
      </w:pPr>
      <w:r w:rsidRPr="00CD161C">
        <w:rPr>
          <w:rFonts w:eastAsia="Times New Roman" w:cs="Times New Roman"/>
          <w:szCs w:val="24"/>
          <w:lang w:eastAsia="en-ID"/>
        </w:rPr>
        <w:t xml:space="preserve">This study adopts a qualitative research design utilizing a descriptive-analytical approach to acquire a comprehensive, contextual, and nuanced understanding of the policy implementation process concerning the recognition and protection of the Kampung Kuta Indigenous Community. Qualitative descriptive inquiry is particularly suited for this research because it enables the investigators to examine complex administrative and sociocultural interactions in their natural, unaltered environments without manipulating the variables. The geographical locus of this research is located in Kampung Kuta, a traditional Sundanese hamlet situated in </w:t>
      </w:r>
      <w:proofErr w:type="spellStart"/>
      <w:r w:rsidRPr="00CD161C">
        <w:rPr>
          <w:rFonts w:eastAsia="Times New Roman" w:cs="Times New Roman"/>
          <w:szCs w:val="24"/>
          <w:lang w:eastAsia="en-ID"/>
        </w:rPr>
        <w:t>Karangpaningal</w:t>
      </w:r>
      <w:proofErr w:type="spellEnd"/>
      <w:r w:rsidRPr="00CD161C">
        <w:rPr>
          <w:rFonts w:eastAsia="Times New Roman" w:cs="Times New Roman"/>
          <w:szCs w:val="24"/>
          <w:lang w:eastAsia="en-ID"/>
        </w:rPr>
        <w:t xml:space="preserve"> Village, </w:t>
      </w:r>
      <w:proofErr w:type="spellStart"/>
      <w:r w:rsidRPr="00CD161C">
        <w:rPr>
          <w:rFonts w:eastAsia="Times New Roman" w:cs="Times New Roman"/>
          <w:szCs w:val="24"/>
          <w:lang w:eastAsia="en-ID"/>
        </w:rPr>
        <w:t>Tambaksari</w:t>
      </w:r>
      <w:proofErr w:type="spellEnd"/>
      <w:r w:rsidRPr="00CD161C">
        <w:rPr>
          <w:rFonts w:eastAsia="Times New Roman" w:cs="Times New Roman"/>
          <w:szCs w:val="24"/>
          <w:lang w:eastAsia="en-ID"/>
        </w:rPr>
        <w:t xml:space="preserve"> District, </w:t>
      </w:r>
      <w:proofErr w:type="spellStart"/>
      <w:r w:rsidRPr="00CD161C">
        <w:rPr>
          <w:rFonts w:eastAsia="Times New Roman" w:cs="Times New Roman"/>
          <w:szCs w:val="24"/>
          <w:lang w:eastAsia="en-ID"/>
        </w:rPr>
        <w:t>Ciamis</w:t>
      </w:r>
      <w:proofErr w:type="spellEnd"/>
      <w:r w:rsidRPr="00CD161C">
        <w:rPr>
          <w:rFonts w:eastAsia="Times New Roman" w:cs="Times New Roman"/>
          <w:szCs w:val="24"/>
          <w:lang w:eastAsia="en-ID"/>
        </w:rPr>
        <w:t xml:space="preserve"> Regency, West Java, Indonesia. This site was purposively chosen because of its unique status as an indigenous enclave governed by highly structured ancestral taboos (</w:t>
      </w:r>
      <w:proofErr w:type="spellStart"/>
      <w:r w:rsidRPr="00CD161C">
        <w:rPr>
          <w:rFonts w:eastAsia="Times New Roman" w:cs="Times New Roman"/>
          <w:szCs w:val="24"/>
          <w:lang w:eastAsia="en-ID"/>
        </w:rPr>
        <w:t>pamali</w:t>
      </w:r>
      <w:proofErr w:type="spellEnd"/>
      <w:r w:rsidRPr="00CD161C">
        <w:rPr>
          <w:rFonts w:eastAsia="Times New Roman" w:cs="Times New Roman"/>
          <w:szCs w:val="24"/>
          <w:lang w:eastAsia="en-ID"/>
        </w:rPr>
        <w:t>) and customary rules, which exist in parallel with the formal local government administrative jurisdictions, thereby presenting an ideal setting to observe the operational interface between state policy and traditional institutions.</w:t>
      </w:r>
    </w:p>
    <w:p w14:paraId="58BEA342" w14:textId="77777777" w:rsidR="00CD161C" w:rsidRPr="00CD161C" w:rsidRDefault="00CD161C" w:rsidP="00CD161C">
      <w:pPr>
        <w:jc w:val="both"/>
        <w:rPr>
          <w:rFonts w:eastAsia="Times New Roman" w:cs="Times New Roman"/>
          <w:szCs w:val="24"/>
          <w:lang w:eastAsia="en-ID"/>
        </w:rPr>
      </w:pPr>
      <w:r w:rsidRPr="00CD161C">
        <w:rPr>
          <w:rFonts w:eastAsia="Times New Roman" w:cs="Times New Roman"/>
          <w:szCs w:val="24"/>
          <w:lang w:eastAsia="en-ID"/>
        </w:rPr>
        <w:t xml:space="preserve">To secure robust and credible empirical findings, data collection was conducted through a combination of participant observation, semi-structured in-depth interviews, and extensive documentation studies. Informants were selected using a purposive sampling technique to ensure that key actors possessing rich, authoritative knowledge and direct experience of the policy's implementation were included. The primary informants consisted of internal customary authorities, including the Customary Chief (Ki Bumi and Koki) and community elders of Kampung Kuta, alongside formal external </w:t>
      </w:r>
      <w:proofErr w:type="spellStart"/>
      <w:r w:rsidRPr="00CD161C">
        <w:rPr>
          <w:rFonts w:eastAsia="Times New Roman" w:cs="Times New Roman"/>
          <w:szCs w:val="24"/>
          <w:lang w:eastAsia="en-ID"/>
        </w:rPr>
        <w:t>actors</w:t>
      </w:r>
      <w:proofErr w:type="spellEnd"/>
      <w:r w:rsidRPr="00CD161C">
        <w:rPr>
          <w:rFonts w:eastAsia="Times New Roman" w:cs="Times New Roman"/>
          <w:szCs w:val="24"/>
          <w:lang w:eastAsia="en-ID"/>
        </w:rPr>
        <w:t xml:space="preserve"> such as representatives from the </w:t>
      </w:r>
      <w:proofErr w:type="spellStart"/>
      <w:r w:rsidRPr="00CD161C">
        <w:rPr>
          <w:rFonts w:eastAsia="Times New Roman" w:cs="Times New Roman"/>
          <w:szCs w:val="24"/>
          <w:lang w:eastAsia="en-ID"/>
        </w:rPr>
        <w:t>Ciamis</w:t>
      </w:r>
      <w:proofErr w:type="spellEnd"/>
      <w:r w:rsidRPr="00CD161C">
        <w:rPr>
          <w:rFonts w:eastAsia="Times New Roman" w:cs="Times New Roman"/>
          <w:szCs w:val="24"/>
          <w:lang w:eastAsia="en-ID"/>
        </w:rPr>
        <w:t xml:space="preserve"> Regency Local Government (specifically the Community and Village Empowerment Agency / DPMD), sub-district </w:t>
      </w:r>
      <w:r w:rsidRPr="00CD161C">
        <w:rPr>
          <w:rFonts w:eastAsia="Times New Roman" w:cs="Times New Roman"/>
          <w:szCs w:val="24"/>
          <w:lang w:eastAsia="en-ID"/>
        </w:rPr>
        <w:lastRenderedPageBreak/>
        <w:t xml:space="preserve">officials of </w:t>
      </w:r>
      <w:proofErr w:type="spellStart"/>
      <w:r w:rsidRPr="00CD161C">
        <w:rPr>
          <w:rFonts w:eastAsia="Times New Roman" w:cs="Times New Roman"/>
          <w:szCs w:val="24"/>
          <w:lang w:eastAsia="en-ID"/>
        </w:rPr>
        <w:t>Tambaksari</w:t>
      </w:r>
      <w:proofErr w:type="spellEnd"/>
      <w:r w:rsidRPr="00CD161C">
        <w:rPr>
          <w:rFonts w:eastAsia="Times New Roman" w:cs="Times New Roman"/>
          <w:szCs w:val="24"/>
          <w:lang w:eastAsia="en-ID"/>
        </w:rPr>
        <w:t xml:space="preserve">, the Village Head of </w:t>
      </w:r>
      <w:proofErr w:type="spellStart"/>
      <w:r w:rsidRPr="00CD161C">
        <w:rPr>
          <w:rFonts w:eastAsia="Times New Roman" w:cs="Times New Roman"/>
          <w:szCs w:val="24"/>
          <w:lang w:eastAsia="en-ID"/>
        </w:rPr>
        <w:t>Karangpaningal</w:t>
      </w:r>
      <w:proofErr w:type="spellEnd"/>
      <w:r w:rsidRPr="00CD161C">
        <w:rPr>
          <w:rFonts w:eastAsia="Times New Roman" w:cs="Times New Roman"/>
          <w:szCs w:val="24"/>
          <w:lang w:eastAsia="en-ID"/>
        </w:rPr>
        <w:t xml:space="preserve">, and representatives from the </w:t>
      </w:r>
      <w:proofErr w:type="spellStart"/>
      <w:r w:rsidRPr="00CD161C">
        <w:rPr>
          <w:rFonts w:eastAsia="Times New Roman" w:cs="Times New Roman"/>
          <w:szCs w:val="24"/>
          <w:lang w:eastAsia="en-ID"/>
        </w:rPr>
        <w:t>Ciamis</w:t>
      </w:r>
      <w:proofErr w:type="spellEnd"/>
      <w:r w:rsidRPr="00CD161C">
        <w:rPr>
          <w:rFonts w:eastAsia="Times New Roman" w:cs="Times New Roman"/>
          <w:szCs w:val="24"/>
          <w:lang w:eastAsia="en-ID"/>
        </w:rPr>
        <w:t xml:space="preserve"> Regency Land Office (National Land Agency/BPN). Field observation focused on mapping the socio-ecological practices of the community and the physical boundaries of their customary lands. Meanwhile, documentation studies involved a systematic review and analysis of Local Regulation (</w:t>
      </w:r>
      <w:proofErr w:type="spellStart"/>
      <w:r w:rsidRPr="00CD161C">
        <w:rPr>
          <w:rFonts w:eastAsia="Times New Roman" w:cs="Times New Roman"/>
          <w:szCs w:val="24"/>
          <w:lang w:eastAsia="en-ID"/>
        </w:rPr>
        <w:t>Perda</w:t>
      </w:r>
      <w:proofErr w:type="spellEnd"/>
      <w:r w:rsidRPr="00CD161C">
        <w:rPr>
          <w:rFonts w:eastAsia="Times New Roman" w:cs="Times New Roman"/>
          <w:szCs w:val="24"/>
          <w:lang w:eastAsia="en-ID"/>
        </w:rPr>
        <w:t>) No. 15 of 2016, relevant national agrarian laws, ministerial decrees, and local administrative reports.</w:t>
      </w:r>
    </w:p>
    <w:p w14:paraId="23C548CC" w14:textId="198EB02A" w:rsidR="00CD161C" w:rsidRDefault="00CD161C" w:rsidP="00CD161C">
      <w:pPr>
        <w:jc w:val="both"/>
        <w:rPr>
          <w:rFonts w:eastAsia="Times New Roman" w:cs="Times New Roman"/>
          <w:szCs w:val="24"/>
          <w:lang w:eastAsia="en-ID"/>
        </w:rPr>
      </w:pPr>
      <w:r w:rsidRPr="00CD161C">
        <w:rPr>
          <w:rFonts w:eastAsia="Times New Roman" w:cs="Times New Roman"/>
          <w:szCs w:val="24"/>
          <w:lang w:eastAsia="en-ID"/>
        </w:rPr>
        <w:t xml:space="preserve">The analytical framework of this study is grounded in the Policy Implementation Model proposed by Daniel Mazmanian and Paul Sabatier </w:t>
      </w:r>
      <w:r>
        <w:rPr>
          <w:rFonts w:eastAsia="Times New Roman" w:cs="Times New Roman"/>
          <w:szCs w:val="24"/>
          <w:lang w:eastAsia="en-ID"/>
        </w:rPr>
        <w:fldChar w:fldCharType="begin" w:fldLock="1"/>
      </w:r>
      <w:r w:rsidR="0072574E">
        <w:rPr>
          <w:rFonts w:eastAsia="Times New Roman" w:cs="Times New Roman"/>
          <w:szCs w:val="24"/>
          <w:lang w:eastAsia="en-ID"/>
        </w:rPr>
        <w:instrText>ADDIN CSL_CITATION {"citationItems":[{"id":"ITEM-1","itemData":{"author":[{"dropping-particle":"","family":"Mazmanian","given":"Daniel A.","non-dropping-particle":"","parse-names":false,"suffix":""},{"dropping-particle":"","family":"Sabatier","given":"Paul A.","non-dropping-particle":"","parse-names":false,"suffix":""}],"id":"ITEM-1","issued":{"date-parts":[["1983"]]},"publisher":"Scott","publisher-place":"Foresman","title":"Implementation and Public Policy","type":"book"},"uris":["http://www.mendeley.com/documents/?uuid=02c0e305-016d-47c0-a74e-2811916727c7"]}],"mendeley":{"formattedCitation":"(24)","manualFormatting":"(1983)","plainTextFormattedCitation":"(24)","previouslyFormattedCitation":"(24)"},"properties":{"noteIndex":0},"schema":"https://github.com/citation-style-language/schema/raw/master/csl-citation.json"}</w:instrText>
      </w:r>
      <w:r>
        <w:rPr>
          <w:rFonts w:eastAsia="Times New Roman" w:cs="Times New Roman"/>
          <w:szCs w:val="24"/>
          <w:lang w:eastAsia="en-ID"/>
        </w:rPr>
        <w:fldChar w:fldCharType="separate"/>
      </w:r>
      <w:r w:rsidRPr="00CD161C">
        <w:rPr>
          <w:rFonts w:eastAsia="Times New Roman" w:cs="Times New Roman"/>
          <w:noProof/>
          <w:szCs w:val="24"/>
          <w:lang w:eastAsia="en-ID"/>
        </w:rPr>
        <w:t>(</w:t>
      </w:r>
      <w:r>
        <w:rPr>
          <w:rFonts w:eastAsia="Times New Roman" w:cs="Times New Roman"/>
          <w:noProof/>
          <w:szCs w:val="24"/>
          <w:lang w:eastAsia="en-ID"/>
        </w:rPr>
        <w:t>1983</w:t>
      </w:r>
      <w:r w:rsidRPr="00CD161C">
        <w:rPr>
          <w:rFonts w:eastAsia="Times New Roman" w:cs="Times New Roman"/>
          <w:noProof/>
          <w:szCs w:val="24"/>
          <w:lang w:eastAsia="en-ID"/>
        </w:rPr>
        <w:t>)</w:t>
      </w:r>
      <w:r>
        <w:rPr>
          <w:rFonts w:eastAsia="Times New Roman" w:cs="Times New Roman"/>
          <w:szCs w:val="24"/>
          <w:lang w:eastAsia="en-ID"/>
        </w:rPr>
        <w:fldChar w:fldCharType="end"/>
      </w:r>
      <w:r w:rsidRPr="00CD161C">
        <w:rPr>
          <w:rFonts w:eastAsia="Times New Roman" w:cs="Times New Roman"/>
          <w:szCs w:val="24"/>
          <w:lang w:eastAsia="en-ID"/>
        </w:rPr>
        <w:t xml:space="preserve">. This model categorizes the factors influencing implementation into three primary dimensions: 1) the tractability of the problem (technical difficulties and target group diversity); 2) the ability of the statute to structure implementation (clarity of objectives, financial resources, and hierarchical integration); and 3) non-statutory variables (socioeconomic conditions, public support, and leadership commitment). The raw qualitative data gathered from the field were transcribed, categorized, and </w:t>
      </w:r>
      <w:proofErr w:type="spellStart"/>
      <w:r w:rsidRPr="00CD161C">
        <w:rPr>
          <w:rFonts w:eastAsia="Times New Roman" w:cs="Times New Roman"/>
          <w:szCs w:val="24"/>
          <w:lang w:eastAsia="en-ID"/>
        </w:rPr>
        <w:t>analyzed</w:t>
      </w:r>
      <w:proofErr w:type="spellEnd"/>
      <w:r w:rsidRPr="00CD161C">
        <w:rPr>
          <w:rFonts w:eastAsia="Times New Roman" w:cs="Times New Roman"/>
          <w:szCs w:val="24"/>
          <w:lang w:eastAsia="en-ID"/>
        </w:rPr>
        <w:t xml:space="preserve"> using NVivo qualitative data analysis software. The coding process followed the progressive stages of data reduction, data display, and conclusion drawing/verification, allowing for systematic thematic categorization based on the three variables of the Mazmanian and Sabatier model. To ensure the credibility, dependability, and validity of the findings, the study employed both source and method triangulation, cross-referencing verbal testimonies from interviews with field observation notes, official regulatory texts, and academic literature.</w:t>
      </w:r>
    </w:p>
    <w:p w14:paraId="54B71E8D" w14:textId="77777777" w:rsidR="00B130EF" w:rsidRPr="009C0DB0" w:rsidRDefault="00B130EF" w:rsidP="00B43635">
      <w:pPr>
        <w:jc w:val="both"/>
        <w:rPr>
          <w:rFonts w:eastAsia="Times New Roman" w:cs="Times New Roman"/>
          <w:szCs w:val="24"/>
          <w:lang w:eastAsia="en-ID"/>
        </w:rPr>
      </w:pPr>
    </w:p>
    <w:p w14:paraId="203BD639" w14:textId="2DD2C561" w:rsidR="009C0DB0" w:rsidRPr="00B130EF" w:rsidRDefault="009C0DB0" w:rsidP="00B130EF">
      <w:pPr>
        <w:pStyle w:val="Heading1"/>
        <w:numPr>
          <w:ilvl w:val="0"/>
          <w:numId w:val="5"/>
        </w:numPr>
        <w:spacing w:after="240"/>
        <w:ind w:left="567" w:hanging="567"/>
        <w:jc w:val="both"/>
        <w:rPr>
          <w:rFonts w:ascii="Times New Roman" w:eastAsia="Times New Roman" w:hAnsi="Times New Roman" w:cs="Times New Roman"/>
          <w:b/>
          <w:bCs/>
          <w:color w:val="000000" w:themeColor="text1"/>
          <w:sz w:val="24"/>
          <w:szCs w:val="24"/>
          <w:lang w:eastAsia="en-ID"/>
        </w:rPr>
      </w:pPr>
      <w:r w:rsidRPr="00B130EF">
        <w:rPr>
          <w:rFonts w:ascii="Times New Roman" w:eastAsia="Times New Roman" w:hAnsi="Times New Roman" w:cs="Times New Roman"/>
          <w:b/>
          <w:bCs/>
          <w:color w:val="000000" w:themeColor="text1"/>
          <w:sz w:val="24"/>
          <w:szCs w:val="24"/>
          <w:lang w:eastAsia="en-ID"/>
        </w:rPr>
        <w:t>RESULTS</w:t>
      </w:r>
    </w:p>
    <w:p w14:paraId="1D89AE00" w14:textId="49D4645D" w:rsidR="004335FE" w:rsidRPr="00B141AD" w:rsidRDefault="004335FE" w:rsidP="00B141AD">
      <w:pPr>
        <w:pStyle w:val="ListParagraph"/>
        <w:numPr>
          <w:ilvl w:val="0"/>
          <w:numId w:val="6"/>
        </w:numPr>
        <w:ind w:left="567" w:hanging="567"/>
        <w:jc w:val="both"/>
        <w:rPr>
          <w:rFonts w:eastAsia="Times New Roman" w:cs="Times New Roman"/>
          <w:b/>
          <w:bCs/>
          <w:szCs w:val="24"/>
          <w:lang w:eastAsia="en-ID"/>
        </w:rPr>
      </w:pPr>
      <w:r w:rsidRPr="00B141AD">
        <w:rPr>
          <w:rFonts w:eastAsia="Times New Roman" w:cs="Times New Roman"/>
          <w:b/>
          <w:bCs/>
          <w:szCs w:val="24"/>
          <w:lang w:eastAsia="en-ID"/>
        </w:rPr>
        <w:t>Tractability of the Problem</w:t>
      </w:r>
    </w:p>
    <w:p w14:paraId="2424871A" w14:textId="44621448" w:rsidR="00184198" w:rsidRP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 xml:space="preserve">According to Mazmanian and Sabatier </w:t>
      </w:r>
      <w:r>
        <w:rPr>
          <w:rFonts w:eastAsia="Times New Roman" w:cs="Times New Roman"/>
          <w:szCs w:val="24"/>
          <w:lang w:eastAsia="en-ID"/>
        </w:rPr>
        <w:fldChar w:fldCharType="begin" w:fldLock="1"/>
      </w:r>
      <w:r w:rsidR="0072574E">
        <w:rPr>
          <w:rFonts w:eastAsia="Times New Roman" w:cs="Times New Roman"/>
          <w:szCs w:val="24"/>
          <w:lang w:eastAsia="en-ID"/>
        </w:rPr>
        <w:instrText>ADDIN CSL_CITATION {"citationItems":[{"id":"ITEM-1","itemData":{"author":[{"dropping-particle":"","family":"Mazmanian","given":"Daniel A.","non-dropping-particle":"","parse-names":false,"suffix":""},{"dropping-particle":"","family":"Sabatier","given":"Paul A.","non-dropping-particle":"","parse-names":false,"suffix":""}],"id":"ITEM-1","issued":{"date-parts":[["1983"]]},"publisher":"Scott","publisher-place":"Foresman","title":"Implementation and Public Policy","type":"book"},"uris":["http://www.mendeley.com/documents/?uuid=02c0e305-016d-47c0-a74e-2811916727c7"]}],"mendeley":{"formattedCitation":"(24)","manualFormatting":"(1983)","plainTextFormattedCitation":"(24)","previouslyFormattedCitation":"(24)"},"properties":{"noteIndex":0},"schema":"https://github.com/citation-style-language/schema/raw/master/csl-citation.json"}</w:instrText>
      </w:r>
      <w:r>
        <w:rPr>
          <w:rFonts w:eastAsia="Times New Roman" w:cs="Times New Roman"/>
          <w:szCs w:val="24"/>
          <w:lang w:eastAsia="en-ID"/>
        </w:rPr>
        <w:fldChar w:fldCharType="separate"/>
      </w:r>
      <w:r w:rsidRPr="00CD161C">
        <w:rPr>
          <w:rFonts w:eastAsia="Times New Roman" w:cs="Times New Roman"/>
          <w:noProof/>
          <w:szCs w:val="24"/>
          <w:lang w:eastAsia="en-ID"/>
        </w:rPr>
        <w:t>(</w:t>
      </w:r>
      <w:r>
        <w:rPr>
          <w:rFonts w:eastAsia="Times New Roman" w:cs="Times New Roman"/>
          <w:noProof/>
          <w:szCs w:val="24"/>
          <w:lang w:eastAsia="en-ID"/>
        </w:rPr>
        <w:t>1983</w:t>
      </w:r>
      <w:r w:rsidRPr="00CD161C">
        <w:rPr>
          <w:rFonts w:eastAsia="Times New Roman" w:cs="Times New Roman"/>
          <w:noProof/>
          <w:szCs w:val="24"/>
          <w:lang w:eastAsia="en-ID"/>
        </w:rPr>
        <w:t>)</w:t>
      </w:r>
      <w:r>
        <w:rPr>
          <w:rFonts w:eastAsia="Times New Roman" w:cs="Times New Roman"/>
          <w:szCs w:val="24"/>
          <w:lang w:eastAsia="en-ID"/>
        </w:rPr>
        <w:fldChar w:fldCharType="end"/>
      </w:r>
      <w:r w:rsidRPr="00184198">
        <w:rPr>
          <w:rFonts w:eastAsia="Times New Roman" w:cs="Times New Roman"/>
          <w:szCs w:val="24"/>
          <w:lang w:eastAsia="en-ID"/>
        </w:rPr>
        <w:t>, the tractability of a problem refers to the inherent difficulties associated with the issue that a policy attempts to address. In the context of Kampung Kuta, the recognition and protection of the indigenous community present an exceptionally low level of tractability due to deep-seated systemic friction. The core issue lies in the physical and legal identification of customary lands (</w:t>
      </w:r>
      <w:proofErr w:type="spellStart"/>
      <w:r w:rsidRPr="00184198">
        <w:rPr>
          <w:rFonts w:eastAsia="Times New Roman" w:cs="Times New Roman"/>
          <w:szCs w:val="24"/>
          <w:lang w:eastAsia="en-ID"/>
        </w:rPr>
        <w:t>tanah</w:t>
      </w:r>
      <w:proofErr w:type="spellEnd"/>
      <w:r w:rsidRPr="00184198">
        <w:rPr>
          <w:rFonts w:eastAsia="Times New Roman" w:cs="Times New Roman"/>
          <w:szCs w:val="24"/>
          <w:lang w:eastAsia="en-ID"/>
        </w:rPr>
        <w:t xml:space="preserve"> </w:t>
      </w:r>
      <w:proofErr w:type="spellStart"/>
      <w:r w:rsidRPr="00184198">
        <w:rPr>
          <w:rFonts w:eastAsia="Times New Roman" w:cs="Times New Roman"/>
          <w:szCs w:val="24"/>
          <w:lang w:eastAsia="en-ID"/>
        </w:rPr>
        <w:t>ulayat</w:t>
      </w:r>
      <w:proofErr w:type="spellEnd"/>
      <w:r w:rsidRPr="00184198">
        <w:rPr>
          <w:rFonts w:eastAsia="Times New Roman" w:cs="Times New Roman"/>
          <w:szCs w:val="24"/>
          <w:lang w:eastAsia="en-ID"/>
        </w:rPr>
        <w:t>) and sacred territories. The boundaries of the Kampung Kuta indigenous territory are traditionally defined through oral histories, physical landmarks, and cultural taboos (</w:t>
      </w:r>
      <w:proofErr w:type="spellStart"/>
      <w:r w:rsidRPr="00184198">
        <w:rPr>
          <w:rFonts w:eastAsia="Times New Roman" w:cs="Times New Roman"/>
          <w:szCs w:val="24"/>
          <w:lang w:eastAsia="en-ID"/>
        </w:rPr>
        <w:t>pamali</w:t>
      </w:r>
      <w:proofErr w:type="spellEnd"/>
      <w:r w:rsidRPr="00184198">
        <w:rPr>
          <w:rFonts w:eastAsia="Times New Roman" w:cs="Times New Roman"/>
          <w:szCs w:val="24"/>
          <w:lang w:eastAsia="en-ID"/>
        </w:rPr>
        <w:t>), which lack the rigid geometric coordinates required by modern state-positive law.</w:t>
      </w:r>
    </w:p>
    <w:p w14:paraId="78C71EE7" w14:textId="77777777" w:rsidR="00184198" w:rsidRP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 xml:space="preserve">The primary technical difficulty arises when trying to map and legally certify these spaces. The National Land Agency (BPN) operates under strict positive law regimes that require clear boundary coordinate points, individual or collective formal ownership certificates, and non-overlapping spatial claims. On the other hand, the Kampung Kuta community maintains a collective, unwritten spatial system where their ancestral forest, </w:t>
      </w:r>
      <w:proofErr w:type="spellStart"/>
      <w:r w:rsidRPr="00184198">
        <w:rPr>
          <w:rFonts w:eastAsia="Times New Roman" w:cs="Times New Roman"/>
          <w:szCs w:val="24"/>
          <w:lang w:eastAsia="en-ID"/>
        </w:rPr>
        <w:t>Leuweung</w:t>
      </w:r>
      <w:proofErr w:type="spellEnd"/>
      <w:r w:rsidRPr="00184198">
        <w:rPr>
          <w:rFonts w:eastAsia="Times New Roman" w:cs="Times New Roman"/>
          <w:szCs w:val="24"/>
          <w:lang w:eastAsia="en-ID"/>
        </w:rPr>
        <w:t xml:space="preserve"> Karamat, and agricultural lands are held in trust for future generations rather than owned in a commercial, modern sense. This fundamental ontological divergence makes the spatial definition of the policy's target area highly ambiguous and technically difficult for administrative officials to verify.</w:t>
      </w:r>
    </w:p>
    <w:p w14:paraId="42E9FB0C" w14:textId="77777777" w:rsidR="00184198" w:rsidRP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To illustrate this structural mismatch, Table 1 outlines the contrasting attributes between the formal state land tenure regimes and the customary practices of the Kampung Kuta community, highlighting why resolving the problem remains highly intractable.</w:t>
      </w:r>
    </w:p>
    <w:p w14:paraId="45FDB356" w14:textId="262198F5" w:rsidR="00B141AD" w:rsidRDefault="00184198" w:rsidP="00184198">
      <w:pPr>
        <w:jc w:val="center"/>
        <w:rPr>
          <w:rFonts w:eastAsia="Times New Roman" w:cs="Times New Roman"/>
          <w:szCs w:val="24"/>
          <w:lang w:eastAsia="en-ID"/>
        </w:rPr>
      </w:pPr>
      <w:r w:rsidRPr="00184198">
        <w:rPr>
          <w:rFonts w:eastAsia="Times New Roman" w:cs="Times New Roman"/>
          <w:b/>
          <w:bCs/>
          <w:szCs w:val="24"/>
          <w:lang w:eastAsia="en-ID"/>
        </w:rPr>
        <w:t xml:space="preserve">Table 1. </w:t>
      </w:r>
      <w:r w:rsidRPr="00184198">
        <w:rPr>
          <w:rFonts w:eastAsia="Times New Roman" w:cs="Times New Roman"/>
          <w:szCs w:val="24"/>
          <w:lang w:eastAsia="en-ID"/>
        </w:rPr>
        <w:t>Comparison of Spatial Understanding and Land Tenure Regimes in Kampung Kuta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2740"/>
        <w:gridCol w:w="2812"/>
        <w:gridCol w:w="3750"/>
      </w:tblGrid>
      <w:tr w:rsidR="00184198" w:rsidRPr="00184198" w14:paraId="1AA23842" w14:textId="77777777" w:rsidTr="00184198">
        <w:tc>
          <w:tcPr>
            <w:tcW w:w="0" w:type="auto"/>
            <w:tcBorders>
              <w:top w:val="single" w:sz="4" w:space="0" w:color="auto"/>
              <w:bottom w:val="single" w:sz="4" w:space="0" w:color="auto"/>
            </w:tcBorders>
            <w:vAlign w:val="center"/>
            <w:hideMark/>
          </w:tcPr>
          <w:p w14:paraId="465F932C" w14:textId="77777777" w:rsidR="00184198" w:rsidRPr="00184198" w:rsidRDefault="00184198" w:rsidP="00184198">
            <w:pPr>
              <w:spacing w:before="100" w:beforeAutospacing="1" w:after="100" w:afterAutospacing="1"/>
              <w:jc w:val="center"/>
              <w:rPr>
                <w:rFonts w:eastAsia="Times New Roman" w:cs="Times New Roman"/>
                <w:b/>
                <w:bCs/>
                <w:szCs w:val="24"/>
                <w:lang w:eastAsia="en-ID"/>
              </w:rPr>
            </w:pPr>
            <w:r w:rsidRPr="00184198">
              <w:rPr>
                <w:rFonts w:eastAsia="Times New Roman" w:cs="Times New Roman"/>
                <w:b/>
                <w:bCs/>
                <w:szCs w:val="24"/>
                <w:lang w:eastAsia="en-ID"/>
              </w:rPr>
              <w:t>Attribute</w:t>
            </w:r>
          </w:p>
        </w:tc>
        <w:tc>
          <w:tcPr>
            <w:tcW w:w="0" w:type="auto"/>
            <w:tcBorders>
              <w:top w:val="single" w:sz="4" w:space="0" w:color="auto"/>
              <w:bottom w:val="single" w:sz="4" w:space="0" w:color="auto"/>
            </w:tcBorders>
            <w:vAlign w:val="center"/>
            <w:hideMark/>
          </w:tcPr>
          <w:p w14:paraId="5B9DE1E3" w14:textId="77777777" w:rsidR="00184198" w:rsidRPr="00184198" w:rsidRDefault="00184198" w:rsidP="00184198">
            <w:pPr>
              <w:spacing w:before="100" w:beforeAutospacing="1" w:after="100" w:afterAutospacing="1"/>
              <w:jc w:val="center"/>
              <w:rPr>
                <w:rFonts w:eastAsia="Times New Roman" w:cs="Times New Roman"/>
                <w:b/>
                <w:bCs/>
                <w:szCs w:val="24"/>
                <w:lang w:eastAsia="en-ID"/>
              </w:rPr>
            </w:pPr>
            <w:r w:rsidRPr="00184198">
              <w:rPr>
                <w:rFonts w:eastAsia="Times New Roman" w:cs="Times New Roman"/>
                <w:b/>
                <w:bCs/>
                <w:szCs w:val="24"/>
                <w:lang w:eastAsia="en-ID"/>
              </w:rPr>
              <w:t>State Land Tenure Regime (BPN &amp; Forestry)</w:t>
            </w:r>
          </w:p>
        </w:tc>
        <w:tc>
          <w:tcPr>
            <w:tcW w:w="0" w:type="auto"/>
            <w:tcBorders>
              <w:top w:val="single" w:sz="4" w:space="0" w:color="auto"/>
              <w:bottom w:val="single" w:sz="4" w:space="0" w:color="auto"/>
            </w:tcBorders>
            <w:vAlign w:val="center"/>
            <w:hideMark/>
          </w:tcPr>
          <w:p w14:paraId="52EFB8AD" w14:textId="77777777" w:rsidR="00184198" w:rsidRPr="00184198" w:rsidRDefault="00184198" w:rsidP="00184198">
            <w:pPr>
              <w:spacing w:before="100" w:beforeAutospacing="1" w:after="100" w:afterAutospacing="1"/>
              <w:jc w:val="center"/>
              <w:rPr>
                <w:rFonts w:eastAsia="Times New Roman" w:cs="Times New Roman"/>
                <w:b/>
                <w:bCs/>
                <w:szCs w:val="24"/>
                <w:lang w:eastAsia="en-ID"/>
              </w:rPr>
            </w:pPr>
            <w:r w:rsidRPr="00184198">
              <w:rPr>
                <w:rFonts w:eastAsia="Times New Roman" w:cs="Times New Roman"/>
                <w:b/>
                <w:bCs/>
                <w:szCs w:val="24"/>
                <w:lang w:eastAsia="en-ID"/>
              </w:rPr>
              <w:t>Customary Practice (Kampung Kuta)</w:t>
            </w:r>
          </w:p>
        </w:tc>
        <w:tc>
          <w:tcPr>
            <w:tcW w:w="0" w:type="auto"/>
            <w:tcBorders>
              <w:top w:val="single" w:sz="4" w:space="0" w:color="auto"/>
              <w:bottom w:val="single" w:sz="4" w:space="0" w:color="auto"/>
            </w:tcBorders>
            <w:vAlign w:val="center"/>
            <w:hideMark/>
          </w:tcPr>
          <w:p w14:paraId="518C9E50" w14:textId="77777777" w:rsidR="00184198" w:rsidRPr="00184198" w:rsidRDefault="00184198" w:rsidP="00184198">
            <w:pPr>
              <w:spacing w:before="100" w:beforeAutospacing="1" w:after="100" w:afterAutospacing="1"/>
              <w:jc w:val="center"/>
              <w:rPr>
                <w:rFonts w:eastAsia="Times New Roman" w:cs="Times New Roman"/>
                <w:b/>
                <w:bCs/>
                <w:szCs w:val="24"/>
                <w:lang w:eastAsia="en-ID"/>
              </w:rPr>
            </w:pPr>
            <w:r w:rsidRPr="00184198">
              <w:rPr>
                <w:rFonts w:eastAsia="Times New Roman" w:cs="Times New Roman"/>
                <w:b/>
                <w:bCs/>
                <w:szCs w:val="24"/>
                <w:lang w:eastAsia="en-ID"/>
              </w:rPr>
              <w:t>Operational Tension / Friction</w:t>
            </w:r>
          </w:p>
        </w:tc>
      </w:tr>
      <w:tr w:rsidR="00184198" w:rsidRPr="00184198" w14:paraId="2D85C6AA" w14:textId="77777777" w:rsidTr="00184198">
        <w:tc>
          <w:tcPr>
            <w:tcW w:w="0" w:type="auto"/>
            <w:tcBorders>
              <w:top w:val="single" w:sz="4" w:space="0" w:color="auto"/>
            </w:tcBorders>
            <w:hideMark/>
          </w:tcPr>
          <w:p w14:paraId="5C55039B"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b/>
                <w:bCs/>
                <w:szCs w:val="24"/>
                <w:lang w:eastAsia="en-ID"/>
              </w:rPr>
              <w:t>Legal Basis</w:t>
            </w:r>
          </w:p>
        </w:tc>
        <w:tc>
          <w:tcPr>
            <w:tcW w:w="0" w:type="auto"/>
            <w:tcBorders>
              <w:top w:val="single" w:sz="4" w:space="0" w:color="auto"/>
            </w:tcBorders>
            <w:hideMark/>
          </w:tcPr>
          <w:p w14:paraId="44784406"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Written positive laws, Basic Agrarian Law (UUPA), Forestry Law</w:t>
            </w:r>
          </w:p>
        </w:tc>
        <w:tc>
          <w:tcPr>
            <w:tcW w:w="0" w:type="auto"/>
            <w:tcBorders>
              <w:top w:val="single" w:sz="4" w:space="0" w:color="auto"/>
            </w:tcBorders>
            <w:hideMark/>
          </w:tcPr>
          <w:p w14:paraId="54D6778A"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Unwritten customary norms, ancestral taboos (</w:t>
            </w:r>
            <w:proofErr w:type="spellStart"/>
            <w:r w:rsidRPr="00184198">
              <w:rPr>
                <w:rFonts w:eastAsia="Times New Roman" w:cs="Times New Roman"/>
                <w:i/>
                <w:iCs/>
                <w:szCs w:val="24"/>
                <w:lang w:eastAsia="en-ID"/>
              </w:rPr>
              <w:t>pamali</w:t>
            </w:r>
            <w:proofErr w:type="spellEnd"/>
            <w:r w:rsidRPr="00184198">
              <w:rPr>
                <w:rFonts w:eastAsia="Times New Roman" w:cs="Times New Roman"/>
                <w:szCs w:val="24"/>
                <w:lang w:eastAsia="en-ID"/>
              </w:rPr>
              <w:t>), oral traditions</w:t>
            </w:r>
          </w:p>
        </w:tc>
        <w:tc>
          <w:tcPr>
            <w:tcW w:w="0" w:type="auto"/>
            <w:tcBorders>
              <w:top w:val="single" w:sz="4" w:space="0" w:color="auto"/>
            </w:tcBorders>
            <w:hideMark/>
          </w:tcPr>
          <w:p w14:paraId="42B4CF69"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Customary claims are legally invisible until validated by complex bureaucratic processes.</w:t>
            </w:r>
          </w:p>
        </w:tc>
      </w:tr>
      <w:tr w:rsidR="00184198" w:rsidRPr="00184198" w14:paraId="16DDE360" w14:textId="77777777" w:rsidTr="00184198">
        <w:tc>
          <w:tcPr>
            <w:tcW w:w="0" w:type="auto"/>
            <w:hideMark/>
          </w:tcPr>
          <w:p w14:paraId="0023213B"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b/>
                <w:bCs/>
                <w:szCs w:val="24"/>
                <w:lang w:eastAsia="en-ID"/>
              </w:rPr>
              <w:t>Ownership</w:t>
            </w:r>
          </w:p>
        </w:tc>
        <w:tc>
          <w:tcPr>
            <w:tcW w:w="0" w:type="auto"/>
            <w:hideMark/>
          </w:tcPr>
          <w:p w14:paraId="5EBE941F"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Certified individual, state, or collective corporate ownership</w:t>
            </w:r>
          </w:p>
        </w:tc>
        <w:tc>
          <w:tcPr>
            <w:tcW w:w="0" w:type="auto"/>
            <w:hideMark/>
          </w:tcPr>
          <w:p w14:paraId="5045523D"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Ancestral collective trust, non-monetized custodianship</w:t>
            </w:r>
          </w:p>
        </w:tc>
        <w:tc>
          <w:tcPr>
            <w:tcW w:w="0" w:type="auto"/>
            <w:hideMark/>
          </w:tcPr>
          <w:p w14:paraId="0E70C262"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Strict rejection of individual land commercialization by the indigenous elders.</w:t>
            </w:r>
          </w:p>
        </w:tc>
      </w:tr>
      <w:tr w:rsidR="00184198" w:rsidRPr="00184198" w14:paraId="104244AA" w14:textId="77777777" w:rsidTr="00184198">
        <w:tc>
          <w:tcPr>
            <w:tcW w:w="0" w:type="auto"/>
            <w:hideMark/>
          </w:tcPr>
          <w:p w14:paraId="59688F13"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b/>
                <w:bCs/>
                <w:szCs w:val="24"/>
                <w:lang w:eastAsia="en-ID"/>
              </w:rPr>
              <w:lastRenderedPageBreak/>
              <w:t>Boundaries</w:t>
            </w:r>
          </w:p>
        </w:tc>
        <w:tc>
          <w:tcPr>
            <w:tcW w:w="0" w:type="auto"/>
            <w:hideMark/>
          </w:tcPr>
          <w:p w14:paraId="1B45A465"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Geodetic coordinate systems, physical fences, official state maps</w:t>
            </w:r>
          </w:p>
        </w:tc>
        <w:tc>
          <w:tcPr>
            <w:tcW w:w="0" w:type="auto"/>
            <w:hideMark/>
          </w:tcPr>
          <w:p w14:paraId="59C07E06"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Natural landmarks (rivers, sacred trees), cultural spheres of influence</w:t>
            </w:r>
          </w:p>
        </w:tc>
        <w:tc>
          <w:tcPr>
            <w:tcW w:w="0" w:type="auto"/>
            <w:hideMark/>
          </w:tcPr>
          <w:p w14:paraId="48AF8305"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Overlapping claims with state forestry zones (</w:t>
            </w:r>
            <w:proofErr w:type="spellStart"/>
            <w:r w:rsidRPr="00184198">
              <w:rPr>
                <w:rFonts w:eastAsia="Times New Roman" w:cs="Times New Roman"/>
                <w:i/>
                <w:iCs/>
                <w:szCs w:val="24"/>
                <w:lang w:eastAsia="en-ID"/>
              </w:rPr>
              <w:t>Perhutani</w:t>
            </w:r>
            <w:proofErr w:type="spellEnd"/>
            <w:r w:rsidRPr="00184198">
              <w:rPr>
                <w:rFonts w:eastAsia="Times New Roman" w:cs="Times New Roman"/>
                <w:szCs w:val="24"/>
                <w:lang w:eastAsia="en-ID"/>
              </w:rPr>
              <w:t xml:space="preserve">) and </w:t>
            </w:r>
            <w:proofErr w:type="spellStart"/>
            <w:r w:rsidRPr="00184198">
              <w:rPr>
                <w:rFonts w:eastAsia="Times New Roman" w:cs="Times New Roman"/>
                <w:szCs w:val="24"/>
                <w:lang w:eastAsia="en-ID"/>
              </w:rPr>
              <w:t>neighboring</w:t>
            </w:r>
            <w:proofErr w:type="spellEnd"/>
            <w:r w:rsidRPr="00184198">
              <w:rPr>
                <w:rFonts w:eastAsia="Times New Roman" w:cs="Times New Roman"/>
                <w:szCs w:val="24"/>
                <w:lang w:eastAsia="en-ID"/>
              </w:rPr>
              <w:t xml:space="preserve"> villages.</w:t>
            </w:r>
          </w:p>
        </w:tc>
      </w:tr>
      <w:tr w:rsidR="00184198" w:rsidRPr="00184198" w14:paraId="4336288E" w14:textId="77777777" w:rsidTr="00184198">
        <w:tc>
          <w:tcPr>
            <w:tcW w:w="0" w:type="auto"/>
            <w:tcBorders>
              <w:bottom w:val="single" w:sz="4" w:space="0" w:color="auto"/>
            </w:tcBorders>
            <w:hideMark/>
          </w:tcPr>
          <w:p w14:paraId="5950EC2C"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b/>
                <w:bCs/>
                <w:szCs w:val="24"/>
                <w:lang w:eastAsia="en-ID"/>
              </w:rPr>
              <w:t>Spatial Use</w:t>
            </w:r>
          </w:p>
        </w:tc>
        <w:tc>
          <w:tcPr>
            <w:tcW w:w="0" w:type="auto"/>
            <w:tcBorders>
              <w:bottom w:val="single" w:sz="4" w:space="0" w:color="auto"/>
            </w:tcBorders>
            <w:hideMark/>
          </w:tcPr>
          <w:p w14:paraId="10813997"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Commercial exploitation, public infrastructure, state conservation</w:t>
            </w:r>
          </w:p>
        </w:tc>
        <w:tc>
          <w:tcPr>
            <w:tcW w:w="0" w:type="auto"/>
            <w:tcBorders>
              <w:bottom w:val="single" w:sz="4" w:space="0" w:color="auto"/>
            </w:tcBorders>
            <w:hideMark/>
          </w:tcPr>
          <w:p w14:paraId="488B1505"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 xml:space="preserve">Preservation of </w:t>
            </w:r>
            <w:proofErr w:type="spellStart"/>
            <w:r w:rsidRPr="00184198">
              <w:rPr>
                <w:rFonts w:eastAsia="Times New Roman" w:cs="Times New Roman"/>
                <w:i/>
                <w:iCs/>
                <w:szCs w:val="24"/>
                <w:lang w:eastAsia="en-ID"/>
              </w:rPr>
              <w:t>Leuweung</w:t>
            </w:r>
            <w:proofErr w:type="spellEnd"/>
            <w:r w:rsidRPr="00184198">
              <w:rPr>
                <w:rFonts w:eastAsia="Times New Roman" w:cs="Times New Roman"/>
                <w:i/>
                <w:iCs/>
                <w:szCs w:val="24"/>
                <w:lang w:eastAsia="en-ID"/>
              </w:rPr>
              <w:t xml:space="preserve"> Karamat</w:t>
            </w:r>
            <w:r w:rsidRPr="00184198">
              <w:rPr>
                <w:rFonts w:eastAsia="Times New Roman" w:cs="Times New Roman"/>
                <w:szCs w:val="24"/>
                <w:lang w:eastAsia="en-ID"/>
              </w:rPr>
              <w:t xml:space="preserve"> (sacred forest), organic agriculture</w:t>
            </w:r>
          </w:p>
        </w:tc>
        <w:tc>
          <w:tcPr>
            <w:tcW w:w="0" w:type="auto"/>
            <w:tcBorders>
              <w:bottom w:val="single" w:sz="4" w:space="0" w:color="auto"/>
            </w:tcBorders>
            <w:hideMark/>
          </w:tcPr>
          <w:p w14:paraId="1AB23F61" w14:textId="77777777" w:rsidR="00184198" w:rsidRPr="00184198" w:rsidRDefault="00184198" w:rsidP="00184198">
            <w:pPr>
              <w:spacing w:before="100" w:beforeAutospacing="1" w:after="100" w:afterAutospacing="1"/>
              <w:rPr>
                <w:rFonts w:eastAsia="Times New Roman" w:cs="Times New Roman"/>
                <w:szCs w:val="24"/>
                <w:lang w:eastAsia="en-ID"/>
              </w:rPr>
            </w:pPr>
            <w:r w:rsidRPr="00184198">
              <w:rPr>
                <w:rFonts w:eastAsia="Times New Roman" w:cs="Times New Roman"/>
                <w:szCs w:val="24"/>
                <w:lang w:eastAsia="en-ID"/>
              </w:rPr>
              <w:t>Forestry officials restrict access to state-claimed zones; indigenous people claim ancestral rights.</w:t>
            </w:r>
          </w:p>
        </w:tc>
      </w:tr>
    </w:tbl>
    <w:p w14:paraId="60B002E0" w14:textId="77777777" w:rsidR="00184198" w:rsidRP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 xml:space="preserve">Furthermore, the target group's </w:t>
      </w:r>
      <w:proofErr w:type="spellStart"/>
      <w:r w:rsidRPr="00184198">
        <w:rPr>
          <w:rFonts w:eastAsia="Times New Roman" w:cs="Times New Roman"/>
          <w:szCs w:val="24"/>
          <w:lang w:eastAsia="en-ID"/>
        </w:rPr>
        <w:t>behavioral</w:t>
      </w:r>
      <w:proofErr w:type="spellEnd"/>
      <w:r w:rsidRPr="00184198">
        <w:rPr>
          <w:rFonts w:eastAsia="Times New Roman" w:cs="Times New Roman"/>
          <w:szCs w:val="24"/>
          <w:lang w:eastAsia="en-ID"/>
        </w:rPr>
        <w:t xml:space="preserve"> diversity poses another significant challenge to the policy’s tractability. The implementation of </w:t>
      </w:r>
      <w:proofErr w:type="spellStart"/>
      <w:r w:rsidRPr="00184198">
        <w:rPr>
          <w:rFonts w:eastAsia="Times New Roman" w:cs="Times New Roman"/>
          <w:szCs w:val="24"/>
          <w:lang w:eastAsia="en-ID"/>
        </w:rPr>
        <w:t>Perda</w:t>
      </w:r>
      <w:proofErr w:type="spellEnd"/>
      <w:r w:rsidRPr="00184198">
        <w:rPr>
          <w:rFonts w:eastAsia="Times New Roman" w:cs="Times New Roman"/>
          <w:szCs w:val="24"/>
          <w:lang w:eastAsia="en-ID"/>
        </w:rPr>
        <w:t xml:space="preserve"> No. 15 of 2016 involves not only the direct residents of Kampung Kuta but also external stakeholders, such as </w:t>
      </w:r>
      <w:proofErr w:type="spellStart"/>
      <w:r w:rsidRPr="00184198">
        <w:rPr>
          <w:rFonts w:eastAsia="Times New Roman" w:cs="Times New Roman"/>
          <w:szCs w:val="24"/>
          <w:lang w:eastAsia="en-ID"/>
        </w:rPr>
        <w:t>neighboring</w:t>
      </w:r>
      <w:proofErr w:type="spellEnd"/>
      <w:r w:rsidRPr="00184198">
        <w:rPr>
          <w:rFonts w:eastAsia="Times New Roman" w:cs="Times New Roman"/>
          <w:szCs w:val="24"/>
          <w:lang w:eastAsia="en-ID"/>
        </w:rPr>
        <w:t xml:space="preserve"> villages, private agricultural actors, and national forestry state-owned enterprises (</w:t>
      </w:r>
      <w:proofErr w:type="spellStart"/>
      <w:r w:rsidRPr="00184198">
        <w:rPr>
          <w:rFonts w:eastAsia="Times New Roman" w:cs="Times New Roman"/>
          <w:szCs w:val="24"/>
          <w:lang w:eastAsia="en-ID"/>
        </w:rPr>
        <w:t>Perhutani</w:t>
      </w:r>
      <w:proofErr w:type="spellEnd"/>
      <w:r w:rsidRPr="00184198">
        <w:rPr>
          <w:rFonts w:eastAsia="Times New Roman" w:cs="Times New Roman"/>
          <w:szCs w:val="24"/>
          <w:lang w:eastAsia="en-ID"/>
        </w:rPr>
        <w:t xml:space="preserve">). The </w:t>
      </w:r>
      <w:proofErr w:type="spellStart"/>
      <w:r w:rsidRPr="00184198">
        <w:rPr>
          <w:rFonts w:eastAsia="Times New Roman" w:cs="Times New Roman"/>
          <w:szCs w:val="24"/>
          <w:lang w:eastAsia="en-ID"/>
        </w:rPr>
        <w:t>behavioral</w:t>
      </w:r>
      <w:proofErr w:type="spellEnd"/>
      <w:r w:rsidRPr="00184198">
        <w:rPr>
          <w:rFonts w:eastAsia="Times New Roman" w:cs="Times New Roman"/>
          <w:szCs w:val="24"/>
          <w:lang w:eastAsia="en-ID"/>
        </w:rPr>
        <w:t xml:space="preserve"> adjustments required from these diverse groups are immense. While the local government expects the indigenous community to adapt to formal administrative systems (such as registering individual deeds or formatting customary institutions into standard village organizations), the community expects the state to unconditionally respect their unwritten ancestral boundaries.</w:t>
      </w:r>
    </w:p>
    <w:p w14:paraId="0F8D58C6" w14:textId="3A3D0C9C" w:rsid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 xml:space="preserve">The scale of </w:t>
      </w:r>
      <w:proofErr w:type="spellStart"/>
      <w:r w:rsidRPr="00184198">
        <w:rPr>
          <w:rFonts w:eastAsia="Times New Roman" w:cs="Times New Roman"/>
          <w:szCs w:val="24"/>
          <w:lang w:eastAsia="en-ID"/>
        </w:rPr>
        <w:t>behavioral</w:t>
      </w:r>
      <w:proofErr w:type="spellEnd"/>
      <w:r w:rsidRPr="00184198">
        <w:rPr>
          <w:rFonts w:eastAsia="Times New Roman" w:cs="Times New Roman"/>
          <w:szCs w:val="24"/>
          <w:lang w:eastAsia="en-ID"/>
        </w:rPr>
        <w:t xml:space="preserve"> change required is thus asymmetric. For the indigenous community, conforming to modern positive law represents a potential erosion of their cultural values, as formalizing land boundaries often invites individualization and subsequent commercial pressures. Conversely, for regional bureaucratic actors, recognizing unwritten oral boundaries requires shifting away from deeply ingrained legalistic-positivistic administrative cultures. This mutual resistance to </w:t>
      </w:r>
      <w:proofErr w:type="spellStart"/>
      <w:r w:rsidRPr="00184198">
        <w:rPr>
          <w:rFonts w:eastAsia="Times New Roman" w:cs="Times New Roman"/>
          <w:szCs w:val="24"/>
          <w:lang w:eastAsia="en-ID"/>
        </w:rPr>
        <w:t>behavioral</w:t>
      </w:r>
      <w:proofErr w:type="spellEnd"/>
      <w:r w:rsidRPr="00184198">
        <w:rPr>
          <w:rFonts w:eastAsia="Times New Roman" w:cs="Times New Roman"/>
          <w:szCs w:val="24"/>
          <w:lang w:eastAsia="en-ID"/>
        </w:rPr>
        <w:t xml:space="preserve"> change, combined with overlapping jurisdictional claims over the forest zones surrounding </w:t>
      </w:r>
      <w:proofErr w:type="spellStart"/>
      <w:r w:rsidRPr="00184198">
        <w:rPr>
          <w:rFonts w:eastAsia="Times New Roman" w:cs="Times New Roman"/>
          <w:szCs w:val="24"/>
          <w:lang w:eastAsia="en-ID"/>
        </w:rPr>
        <w:t>Tambaksari</w:t>
      </w:r>
      <w:proofErr w:type="spellEnd"/>
      <w:r w:rsidRPr="00184198">
        <w:rPr>
          <w:rFonts w:eastAsia="Times New Roman" w:cs="Times New Roman"/>
          <w:szCs w:val="24"/>
          <w:lang w:eastAsia="en-ID"/>
        </w:rPr>
        <w:t xml:space="preserve"> District, ensures that the problem remains highly complex, structurally embedded, and extremely difficult to manage.</w:t>
      </w:r>
    </w:p>
    <w:p w14:paraId="3D283ECA" w14:textId="76285E0E" w:rsidR="004335FE" w:rsidRPr="00B141AD" w:rsidRDefault="004335FE" w:rsidP="00B141AD">
      <w:pPr>
        <w:pStyle w:val="ListParagraph"/>
        <w:numPr>
          <w:ilvl w:val="0"/>
          <w:numId w:val="6"/>
        </w:numPr>
        <w:ind w:left="567" w:hanging="567"/>
        <w:jc w:val="both"/>
        <w:rPr>
          <w:rFonts w:eastAsia="Times New Roman" w:cs="Times New Roman"/>
          <w:b/>
          <w:bCs/>
          <w:szCs w:val="24"/>
          <w:lang w:eastAsia="en-ID"/>
        </w:rPr>
      </w:pPr>
      <w:r w:rsidRPr="00B141AD">
        <w:rPr>
          <w:rFonts w:eastAsia="Times New Roman" w:cs="Times New Roman"/>
          <w:b/>
          <w:bCs/>
          <w:szCs w:val="24"/>
          <w:lang w:eastAsia="en-ID"/>
        </w:rPr>
        <w:t>Ability of the Statute to Structure Implementation</w:t>
      </w:r>
    </w:p>
    <w:p w14:paraId="5542D96F" w14:textId="77777777" w:rsidR="00184198" w:rsidRP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 xml:space="preserve">The second dimension of the Mazmanian and Sabatier model focuses on how well the basic policy statute structures the implementation process. In theory, a well-structured statute should provide clear objectives, adequate financial resources, direct hierarchical integration among implementing agencies, and explicit decision rules. In the case of </w:t>
      </w:r>
      <w:proofErr w:type="spellStart"/>
      <w:r w:rsidRPr="00184198">
        <w:rPr>
          <w:rFonts w:eastAsia="Times New Roman" w:cs="Times New Roman"/>
          <w:szCs w:val="24"/>
          <w:lang w:eastAsia="en-ID"/>
        </w:rPr>
        <w:t>Ciamis</w:t>
      </w:r>
      <w:proofErr w:type="spellEnd"/>
      <w:r w:rsidRPr="00184198">
        <w:rPr>
          <w:rFonts w:eastAsia="Times New Roman" w:cs="Times New Roman"/>
          <w:szCs w:val="24"/>
          <w:lang w:eastAsia="en-ID"/>
        </w:rPr>
        <w:t xml:space="preserve"> Regency Local Regulation (</w:t>
      </w:r>
      <w:proofErr w:type="spellStart"/>
      <w:r w:rsidRPr="00184198">
        <w:rPr>
          <w:rFonts w:eastAsia="Times New Roman" w:cs="Times New Roman"/>
          <w:szCs w:val="24"/>
          <w:lang w:eastAsia="en-ID"/>
        </w:rPr>
        <w:t>Perda</w:t>
      </w:r>
      <w:proofErr w:type="spellEnd"/>
      <w:r w:rsidRPr="00184198">
        <w:rPr>
          <w:rFonts w:eastAsia="Times New Roman" w:cs="Times New Roman"/>
          <w:szCs w:val="24"/>
          <w:lang w:eastAsia="en-ID"/>
        </w:rPr>
        <w:t xml:space="preserve">) No. 15 of 2016, the research reveals severe structural and normative defects. Although the </w:t>
      </w:r>
      <w:proofErr w:type="spellStart"/>
      <w:r w:rsidRPr="00184198">
        <w:rPr>
          <w:rFonts w:eastAsia="Times New Roman" w:cs="Times New Roman"/>
          <w:szCs w:val="24"/>
          <w:lang w:eastAsia="en-ID"/>
        </w:rPr>
        <w:t>Perda</w:t>
      </w:r>
      <w:proofErr w:type="spellEnd"/>
      <w:r w:rsidRPr="00184198">
        <w:rPr>
          <w:rFonts w:eastAsia="Times New Roman" w:cs="Times New Roman"/>
          <w:szCs w:val="24"/>
          <w:lang w:eastAsia="en-ID"/>
        </w:rPr>
        <w:t xml:space="preserve"> formally recognizes the existence of the Kampung Kuta community, it acts merely as a declarative policy statement that lacks the operational mechanisms necessary for concrete execution.</w:t>
      </w:r>
    </w:p>
    <w:p w14:paraId="077DEE76" w14:textId="77777777" w:rsidR="00184198" w:rsidRP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The most critical operational defect is the total absence of derivative technical regulations, specifically a Regent Regulation (</w:t>
      </w:r>
      <w:proofErr w:type="spellStart"/>
      <w:r w:rsidRPr="00184198">
        <w:rPr>
          <w:rFonts w:eastAsia="Times New Roman" w:cs="Times New Roman"/>
          <w:szCs w:val="24"/>
          <w:lang w:eastAsia="en-ID"/>
        </w:rPr>
        <w:t>Peraturan</w:t>
      </w:r>
      <w:proofErr w:type="spellEnd"/>
      <w:r w:rsidRPr="00184198">
        <w:rPr>
          <w:rFonts w:eastAsia="Times New Roman" w:cs="Times New Roman"/>
          <w:szCs w:val="24"/>
          <w:lang w:eastAsia="en-ID"/>
        </w:rPr>
        <w:t xml:space="preserve"> </w:t>
      </w:r>
      <w:proofErr w:type="spellStart"/>
      <w:r w:rsidRPr="00184198">
        <w:rPr>
          <w:rFonts w:eastAsia="Times New Roman" w:cs="Times New Roman"/>
          <w:szCs w:val="24"/>
          <w:lang w:eastAsia="en-ID"/>
        </w:rPr>
        <w:t>Bupati</w:t>
      </w:r>
      <w:proofErr w:type="spellEnd"/>
      <w:r w:rsidRPr="00184198">
        <w:rPr>
          <w:rFonts w:eastAsia="Times New Roman" w:cs="Times New Roman"/>
          <w:szCs w:val="24"/>
          <w:lang w:eastAsia="en-ID"/>
        </w:rPr>
        <w:t>/</w:t>
      </w:r>
      <w:proofErr w:type="spellStart"/>
      <w:r w:rsidRPr="00184198">
        <w:rPr>
          <w:rFonts w:eastAsia="Times New Roman" w:cs="Times New Roman"/>
          <w:szCs w:val="24"/>
          <w:lang w:eastAsia="en-ID"/>
        </w:rPr>
        <w:t>Perbup</w:t>
      </w:r>
      <w:proofErr w:type="spellEnd"/>
      <w:r w:rsidRPr="00184198">
        <w:rPr>
          <w:rFonts w:eastAsia="Times New Roman" w:cs="Times New Roman"/>
          <w:szCs w:val="24"/>
          <w:lang w:eastAsia="en-ID"/>
        </w:rPr>
        <w:t xml:space="preserve">). Without a </w:t>
      </w:r>
      <w:proofErr w:type="spellStart"/>
      <w:r w:rsidRPr="00184198">
        <w:rPr>
          <w:rFonts w:eastAsia="Times New Roman" w:cs="Times New Roman"/>
          <w:szCs w:val="24"/>
          <w:lang w:eastAsia="en-ID"/>
        </w:rPr>
        <w:t>Perbup</w:t>
      </w:r>
      <w:proofErr w:type="spellEnd"/>
      <w:r w:rsidRPr="00184198">
        <w:rPr>
          <w:rFonts w:eastAsia="Times New Roman" w:cs="Times New Roman"/>
          <w:szCs w:val="24"/>
          <w:lang w:eastAsia="en-ID"/>
        </w:rPr>
        <w:t xml:space="preserve">, the broad normative goals outlined in the </w:t>
      </w:r>
      <w:proofErr w:type="spellStart"/>
      <w:r w:rsidRPr="00184198">
        <w:rPr>
          <w:rFonts w:eastAsia="Times New Roman" w:cs="Times New Roman"/>
          <w:szCs w:val="24"/>
          <w:lang w:eastAsia="en-ID"/>
        </w:rPr>
        <w:t>Perda</w:t>
      </w:r>
      <w:proofErr w:type="spellEnd"/>
      <w:r w:rsidRPr="00184198">
        <w:rPr>
          <w:rFonts w:eastAsia="Times New Roman" w:cs="Times New Roman"/>
          <w:szCs w:val="24"/>
          <w:lang w:eastAsia="en-ID"/>
        </w:rPr>
        <w:t xml:space="preserve"> cannot be translated into daily administrative actions. There are no Standard Operating Procedures (SOPs), no specific budget codes, and no measurable performance indicators assigned to local government agencies. This legislative gap creates an operational void, leaving field officials from the Community and Village Empowerment Agency (DPMD) and other regional offices without legal guidelines to implement programs, coordinate mapping activities, or allocate direct funding.</w:t>
      </w:r>
    </w:p>
    <w:p w14:paraId="472E4F6C" w14:textId="0F849436" w:rsidR="00184198" w:rsidRDefault="00184198" w:rsidP="00184198">
      <w:pPr>
        <w:jc w:val="both"/>
        <w:rPr>
          <w:rFonts w:eastAsia="Times New Roman" w:cs="Times New Roman"/>
          <w:szCs w:val="24"/>
          <w:lang w:eastAsia="en-ID"/>
        </w:rPr>
      </w:pPr>
      <w:r w:rsidRPr="00184198">
        <w:rPr>
          <w:rFonts w:eastAsia="Times New Roman" w:cs="Times New Roman"/>
          <w:szCs w:val="24"/>
          <w:lang w:eastAsia="en-ID"/>
        </w:rPr>
        <w:t xml:space="preserve">To visualize the administrative impasse caused by this structural gap, Figure 1 maps the broken operational linkages within the </w:t>
      </w:r>
      <w:proofErr w:type="spellStart"/>
      <w:r w:rsidRPr="00184198">
        <w:rPr>
          <w:rFonts w:eastAsia="Times New Roman" w:cs="Times New Roman"/>
          <w:szCs w:val="24"/>
          <w:lang w:eastAsia="en-ID"/>
        </w:rPr>
        <w:t>Ciamis</w:t>
      </w:r>
      <w:proofErr w:type="spellEnd"/>
      <w:r w:rsidRPr="00184198">
        <w:rPr>
          <w:rFonts w:eastAsia="Times New Roman" w:cs="Times New Roman"/>
          <w:szCs w:val="24"/>
          <w:lang w:eastAsia="en-ID"/>
        </w:rPr>
        <w:t xml:space="preserve"> Regency administration.</w:t>
      </w:r>
    </w:p>
    <w:p w14:paraId="6C36844D" w14:textId="2F22B29C" w:rsidR="00774A59" w:rsidRDefault="0072574E" w:rsidP="00774A59">
      <w:pPr>
        <w:jc w:val="center"/>
        <w:rPr>
          <w:rFonts w:eastAsia="Times New Roman" w:cs="Times New Roman"/>
          <w:szCs w:val="24"/>
          <w:lang w:eastAsia="en-ID"/>
        </w:rPr>
      </w:pPr>
      <w:r>
        <w:rPr>
          <w:rFonts w:eastAsia="Times New Roman" w:cs="Times New Roman"/>
          <w:noProof/>
          <w:szCs w:val="24"/>
          <w:lang w:eastAsia="en-ID"/>
        </w:rPr>
        <w:lastRenderedPageBreak/>
        <w:drawing>
          <wp:inline distT="0" distB="0" distL="0" distR="0" wp14:anchorId="5F3D8D3D" wp14:editId="30B54F4C">
            <wp:extent cx="3829050"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23901" t="3589" r="23590" b="2378"/>
                    <a:stretch/>
                  </pic:blipFill>
                  <pic:spPr bwMode="auto">
                    <a:xfrm>
                      <a:off x="0" y="0"/>
                      <a:ext cx="3833855" cy="3748022"/>
                    </a:xfrm>
                    <a:prstGeom prst="rect">
                      <a:avLst/>
                    </a:prstGeom>
                    <a:noFill/>
                    <a:ln>
                      <a:noFill/>
                    </a:ln>
                    <a:extLst>
                      <a:ext uri="{53640926-AAD7-44D8-BBD7-CCE9431645EC}">
                        <a14:shadowObscured xmlns:a14="http://schemas.microsoft.com/office/drawing/2010/main"/>
                      </a:ext>
                    </a:extLst>
                  </pic:spPr>
                </pic:pic>
              </a:graphicData>
            </a:graphic>
          </wp:inline>
        </w:drawing>
      </w:r>
    </w:p>
    <w:p w14:paraId="47774957" w14:textId="00D92504" w:rsidR="00184198" w:rsidRDefault="00184198" w:rsidP="00774A59">
      <w:pPr>
        <w:jc w:val="center"/>
        <w:rPr>
          <w:rFonts w:eastAsia="Times New Roman" w:cs="Times New Roman"/>
          <w:szCs w:val="24"/>
          <w:lang w:eastAsia="en-ID"/>
        </w:rPr>
      </w:pPr>
      <w:r w:rsidRPr="00774A59">
        <w:rPr>
          <w:rFonts w:eastAsia="Times New Roman" w:cs="Times New Roman"/>
          <w:b/>
          <w:bCs/>
          <w:szCs w:val="24"/>
          <w:lang w:eastAsia="en-ID"/>
        </w:rPr>
        <w:t>Figure 1.</w:t>
      </w:r>
      <w:r w:rsidRPr="00184198">
        <w:rPr>
          <w:rFonts w:eastAsia="Times New Roman" w:cs="Times New Roman"/>
          <w:szCs w:val="24"/>
          <w:lang w:eastAsia="en-ID"/>
        </w:rPr>
        <w:t xml:space="preserve"> Bureaucratic and Procedural Void in Policy Implementation</w:t>
      </w:r>
    </w:p>
    <w:p w14:paraId="3FFAABD1" w14:textId="3FFF77DB" w:rsidR="0072574E" w:rsidRPr="0072574E" w:rsidRDefault="0072574E" w:rsidP="0072574E">
      <w:pPr>
        <w:jc w:val="both"/>
        <w:rPr>
          <w:rFonts w:eastAsia="Times New Roman" w:cs="Times New Roman"/>
          <w:szCs w:val="24"/>
          <w:lang w:eastAsia="en-ID"/>
        </w:rPr>
      </w:pPr>
      <w:r w:rsidRPr="0072574E">
        <w:rPr>
          <w:rFonts w:eastAsia="Times New Roman" w:cs="Times New Roman"/>
          <w:szCs w:val="24"/>
          <w:lang w:eastAsia="en-ID"/>
        </w:rPr>
        <w:t xml:space="preserve">Financially, the policy is virtually non-existent. The </w:t>
      </w:r>
      <w:proofErr w:type="spellStart"/>
      <w:r w:rsidRPr="0072574E">
        <w:rPr>
          <w:rFonts w:eastAsia="Times New Roman" w:cs="Times New Roman"/>
          <w:szCs w:val="24"/>
          <w:lang w:eastAsia="en-ID"/>
        </w:rPr>
        <w:t>Ciamis</w:t>
      </w:r>
      <w:proofErr w:type="spellEnd"/>
      <w:r w:rsidRPr="0072574E">
        <w:rPr>
          <w:rFonts w:eastAsia="Times New Roman" w:cs="Times New Roman"/>
          <w:szCs w:val="24"/>
          <w:lang w:eastAsia="en-ID"/>
        </w:rPr>
        <w:t xml:space="preserve"> Regency regional budget (APBD) does not contain a dedicated, multi-year funding line for the recognition and protection of Kampung Kuta. Programs related to Kampung Kuta are occasionally tucked into generic cultural tourism or village empowerment schemes, which are highly dependent on fluctuating yearly departmental priorities. This financial starvation prevents the execution of resource-intensive tasks, such as professional participatory mapping of customary lands, which requires hiring third-party geodetic experts and conducting extensive legal consultations. As highlighted by </w:t>
      </w:r>
      <w:r>
        <w:rPr>
          <w:rFonts w:eastAsia="Times New Roman" w:cs="Times New Roman"/>
          <w:szCs w:val="24"/>
          <w:lang w:eastAsia="en-ID"/>
        </w:rPr>
        <w:fldChar w:fldCharType="begin" w:fldLock="1"/>
      </w:r>
      <w:r w:rsidR="00B51E34">
        <w:rPr>
          <w:rFonts w:eastAsia="Times New Roman" w:cs="Times New Roman"/>
          <w:szCs w:val="24"/>
          <w:lang w:eastAsia="en-ID"/>
        </w:rPr>
        <w:instrText>ADDIN CSL_CITATION {"citationItems":[{"id":"ITEM-1","itemData":{"DOI":"https://doi.org/10.25157/moderat.v12i1.5584","ISSN":"2302-2221","abstract":"The waste management problem in Bandung City has reached a critical level, marked by daily waste volume exceeding the capacity of the Sarimukti Final Disposal Site (TPA). This condition has prompted the Bandung City Government to implement a series of policies aimed at reducing waste at its source. This study aims to analyze the implementation of waste management program policies in Bandung City, focusing on the \"Kang Pisman\" (Reduce, Separate, Utilize) program using the analytical framework of the George C. Edwards III Policy Implementation Model which includes four key variables: communication, resources, disposition, and bureaucratic structure. The method used is a qualitative approach with literature studies and document analysis to collect relevant secondary data. This methodological limitation implies that the analysis focuses more on regulatory and structural aspects, while the dimensions of community behavior and implementation dynamics at the field level are examined through policy documents and official reports, rather than direct observation. The results of the study indicate that although implementation is supported by a strong legal basis such as Regional Regulation No. 9 of 2018 and various mayoral regulations, their effectiveness is hampered by unequal communication down to the household level, limited infrastructure and budget, and varying dispositions of implementers and the community. The theoretical contribution of this research lies in the systematic application of the Edwards III Model in the context of decentralized urban waste management in Indonesia, which enriches the public policy implementation literature by identifying that the success of innovative, community-based programs requires the simultaneous alignment of all four implementation variables. The practical implications are the need to strengthen locality-based communication, more proportional resource allocation, and the establishment of cross-sectoral coordination mechanisms to improve the effectiveness of sustainable waste management programs in Indonesian metropolitan cities.","author":[{"dropping-particle":"","family":"Saputra","given":"Ginanjar Wira","non-dropping-particle":"","parse-names":false,"suffix":""},{"dropping-particle":"","family":"Santosa","given":"Pandji","non-dropping-particle":"","parse-names":false,"suffix":""},{"dropping-particle":"","family":"Adiwisastra","given":"Jossy","non-dropping-particle":"","parse-names":false,"suffix":""}],"container-title":"Moderat : Jurnal Ilmiah Ilmu Pemerintahan","id":"ITEM-1","issue":"1","issued":{"date-parts":[["2026"]]},"page":"197–214","title":"Implementasi Kebijakan Program Pengelolaan Sampah Di Kota Bandung Provinsi Jawa Barat","type":"article-journal","volume":"12"},"uris":["http://www.mendeley.com/documents/?uuid=aabfac4c-f23a-4560-8a93-0eae96bf91aa"]}],"mendeley":{"formattedCitation":"(25)","plainTextFormattedCitation":"(25)","previouslyFormattedCitation":"(25)"},"properties":{"noteIndex":0},"schema":"https://github.com/citation-style-language/schema/raw/master/csl-citation.json"}</w:instrText>
      </w:r>
      <w:r>
        <w:rPr>
          <w:rFonts w:eastAsia="Times New Roman" w:cs="Times New Roman"/>
          <w:szCs w:val="24"/>
          <w:lang w:eastAsia="en-ID"/>
        </w:rPr>
        <w:fldChar w:fldCharType="separate"/>
      </w:r>
      <w:r w:rsidRPr="0072574E">
        <w:rPr>
          <w:rFonts w:eastAsia="Times New Roman" w:cs="Times New Roman"/>
          <w:noProof/>
          <w:szCs w:val="24"/>
          <w:lang w:eastAsia="en-ID"/>
        </w:rPr>
        <w:t>(25)</w:t>
      </w:r>
      <w:r>
        <w:rPr>
          <w:rFonts w:eastAsia="Times New Roman" w:cs="Times New Roman"/>
          <w:szCs w:val="24"/>
          <w:lang w:eastAsia="en-ID"/>
        </w:rPr>
        <w:fldChar w:fldCharType="end"/>
      </w:r>
      <w:r w:rsidRPr="0072574E">
        <w:rPr>
          <w:rFonts w:eastAsia="Times New Roman" w:cs="Times New Roman"/>
          <w:szCs w:val="24"/>
          <w:lang w:eastAsia="en-ID"/>
        </w:rPr>
        <w:t>, policy implementation at the local level inevitably collapses when the technical and financial capacities of local agencies are not systematically aligned with their formal regulatory mandates.</w:t>
      </w:r>
    </w:p>
    <w:p w14:paraId="6696562E" w14:textId="77777777" w:rsidR="0072574E" w:rsidRPr="0072574E" w:rsidRDefault="0072574E" w:rsidP="0072574E">
      <w:pPr>
        <w:jc w:val="both"/>
        <w:rPr>
          <w:rFonts w:eastAsia="Times New Roman" w:cs="Times New Roman"/>
          <w:szCs w:val="24"/>
          <w:lang w:eastAsia="en-ID"/>
        </w:rPr>
      </w:pPr>
      <w:r w:rsidRPr="0072574E">
        <w:rPr>
          <w:rFonts w:eastAsia="Times New Roman" w:cs="Times New Roman"/>
          <w:szCs w:val="24"/>
          <w:lang w:eastAsia="en-ID"/>
        </w:rPr>
        <w:t>Furthermore, the statute fails to establish a clear hierarchical integration among the various local government agencies (</w:t>
      </w:r>
      <w:proofErr w:type="spellStart"/>
      <w:r w:rsidRPr="0072574E">
        <w:rPr>
          <w:rFonts w:eastAsia="Times New Roman" w:cs="Times New Roman"/>
          <w:szCs w:val="24"/>
          <w:lang w:eastAsia="en-ID"/>
        </w:rPr>
        <w:t>Organisasi</w:t>
      </w:r>
      <w:proofErr w:type="spellEnd"/>
      <w:r w:rsidRPr="0072574E">
        <w:rPr>
          <w:rFonts w:eastAsia="Times New Roman" w:cs="Times New Roman"/>
          <w:szCs w:val="24"/>
          <w:lang w:eastAsia="en-ID"/>
        </w:rPr>
        <w:t xml:space="preserve"> </w:t>
      </w:r>
      <w:proofErr w:type="spellStart"/>
      <w:r w:rsidRPr="0072574E">
        <w:rPr>
          <w:rFonts w:eastAsia="Times New Roman" w:cs="Times New Roman"/>
          <w:szCs w:val="24"/>
          <w:lang w:eastAsia="en-ID"/>
        </w:rPr>
        <w:t>Perangkat</w:t>
      </w:r>
      <w:proofErr w:type="spellEnd"/>
      <w:r w:rsidRPr="0072574E">
        <w:rPr>
          <w:rFonts w:eastAsia="Times New Roman" w:cs="Times New Roman"/>
          <w:szCs w:val="24"/>
          <w:lang w:eastAsia="en-ID"/>
        </w:rPr>
        <w:t xml:space="preserve"> Daerah/OPD). There is no leading sector, single task force, or formal coordinating body designated to oversee the implementation of </w:t>
      </w:r>
      <w:proofErr w:type="spellStart"/>
      <w:r w:rsidRPr="0072574E">
        <w:rPr>
          <w:rFonts w:eastAsia="Times New Roman" w:cs="Times New Roman"/>
          <w:szCs w:val="24"/>
          <w:lang w:eastAsia="en-ID"/>
        </w:rPr>
        <w:t>Perda</w:t>
      </w:r>
      <w:proofErr w:type="spellEnd"/>
      <w:r w:rsidRPr="0072574E">
        <w:rPr>
          <w:rFonts w:eastAsia="Times New Roman" w:cs="Times New Roman"/>
          <w:szCs w:val="24"/>
          <w:lang w:eastAsia="en-ID"/>
        </w:rPr>
        <w:t xml:space="preserve"> No. 15 of 2016. Responsibility is highly fragmented: the DPMD handles general village affairs, the Tourism and Cultural Agency (</w:t>
      </w:r>
      <w:proofErr w:type="spellStart"/>
      <w:r w:rsidRPr="0072574E">
        <w:rPr>
          <w:rFonts w:eastAsia="Times New Roman" w:cs="Times New Roman"/>
          <w:szCs w:val="24"/>
          <w:lang w:eastAsia="en-ID"/>
        </w:rPr>
        <w:t>Disbudpora</w:t>
      </w:r>
      <w:proofErr w:type="spellEnd"/>
      <w:r w:rsidRPr="0072574E">
        <w:rPr>
          <w:rFonts w:eastAsia="Times New Roman" w:cs="Times New Roman"/>
          <w:szCs w:val="24"/>
          <w:lang w:eastAsia="en-ID"/>
        </w:rPr>
        <w:t xml:space="preserve">) treats Kampung Kuta as a cultural heritage site and tourism asset, the Land Office (BPN) manages formal land registration, and the Environment Agency (DLH) focuses on forest conservation. Because the </w:t>
      </w:r>
      <w:proofErr w:type="spellStart"/>
      <w:r w:rsidRPr="0072574E">
        <w:rPr>
          <w:rFonts w:eastAsia="Times New Roman" w:cs="Times New Roman"/>
          <w:szCs w:val="24"/>
          <w:lang w:eastAsia="en-ID"/>
        </w:rPr>
        <w:t>Perda</w:t>
      </w:r>
      <w:proofErr w:type="spellEnd"/>
      <w:r w:rsidRPr="0072574E">
        <w:rPr>
          <w:rFonts w:eastAsia="Times New Roman" w:cs="Times New Roman"/>
          <w:szCs w:val="24"/>
          <w:lang w:eastAsia="en-ID"/>
        </w:rPr>
        <w:t xml:space="preserve"> did not establish formal inter-agency coordination mechanisms, these departments operate in silos, occasionally pursuing conflicting agendas that confuse the indigenous community.</w:t>
      </w:r>
    </w:p>
    <w:p w14:paraId="4733E700" w14:textId="7CBAAB37" w:rsidR="00184198" w:rsidRDefault="0072574E" w:rsidP="004335FE">
      <w:pPr>
        <w:jc w:val="both"/>
        <w:rPr>
          <w:rFonts w:eastAsia="Times New Roman" w:cs="Times New Roman"/>
          <w:szCs w:val="24"/>
          <w:lang w:eastAsia="en-ID"/>
        </w:rPr>
      </w:pPr>
      <w:r w:rsidRPr="0072574E">
        <w:rPr>
          <w:rFonts w:eastAsia="Times New Roman" w:cs="Times New Roman"/>
          <w:szCs w:val="24"/>
          <w:lang w:eastAsia="en-ID"/>
        </w:rPr>
        <w:t xml:space="preserve">Finally, the decision rules and recruitment of implementing officials do not </w:t>
      </w:r>
      <w:proofErr w:type="spellStart"/>
      <w:r w:rsidRPr="0072574E">
        <w:rPr>
          <w:rFonts w:eastAsia="Times New Roman" w:cs="Times New Roman"/>
          <w:szCs w:val="24"/>
          <w:lang w:eastAsia="en-ID"/>
        </w:rPr>
        <w:t>favor</w:t>
      </w:r>
      <w:proofErr w:type="spellEnd"/>
      <w:r w:rsidRPr="0072574E">
        <w:rPr>
          <w:rFonts w:eastAsia="Times New Roman" w:cs="Times New Roman"/>
          <w:szCs w:val="24"/>
          <w:lang w:eastAsia="en-ID"/>
        </w:rPr>
        <w:t xml:space="preserve"> effective policy execution. The local government agencies in </w:t>
      </w:r>
      <w:proofErr w:type="spellStart"/>
      <w:r w:rsidRPr="0072574E">
        <w:rPr>
          <w:rFonts w:eastAsia="Times New Roman" w:cs="Times New Roman"/>
          <w:szCs w:val="24"/>
          <w:lang w:eastAsia="en-ID"/>
        </w:rPr>
        <w:t>Ciamis</w:t>
      </w:r>
      <w:proofErr w:type="spellEnd"/>
      <w:r w:rsidRPr="0072574E">
        <w:rPr>
          <w:rFonts w:eastAsia="Times New Roman" w:cs="Times New Roman"/>
          <w:szCs w:val="24"/>
          <w:lang w:eastAsia="en-ID"/>
        </w:rPr>
        <w:t xml:space="preserve"> lack specialized personnel with expertise in customary law (</w:t>
      </w:r>
      <w:proofErr w:type="spellStart"/>
      <w:r w:rsidRPr="0072574E">
        <w:rPr>
          <w:rFonts w:eastAsia="Times New Roman" w:cs="Times New Roman"/>
          <w:szCs w:val="24"/>
          <w:lang w:eastAsia="en-ID"/>
        </w:rPr>
        <w:t>hukum</w:t>
      </w:r>
      <w:proofErr w:type="spellEnd"/>
      <w:r w:rsidRPr="0072574E">
        <w:rPr>
          <w:rFonts w:eastAsia="Times New Roman" w:cs="Times New Roman"/>
          <w:szCs w:val="24"/>
          <w:lang w:eastAsia="en-ID"/>
        </w:rPr>
        <w:t xml:space="preserve"> </w:t>
      </w:r>
      <w:proofErr w:type="spellStart"/>
      <w:r w:rsidRPr="0072574E">
        <w:rPr>
          <w:rFonts w:eastAsia="Times New Roman" w:cs="Times New Roman"/>
          <w:szCs w:val="24"/>
          <w:lang w:eastAsia="en-ID"/>
        </w:rPr>
        <w:t>adat</w:t>
      </w:r>
      <w:proofErr w:type="spellEnd"/>
      <w:r w:rsidRPr="0072574E">
        <w:rPr>
          <w:rFonts w:eastAsia="Times New Roman" w:cs="Times New Roman"/>
          <w:szCs w:val="24"/>
          <w:lang w:eastAsia="en-ID"/>
        </w:rPr>
        <w:t>) or indigenous rights. Most officials are generalist administrators who rotate frequently, preventing the accumulation of institutional memory and the development of trust-based relationships with the Kampung Kuta elders. The lack of structured participation channels within the statute means that the Customary Institution (Lembaga Adat) of Kampung Kuta is treated as a passive recipient of government aid rather than an active co-manager of the policy implementation process, further alienating the target group from the bureaucratic machinery.</w:t>
      </w:r>
    </w:p>
    <w:p w14:paraId="2047637B" w14:textId="6DC01AF5" w:rsidR="0072574E" w:rsidRDefault="0072574E" w:rsidP="004335FE">
      <w:pPr>
        <w:jc w:val="both"/>
        <w:rPr>
          <w:rFonts w:eastAsia="Times New Roman" w:cs="Times New Roman"/>
          <w:szCs w:val="24"/>
          <w:lang w:eastAsia="en-ID"/>
        </w:rPr>
      </w:pPr>
    </w:p>
    <w:p w14:paraId="7DD70876" w14:textId="77777777" w:rsidR="0072574E" w:rsidRDefault="0072574E" w:rsidP="004335FE">
      <w:pPr>
        <w:jc w:val="both"/>
        <w:rPr>
          <w:rFonts w:eastAsia="Times New Roman" w:cs="Times New Roman"/>
          <w:szCs w:val="24"/>
          <w:lang w:eastAsia="en-ID"/>
        </w:rPr>
      </w:pPr>
    </w:p>
    <w:p w14:paraId="5FE2392A" w14:textId="48D24186" w:rsidR="004335FE" w:rsidRPr="00B141AD" w:rsidRDefault="004335FE" w:rsidP="00B141AD">
      <w:pPr>
        <w:pStyle w:val="ListParagraph"/>
        <w:numPr>
          <w:ilvl w:val="0"/>
          <w:numId w:val="6"/>
        </w:numPr>
        <w:ind w:left="567" w:hanging="567"/>
        <w:jc w:val="both"/>
        <w:rPr>
          <w:rFonts w:eastAsia="Times New Roman" w:cs="Times New Roman"/>
          <w:b/>
          <w:bCs/>
          <w:szCs w:val="24"/>
          <w:lang w:eastAsia="en-ID"/>
        </w:rPr>
      </w:pPr>
      <w:r w:rsidRPr="00B141AD">
        <w:rPr>
          <w:rFonts w:eastAsia="Times New Roman" w:cs="Times New Roman"/>
          <w:b/>
          <w:bCs/>
          <w:szCs w:val="24"/>
          <w:lang w:eastAsia="en-ID"/>
        </w:rPr>
        <w:lastRenderedPageBreak/>
        <w:t>Non-Statutory Variables Affecting Implementation</w:t>
      </w:r>
    </w:p>
    <w:p w14:paraId="34DF6521" w14:textId="77777777" w:rsidR="0072574E" w:rsidRPr="0072574E" w:rsidRDefault="0072574E" w:rsidP="0072574E">
      <w:pPr>
        <w:jc w:val="both"/>
        <w:rPr>
          <w:rFonts w:eastAsia="Times New Roman" w:cs="Times New Roman"/>
          <w:szCs w:val="24"/>
          <w:lang w:eastAsia="en-ID"/>
        </w:rPr>
      </w:pPr>
      <w:r w:rsidRPr="0072574E">
        <w:rPr>
          <w:rFonts w:eastAsia="Times New Roman" w:cs="Times New Roman"/>
          <w:szCs w:val="24"/>
          <w:lang w:eastAsia="en-ID"/>
        </w:rPr>
        <w:t xml:space="preserve">The third dimension of the Mazmanian and Sabatier model examines the non-statutory or environmental variables that shape policy outcomes. These include socio-economic conditions, public and media support, constituency group attitudes, and the commitment and leadership capacities of implementing officials. In </w:t>
      </w:r>
      <w:proofErr w:type="spellStart"/>
      <w:r w:rsidRPr="0072574E">
        <w:rPr>
          <w:rFonts w:eastAsia="Times New Roman" w:cs="Times New Roman"/>
          <w:szCs w:val="24"/>
          <w:lang w:eastAsia="en-ID"/>
        </w:rPr>
        <w:t>Ciamis</w:t>
      </w:r>
      <w:proofErr w:type="spellEnd"/>
      <w:r w:rsidRPr="0072574E">
        <w:rPr>
          <w:rFonts w:eastAsia="Times New Roman" w:cs="Times New Roman"/>
          <w:szCs w:val="24"/>
          <w:lang w:eastAsia="en-ID"/>
        </w:rPr>
        <w:t xml:space="preserve"> Regency, the external socio-political and economic environment exerts continuous pressure on the Kampung Kuta community, often undermining the protective spirit of </w:t>
      </w:r>
      <w:proofErr w:type="spellStart"/>
      <w:r w:rsidRPr="0072574E">
        <w:rPr>
          <w:rFonts w:eastAsia="Times New Roman" w:cs="Times New Roman"/>
          <w:szCs w:val="24"/>
          <w:lang w:eastAsia="en-ID"/>
        </w:rPr>
        <w:t>Perda</w:t>
      </w:r>
      <w:proofErr w:type="spellEnd"/>
      <w:r w:rsidRPr="0072574E">
        <w:rPr>
          <w:rFonts w:eastAsia="Times New Roman" w:cs="Times New Roman"/>
          <w:szCs w:val="24"/>
          <w:lang w:eastAsia="en-ID"/>
        </w:rPr>
        <w:t xml:space="preserve"> No. 15 of 2016. The most prominent non-statutory challenge is the pressure of modernization and commercial tourism.</w:t>
      </w:r>
    </w:p>
    <w:p w14:paraId="5E07E1DA" w14:textId="081D4784" w:rsidR="0072574E" w:rsidRPr="0072574E" w:rsidRDefault="0072574E" w:rsidP="0072574E">
      <w:pPr>
        <w:jc w:val="both"/>
        <w:rPr>
          <w:rFonts w:eastAsia="Times New Roman" w:cs="Times New Roman"/>
          <w:szCs w:val="24"/>
          <w:lang w:eastAsia="en-ID"/>
        </w:rPr>
      </w:pPr>
      <w:r w:rsidRPr="0072574E">
        <w:rPr>
          <w:rFonts w:eastAsia="Times New Roman" w:cs="Times New Roman"/>
          <w:szCs w:val="24"/>
          <w:lang w:eastAsia="en-ID"/>
        </w:rPr>
        <w:t>Kampung Kuta’s unique cultural preservation</w:t>
      </w:r>
      <w:r>
        <w:rPr>
          <w:rFonts w:eastAsia="Times New Roman" w:cs="Times New Roman"/>
          <w:szCs w:val="24"/>
          <w:lang w:eastAsia="en-ID"/>
        </w:rPr>
        <w:t xml:space="preserve"> </w:t>
      </w:r>
      <w:r w:rsidRPr="0072574E">
        <w:rPr>
          <w:rFonts w:eastAsia="Times New Roman" w:cs="Times New Roman"/>
          <w:szCs w:val="24"/>
          <w:lang w:eastAsia="en-ID"/>
        </w:rPr>
        <w:t>including its traditional thatched-roof houses, organic farming, and sacred forest</w:t>
      </w:r>
      <w:r>
        <w:rPr>
          <w:rFonts w:eastAsia="Times New Roman" w:cs="Times New Roman"/>
          <w:szCs w:val="24"/>
          <w:lang w:eastAsia="en-ID"/>
        </w:rPr>
        <w:t xml:space="preserve"> </w:t>
      </w:r>
      <w:r w:rsidRPr="0072574E">
        <w:rPr>
          <w:rFonts w:eastAsia="Times New Roman" w:cs="Times New Roman"/>
          <w:szCs w:val="24"/>
          <w:lang w:eastAsia="en-ID"/>
        </w:rPr>
        <w:t xml:space="preserve">has made it a popular destination for educational and cultural tourism. While tourism generates supplemental income for some residents, it also introduces external lifestyles, waste management issues, and a push toward individual commercialization that directly challenges the traditional collective lifestyle governed by </w:t>
      </w:r>
      <w:proofErr w:type="spellStart"/>
      <w:r w:rsidRPr="0072574E">
        <w:rPr>
          <w:rFonts w:eastAsia="Times New Roman" w:cs="Times New Roman"/>
          <w:szCs w:val="24"/>
          <w:lang w:eastAsia="en-ID"/>
        </w:rPr>
        <w:t>pamali</w:t>
      </w:r>
      <w:proofErr w:type="spellEnd"/>
      <w:r w:rsidRPr="0072574E">
        <w:rPr>
          <w:rFonts w:eastAsia="Times New Roman" w:cs="Times New Roman"/>
          <w:szCs w:val="24"/>
          <w:lang w:eastAsia="en-ID"/>
        </w:rPr>
        <w:t xml:space="preserve">. The local government’s desire to exploit Kampung Kuta as a regional tourism commodity often conflicts with the environmental and spiritual preservation of </w:t>
      </w:r>
      <w:proofErr w:type="spellStart"/>
      <w:r w:rsidRPr="0072574E">
        <w:rPr>
          <w:rFonts w:eastAsia="Times New Roman" w:cs="Times New Roman"/>
          <w:szCs w:val="24"/>
          <w:lang w:eastAsia="en-ID"/>
        </w:rPr>
        <w:t>Leuweung</w:t>
      </w:r>
      <w:proofErr w:type="spellEnd"/>
      <w:r w:rsidRPr="0072574E">
        <w:rPr>
          <w:rFonts w:eastAsia="Times New Roman" w:cs="Times New Roman"/>
          <w:szCs w:val="24"/>
          <w:lang w:eastAsia="en-ID"/>
        </w:rPr>
        <w:t xml:space="preserve"> Karamat.</w:t>
      </w:r>
    </w:p>
    <w:p w14:paraId="13DDB4D0" w14:textId="664D3771" w:rsidR="0072574E" w:rsidRDefault="0072574E" w:rsidP="0072574E">
      <w:pPr>
        <w:jc w:val="both"/>
        <w:rPr>
          <w:rFonts w:eastAsia="Times New Roman" w:cs="Times New Roman"/>
          <w:szCs w:val="24"/>
          <w:lang w:eastAsia="en-ID"/>
        </w:rPr>
      </w:pPr>
      <w:r w:rsidRPr="0072574E">
        <w:rPr>
          <w:rFonts w:eastAsia="Times New Roman" w:cs="Times New Roman"/>
          <w:szCs w:val="24"/>
          <w:lang w:eastAsia="en-ID"/>
        </w:rPr>
        <w:t>To map these external environmental influences, Table 2 summarizes the socio-political and economic factors that increase the vulnerability of the Kampung Kuta community.</w:t>
      </w:r>
    </w:p>
    <w:p w14:paraId="3B54D580" w14:textId="47BFE644" w:rsidR="0072574E" w:rsidRDefault="0072574E" w:rsidP="0072574E">
      <w:pPr>
        <w:jc w:val="center"/>
        <w:rPr>
          <w:rFonts w:eastAsia="Times New Roman" w:cs="Times New Roman"/>
          <w:szCs w:val="24"/>
          <w:lang w:eastAsia="en-ID"/>
        </w:rPr>
      </w:pPr>
      <w:r w:rsidRPr="0072574E">
        <w:rPr>
          <w:rFonts w:eastAsia="Times New Roman" w:cs="Times New Roman"/>
          <w:b/>
          <w:bCs/>
          <w:szCs w:val="24"/>
          <w:lang w:eastAsia="en-ID"/>
        </w:rPr>
        <w:t>Table 2.</w:t>
      </w:r>
      <w:r w:rsidRPr="0072574E">
        <w:rPr>
          <w:rFonts w:eastAsia="Times New Roman" w:cs="Times New Roman"/>
          <w:szCs w:val="24"/>
          <w:lang w:eastAsia="en-ID"/>
        </w:rPr>
        <w:t xml:space="preserve"> Non-Statutory Influences and Indigenous Community Vulnerabilities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258"/>
        <w:gridCol w:w="4639"/>
        <w:gridCol w:w="1746"/>
      </w:tblGrid>
      <w:tr w:rsidR="0072574E" w:rsidRPr="0072574E" w14:paraId="5CD3E914" w14:textId="77777777" w:rsidTr="0072574E">
        <w:tc>
          <w:tcPr>
            <w:tcW w:w="0" w:type="auto"/>
            <w:tcBorders>
              <w:bottom w:val="single" w:sz="4" w:space="0" w:color="auto"/>
            </w:tcBorders>
            <w:vAlign w:val="center"/>
            <w:hideMark/>
          </w:tcPr>
          <w:p w14:paraId="6781DF6E" w14:textId="77777777" w:rsidR="0072574E" w:rsidRPr="0072574E" w:rsidRDefault="0072574E" w:rsidP="0072574E">
            <w:pPr>
              <w:spacing w:before="100" w:beforeAutospacing="1" w:after="100" w:afterAutospacing="1"/>
              <w:jc w:val="center"/>
              <w:rPr>
                <w:rFonts w:eastAsia="Times New Roman" w:cs="Times New Roman"/>
                <w:b/>
                <w:bCs/>
                <w:szCs w:val="24"/>
                <w:lang w:eastAsia="en-ID"/>
              </w:rPr>
            </w:pPr>
            <w:r w:rsidRPr="0072574E">
              <w:rPr>
                <w:rFonts w:eastAsia="Times New Roman" w:cs="Times New Roman"/>
                <w:b/>
                <w:bCs/>
                <w:szCs w:val="24"/>
                <w:lang w:eastAsia="en-ID"/>
              </w:rPr>
              <w:t>Environmental Variable</w:t>
            </w:r>
          </w:p>
        </w:tc>
        <w:tc>
          <w:tcPr>
            <w:tcW w:w="0" w:type="auto"/>
            <w:tcBorders>
              <w:bottom w:val="single" w:sz="4" w:space="0" w:color="auto"/>
            </w:tcBorders>
            <w:vAlign w:val="center"/>
            <w:hideMark/>
          </w:tcPr>
          <w:p w14:paraId="7C655C65" w14:textId="77777777" w:rsidR="0072574E" w:rsidRPr="0072574E" w:rsidRDefault="0072574E" w:rsidP="0072574E">
            <w:pPr>
              <w:spacing w:before="100" w:beforeAutospacing="1" w:after="100" w:afterAutospacing="1"/>
              <w:jc w:val="center"/>
              <w:rPr>
                <w:rFonts w:eastAsia="Times New Roman" w:cs="Times New Roman"/>
                <w:b/>
                <w:bCs/>
                <w:szCs w:val="24"/>
                <w:lang w:eastAsia="en-ID"/>
              </w:rPr>
            </w:pPr>
            <w:r w:rsidRPr="0072574E">
              <w:rPr>
                <w:rFonts w:eastAsia="Times New Roman" w:cs="Times New Roman"/>
                <w:b/>
                <w:bCs/>
                <w:szCs w:val="24"/>
                <w:lang w:eastAsia="en-ID"/>
              </w:rPr>
              <w:t>Source of Influence</w:t>
            </w:r>
          </w:p>
        </w:tc>
        <w:tc>
          <w:tcPr>
            <w:tcW w:w="0" w:type="auto"/>
            <w:tcBorders>
              <w:bottom w:val="single" w:sz="4" w:space="0" w:color="auto"/>
            </w:tcBorders>
            <w:vAlign w:val="center"/>
            <w:hideMark/>
          </w:tcPr>
          <w:p w14:paraId="57967BF0" w14:textId="77777777" w:rsidR="0072574E" w:rsidRPr="0072574E" w:rsidRDefault="0072574E" w:rsidP="0072574E">
            <w:pPr>
              <w:spacing w:before="100" w:beforeAutospacing="1" w:after="100" w:afterAutospacing="1"/>
              <w:jc w:val="center"/>
              <w:rPr>
                <w:rFonts w:eastAsia="Times New Roman" w:cs="Times New Roman"/>
                <w:b/>
                <w:bCs/>
                <w:szCs w:val="24"/>
                <w:lang w:eastAsia="en-ID"/>
              </w:rPr>
            </w:pPr>
            <w:r w:rsidRPr="0072574E">
              <w:rPr>
                <w:rFonts w:eastAsia="Times New Roman" w:cs="Times New Roman"/>
                <w:b/>
                <w:bCs/>
                <w:szCs w:val="24"/>
                <w:lang w:eastAsia="en-ID"/>
              </w:rPr>
              <w:t>Impact on Policy Implementation</w:t>
            </w:r>
          </w:p>
        </w:tc>
        <w:tc>
          <w:tcPr>
            <w:tcW w:w="0" w:type="auto"/>
            <w:tcBorders>
              <w:bottom w:val="single" w:sz="4" w:space="0" w:color="auto"/>
            </w:tcBorders>
            <w:vAlign w:val="center"/>
            <w:hideMark/>
          </w:tcPr>
          <w:p w14:paraId="431D79BC" w14:textId="77777777" w:rsidR="0072574E" w:rsidRPr="0072574E" w:rsidRDefault="0072574E" w:rsidP="0072574E">
            <w:pPr>
              <w:spacing w:before="100" w:beforeAutospacing="1" w:after="100" w:afterAutospacing="1"/>
              <w:jc w:val="center"/>
              <w:rPr>
                <w:rFonts w:eastAsia="Times New Roman" w:cs="Times New Roman"/>
                <w:b/>
                <w:bCs/>
                <w:szCs w:val="24"/>
                <w:lang w:eastAsia="en-ID"/>
              </w:rPr>
            </w:pPr>
            <w:r w:rsidRPr="0072574E">
              <w:rPr>
                <w:rFonts w:eastAsia="Times New Roman" w:cs="Times New Roman"/>
                <w:b/>
                <w:bCs/>
                <w:szCs w:val="24"/>
                <w:lang w:eastAsia="en-ID"/>
              </w:rPr>
              <w:t>Vulnerability Level</w:t>
            </w:r>
          </w:p>
        </w:tc>
      </w:tr>
      <w:tr w:rsidR="0072574E" w:rsidRPr="0072574E" w14:paraId="66910BD3" w14:textId="77777777" w:rsidTr="0072574E">
        <w:tc>
          <w:tcPr>
            <w:tcW w:w="0" w:type="auto"/>
            <w:tcBorders>
              <w:top w:val="single" w:sz="4" w:space="0" w:color="auto"/>
              <w:bottom w:val="nil"/>
            </w:tcBorders>
            <w:vAlign w:val="center"/>
            <w:hideMark/>
          </w:tcPr>
          <w:p w14:paraId="48A17E8E"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Socio-Economic Pressures</w:t>
            </w:r>
          </w:p>
        </w:tc>
        <w:tc>
          <w:tcPr>
            <w:tcW w:w="0" w:type="auto"/>
            <w:tcBorders>
              <w:top w:val="single" w:sz="4" w:space="0" w:color="auto"/>
              <w:bottom w:val="nil"/>
            </w:tcBorders>
            <w:hideMark/>
          </w:tcPr>
          <w:p w14:paraId="7680E2B4"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Commercial tourism and youth urban migration</w:t>
            </w:r>
          </w:p>
        </w:tc>
        <w:tc>
          <w:tcPr>
            <w:tcW w:w="0" w:type="auto"/>
            <w:tcBorders>
              <w:top w:val="single" w:sz="4" w:space="0" w:color="auto"/>
              <w:bottom w:val="nil"/>
            </w:tcBorders>
            <w:hideMark/>
          </w:tcPr>
          <w:p w14:paraId="4985FA6B"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 xml:space="preserve">Cultural dilution, demand for modern building materials violating </w:t>
            </w:r>
            <w:proofErr w:type="spellStart"/>
            <w:r w:rsidRPr="0072574E">
              <w:rPr>
                <w:rFonts w:eastAsia="Times New Roman" w:cs="Times New Roman"/>
                <w:i/>
                <w:iCs/>
                <w:szCs w:val="24"/>
                <w:lang w:eastAsia="en-ID"/>
              </w:rPr>
              <w:t>pamali</w:t>
            </w:r>
            <w:proofErr w:type="spellEnd"/>
            <w:r w:rsidRPr="0072574E">
              <w:rPr>
                <w:rFonts w:eastAsia="Times New Roman" w:cs="Times New Roman"/>
                <w:szCs w:val="24"/>
                <w:lang w:eastAsia="en-ID"/>
              </w:rPr>
              <w:t>.</w:t>
            </w:r>
          </w:p>
        </w:tc>
        <w:tc>
          <w:tcPr>
            <w:tcW w:w="0" w:type="auto"/>
            <w:tcBorders>
              <w:top w:val="single" w:sz="4" w:space="0" w:color="auto"/>
              <w:bottom w:val="nil"/>
            </w:tcBorders>
            <w:vAlign w:val="center"/>
            <w:hideMark/>
          </w:tcPr>
          <w:p w14:paraId="33E4AB6C"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Moderate to High</w:t>
            </w:r>
          </w:p>
        </w:tc>
      </w:tr>
      <w:tr w:rsidR="0072574E" w:rsidRPr="0072574E" w14:paraId="5C7D7ADD" w14:textId="77777777" w:rsidTr="0072574E">
        <w:tc>
          <w:tcPr>
            <w:tcW w:w="0" w:type="auto"/>
            <w:tcBorders>
              <w:top w:val="nil"/>
            </w:tcBorders>
            <w:vAlign w:val="center"/>
            <w:hideMark/>
          </w:tcPr>
          <w:p w14:paraId="657F8354"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Political Commitment</w:t>
            </w:r>
          </w:p>
        </w:tc>
        <w:tc>
          <w:tcPr>
            <w:tcW w:w="0" w:type="auto"/>
            <w:tcBorders>
              <w:top w:val="nil"/>
            </w:tcBorders>
            <w:hideMark/>
          </w:tcPr>
          <w:p w14:paraId="67DE1A02"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Local executive transitions and election cycles</w:t>
            </w:r>
          </w:p>
        </w:tc>
        <w:tc>
          <w:tcPr>
            <w:tcW w:w="0" w:type="auto"/>
            <w:tcBorders>
              <w:top w:val="nil"/>
            </w:tcBorders>
            <w:hideMark/>
          </w:tcPr>
          <w:p w14:paraId="4E98BF87"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 xml:space="preserve">Fluctuating policy priorities; indigenous issues are </w:t>
            </w:r>
            <w:proofErr w:type="spellStart"/>
            <w:r w:rsidRPr="0072574E">
              <w:rPr>
                <w:rFonts w:eastAsia="Times New Roman" w:cs="Times New Roman"/>
                <w:szCs w:val="24"/>
                <w:lang w:eastAsia="en-ID"/>
              </w:rPr>
              <w:t>sidelined</w:t>
            </w:r>
            <w:proofErr w:type="spellEnd"/>
            <w:r w:rsidRPr="0072574E">
              <w:rPr>
                <w:rFonts w:eastAsia="Times New Roman" w:cs="Times New Roman"/>
                <w:szCs w:val="24"/>
                <w:lang w:eastAsia="en-ID"/>
              </w:rPr>
              <w:t xml:space="preserve"> for high-profile economic projects.</w:t>
            </w:r>
          </w:p>
        </w:tc>
        <w:tc>
          <w:tcPr>
            <w:tcW w:w="0" w:type="auto"/>
            <w:tcBorders>
              <w:top w:val="nil"/>
            </w:tcBorders>
            <w:vAlign w:val="center"/>
            <w:hideMark/>
          </w:tcPr>
          <w:p w14:paraId="54F88119"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High</w:t>
            </w:r>
          </w:p>
        </w:tc>
      </w:tr>
      <w:tr w:rsidR="0072574E" w:rsidRPr="0072574E" w14:paraId="5CE0B050" w14:textId="77777777" w:rsidTr="0072574E">
        <w:tc>
          <w:tcPr>
            <w:tcW w:w="0" w:type="auto"/>
            <w:vAlign w:val="center"/>
            <w:hideMark/>
          </w:tcPr>
          <w:p w14:paraId="54DF67DF"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Institutional Capacity</w:t>
            </w:r>
          </w:p>
        </w:tc>
        <w:tc>
          <w:tcPr>
            <w:tcW w:w="0" w:type="auto"/>
            <w:hideMark/>
          </w:tcPr>
          <w:p w14:paraId="19A0ABF5"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Customary Institution (</w:t>
            </w:r>
            <w:r w:rsidRPr="0072574E">
              <w:rPr>
                <w:rFonts w:eastAsia="Times New Roman" w:cs="Times New Roman"/>
                <w:i/>
                <w:iCs/>
                <w:szCs w:val="24"/>
                <w:lang w:eastAsia="en-ID"/>
              </w:rPr>
              <w:t>Lembaga Adat</w:t>
            </w:r>
            <w:r w:rsidRPr="0072574E">
              <w:rPr>
                <w:rFonts w:eastAsia="Times New Roman" w:cs="Times New Roman"/>
                <w:szCs w:val="24"/>
                <w:lang w:eastAsia="en-ID"/>
              </w:rPr>
              <w:t>)</w:t>
            </w:r>
          </w:p>
        </w:tc>
        <w:tc>
          <w:tcPr>
            <w:tcW w:w="0" w:type="auto"/>
            <w:hideMark/>
          </w:tcPr>
          <w:p w14:paraId="43F19698"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Strong internal cultural legitimacy but extremely low bureaucratic literacy and formal bargaining power.</w:t>
            </w:r>
          </w:p>
        </w:tc>
        <w:tc>
          <w:tcPr>
            <w:tcW w:w="0" w:type="auto"/>
            <w:vAlign w:val="center"/>
            <w:hideMark/>
          </w:tcPr>
          <w:p w14:paraId="262B0EBA"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High</w:t>
            </w:r>
          </w:p>
        </w:tc>
      </w:tr>
      <w:tr w:rsidR="0072574E" w:rsidRPr="0072574E" w14:paraId="36649F0A" w14:textId="77777777" w:rsidTr="0072574E">
        <w:tc>
          <w:tcPr>
            <w:tcW w:w="0" w:type="auto"/>
            <w:vAlign w:val="center"/>
            <w:hideMark/>
          </w:tcPr>
          <w:p w14:paraId="32D8D67D"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Public &amp; Media Support</w:t>
            </w:r>
          </w:p>
        </w:tc>
        <w:tc>
          <w:tcPr>
            <w:tcW w:w="0" w:type="auto"/>
            <w:hideMark/>
          </w:tcPr>
          <w:p w14:paraId="43A942B1"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Local NGOs and civil society networks</w:t>
            </w:r>
          </w:p>
        </w:tc>
        <w:tc>
          <w:tcPr>
            <w:tcW w:w="0" w:type="auto"/>
            <w:hideMark/>
          </w:tcPr>
          <w:p w14:paraId="4F704C81" w14:textId="77777777" w:rsidR="0072574E" w:rsidRPr="0072574E" w:rsidRDefault="0072574E" w:rsidP="0072574E">
            <w:pPr>
              <w:spacing w:before="100" w:beforeAutospacing="1" w:after="100" w:afterAutospacing="1"/>
              <w:rPr>
                <w:rFonts w:eastAsia="Times New Roman" w:cs="Times New Roman"/>
                <w:szCs w:val="24"/>
                <w:lang w:eastAsia="en-ID"/>
              </w:rPr>
            </w:pPr>
            <w:r w:rsidRPr="0072574E">
              <w:rPr>
                <w:rFonts w:eastAsia="Times New Roman" w:cs="Times New Roman"/>
                <w:szCs w:val="24"/>
                <w:lang w:eastAsia="en-ID"/>
              </w:rPr>
              <w:t>Fragmented advocacy; public interest is mostly academic/anthropological, not political.</w:t>
            </w:r>
          </w:p>
        </w:tc>
        <w:tc>
          <w:tcPr>
            <w:tcW w:w="0" w:type="auto"/>
            <w:vAlign w:val="center"/>
            <w:hideMark/>
          </w:tcPr>
          <w:p w14:paraId="2233C04A" w14:textId="77777777" w:rsidR="0072574E" w:rsidRPr="0072574E" w:rsidRDefault="0072574E" w:rsidP="0072574E">
            <w:pPr>
              <w:spacing w:before="100" w:beforeAutospacing="1" w:after="100" w:afterAutospacing="1"/>
              <w:jc w:val="center"/>
              <w:rPr>
                <w:rFonts w:eastAsia="Times New Roman" w:cs="Times New Roman"/>
                <w:szCs w:val="24"/>
                <w:lang w:eastAsia="en-ID"/>
              </w:rPr>
            </w:pPr>
            <w:r w:rsidRPr="0072574E">
              <w:rPr>
                <w:rFonts w:eastAsia="Times New Roman" w:cs="Times New Roman"/>
                <w:b/>
                <w:bCs/>
                <w:szCs w:val="24"/>
                <w:lang w:eastAsia="en-ID"/>
              </w:rPr>
              <w:t>Moderate</w:t>
            </w:r>
          </w:p>
        </w:tc>
      </w:tr>
    </w:tbl>
    <w:p w14:paraId="72ED351F" w14:textId="77777777" w:rsidR="00F25583" w:rsidRPr="00F25583" w:rsidRDefault="00F25583" w:rsidP="00F25583">
      <w:pPr>
        <w:jc w:val="both"/>
        <w:rPr>
          <w:rFonts w:eastAsia="Times New Roman" w:cs="Times New Roman"/>
          <w:szCs w:val="24"/>
          <w:lang w:eastAsia="en-ID"/>
        </w:rPr>
      </w:pPr>
      <w:r w:rsidRPr="00F25583">
        <w:rPr>
          <w:rFonts w:eastAsia="Times New Roman" w:cs="Times New Roman"/>
          <w:szCs w:val="24"/>
          <w:lang w:eastAsia="en-ID"/>
        </w:rPr>
        <w:t>Political commitment from regional leaders represents another highly volatile non-statutory variable. Local government priorities are heavily influenced by short-term political cycles, such as regional elections (</w:t>
      </w:r>
      <w:proofErr w:type="spellStart"/>
      <w:r w:rsidRPr="00F25583">
        <w:rPr>
          <w:rFonts w:eastAsia="Times New Roman" w:cs="Times New Roman"/>
          <w:szCs w:val="24"/>
          <w:lang w:eastAsia="en-ID"/>
        </w:rPr>
        <w:t>Pilkada</w:t>
      </w:r>
      <w:proofErr w:type="spellEnd"/>
      <w:r w:rsidRPr="00F25583">
        <w:rPr>
          <w:rFonts w:eastAsia="Times New Roman" w:cs="Times New Roman"/>
          <w:szCs w:val="24"/>
          <w:lang w:eastAsia="en-ID"/>
        </w:rPr>
        <w:t>). During election periods, political actors frequently visit Kampung Kuta to secure votes, offering symbolic gestures of support for customary rights. However, once in office, their focus shifts toward hard infrastructure projects, regional revenue generation, and investment attraction, which often view customary land protections as bureaucratic hurdles to economic growth. This fluctuating executive commitment prevents the sustained administrative effort required to draft and enact the missing technical regulations (</w:t>
      </w:r>
      <w:proofErr w:type="spellStart"/>
      <w:r w:rsidRPr="00F25583">
        <w:rPr>
          <w:rFonts w:eastAsia="Times New Roman" w:cs="Times New Roman"/>
          <w:szCs w:val="24"/>
          <w:lang w:eastAsia="en-ID"/>
        </w:rPr>
        <w:t>Perbup</w:t>
      </w:r>
      <w:proofErr w:type="spellEnd"/>
      <w:r w:rsidRPr="00F25583">
        <w:rPr>
          <w:rFonts w:eastAsia="Times New Roman" w:cs="Times New Roman"/>
          <w:szCs w:val="24"/>
          <w:lang w:eastAsia="en-ID"/>
        </w:rPr>
        <w:t>).</w:t>
      </w:r>
    </w:p>
    <w:p w14:paraId="760C18E9" w14:textId="77777777" w:rsidR="00F25583" w:rsidRPr="00F25583" w:rsidRDefault="00F25583" w:rsidP="00F25583">
      <w:pPr>
        <w:jc w:val="both"/>
        <w:rPr>
          <w:rFonts w:eastAsia="Times New Roman" w:cs="Times New Roman"/>
          <w:szCs w:val="24"/>
          <w:lang w:eastAsia="en-ID"/>
        </w:rPr>
      </w:pPr>
      <w:r w:rsidRPr="00F25583">
        <w:rPr>
          <w:rFonts w:eastAsia="Times New Roman" w:cs="Times New Roman"/>
          <w:szCs w:val="24"/>
          <w:lang w:eastAsia="en-ID"/>
        </w:rPr>
        <w:t>Furthermore, the formal capacity of the Customary Institution (Lembaga Adat) of Kampung Kuta to advocate for their rights within the state’s bureaucratic system remains suboptimal. Although the Customary Chief (Ki Bumi) and community elders possess immense cultural and spiritual legitimacy internally, they have limited experience navigating complex administrative law, land registration procedures, or formal political lobbying. When interacting with formal government structures, they are often placed at a disadvantage, unable to challenge highly technical legal arguments put forward by state forestry officials or private corporate claimants.</w:t>
      </w:r>
    </w:p>
    <w:p w14:paraId="55C0E332" w14:textId="199CFDCB" w:rsidR="0072574E" w:rsidRDefault="00F25583" w:rsidP="00F25583">
      <w:pPr>
        <w:jc w:val="both"/>
        <w:rPr>
          <w:rFonts w:eastAsia="Times New Roman" w:cs="Times New Roman"/>
          <w:szCs w:val="24"/>
          <w:lang w:eastAsia="en-ID"/>
        </w:rPr>
      </w:pPr>
      <w:r w:rsidRPr="00F25583">
        <w:rPr>
          <w:rFonts w:eastAsia="Times New Roman" w:cs="Times New Roman"/>
          <w:szCs w:val="24"/>
          <w:lang w:eastAsia="en-ID"/>
        </w:rPr>
        <w:t xml:space="preserve">Lastly, there is a distinct lack of collaborative advocacy and structured participation among external stakeholders. While local universities and non-governmental organizations (NGOs) frequently conduct academic studies on Kampung Kuta’s local wisdom, there is no cohesive coalition that translates these academic findings into sustained political pressure on the </w:t>
      </w:r>
      <w:proofErr w:type="spellStart"/>
      <w:r w:rsidRPr="00F25583">
        <w:rPr>
          <w:rFonts w:eastAsia="Times New Roman" w:cs="Times New Roman"/>
          <w:szCs w:val="24"/>
          <w:lang w:eastAsia="en-ID"/>
        </w:rPr>
        <w:t>Ciamis</w:t>
      </w:r>
      <w:proofErr w:type="spellEnd"/>
      <w:r w:rsidRPr="00F25583">
        <w:rPr>
          <w:rFonts w:eastAsia="Times New Roman" w:cs="Times New Roman"/>
          <w:szCs w:val="24"/>
          <w:lang w:eastAsia="en-ID"/>
        </w:rPr>
        <w:t xml:space="preserve"> Regency Government. Without consistent public </w:t>
      </w:r>
      <w:r w:rsidRPr="00F25583">
        <w:rPr>
          <w:rFonts w:eastAsia="Times New Roman" w:cs="Times New Roman"/>
          <w:szCs w:val="24"/>
          <w:lang w:eastAsia="en-ID"/>
        </w:rPr>
        <w:lastRenderedPageBreak/>
        <w:t>scrutiny, media attention, or organized legal advocacy, the local bureaucracy faces no external accountability to prioritize the protection of Kampung Kuta over other pressing regional developmental programs, leaving the local regulation as a dormant, symbolic legal document.</w:t>
      </w:r>
    </w:p>
    <w:p w14:paraId="115978B2" w14:textId="77777777" w:rsidR="00B81C36" w:rsidRPr="009C0DB0" w:rsidRDefault="00B81C36" w:rsidP="002A17FA">
      <w:pPr>
        <w:jc w:val="both"/>
        <w:rPr>
          <w:rFonts w:eastAsia="Times New Roman" w:cs="Times New Roman"/>
          <w:szCs w:val="24"/>
          <w:lang w:eastAsia="en-ID"/>
        </w:rPr>
      </w:pPr>
    </w:p>
    <w:p w14:paraId="14FC778C" w14:textId="3C8BBC13" w:rsidR="009C0DB0" w:rsidRPr="00B130EF" w:rsidRDefault="009C0DB0" w:rsidP="00B130EF">
      <w:pPr>
        <w:pStyle w:val="Heading1"/>
        <w:numPr>
          <w:ilvl w:val="0"/>
          <w:numId w:val="5"/>
        </w:numPr>
        <w:spacing w:after="240"/>
        <w:ind w:left="567" w:hanging="567"/>
        <w:jc w:val="both"/>
        <w:rPr>
          <w:rFonts w:ascii="Times New Roman" w:eastAsia="Times New Roman" w:hAnsi="Times New Roman" w:cs="Times New Roman"/>
          <w:b/>
          <w:bCs/>
          <w:color w:val="000000" w:themeColor="text1"/>
          <w:sz w:val="24"/>
          <w:szCs w:val="24"/>
          <w:lang w:eastAsia="en-ID"/>
        </w:rPr>
      </w:pPr>
      <w:r w:rsidRPr="00B130EF">
        <w:rPr>
          <w:rFonts w:ascii="Times New Roman" w:eastAsia="Times New Roman" w:hAnsi="Times New Roman" w:cs="Times New Roman"/>
          <w:b/>
          <w:bCs/>
          <w:color w:val="000000" w:themeColor="text1"/>
          <w:sz w:val="24"/>
          <w:szCs w:val="24"/>
          <w:lang w:eastAsia="en-ID"/>
        </w:rPr>
        <w:t>DISCUSSION</w:t>
      </w:r>
    </w:p>
    <w:p w14:paraId="79CC2F5E" w14:textId="43447FAC" w:rsidR="00B51E34" w:rsidRP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The findings substantiate a profound theoretical misalignment between normative policy formulation and empirical execution. Utilizing Mazmanian and Sabatier's framework, this study reveals that when a foundational statute</w:t>
      </w:r>
      <w:r>
        <w:rPr>
          <w:rFonts w:eastAsia="Times New Roman" w:cs="Times New Roman"/>
          <w:szCs w:val="24"/>
          <w:lang w:eastAsia="en-ID"/>
        </w:rPr>
        <w:t xml:space="preserve"> </w:t>
      </w:r>
      <w:r w:rsidRPr="00B51E34">
        <w:rPr>
          <w:rFonts w:eastAsia="Times New Roman" w:cs="Times New Roman"/>
          <w:szCs w:val="24"/>
          <w:lang w:eastAsia="en-ID"/>
        </w:rPr>
        <w:t xml:space="preserve">such as </w:t>
      </w:r>
      <w:proofErr w:type="spellStart"/>
      <w:r w:rsidRPr="00B51E34">
        <w:rPr>
          <w:rFonts w:eastAsia="Times New Roman" w:cs="Times New Roman"/>
          <w:szCs w:val="24"/>
          <w:lang w:eastAsia="en-ID"/>
        </w:rPr>
        <w:t>Perda</w:t>
      </w:r>
      <w:proofErr w:type="spellEnd"/>
      <w:r w:rsidRPr="00B51E34">
        <w:rPr>
          <w:rFonts w:eastAsia="Times New Roman" w:cs="Times New Roman"/>
          <w:szCs w:val="24"/>
          <w:lang w:eastAsia="en-ID"/>
        </w:rPr>
        <w:t xml:space="preserve"> No. 15 of 2016</w:t>
      </w:r>
      <w:r>
        <w:rPr>
          <w:rFonts w:eastAsia="Times New Roman" w:cs="Times New Roman"/>
          <w:szCs w:val="24"/>
          <w:lang w:eastAsia="en-ID"/>
        </w:rPr>
        <w:t xml:space="preserve"> </w:t>
      </w:r>
      <w:r w:rsidRPr="00B51E34">
        <w:rPr>
          <w:rFonts w:eastAsia="Times New Roman" w:cs="Times New Roman"/>
          <w:szCs w:val="24"/>
          <w:lang w:eastAsia="en-ID"/>
        </w:rPr>
        <w:t xml:space="preserve">fails to provide precise technical guidelines and explicit financial allocations, the policy is inherently predisposed to stagnation. The inability of the </w:t>
      </w:r>
      <w:proofErr w:type="spellStart"/>
      <w:r w:rsidRPr="00B51E34">
        <w:rPr>
          <w:rFonts w:eastAsia="Times New Roman" w:cs="Times New Roman"/>
          <w:szCs w:val="24"/>
          <w:lang w:eastAsia="en-ID"/>
        </w:rPr>
        <w:t>Ciamis</w:t>
      </w:r>
      <w:proofErr w:type="spellEnd"/>
      <w:r w:rsidRPr="00B51E34">
        <w:rPr>
          <w:rFonts w:eastAsia="Times New Roman" w:cs="Times New Roman"/>
          <w:szCs w:val="24"/>
          <w:lang w:eastAsia="en-ID"/>
        </w:rPr>
        <w:t xml:space="preserve"> Regency Government to issue a derivative Regent Regulation (</w:t>
      </w:r>
      <w:proofErr w:type="spellStart"/>
      <w:r w:rsidRPr="00B51E34">
        <w:rPr>
          <w:rFonts w:eastAsia="Times New Roman" w:cs="Times New Roman"/>
          <w:szCs w:val="24"/>
          <w:lang w:eastAsia="en-ID"/>
        </w:rPr>
        <w:t>Perbup</w:t>
      </w:r>
      <w:proofErr w:type="spellEnd"/>
      <w:r w:rsidRPr="00B51E34">
        <w:rPr>
          <w:rFonts w:eastAsia="Times New Roman" w:cs="Times New Roman"/>
          <w:szCs w:val="24"/>
          <w:lang w:eastAsia="en-ID"/>
        </w:rPr>
        <w:t xml:space="preserve">) within a reasonable timeframe is a textbook case of administrative inertia. As highlighted by Saputra, Santosa, and </w:t>
      </w:r>
      <w:proofErr w:type="spellStart"/>
      <w:r w:rsidRPr="00B51E34">
        <w:rPr>
          <w:rFonts w:eastAsia="Times New Roman" w:cs="Times New Roman"/>
          <w:szCs w:val="24"/>
          <w:lang w:eastAsia="en-ID"/>
        </w:rPr>
        <w:t>Adiwisastra</w:t>
      </w:r>
      <w:proofErr w:type="spellEnd"/>
      <w:r>
        <w:rPr>
          <w:rFonts w:eastAsia="Times New Roman" w:cs="Times New Roman"/>
          <w:szCs w:val="24"/>
          <w:lang w:eastAsia="en-ID"/>
        </w:rPr>
        <w:t xml:space="preserve"> </w:t>
      </w:r>
      <w:r>
        <w:rPr>
          <w:rFonts w:eastAsia="Times New Roman" w:cs="Times New Roman"/>
          <w:szCs w:val="24"/>
          <w:lang w:eastAsia="en-ID"/>
        </w:rPr>
        <w:fldChar w:fldCharType="begin" w:fldLock="1"/>
      </w:r>
      <w:r>
        <w:rPr>
          <w:rFonts w:eastAsia="Times New Roman" w:cs="Times New Roman"/>
          <w:szCs w:val="24"/>
          <w:lang w:eastAsia="en-ID"/>
        </w:rPr>
        <w:instrText>ADDIN CSL_CITATION {"citationItems":[{"id":"ITEM-1","itemData":{"DOI":"https://doi.org/10.25157/moderat.v12i1.5584","ISSN":"2302-2221","abstract":"The waste management problem in Bandung City has reached a critical level, marked by daily waste volume exceeding the capacity of the Sarimukti Final Disposal Site (TPA). This condition has prompted the Bandung City Government to implement a series of policies aimed at reducing waste at its source. This study aims to analyze the implementation of waste management program policies in Bandung City, focusing on the \"Kang Pisman\" (Reduce, Separate, Utilize) program using the analytical framework of the George C. Edwards III Policy Implementation Model which includes four key variables: communication, resources, disposition, and bureaucratic structure. The method used is a qualitative approach with literature studies and document analysis to collect relevant secondary data. This methodological limitation implies that the analysis focuses more on regulatory and structural aspects, while the dimensions of community behavior and implementation dynamics at the field level are examined through policy documents and official reports, rather than direct observation. The results of the study indicate that although implementation is supported by a strong legal basis such as Regional Regulation No. 9 of 2018 and various mayoral regulations, their effectiveness is hampered by unequal communication down to the household level, limited infrastructure and budget, and varying dispositions of implementers and the community. The theoretical contribution of this research lies in the systematic application of the Edwards III Model in the context of decentralized urban waste management in Indonesia, which enriches the public policy implementation literature by identifying that the success of innovative, community-based programs requires the simultaneous alignment of all four implementation variables. The practical implications are the need to strengthen locality-based communication, more proportional resource allocation, and the establishment of cross-sectoral coordination mechanisms to improve the effectiveness of sustainable waste management programs in Indonesian metropolitan cities.","author":[{"dropping-particle":"","family":"Saputra","given":"Ginanjar Wira","non-dropping-particle":"","parse-names":false,"suffix":""},{"dropping-particle":"","family":"Santosa","given":"Pandji","non-dropping-particle":"","parse-names":false,"suffix":""},{"dropping-particle":"","family":"Adiwisastra","given":"Jossy","non-dropping-particle":"","parse-names":false,"suffix":""}],"container-title":"Moderat : Jurnal Ilmiah Ilmu Pemerintahan","id":"ITEM-1","issue":"1","issued":{"date-parts":[["2026"]]},"page":"197–214","title":"Implementasi Kebijakan Program Pengelolaan Sampah Di Kota Bandung Provinsi Jawa Barat","type":"article-journal","volume":"12"},"uris":["http://www.mendeley.com/documents/?uuid=aabfac4c-f23a-4560-8a93-0eae96bf91aa"]}],"mendeley":{"formattedCitation":"(25)","manualFormatting":"(2026)","plainTextFormattedCitation":"(25)","previouslyFormattedCitation":"(25)"},"properties":{"noteIndex":0},"schema":"https://github.com/citation-style-language/schema/raw/master/csl-citation.json"}</w:instrText>
      </w:r>
      <w:r>
        <w:rPr>
          <w:rFonts w:eastAsia="Times New Roman" w:cs="Times New Roman"/>
          <w:szCs w:val="24"/>
          <w:lang w:eastAsia="en-ID"/>
        </w:rPr>
        <w:fldChar w:fldCharType="separate"/>
      </w:r>
      <w:r w:rsidRPr="00B51E34">
        <w:rPr>
          <w:rFonts w:eastAsia="Times New Roman" w:cs="Times New Roman"/>
          <w:noProof/>
          <w:szCs w:val="24"/>
          <w:lang w:eastAsia="en-ID"/>
        </w:rPr>
        <w:t>(</w:t>
      </w:r>
      <w:r>
        <w:rPr>
          <w:rFonts w:eastAsia="Times New Roman" w:cs="Times New Roman"/>
          <w:noProof/>
          <w:szCs w:val="24"/>
          <w:lang w:eastAsia="en-ID"/>
        </w:rPr>
        <w:t>2026</w:t>
      </w:r>
      <w:r w:rsidRPr="00B51E34">
        <w:rPr>
          <w:rFonts w:eastAsia="Times New Roman" w:cs="Times New Roman"/>
          <w:noProof/>
          <w:szCs w:val="24"/>
          <w:lang w:eastAsia="en-ID"/>
        </w:rPr>
        <w:t>)</w:t>
      </w:r>
      <w:r>
        <w:rPr>
          <w:rFonts w:eastAsia="Times New Roman" w:cs="Times New Roman"/>
          <w:szCs w:val="24"/>
          <w:lang w:eastAsia="en-ID"/>
        </w:rPr>
        <w:fldChar w:fldCharType="end"/>
      </w:r>
      <w:r w:rsidRPr="00B51E34">
        <w:rPr>
          <w:rFonts w:eastAsia="Times New Roman" w:cs="Times New Roman"/>
          <w:szCs w:val="24"/>
          <w:lang w:eastAsia="en-ID"/>
        </w:rPr>
        <w:t>, policy implementation at the local government level inevitably collapses when the technical and financial capacities of executing agencies are not systematically aligned with their formal regulatory mandates.</w:t>
      </w:r>
    </w:p>
    <w:p w14:paraId="66763EB0" w14:textId="3BB962FA" w:rsidR="00B51E34" w:rsidRP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 xml:space="preserve">Beyond administrative delays, the implementation failure is rooted in an ontological clash between state positive law and unwritten customary traditions, validating the extremely low tractability of the problem. The state's agrarian regime, executed through the National Land Agency (BPN), demands rigid geometric coordinates, verifiable mapping, and the individualization of land ownership. Conversely, the Kampung Kuta community operates on a collective, intergenerational custodianship model over their </w:t>
      </w:r>
      <w:proofErr w:type="spellStart"/>
      <w:r w:rsidRPr="00B51E34">
        <w:rPr>
          <w:rFonts w:eastAsia="Times New Roman" w:cs="Times New Roman"/>
          <w:szCs w:val="24"/>
          <w:lang w:eastAsia="en-ID"/>
        </w:rPr>
        <w:t>Leuweung</w:t>
      </w:r>
      <w:proofErr w:type="spellEnd"/>
      <w:r w:rsidRPr="00B51E34">
        <w:rPr>
          <w:rFonts w:eastAsia="Times New Roman" w:cs="Times New Roman"/>
          <w:szCs w:val="24"/>
          <w:lang w:eastAsia="en-ID"/>
        </w:rPr>
        <w:t xml:space="preserve"> Karamat and surrounding lands. Attempting to force unwritten, dynamic customary boundaries into rigid state legal frameworks without a hybrid, accommodative mechanism structurally marginalizes the indigenous community, a phenomenon similarly observed in broader national agrarian conflicts </w:t>
      </w:r>
      <w:r>
        <w:rPr>
          <w:rFonts w:eastAsia="Times New Roman" w:cs="Times New Roman"/>
          <w:szCs w:val="24"/>
          <w:lang w:eastAsia="en-ID"/>
        </w:rPr>
        <w:fldChar w:fldCharType="begin" w:fldLock="1"/>
      </w:r>
      <w:r>
        <w:rPr>
          <w:rFonts w:eastAsia="Times New Roman" w:cs="Times New Roman"/>
          <w:szCs w:val="24"/>
          <w:lang w:eastAsia="en-ID"/>
        </w:rPr>
        <w:instrText>ADDIN CSL_CITATION {"citationItems":[{"id":"ITEM-1","itemData":{"DOI":"10.22225/juinhum.5.1.7166.721-732","ISSN":"2809-977X","abstract":"Indonesia telah mengesahkan Undang-Undang Nomor 11 Tahun 2020 Tentang Cipta Kerja. Konsespi hukum Undang-Undang Nomor 11 Tahun 2020 pada sebagian sektor mengatur mengenai pengakuan hak atas tanah ulayat masyarakat hukum. Jenis penelitian yang digunakan adalah penelitian hukum hukum normatif. Pendekatan hukum yang digunakan dalam penelitian ini adalah pendekatan peraturan perundang-undangan dan pendekatan konsep. Hasil penelitian menunjukkan bahwa Undang-Undang Nomor 11 Tahun 2020 telah mmengatur hak ulayat masyarakat hukum adat pada bidang investasi. Namun dalam pengaturan tersebut, Undang-Undang Nomor 11 Tahun 2020 menerapkan prinsip persetujuan dalam pengelolaan dan pemanfaatan tanah ulayat masyarakat hukum adat. Hal ini sangat bertentangan degan prinsip dalam Free, Prior, and Informed Consent (FPIC) yang mengabaikan dua prinsip lainnya yakni free and prior dalam pengelolaan dan pemanfaatan tanah ulayat masyarakat hukum adat. Pengabaian prinsip FPIC terhadap pengaturan hak-hak masyarakat hukum adat telah menjadikan kedudukan hukum masyarakat hukum adat semakin lemah dalam hal pengambilan keputusan terkait pengelolaan dan pemanfaatan tanah ulayat apabila berhadapan dengan pemerintah atau perusahaan swasta. Sedangkan menurut Teori hukum kritis pengakuan hak masyarakat hukum adat dalam Undang-Undang Nomor 11 Tahun 2020 ditemukan beberapa persoalan baik persoalan pada dimensi prosedural, distributif dan kontekstual. Saran dari penelitian ini adalah UU No. 11 Tahun 2022 perlu dilakukan revisi, revisi UU No. 11 Tahun 2022 dapat direvisi melalui pengujian pasal-pasal yang berkaitan dengan tanah ulayat masyarakat hukum adat di Mahkamah Konstitusi yang mana proses pengujiannya berlandaskan padal Pasal 18 B ayat 2 UUD 1945 terkhusus yang mengatur prinsip persetujuan yang harus berlandaskan pada prinsip Free, Prior, and Informed Consent (FPIC). Selain itu pula, perlu dibuatkan Perpu yang berkaitan pengaturan tanah ulayat dibidang investasi dengan berlandaskan pada prinsip Free, Prior, and Informed Consent (FPIC). Hal ini penting untuk menjamin kepastian hukum masyarakat hukum adat atas tanah ulayat","author":[{"dropping-particle":"","family":"Salam","given":"Safrin","non-dropping-particle":"","parse-names":false,"suffix":""},{"dropping-particle":"","family":"Suhartono","given":"Rizki Mustika","non-dropping-particle":"","parse-names":false,"suffix":""},{"dropping-particle":"","family":"Nurcahyo","given":"Edy","non-dropping-particle":"","parse-names":false,"suffix":""},{"dropping-particle":"","family":"Karim","given":"La Ode Muhammad","non-dropping-particle":"","parse-names":false,"suffix":""},{"dropping-particle":"","family":"Bason","given":"Erick","non-dropping-particle":"","parse-names":false,"suffix":""},{"dropping-particle":"","family":"Sulayman","given":"","non-dropping-particle":"","parse-names":false,"suffix":""}],"container-title":"Jurnal Interpretasi Hukum","id":"ITEM-1","issue":"1","issued":{"date-parts":[["2024","1","3"]]},"page":"721-732","title":"Pengakuan Hak Atas Tanah Ulayat Masyarakat Hukum Adat di Undang-Undang Nomor 11 Tahun 2020 Tentang Cipta Kerja: Perspektfi Teori Hukum Kritis","type":"article-journal","volume":"5"},"uris":["http://www.mendeley.com/documents/?uuid=ed399820-dedd-4dfe-972c-535801511fb2"]},{"id":"ITEM-2","itemData":{"author":[{"dropping-particle":"","family":"Moniaga","given":"Rio Rocky George Wakary","non-dropping-particle":"","parse-names":false,"suffix":""},{"dropping-particle":"","family":"Sondakh","given":"Jemmy","non-dropping-particle":"","parse-names":false,"suffix":""},{"dropping-particle":"","family":"Korah","given":"Revy Semuel M.","non-dropping-particle":"","parse-names":false,"suffix":""}],"container-title":"Lex Administratum","id":"ITEM-2","issue":"4","issued":{"date-parts":[["2024"]]},"title":"Perlindungan Hukum Hak-Hak Masyarakat Atas Tanah Adat Di Tengah Modernisasi","type":"article-journal","volume":"12"},"uris":["http://www.mendeley.com/documents/?uuid=76c0a1f1-4245-4f00-ac44-2f8820ee5984"]}],"mendeley":{"formattedCitation":"(1,5)","plainTextFormattedCitation":"(1,5)","previouslyFormattedCitation":"(1,5)"},"properties":{"noteIndex":0},"schema":"https://github.com/citation-style-language/schema/raw/master/csl-citation.json"}</w:instrText>
      </w:r>
      <w:r>
        <w:rPr>
          <w:rFonts w:eastAsia="Times New Roman" w:cs="Times New Roman"/>
          <w:szCs w:val="24"/>
          <w:lang w:eastAsia="en-ID"/>
        </w:rPr>
        <w:fldChar w:fldCharType="separate"/>
      </w:r>
      <w:r w:rsidRPr="00B51E34">
        <w:rPr>
          <w:rFonts w:eastAsia="Times New Roman" w:cs="Times New Roman"/>
          <w:noProof/>
          <w:szCs w:val="24"/>
          <w:lang w:eastAsia="en-ID"/>
        </w:rPr>
        <w:t>(1,5)</w:t>
      </w:r>
      <w:r>
        <w:rPr>
          <w:rFonts w:eastAsia="Times New Roman" w:cs="Times New Roman"/>
          <w:szCs w:val="24"/>
          <w:lang w:eastAsia="en-ID"/>
        </w:rPr>
        <w:fldChar w:fldCharType="end"/>
      </w:r>
      <w:r w:rsidRPr="00B51E34">
        <w:rPr>
          <w:rFonts w:eastAsia="Times New Roman" w:cs="Times New Roman"/>
          <w:szCs w:val="24"/>
          <w:lang w:eastAsia="en-ID"/>
        </w:rPr>
        <w:t>.</w:t>
      </w:r>
    </w:p>
    <w:p w14:paraId="5117666E" w14:textId="43BCA254" w:rsidR="00B51E34" w:rsidRP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 xml:space="preserve">This complexity is further exacerbated by the fragmented bureaucratic structure within the </w:t>
      </w:r>
      <w:proofErr w:type="spellStart"/>
      <w:r w:rsidRPr="00B51E34">
        <w:rPr>
          <w:rFonts w:eastAsia="Times New Roman" w:cs="Times New Roman"/>
          <w:szCs w:val="24"/>
          <w:lang w:eastAsia="en-ID"/>
        </w:rPr>
        <w:t>Ciamis</w:t>
      </w:r>
      <w:proofErr w:type="spellEnd"/>
      <w:r w:rsidRPr="00B51E34">
        <w:rPr>
          <w:rFonts w:eastAsia="Times New Roman" w:cs="Times New Roman"/>
          <w:szCs w:val="24"/>
          <w:lang w:eastAsia="en-ID"/>
        </w:rPr>
        <w:t xml:space="preserve"> Regency administration. The absence of a clear leading sector or a dedicated task force has led to severe inter-agency silos. Currently, the Community and Village Empowerment Agency (DPMD), the Tourism Agency (</w:t>
      </w:r>
      <w:proofErr w:type="spellStart"/>
      <w:r w:rsidRPr="00B51E34">
        <w:rPr>
          <w:rFonts w:eastAsia="Times New Roman" w:cs="Times New Roman"/>
          <w:szCs w:val="24"/>
          <w:lang w:eastAsia="en-ID"/>
        </w:rPr>
        <w:t>Disbudpora</w:t>
      </w:r>
      <w:proofErr w:type="spellEnd"/>
      <w:r w:rsidRPr="00B51E34">
        <w:rPr>
          <w:rFonts w:eastAsia="Times New Roman" w:cs="Times New Roman"/>
          <w:szCs w:val="24"/>
          <w:lang w:eastAsia="en-ID"/>
        </w:rPr>
        <w:t>), and the Environment Agency (DLH) operate with distinct, often contradictory, sectoral priorities. This lack of structured hierarchical integration</w:t>
      </w:r>
      <w:r>
        <w:rPr>
          <w:rFonts w:eastAsia="Times New Roman" w:cs="Times New Roman"/>
          <w:szCs w:val="24"/>
          <w:lang w:eastAsia="en-ID"/>
        </w:rPr>
        <w:t xml:space="preserve"> </w:t>
      </w:r>
      <w:r w:rsidRPr="00B51E34">
        <w:rPr>
          <w:rFonts w:eastAsia="Times New Roman" w:cs="Times New Roman"/>
          <w:szCs w:val="24"/>
          <w:lang w:eastAsia="en-ID"/>
        </w:rPr>
        <w:t>a core component of the Mazmanian and Sabatier model</w:t>
      </w:r>
      <w:r>
        <w:rPr>
          <w:rFonts w:eastAsia="Times New Roman" w:cs="Times New Roman"/>
          <w:szCs w:val="24"/>
          <w:lang w:eastAsia="en-ID"/>
        </w:rPr>
        <w:t xml:space="preserve"> </w:t>
      </w:r>
      <w:r w:rsidRPr="00B51E34">
        <w:rPr>
          <w:rFonts w:eastAsia="Times New Roman" w:cs="Times New Roman"/>
          <w:szCs w:val="24"/>
          <w:lang w:eastAsia="en-ID"/>
        </w:rPr>
        <w:t xml:space="preserve">demonstrates that declarative legal recognition is vastly insufficient. Effective public administration requires integrated institutional architecture to deliver cohesive public services and protections to vulnerable groups </w:t>
      </w:r>
      <w:r>
        <w:rPr>
          <w:rFonts w:eastAsia="Times New Roman" w:cs="Times New Roman"/>
          <w:szCs w:val="24"/>
          <w:lang w:eastAsia="en-ID"/>
        </w:rPr>
        <w:fldChar w:fldCharType="begin" w:fldLock="1"/>
      </w:r>
      <w:r w:rsidR="004F6DF4">
        <w:rPr>
          <w:rFonts w:eastAsia="Times New Roman" w:cs="Times New Roman"/>
          <w:szCs w:val="24"/>
          <w:lang w:eastAsia="en-ID"/>
        </w:rPr>
        <w:instrText>ADDIN CSL_CITATION {"citationItems":[{"id":"ITEM-1","itemData":{"ISBN":"9786342586679","author":[{"dropping-particle":"","family":"Saputra","given":"Ginanjar Wira","non-dropping-particle":"","parse-names":false,"suffix":""},{"dropping-particle":"","family":"Zairusi","given":"","non-dropping-particle":"","parse-names":false,"suffix":""},{"dropping-particle":"","family":"Andhani","given":"Dewi","non-dropping-particle":"","parse-names":false,"suffix":""},{"dropping-particle":"","family":"Triadi","given":"Rahma","non-dropping-particle":"","parse-names":false,"suffix":""},{"dropping-particle":"","family":"Suarha","given":"Cecep","non-dropping-particle":"","parse-names":false,"suffix":""},{"dropping-particle":"","family":"Kurniawati","given":"","non-dropping-particle":"","parse-names":false,"suffix":""}],"edition":"1","id":"ITEM-1","issued":{"date-parts":[["2026"]]},"number-of-pages":"165","publisher":"Mafy Media Literasi Indonesia","publisher-place":"Solok","title":"Sistem Administrasi Negara Indonesia: Konsep, Dinamika, dan Praktik Tata Kelola Pemerintahan Modern","type":"book"},"uris":["http://www.mendeley.com/documents/?uuid=7b9c6a14-259e-4546-9040-521fbc1cacac"]}],"mendeley":{"formattedCitation":"(23)","plainTextFormattedCitation":"(23)","previouslyFormattedCitation":"(23)"},"properties":{"noteIndex":0},"schema":"https://github.com/citation-style-language/schema/raw/master/csl-citation.json"}</w:instrText>
      </w:r>
      <w:r>
        <w:rPr>
          <w:rFonts w:eastAsia="Times New Roman" w:cs="Times New Roman"/>
          <w:szCs w:val="24"/>
          <w:lang w:eastAsia="en-ID"/>
        </w:rPr>
        <w:fldChar w:fldCharType="separate"/>
      </w:r>
      <w:r w:rsidRPr="00B51E34">
        <w:rPr>
          <w:rFonts w:eastAsia="Times New Roman" w:cs="Times New Roman"/>
          <w:noProof/>
          <w:szCs w:val="24"/>
          <w:lang w:eastAsia="en-ID"/>
        </w:rPr>
        <w:t>(23)</w:t>
      </w:r>
      <w:r>
        <w:rPr>
          <w:rFonts w:eastAsia="Times New Roman" w:cs="Times New Roman"/>
          <w:szCs w:val="24"/>
          <w:lang w:eastAsia="en-ID"/>
        </w:rPr>
        <w:fldChar w:fldCharType="end"/>
      </w:r>
      <w:r w:rsidRPr="00B51E34">
        <w:rPr>
          <w:rFonts w:eastAsia="Times New Roman" w:cs="Times New Roman"/>
          <w:szCs w:val="24"/>
          <w:lang w:eastAsia="en-ID"/>
        </w:rPr>
        <w:t>.</w:t>
      </w:r>
    </w:p>
    <w:p w14:paraId="5D54C7AA" w14:textId="2980F9E6" w:rsidR="00B51E34" w:rsidRP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Furthermore, the non-statutory variables</w:t>
      </w:r>
      <w:r>
        <w:rPr>
          <w:rFonts w:eastAsia="Times New Roman" w:cs="Times New Roman"/>
          <w:szCs w:val="24"/>
          <w:lang w:eastAsia="en-ID"/>
        </w:rPr>
        <w:t xml:space="preserve"> </w:t>
      </w:r>
      <w:r w:rsidRPr="00B51E34">
        <w:rPr>
          <w:rFonts w:eastAsia="Times New Roman" w:cs="Times New Roman"/>
          <w:szCs w:val="24"/>
          <w:lang w:eastAsia="en-ID"/>
        </w:rPr>
        <w:t>particularly the pressure of modernization and the drive for regional tourism revenue</w:t>
      </w:r>
      <w:r>
        <w:rPr>
          <w:rFonts w:eastAsia="Times New Roman" w:cs="Times New Roman"/>
          <w:szCs w:val="24"/>
          <w:lang w:eastAsia="en-ID"/>
        </w:rPr>
        <w:t xml:space="preserve"> </w:t>
      </w:r>
      <w:r w:rsidRPr="00B51E34">
        <w:rPr>
          <w:rFonts w:eastAsia="Times New Roman" w:cs="Times New Roman"/>
          <w:szCs w:val="24"/>
          <w:lang w:eastAsia="en-ID"/>
        </w:rPr>
        <w:t xml:space="preserve">place the Kampung Kuta community in a highly precarious position. The local government’s tendency to view the community primarily as a cultural tourism commodity often overshadows the fundamental goal of ecological and spatial protection. This commodification risks diluting the profound sacredness of their </w:t>
      </w:r>
      <w:proofErr w:type="spellStart"/>
      <w:r w:rsidRPr="00B51E34">
        <w:rPr>
          <w:rFonts w:eastAsia="Times New Roman" w:cs="Times New Roman"/>
          <w:szCs w:val="24"/>
          <w:lang w:eastAsia="en-ID"/>
        </w:rPr>
        <w:t>pamali</w:t>
      </w:r>
      <w:proofErr w:type="spellEnd"/>
      <w:r w:rsidRPr="00B51E34">
        <w:rPr>
          <w:rFonts w:eastAsia="Times New Roman" w:cs="Times New Roman"/>
          <w:szCs w:val="24"/>
          <w:lang w:eastAsia="en-ID"/>
        </w:rPr>
        <w:t xml:space="preserve"> (ancestral taboos). Therefore, public policy must pivot from viewing indigenous communities merely as economic assets or passive objects of development to recognizing them as sovereign entities deserving of unconditional spatial and cultural protection.</w:t>
      </w:r>
    </w:p>
    <w:p w14:paraId="049D0E8E" w14:textId="043CB789" w:rsidR="00B51E34" w:rsidRP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 xml:space="preserve">To transcend these multifaceted structural, normative, and environmental barriers, an immediate shift from traditional, top-down administration to a Collaborative Governance paradigm is imperative. Collaborative governance operates on the principle of active, symmetrical participation among state and non-state actors, fostering shared decision-making rather than unilateral state directives. In the context of indigenous protection, collaborative governance is not merely an alternative administrative tool, but an absolute necessity to achieve policy effectiveness, mitigate agrarian conflicts, and establish democratic legitimacy at the grassroots level </w:t>
      </w:r>
      <w:r w:rsidR="004F6DF4">
        <w:rPr>
          <w:rFonts w:eastAsia="Times New Roman" w:cs="Times New Roman"/>
          <w:szCs w:val="24"/>
          <w:lang w:eastAsia="en-ID"/>
        </w:rPr>
        <w:fldChar w:fldCharType="begin" w:fldLock="1"/>
      </w:r>
      <w:r w:rsidR="004F6DF4">
        <w:rPr>
          <w:rFonts w:eastAsia="Times New Roman" w:cs="Times New Roman"/>
          <w:szCs w:val="24"/>
          <w:lang w:eastAsia="en-ID"/>
        </w:rPr>
        <w:instrText>ADDIN CSL_CITATION {"citationItems":[{"id":"ITEM-1","itemData":{"DOI":"10.47772/IJRISS.2026.100500405","ISSN":"2454-6186","abstract":"Background and Objective: Rapid urbanization has escalated waste management challenges in metropolitan areas like Bandung City, Indonesia. Addressing this requires synergy among stakeholders. This study aims to assess the impact of Collaborative Governance dimensions specifically Face-to-Face Dialogue, Trust Building, Commitment to the Process, Shared Understanding, and Intermediate Outcomes on the effectiveness of waste management programs in Bandung City, West Java Province. Methods: A quantitative research approach was utilized, involving a sample of 350 respondents derived from relevant stakeholders, including government agencies, private sectors, and the community. Data were collected using structured questionnaires and analyzed using Multiple Linear Regression via SPSS to determine the significance of each collaborative dimension. Results: The regression analysis revealed that Collaborative Governance significantly affects program effectiveness. Trust Building emerged as the strongest predictor (β = .431, t = 8.764, p &lt; .001), followed by Shared Understanding (β = .241, p &lt; .001), Commitment to the Process (β = .205, p &lt; .001), and Face-to-Face Dialogue (β = .170, p &lt; .001). However, Intermediate Outcome did not show a statistically significant effect on program effectiveness (β = -.039, t = -.714, p = .475). Conclusion: Trust Building is the most crucial element in fostering effective collaborative waste management in Bandung City. Policymakers should prioritize transparency, equitable power-sharing, and consistent relationship-building among stakeholders. The insignificance of intermediate outcomes suggests a need to re-evaluate short-term milestones to ensure they translate into long-term program effectiveness.","author":[{"dropping-particle":"","family":"Saputra","given":"Ginanjar Wira","non-dropping-particle":"","parse-names":false,"suffix":""},{"dropping-particle":"","family":"Santosa","given":"Pandji","non-dropping-particle":"","parse-names":false,"suffix":""}],"container-title":"International Journal of Research and Innovation in Social Science","id":"ITEM-1","issue":"5","issued":{"date-parts":[["2026"]]},"page":"6070-6076","title":"Assessing the Impact of Collaborative Governance on Urban Waste Management Effectiveness: Evidence from Bandung City, Indonesia","type":"article-journal","volume":"10"},"uris":["http://www.mendeley.com/documents/?uuid=f86a4190-4d17-4ce0-a9ca-a6298294425b"]},{"id":"ITEM-2","itemData":{"DOI":"https://doi.org/10.25157/moderat.v12i1.5586","author":[{"dropping-particle":"","family":"Triadi","given":"Rahma","non-dropping-particle":"","parse-names":false,"suffix":""},{"dropping-particle":"","family":"Saputra","given":"Ginanjar Wira","non-dropping-particle":"","parse-names":false,"suffix":""},{"dropping-particle":"","family":"Suarha","given":"Cecep","non-dropping-particle":"","parse-names":false,"suffix":""},{"dropping-particle":"","family":"Sarihati","given":"Tati","non-dropping-particle":"","parse-names":false,"suffix":""}],"container-title":"Moderat : Jurnal Ilmiah Ilmu Pemerintahan","id":"ITEM-2","issue":"1","issued":{"date-parts":[["2026"]]},"page":"59-76","title":"Collaborative Governance Proses Penanggulangan Bencana Alam Di Kabupaten Bandung Provinsi Jawa Barat","type":"article-journal","volume":"12"},"uris":["http://www.mendeley.com/documents/?uuid=4fc42e74-3e40-47f2-90b7-77f48c3b9159"]}],"mendeley":{"formattedCitation":"(26,27)","plainTextFormattedCitation":"(26,27)","previouslyFormattedCitation":"(26,27)"},"properties":{"noteIndex":0},"schema":"https://github.com/citation-style-language/schema/raw/master/csl-citation.json"}</w:instrText>
      </w:r>
      <w:r w:rsidR="004F6DF4">
        <w:rPr>
          <w:rFonts w:eastAsia="Times New Roman" w:cs="Times New Roman"/>
          <w:szCs w:val="24"/>
          <w:lang w:eastAsia="en-ID"/>
        </w:rPr>
        <w:fldChar w:fldCharType="separate"/>
      </w:r>
      <w:r w:rsidR="004F6DF4" w:rsidRPr="004F6DF4">
        <w:rPr>
          <w:rFonts w:eastAsia="Times New Roman" w:cs="Times New Roman"/>
          <w:noProof/>
          <w:szCs w:val="24"/>
          <w:lang w:eastAsia="en-ID"/>
        </w:rPr>
        <w:t>(26,27)</w:t>
      </w:r>
      <w:r w:rsidR="004F6DF4">
        <w:rPr>
          <w:rFonts w:eastAsia="Times New Roman" w:cs="Times New Roman"/>
          <w:szCs w:val="24"/>
          <w:lang w:eastAsia="en-ID"/>
        </w:rPr>
        <w:fldChar w:fldCharType="end"/>
      </w:r>
      <w:r w:rsidRPr="00B51E34">
        <w:rPr>
          <w:rFonts w:eastAsia="Times New Roman" w:cs="Times New Roman"/>
          <w:szCs w:val="24"/>
          <w:lang w:eastAsia="en-ID"/>
        </w:rPr>
        <w:t>.</w:t>
      </w:r>
    </w:p>
    <w:p w14:paraId="03B7625D" w14:textId="1E9DCE02" w:rsidR="00B51E34" w:rsidRP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 xml:space="preserve">Operationally, this collaborative framework must begin by formally integrating the Kampung Kuta Customary Institution (Lembaga Adat) into the regional development planning process, particularly the </w:t>
      </w:r>
      <w:proofErr w:type="spellStart"/>
      <w:r w:rsidRPr="00B51E34">
        <w:rPr>
          <w:rFonts w:eastAsia="Times New Roman" w:cs="Times New Roman"/>
          <w:szCs w:val="24"/>
          <w:lang w:eastAsia="en-ID"/>
        </w:rPr>
        <w:t>Musrenbang</w:t>
      </w:r>
      <w:proofErr w:type="spellEnd"/>
      <w:r w:rsidRPr="00B51E34">
        <w:rPr>
          <w:rFonts w:eastAsia="Times New Roman" w:cs="Times New Roman"/>
          <w:szCs w:val="24"/>
          <w:lang w:eastAsia="en-ID"/>
        </w:rPr>
        <w:t xml:space="preserve"> (Development Planning Deliberations). Currently, customary elders lack the formal bureaucratic literacy to navigate state administrative procedures effectively. A collaborative approach would entail the local government acting as an empowering facilitator</w:t>
      </w:r>
      <w:r>
        <w:rPr>
          <w:rFonts w:eastAsia="Times New Roman" w:cs="Times New Roman"/>
          <w:szCs w:val="24"/>
          <w:lang w:eastAsia="en-ID"/>
        </w:rPr>
        <w:t xml:space="preserve"> </w:t>
      </w:r>
      <w:r w:rsidRPr="00B51E34">
        <w:rPr>
          <w:rFonts w:eastAsia="Times New Roman" w:cs="Times New Roman"/>
          <w:szCs w:val="24"/>
          <w:lang w:eastAsia="en-ID"/>
        </w:rPr>
        <w:t>providing legal and technical assistance for participatory land mapping</w:t>
      </w:r>
      <w:r>
        <w:rPr>
          <w:rFonts w:eastAsia="Times New Roman" w:cs="Times New Roman"/>
          <w:szCs w:val="24"/>
          <w:lang w:eastAsia="en-ID"/>
        </w:rPr>
        <w:t xml:space="preserve"> </w:t>
      </w:r>
      <w:r w:rsidRPr="00B51E34">
        <w:rPr>
          <w:rFonts w:eastAsia="Times New Roman" w:cs="Times New Roman"/>
          <w:szCs w:val="24"/>
          <w:lang w:eastAsia="en-ID"/>
        </w:rPr>
        <w:t xml:space="preserve">while </w:t>
      </w:r>
      <w:r w:rsidRPr="00B51E34">
        <w:rPr>
          <w:rFonts w:eastAsia="Times New Roman" w:cs="Times New Roman"/>
          <w:szCs w:val="24"/>
          <w:lang w:eastAsia="en-ID"/>
        </w:rPr>
        <w:lastRenderedPageBreak/>
        <w:t>ensuring that the customary institution retains its cultural authority. This creates a balanced power dynamic where protective measures are co-designed based on actual community realities rather than distant bureaucratic assumptions.</w:t>
      </w:r>
    </w:p>
    <w:p w14:paraId="5329B213" w14:textId="3C76AA7C" w:rsidR="00B51E34" w:rsidRP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Additionally, a robust collaborative governance model requires multi-level legal synchronization to prevent policy gaps at the grassroots level. The eventual issuance of a Regent Regulation (</w:t>
      </w:r>
      <w:proofErr w:type="spellStart"/>
      <w:r w:rsidRPr="00B51E34">
        <w:rPr>
          <w:rFonts w:eastAsia="Times New Roman" w:cs="Times New Roman"/>
          <w:szCs w:val="24"/>
          <w:lang w:eastAsia="en-ID"/>
        </w:rPr>
        <w:t>Perbup</w:t>
      </w:r>
      <w:proofErr w:type="spellEnd"/>
      <w:r w:rsidRPr="00B51E34">
        <w:rPr>
          <w:rFonts w:eastAsia="Times New Roman" w:cs="Times New Roman"/>
          <w:szCs w:val="24"/>
          <w:lang w:eastAsia="en-ID"/>
        </w:rPr>
        <w:t xml:space="preserve">) must be complemented by synchronized supportive policies at the village level. As noted in recent public administration discourse, the synergy between village-level regulations and regional policies is vital for protecting marginalized groups, emphasizing the need for robust, coherent legal drafting at the lowest levels of governance </w:t>
      </w:r>
      <w:r w:rsidR="004F6DF4">
        <w:rPr>
          <w:rFonts w:eastAsia="Times New Roman" w:cs="Times New Roman"/>
          <w:szCs w:val="24"/>
          <w:lang w:eastAsia="en-ID"/>
        </w:rPr>
        <w:fldChar w:fldCharType="begin" w:fldLock="1"/>
      </w:r>
      <w:r w:rsidR="004F6DF4">
        <w:rPr>
          <w:rFonts w:eastAsia="Times New Roman" w:cs="Times New Roman"/>
          <w:szCs w:val="24"/>
          <w:lang w:eastAsia="en-ID"/>
        </w:rPr>
        <w:instrText>ADDIN CSL_CITATION {"citationItems":[{"id":"ITEM-1","itemData":{"DOI":"10.70825/jptb.v7i2.2372","author":[{"dropping-particle":"","family":"Andhani","given":"Dewi","non-dropping-particle":"","parse-names":false,"suffix":""},{"dropping-particle":"","family":"Rachmawati","given":"Emi","non-dropping-particle":"","parse-names":false,"suffix":""},{"dropping-particle":"","family":"Saputra","given":"Ginanjar Wira","non-dropping-particle":"","parse-names":false,"suffix":""},{"dropping-particle":"","family":"Yusri","given":"Amri","non-dropping-particle":"","parse-names":false,"suffix":""},{"dropping-particle":"","family":"Mulyasana","given":"Dedi","non-dropping-particle":"","parse-names":false,"suffix":""},{"dropping-particle":"","family":"Santosa","given":"Pandji","non-dropping-particle":"","parse-names":false,"suffix":""},{"dropping-particle":"","family":"Sarihati","given":"Tati","non-dropping-particle":"","parse-names":false,"suffix":""}],"container-title":"Jurnal Pengabdian Tri Bhakti","id":"ITEM-1","issue":"2","issued":{"date-parts":[["2025"]]},"page":"66-77","title":"Kolaborasi Governance dalam Penyusunan Regulasi Desa Tentang Pelindungan Pekerja Migran Indonesia di Kecamatan Ngamprah","type":"article-journal","volume":"7"},"uris":["http://www.mendeley.com/documents/?uuid=38a380d2-1cfe-402e-b823-e6d188329582"]},{"id":"ITEM-2","itemData":{"ISBN":"9786235173245","PMID":"38252772","author":[{"dropping-particle":"","family":"Saputra","given":"Ginanjar Wira","non-dropping-particle":"","parse-names":false,"suffix":""},{"dropping-particle":"","family":"Kurniawati","given":"","non-dropping-particle":"","parse-names":false,"suffix":""},{"dropping-particle":"","family":"Susilawati","given":"","non-dropping-particle":"","parse-names":false,"suffix":""}],"edition":"Pertama","id":"ITEM-2","issued":{"date-parts":[["2025"]]},"number-of-pages":"i-vii, 1-107","publisher":"CV. Dewa Publishing","publisher-place":"Nganjuk","title":"Manajemen Pemerintahan Daerah dan Desa: Konsep Dinamika dan Implementasi di Indonesia","type":"book"},"uris":["http://www.mendeley.com/documents/?uuid=3ec4c755-0224-4891-b4f5-e856cc05cd8a"]}],"mendeley":{"formattedCitation":"(13,22)","plainTextFormattedCitation":"(13,22)"},"properties":{"noteIndex":0},"schema":"https://github.com/citation-style-language/schema/raw/master/csl-citation.json"}</w:instrText>
      </w:r>
      <w:r w:rsidR="004F6DF4">
        <w:rPr>
          <w:rFonts w:eastAsia="Times New Roman" w:cs="Times New Roman"/>
          <w:szCs w:val="24"/>
          <w:lang w:eastAsia="en-ID"/>
        </w:rPr>
        <w:fldChar w:fldCharType="separate"/>
      </w:r>
      <w:r w:rsidR="004F6DF4" w:rsidRPr="004F6DF4">
        <w:rPr>
          <w:rFonts w:eastAsia="Times New Roman" w:cs="Times New Roman"/>
          <w:noProof/>
          <w:szCs w:val="24"/>
          <w:lang w:eastAsia="en-ID"/>
        </w:rPr>
        <w:t>(13,22)</w:t>
      </w:r>
      <w:r w:rsidR="004F6DF4">
        <w:rPr>
          <w:rFonts w:eastAsia="Times New Roman" w:cs="Times New Roman"/>
          <w:szCs w:val="24"/>
          <w:lang w:eastAsia="en-ID"/>
        </w:rPr>
        <w:fldChar w:fldCharType="end"/>
      </w:r>
      <w:r w:rsidRPr="00B51E34">
        <w:rPr>
          <w:rFonts w:eastAsia="Times New Roman" w:cs="Times New Roman"/>
          <w:szCs w:val="24"/>
          <w:lang w:eastAsia="en-ID"/>
        </w:rPr>
        <w:t xml:space="preserve">. Empowering the </w:t>
      </w:r>
      <w:proofErr w:type="spellStart"/>
      <w:r w:rsidRPr="00B51E34">
        <w:rPr>
          <w:rFonts w:eastAsia="Times New Roman" w:cs="Times New Roman"/>
          <w:szCs w:val="24"/>
          <w:lang w:eastAsia="en-ID"/>
        </w:rPr>
        <w:t>Karangpaningal</w:t>
      </w:r>
      <w:proofErr w:type="spellEnd"/>
      <w:r w:rsidRPr="00B51E34">
        <w:rPr>
          <w:rFonts w:eastAsia="Times New Roman" w:cs="Times New Roman"/>
          <w:szCs w:val="24"/>
          <w:lang w:eastAsia="en-ID"/>
        </w:rPr>
        <w:t xml:space="preserve"> Village government to enact localized supportive regulations will create an immediate, responsive protective buffer for Kampung Kuta.</w:t>
      </w:r>
    </w:p>
    <w:p w14:paraId="777D4259" w14:textId="4FCD9124" w:rsidR="00B51E34" w:rsidRDefault="00B51E34" w:rsidP="00B51E34">
      <w:pPr>
        <w:jc w:val="both"/>
        <w:rPr>
          <w:rFonts w:eastAsia="Times New Roman" w:cs="Times New Roman"/>
          <w:szCs w:val="24"/>
          <w:lang w:eastAsia="en-ID"/>
        </w:rPr>
      </w:pPr>
      <w:r w:rsidRPr="00B51E34">
        <w:rPr>
          <w:rFonts w:eastAsia="Times New Roman" w:cs="Times New Roman"/>
          <w:szCs w:val="24"/>
          <w:lang w:eastAsia="en-ID"/>
        </w:rPr>
        <w:t>Ultimately, the supporting factors discovered in this research</w:t>
      </w:r>
      <w:r>
        <w:rPr>
          <w:rFonts w:eastAsia="Times New Roman" w:cs="Times New Roman"/>
          <w:szCs w:val="24"/>
          <w:lang w:eastAsia="en-ID"/>
        </w:rPr>
        <w:t xml:space="preserve"> </w:t>
      </w:r>
      <w:r w:rsidRPr="00B51E34">
        <w:rPr>
          <w:rFonts w:eastAsia="Times New Roman" w:cs="Times New Roman"/>
          <w:szCs w:val="24"/>
          <w:lang w:eastAsia="en-ID"/>
        </w:rPr>
        <w:t>primarily the profound obedience of the Kampung Kuta community to their ancestral traditions (</w:t>
      </w:r>
      <w:proofErr w:type="spellStart"/>
      <w:r w:rsidRPr="00B51E34">
        <w:rPr>
          <w:rFonts w:eastAsia="Times New Roman" w:cs="Times New Roman"/>
          <w:szCs w:val="24"/>
          <w:lang w:eastAsia="en-ID"/>
        </w:rPr>
        <w:t>pamali</w:t>
      </w:r>
      <w:proofErr w:type="spellEnd"/>
      <w:r w:rsidRPr="00B51E34">
        <w:rPr>
          <w:rFonts w:eastAsia="Times New Roman" w:cs="Times New Roman"/>
          <w:szCs w:val="24"/>
          <w:lang w:eastAsia="en-ID"/>
        </w:rPr>
        <w:t>) and their enduring social cohesion</w:t>
      </w:r>
      <w:r>
        <w:rPr>
          <w:rFonts w:eastAsia="Times New Roman" w:cs="Times New Roman"/>
          <w:szCs w:val="24"/>
          <w:lang w:eastAsia="en-ID"/>
        </w:rPr>
        <w:t xml:space="preserve"> </w:t>
      </w:r>
      <w:r w:rsidRPr="00B51E34">
        <w:rPr>
          <w:rFonts w:eastAsia="Times New Roman" w:cs="Times New Roman"/>
          <w:szCs w:val="24"/>
          <w:lang w:eastAsia="en-ID"/>
        </w:rPr>
        <w:t xml:space="preserve">represent a formidable social capital. Rather than viewing customary laws as an administrative hurdle or an anomaly, the state should legally recognize these traditions as highly advanced, community-based environmental mitigation strategies. If the </w:t>
      </w:r>
      <w:proofErr w:type="spellStart"/>
      <w:r w:rsidRPr="00B51E34">
        <w:rPr>
          <w:rFonts w:eastAsia="Times New Roman" w:cs="Times New Roman"/>
          <w:szCs w:val="24"/>
          <w:lang w:eastAsia="en-ID"/>
        </w:rPr>
        <w:t>Ciamis</w:t>
      </w:r>
      <w:proofErr w:type="spellEnd"/>
      <w:r w:rsidRPr="00B51E34">
        <w:rPr>
          <w:rFonts w:eastAsia="Times New Roman" w:cs="Times New Roman"/>
          <w:szCs w:val="24"/>
          <w:lang w:eastAsia="en-ID"/>
        </w:rPr>
        <w:t xml:space="preserve"> Regency Government effectively leverages this social capital through institutionalized collaborative governance and the immediate drafting of technical regulations, the transition from merely formal recognition to substantive, sustainable protection of the Kampung Kuta Indigenous Community can be successfully realized.</w:t>
      </w:r>
    </w:p>
    <w:p w14:paraId="64E87DFF" w14:textId="77777777" w:rsidR="00B51E34" w:rsidRPr="009C0DB0" w:rsidRDefault="00B51E34" w:rsidP="00390B05">
      <w:pPr>
        <w:jc w:val="both"/>
        <w:rPr>
          <w:rFonts w:eastAsia="Times New Roman" w:cs="Times New Roman"/>
          <w:szCs w:val="24"/>
          <w:lang w:eastAsia="en-ID"/>
        </w:rPr>
      </w:pPr>
    </w:p>
    <w:p w14:paraId="59E39DFC" w14:textId="5CF0A5EC" w:rsidR="009C0DB0" w:rsidRPr="00B130EF" w:rsidRDefault="009C0DB0" w:rsidP="00B130EF">
      <w:pPr>
        <w:pStyle w:val="Heading1"/>
        <w:numPr>
          <w:ilvl w:val="0"/>
          <w:numId w:val="5"/>
        </w:numPr>
        <w:spacing w:after="240"/>
        <w:ind w:left="567" w:hanging="567"/>
        <w:jc w:val="both"/>
        <w:rPr>
          <w:rFonts w:ascii="Times New Roman" w:eastAsia="Times New Roman" w:hAnsi="Times New Roman" w:cs="Times New Roman"/>
          <w:b/>
          <w:bCs/>
          <w:color w:val="000000" w:themeColor="text1"/>
          <w:sz w:val="24"/>
          <w:szCs w:val="24"/>
          <w:lang w:eastAsia="en-ID"/>
        </w:rPr>
      </w:pPr>
      <w:r w:rsidRPr="00B130EF">
        <w:rPr>
          <w:rFonts w:ascii="Times New Roman" w:eastAsia="Times New Roman" w:hAnsi="Times New Roman" w:cs="Times New Roman"/>
          <w:b/>
          <w:bCs/>
          <w:color w:val="000000" w:themeColor="text1"/>
          <w:sz w:val="24"/>
          <w:szCs w:val="24"/>
          <w:lang w:eastAsia="en-ID"/>
        </w:rPr>
        <w:t>CONCLUSION</w:t>
      </w:r>
    </w:p>
    <w:p w14:paraId="793264E9" w14:textId="1667C4ED" w:rsidR="004F6DF4" w:rsidRPr="004F6DF4" w:rsidRDefault="004F6DF4" w:rsidP="004F6DF4">
      <w:pPr>
        <w:jc w:val="both"/>
        <w:rPr>
          <w:rFonts w:eastAsia="Times New Roman" w:cs="Times New Roman"/>
          <w:szCs w:val="24"/>
          <w:lang w:eastAsia="en-ID"/>
        </w:rPr>
      </w:pPr>
      <w:r w:rsidRPr="004F6DF4">
        <w:rPr>
          <w:rFonts w:eastAsia="Times New Roman" w:cs="Times New Roman"/>
          <w:szCs w:val="24"/>
          <w:lang w:eastAsia="en-ID"/>
        </w:rPr>
        <w:t xml:space="preserve">This study concludes that the implementation of </w:t>
      </w:r>
      <w:proofErr w:type="spellStart"/>
      <w:r w:rsidRPr="004F6DF4">
        <w:rPr>
          <w:rFonts w:eastAsia="Times New Roman" w:cs="Times New Roman"/>
          <w:szCs w:val="24"/>
          <w:lang w:eastAsia="en-ID"/>
        </w:rPr>
        <w:t>Ciamis</w:t>
      </w:r>
      <w:proofErr w:type="spellEnd"/>
      <w:r w:rsidRPr="004F6DF4">
        <w:rPr>
          <w:rFonts w:eastAsia="Times New Roman" w:cs="Times New Roman"/>
          <w:szCs w:val="24"/>
          <w:lang w:eastAsia="en-ID"/>
        </w:rPr>
        <w:t xml:space="preserve"> Regency Local Regulation No. 15 of 2016 concerning the Recognition and Protection of the Kampung Kuta Indigenous Community remains highly ineffective, functioning primarily as a declarative mandate rather than a functional public policy. </w:t>
      </w:r>
      <w:proofErr w:type="spellStart"/>
      <w:r w:rsidRPr="004F6DF4">
        <w:rPr>
          <w:rFonts w:eastAsia="Times New Roman" w:cs="Times New Roman"/>
          <w:szCs w:val="24"/>
          <w:lang w:eastAsia="en-ID"/>
        </w:rPr>
        <w:t>Analyzed</w:t>
      </w:r>
      <w:proofErr w:type="spellEnd"/>
      <w:r w:rsidRPr="004F6DF4">
        <w:rPr>
          <w:rFonts w:eastAsia="Times New Roman" w:cs="Times New Roman"/>
          <w:szCs w:val="24"/>
          <w:lang w:eastAsia="en-ID"/>
        </w:rPr>
        <w:t xml:space="preserve"> through the Mazmanian and Sabatier framework, the failure is driven by severe deficiencies across all three structural dimensions. First, the inherent tractability of the problem is exceptionally low due to the ontological friction between the state's rigid positive legal requirements for spatial mapping and the community's unwritten, collectively held customary boundaries (</w:t>
      </w:r>
      <w:proofErr w:type="spellStart"/>
      <w:r w:rsidRPr="004F6DF4">
        <w:rPr>
          <w:rFonts w:eastAsia="Times New Roman" w:cs="Times New Roman"/>
          <w:szCs w:val="24"/>
          <w:lang w:eastAsia="en-ID"/>
        </w:rPr>
        <w:t>tanah</w:t>
      </w:r>
      <w:proofErr w:type="spellEnd"/>
      <w:r w:rsidRPr="004F6DF4">
        <w:rPr>
          <w:rFonts w:eastAsia="Times New Roman" w:cs="Times New Roman"/>
          <w:szCs w:val="24"/>
          <w:lang w:eastAsia="en-ID"/>
        </w:rPr>
        <w:t xml:space="preserve"> </w:t>
      </w:r>
      <w:proofErr w:type="spellStart"/>
      <w:r w:rsidRPr="004F6DF4">
        <w:rPr>
          <w:rFonts w:eastAsia="Times New Roman" w:cs="Times New Roman"/>
          <w:szCs w:val="24"/>
          <w:lang w:eastAsia="en-ID"/>
        </w:rPr>
        <w:t>ulayat</w:t>
      </w:r>
      <w:proofErr w:type="spellEnd"/>
      <w:r w:rsidRPr="004F6DF4">
        <w:rPr>
          <w:rFonts w:eastAsia="Times New Roman" w:cs="Times New Roman"/>
          <w:szCs w:val="24"/>
          <w:lang w:eastAsia="en-ID"/>
        </w:rPr>
        <w:t>). Second, the foundational statute demonstrates a critical inability to structure the implementation process, primarily evidenced by the prolonged absence of derivative technical regulations (Regent Regulations/</w:t>
      </w:r>
      <w:proofErr w:type="spellStart"/>
      <w:r w:rsidRPr="004F6DF4">
        <w:rPr>
          <w:rFonts w:eastAsia="Times New Roman" w:cs="Times New Roman"/>
          <w:szCs w:val="24"/>
          <w:lang w:eastAsia="en-ID"/>
        </w:rPr>
        <w:t>Perbup</w:t>
      </w:r>
      <w:proofErr w:type="spellEnd"/>
      <w:r w:rsidRPr="004F6DF4">
        <w:rPr>
          <w:rFonts w:eastAsia="Times New Roman" w:cs="Times New Roman"/>
          <w:szCs w:val="24"/>
          <w:lang w:eastAsia="en-ID"/>
        </w:rPr>
        <w:t>). This regulatory void paralyzes bureaucratic execution, resulting in fragmented inter-agency coordination (silo mentality), non-existent standard operating procedures, and the absence of a dedicated regional budget allocation. Third, non-statutory variables</w:t>
      </w:r>
      <w:r>
        <w:rPr>
          <w:rFonts w:eastAsia="Times New Roman" w:cs="Times New Roman"/>
          <w:szCs w:val="24"/>
          <w:lang w:eastAsia="en-ID"/>
        </w:rPr>
        <w:t xml:space="preserve"> </w:t>
      </w:r>
      <w:r w:rsidRPr="004F6DF4">
        <w:rPr>
          <w:rFonts w:eastAsia="Times New Roman" w:cs="Times New Roman"/>
          <w:szCs w:val="24"/>
          <w:lang w:eastAsia="en-ID"/>
        </w:rPr>
        <w:t>such as the volatile nature of political commitment driven by election cycles and the mounting pressures of modernization and tourism commodification</w:t>
      </w:r>
      <w:r>
        <w:rPr>
          <w:rFonts w:eastAsia="Times New Roman" w:cs="Times New Roman"/>
          <w:szCs w:val="24"/>
          <w:lang w:eastAsia="en-ID"/>
        </w:rPr>
        <w:t xml:space="preserve"> </w:t>
      </w:r>
      <w:r w:rsidRPr="004F6DF4">
        <w:rPr>
          <w:rFonts w:eastAsia="Times New Roman" w:cs="Times New Roman"/>
          <w:szCs w:val="24"/>
          <w:lang w:eastAsia="en-ID"/>
        </w:rPr>
        <w:t>further erode the policy's protective intent, placing the socio-cultural integrity of Kampung Kuta in a vulnerable position.</w:t>
      </w:r>
    </w:p>
    <w:p w14:paraId="492B90A3" w14:textId="0EA4F461" w:rsidR="004F6DF4" w:rsidRDefault="004F6DF4" w:rsidP="004F6DF4">
      <w:pPr>
        <w:jc w:val="both"/>
        <w:rPr>
          <w:rFonts w:eastAsia="Times New Roman" w:cs="Times New Roman"/>
          <w:szCs w:val="24"/>
          <w:lang w:eastAsia="en-ID"/>
        </w:rPr>
      </w:pPr>
      <w:r w:rsidRPr="004F6DF4">
        <w:rPr>
          <w:rFonts w:eastAsia="Times New Roman" w:cs="Times New Roman"/>
          <w:szCs w:val="24"/>
          <w:lang w:eastAsia="en-ID"/>
        </w:rPr>
        <w:t xml:space="preserve">To systematically address these implementation bottlenecks, a paradigm shift toward a Collaborative Governance model is imperative. The </w:t>
      </w:r>
      <w:proofErr w:type="spellStart"/>
      <w:r w:rsidRPr="004F6DF4">
        <w:rPr>
          <w:rFonts w:eastAsia="Times New Roman" w:cs="Times New Roman"/>
          <w:szCs w:val="24"/>
          <w:lang w:eastAsia="en-ID"/>
        </w:rPr>
        <w:t>Ciamis</w:t>
      </w:r>
      <w:proofErr w:type="spellEnd"/>
      <w:r w:rsidRPr="004F6DF4">
        <w:rPr>
          <w:rFonts w:eastAsia="Times New Roman" w:cs="Times New Roman"/>
          <w:szCs w:val="24"/>
          <w:lang w:eastAsia="en-ID"/>
        </w:rPr>
        <w:t xml:space="preserve"> Regency Government must urgently enact the requisite Regent Regulations to provide clear operational and financial directives. Concurrently, regional authorities must abandon top-down administrative approaches and instead actively partner with the Customary Institution (Lembaga Adat), utilizing their profound local wisdom (</w:t>
      </w:r>
      <w:proofErr w:type="spellStart"/>
      <w:r w:rsidRPr="004F6DF4">
        <w:rPr>
          <w:rFonts w:eastAsia="Times New Roman" w:cs="Times New Roman"/>
          <w:szCs w:val="24"/>
          <w:lang w:eastAsia="en-ID"/>
        </w:rPr>
        <w:t>pamali</w:t>
      </w:r>
      <w:proofErr w:type="spellEnd"/>
      <w:r w:rsidRPr="004F6DF4">
        <w:rPr>
          <w:rFonts w:eastAsia="Times New Roman" w:cs="Times New Roman"/>
          <w:szCs w:val="24"/>
          <w:lang w:eastAsia="en-ID"/>
        </w:rPr>
        <w:t xml:space="preserve">) as a legitimate, state-recognized asset for environmental conservation and spatial planning. By formally integrating customary elders into participatory mapping initiatives and regional development forums (such as </w:t>
      </w:r>
      <w:proofErr w:type="spellStart"/>
      <w:r w:rsidRPr="004F6DF4">
        <w:rPr>
          <w:rFonts w:eastAsia="Times New Roman" w:cs="Times New Roman"/>
          <w:szCs w:val="24"/>
          <w:lang w:eastAsia="en-ID"/>
        </w:rPr>
        <w:t>Musrenbang</w:t>
      </w:r>
      <w:proofErr w:type="spellEnd"/>
      <w:r w:rsidRPr="004F6DF4">
        <w:rPr>
          <w:rFonts w:eastAsia="Times New Roman" w:cs="Times New Roman"/>
          <w:szCs w:val="24"/>
          <w:lang w:eastAsia="en-ID"/>
        </w:rPr>
        <w:t>), the local government can bridge the gap between formal bureaucracy and traditional sovereignty, ensuring that the recognition of the Kampung Kuta Indigenous Community translates into substantive, sustainable, and legally robust protection.</w:t>
      </w:r>
    </w:p>
    <w:p w14:paraId="0A5D6025" w14:textId="77777777" w:rsidR="004F6DF4" w:rsidRDefault="004F6DF4" w:rsidP="00BB5215">
      <w:pPr>
        <w:jc w:val="both"/>
        <w:rPr>
          <w:rFonts w:eastAsia="Times New Roman" w:cs="Times New Roman"/>
          <w:b/>
          <w:bCs/>
          <w:szCs w:val="24"/>
          <w:lang w:eastAsia="en-ID"/>
        </w:rPr>
      </w:pPr>
    </w:p>
    <w:p w14:paraId="45CFE312" w14:textId="5D4C6E55" w:rsidR="009C0DB0" w:rsidRPr="00491E00" w:rsidRDefault="009C0DB0" w:rsidP="00491E00">
      <w:pPr>
        <w:pStyle w:val="Heading1"/>
        <w:spacing w:after="240"/>
        <w:jc w:val="both"/>
        <w:rPr>
          <w:rFonts w:ascii="Times New Roman" w:eastAsia="Times New Roman" w:hAnsi="Times New Roman" w:cs="Times New Roman"/>
          <w:b/>
          <w:bCs/>
          <w:color w:val="000000" w:themeColor="text1"/>
          <w:sz w:val="24"/>
          <w:szCs w:val="24"/>
          <w:lang w:eastAsia="en-ID"/>
        </w:rPr>
      </w:pPr>
      <w:r w:rsidRPr="00491E00">
        <w:rPr>
          <w:rFonts w:ascii="Times New Roman" w:eastAsia="Times New Roman" w:hAnsi="Times New Roman" w:cs="Times New Roman"/>
          <w:b/>
          <w:bCs/>
          <w:color w:val="000000" w:themeColor="text1"/>
          <w:sz w:val="24"/>
          <w:szCs w:val="24"/>
          <w:lang w:eastAsia="en-ID"/>
        </w:rPr>
        <w:t>DECLARATIONS</w:t>
      </w:r>
    </w:p>
    <w:p w14:paraId="27E4C824" w14:textId="756E6C74" w:rsidR="002C63AF" w:rsidRDefault="002C63AF" w:rsidP="00BB5215">
      <w:pPr>
        <w:jc w:val="both"/>
        <w:rPr>
          <w:rFonts w:eastAsia="Times New Roman" w:cs="Times New Roman"/>
          <w:szCs w:val="24"/>
          <w:lang w:eastAsia="en-ID"/>
        </w:rPr>
      </w:pPr>
      <w:r w:rsidRPr="002C63AF">
        <w:rPr>
          <w:rFonts w:eastAsia="Times New Roman" w:cs="Times New Roman"/>
          <w:szCs w:val="24"/>
          <w:lang w:eastAsia="en-ID"/>
        </w:rPr>
        <w:t>Ethical approval was not explicitly required for this study as it involved no clinical trials; however, all primary data collection procedures were conducted with the strict informed consent of the participants, ensuring profound respect for the cultural norms, privacy, and ancestral taboos (</w:t>
      </w:r>
      <w:proofErr w:type="spellStart"/>
      <w:r w:rsidRPr="002C63AF">
        <w:rPr>
          <w:rFonts w:eastAsia="Times New Roman" w:cs="Times New Roman"/>
          <w:szCs w:val="24"/>
          <w:lang w:eastAsia="en-ID"/>
        </w:rPr>
        <w:t>pamali</w:t>
      </w:r>
      <w:proofErr w:type="spellEnd"/>
      <w:r w:rsidRPr="002C63AF">
        <w:rPr>
          <w:rFonts w:eastAsia="Times New Roman" w:cs="Times New Roman"/>
          <w:szCs w:val="24"/>
          <w:lang w:eastAsia="en-ID"/>
        </w:rPr>
        <w:t xml:space="preserve">) of the customary elders (Ki Bumi and </w:t>
      </w:r>
      <w:r w:rsidRPr="002C63AF">
        <w:rPr>
          <w:rFonts w:eastAsia="Times New Roman" w:cs="Times New Roman"/>
          <w:szCs w:val="24"/>
          <w:lang w:eastAsia="en-ID"/>
        </w:rPr>
        <w:lastRenderedPageBreak/>
        <w:t xml:space="preserve">Koki) and the Kampung Kuta Indigenous Community. The authors declare no potential conflicts of interest regarding the research, authorship, or publication of this article. This research received no specific external funding and was conducted as part of the academic requirements for the Doctoral Program in Governmental Science at Universitas </w:t>
      </w:r>
      <w:proofErr w:type="spellStart"/>
      <w:r w:rsidRPr="002C63AF">
        <w:rPr>
          <w:rFonts w:eastAsia="Times New Roman" w:cs="Times New Roman"/>
          <w:szCs w:val="24"/>
          <w:lang w:eastAsia="en-ID"/>
        </w:rPr>
        <w:t>Langlangbuana</w:t>
      </w:r>
      <w:proofErr w:type="spellEnd"/>
      <w:r w:rsidRPr="002C63AF">
        <w:rPr>
          <w:rFonts w:eastAsia="Times New Roman" w:cs="Times New Roman"/>
          <w:szCs w:val="24"/>
          <w:lang w:eastAsia="en-ID"/>
        </w:rPr>
        <w:t xml:space="preserve">. Qualitative data supporting these findings are available from the corresponding author upon reasonable request, though raw data remain confidential due to cultural sensitivity restrictions concerning sacred sites. Finally, regarding authors' contributions: Abdul </w:t>
      </w:r>
      <w:proofErr w:type="spellStart"/>
      <w:r w:rsidRPr="002C63AF">
        <w:rPr>
          <w:rFonts w:eastAsia="Times New Roman" w:cs="Times New Roman"/>
          <w:szCs w:val="24"/>
          <w:lang w:eastAsia="en-ID"/>
        </w:rPr>
        <w:t>Mutolib</w:t>
      </w:r>
      <w:proofErr w:type="spellEnd"/>
      <w:r w:rsidRPr="002C63AF">
        <w:rPr>
          <w:rFonts w:eastAsia="Times New Roman" w:cs="Times New Roman"/>
          <w:szCs w:val="24"/>
          <w:lang w:eastAsia="en-ID"/>
        </w:rPr>
        <w:t xml:space="preserve"> handled conceptualization, methodology, data curation, formal analysis, and original draft preparation; </w:t>
      </w:r>
      <w:proofErr w:type="spellStart"/>
      <w:r w:rsidRPr="002C63AF">
        <w:rPr>
          <w:rFonts w:eastAsia="Times New Roman" w:cs="Times New Roman"/>
          <w:szCs w:val="24"/>
          <w:lang w:eastAsia="en-ID"/>
        </w:rPr>
        <w:t>Pandji</w:t>
      </w:r>
      <w:proofErr w:type="spellEnd"/>
      <w:r w:rsidRPr="002C63AF">
        <w:rPr>
          <w:rFonts w:eastAsia="Times New Roman" w:cs="Times New Roman"/>
          <w:szCs w:val="24"/>
          <w:lang w:eastAsia="en-ID"/>
        </w:rPr>
        <w:t xml:space="preserve"> Santosa and A. Djadja </w:t>
      </w:r>
      <w:proofErr w:type="spellStart"/>
      <w:r w:rsidRPr="002C63AF">
        <w:rPr>
          <w:rFonts w:eastAsia="Times New Roman" w:cs="Times New Roman"/>
          <w:szCs w:val="24"/>
          <w:lang w:eastAsia="en-ID"/>
        </w:rPr>
        <w:t>Saefullah</w:t>
      </w:r>
      <w:proofErr w:type="spellEnd"/>
      <w:r w:rsidRPr="002C63AF">
        <w:rPr>
          <w:rFonts w:eastAsia="Times New Roman" w:cs="Times New Roman"/>
          <w:szCs w:val="24"/>
          <w:lang w:eastAsia="en-ID"/>
        </w:rPr>
        <w:t xml:space="preserve"> provided supervision, validation, methodological refinement, conceptual framework development, and review and editing. All authors have read and agreed to the published version of the manuscript.</w:t>
      </w:r>
    </w:p>
    <w:p w14:paraId="284397AD" w14:textId="77777777" w:rsidR="002C63AF" w:rsidRPr="009C0DB0" w:rsidRDefault="002C63AF" w:rsidP="00BB5215">
      <w:pPr>
        <w:jc w:val="both"/>
        <w:rPr>
          <w:rFonts w:eastAsia="Times New Roman" w:cs="Times New Roman"/>
          <w:szCs w:val="24"/>
          <w:lang w:eastAsia="en-ID"/>
        </w:rPr>
      </w:pPr>
    </w:p>
    <w:p w14:paraId="664552D0" w14:textId="775BACA5" w:rsidR="009C0DB0" w:rsidRPr="00491E00" w:rsidRDefault="009C0DB0" w:rsidP="00491E00">
      <w:pPr>
        <w:pStyle w:val="Heading1"/>
        <w:spacing w:after="240"/>
        <w:jc w:val="both"/>
        <w:rPr>
          <w:rFonts w:ascii="Times New Roman" w:eastAsia="Times New Roman" w:hAnsi="Times New Roman" w:cs="Times New Roman"/>
          <w:b/>
          <w:bCs/>
          <w:color w:val="000000" w:themeColor="text1"/>
          <w:sz w:val="24"/>
          <w:szCs w:val="24"/>
          <w:lang w:eastAsia="en-ID"/>
        </w:rPr>
      </w:pPr>
      <w:r w:rsidRPr="00491E00">
        <w:rPr>
          <w:rFonts w:ascii="Times New Roman" w:eastAsia="Times New Roman" w:hAnsi="Times New Roman" w:cs="Times New Roman"/>
          <w:b/>
          <w:bCs/>
          <w:color w:val="000000" w:themeColor="text1"/>
          <w:sz w:val="24"/>
          <w:szCs w:val="24"/>
          <w:lang w:eastAsia="en-ID"/>
        </w:rPr>
        <w:t>REFERENCES</w:t>
      </w:r>
    </w:p>
    <w:p w14:paraId="7D864B38" w14:textId="0758778A" w:rsidR="004F6DF4" w:rsidRPr="004F6DF4" w:rsidRDefault="00AB18FF" w:rsidP="002C63AF">
      <w:pPr>
        <w:widowControl w:val="0"/>
        <w:autoSpaceDE w:val="0"/>
        <w:autoSpaceDN w:val="0"/>
        <w:adjustRightInd w:val="0"/>
        <w:ind w:left="641" w:hanging="641"/>
        <w:jc w:val="both"/>
        <w:rPr>
          <w:rFonts w:cs="Times New Roman"/>
          <w:noProof/>
          <w:szCs w:val="24"/>
        </w:rPr>
      </w:pPr>
      <w:r>
        <w:rPr>
          <w:rFonts w:eastAsia="Times New Roman" w:cs="Times New Roman"/>
          <w:szCs w:val="24"/>
          <w:lang w:eastAsia="en-ID"/>
        </w:rPr>
        <w:fldChar w:fldCharType="begin" w:fldLock="1"/>
      </w:r>
      <w:r>
        <w:rPr>
          <w:rFonts w:eastAsia="Times New Roman" w:cs="Times New Roman"/>
          <w:szCs w:val="24"/>
          <w:lang w:eastAsia="en-ID"/>
        </w:rPr>
        <w:instrText xml:space="preserve">ADDIN Mendeley Bibliography CSL_BIBLIOGRAPHY </w:instrText>
      </w:r>
      <w:r>
        <w:rPr>
          <w:rFonts w:eastAsia="Times New Roman" w:cs="Times New Roman"/>
          <w:szCs w:val="24"/>
          <w:lang w:eastAsia="en-ID"/>
        </w:rPr>
        <w:fldChar w:fldCharType="separate"/>
      </w:r>
      <w:r w:rsidR="004F6DF4" w:rsidRPr="004F6DF4">
        <w:rPr>
          <w:rFonts w:cs="Times New Roman"/>
          <w:noProof/>
          <w:szCs w:val="24"/>
        </w:rPr>
        <w:t>1.</w:t>
      </w:r>
      <w:r w:rsidR="004F6DF4" w:rsidRPr="004F6DF4">
        <w:rPr>
          <w:rFonts w:cs="Times New Roman"/>
          <w:noProof/>
          <w:szCs w:val="24"/>
        </w:rPr>
        <w:tab/>
        <w:t xml:space="preserve">Moniaga RRGW, Sondakh J, Korah RSM. Perlindungan Hukum Hak-Hak Masyarakat Atas Tanah Adat Di Tengah Modernisasi. Lex Adm. 2024;12(4). </w:t>
      </w:r>
    </w:p>
    <w:p w14:paraId="2400A5DF"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w:t>
      </w:r>
      <w:r w:rsidRPr="004F6DF4">
        <w:rPr>
          <w:rFonts w:cs="Times New Roman"/>
          <w:noProof/>
          <w:szCs w:val="24"/>
        </w:rPr>
        <w:tab/>
        <w:t xml:space="preserve">Mandala MH, Muryani MA, Rofiq MK. The Threat of Green Grabbing to Indigenous Peoples’ Rights in the Implementation of Law Number 32 of 2024. JUSTISI. 2025 Sep 6;11(3):874–88. </w:t>
      </w:r>
    </w:p>
    <w:p w14:paraId="47E81FAC"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3.</w:t>
      </w:r>
      <w:r w:rsidRPr="004F6DF4">
        <w:rPr>
          <w:rFonts w:cs="Times New Roman"/>
          <w:noProof/>
          <w:szCs w:val="24"/>
        </w:rPr>
        <w:tab/>
        <w:t xml:space="preserve">ICEL. Amici curiae brief: Judicial review UU Cipta Kerja cluster proyek strategis nasional. Jakarta; 2023. </w:t>
      </w:r>
    </w:p>
    <w:p w14:paraId="2F13E426"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4.</w:t>
      </w:r>
      <w:r w:rsidRPr="004F6DF4">
        <w:rPr>
          <w:rFonts w:cs="Times New Roman"/>
          <w:noProof/>
          <w:szCs w:val="24"/>
        </w:rPr>
        <w:tab/>
        <w:t xml:space="preserve">Neltje J, Delicia NF, Putri BWY, Lestari N. Analisis Perlindungan Masyarakat Hukum Adat Ditinjau Dalam Perspektif Hukum Positif Indonesia. J Ilm Wahana Pendidik. 2023;9(20):361–7. </w:t>
      </w:r>
    </w:p>
    <w:p w14:paraId="29245767"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5.</w:t>
      </w:r>
      <w:r w:rsidRPr="004F6DF4">
        <w:rPr>
          <w:rFonts w:cs="Times New Roman"/>
          <w:noProof/>
          <w:szCs w:val="24"/>
        </w:rPr>
        <w:tab/>
        <w:t xml:space="preserve">Salam S, Suhartono RM, Nurcahyo E, Karim LOM, Bason E, Sulayman. Pengakuan Hak Atas Tanah Ulayat Masyarakat Hukum Adat di Undang-Undang Nomor 11 Tahun 2020 Tentang Cipta Kerja: Perspektfi Teori Hukum Kritis. J Interpret Huk. 2024 Jan 3;5(1):721–32. </w:t>
      </w:r>
    </w:p>
    <w:p w14:paraId="7239DCD6"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6.</w:t>
      </w:r>
      <w:r w:rsidRPr="004F6DF4">
        <w:rPr>
          <w:rFonts w:cs="Times New Roman"/>
          <w:noProof/>
          <w:szCs w:val="24"/>
        </w:rPr>
        <w:tab/>
        <w:t xml:space="preserve">Herwansyah H. Analisis Dampak Kehadiran Hak Pengelolaan (HPL) bagi Tanah Ulayat MasyarakatAdat Pasca Disahkannya UU Cipta Kerja. J Fundam Justice. 2025 Sep 23;6(2):165–76. </w:t>
      </w:r>
    </w:p>
    <w:p w14:paraId="30D9F674"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7.</w:t>
      </w:r>
      <w:r w:rsidRPr="004F6DF4">
        <w:rPr>
          <w:rFonts w:cs="Times New Roman"/>
          <w:noProof/>
          <w:szCs w:val="24"/>
        </w:rPr>
        <w:tab/>
        <w:t xml:space="preserve">Fariz T, Kodiyat BA. Perlindungan Hukum Hak Masyarakat Adat Atas Tanah Ulayat Pasca Undang - Undang Cipta Kerja. EduYustisia J Edukasi Huk. 2023;1(3):36–42. </w:t>
      </w:r>
    </w:p>
    <w:p w14:paraId="34D08B98"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8.</w:t>
      </w:r>
      <w:r w:rsidRPr="004F6DF4">
        <w:rPr>
          <w:rFonts w:cs="Times New Roman"/>
          <w:noProof/>
          <w:szCs w:val="24"/>
        </w:rPr>
        <w:tab/>
        <w:t xml:space="preserve">Shah SF, Syahrin A, Sutiartono S. Eksistensi Prinsip In Dubio Pro Natura dalam Penegakan Hukum terhadap Pelaku Pencemaran Lingkungan Hidup. J Ilmu Hukum, Hum dan Polit. 2025 Sep 20;5(6):5179–93. </w:t>
      </w:r>
    </w:p>
    <w:p w14:paraId="3F881CB0"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9.</w:t>
      </w:r>
      <w:r w:rsidRPr="004F6DF4">
        <w:rPr>
          <w:rFonts w:cs="Times New Roman"/>
          <w:noProof/>
          <w:szCs w:val="24"/>
        </w:rPr>
        <w:tab/>
        <w:t xml:space="preserve">AMAN (Aliansi Masyarakat Adat Nusantara). Catatan Akhir Tahun 2024 Aliansi Masyarakat Adat Nusantara. Jakarta; 2024. </w:t>
      </w:r>
    </w:p>
    <w:p w14:paraId="63C156F0"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10.</w:t>
      </w:r>
      <w:r w:rsidRPr="004F6DF4">
        <w:rPr>
          <w:rFonts w:cs="Times New Roman"/>
          <w:noProof/>
          <w:szCs w:val="24"/>
        </w:rPr>
        <w:tab/>
        <w:t xml:space="preserve">Nabil MM, Salim ZQ, Pramesthi AN, Tinambunan IP. Analisis Ketiadaan Kepastian Hukum bagi Masyarakat Adat dalam Proyek Strategis Nasional Guna Mendorong Revisi Kebijakan Pembangunan Nasional Berdasarkan Prinsip Pluralisme Hukum. Amandemen J Ilmu pertahanan, Polit dan Huk Indones. 2025 Jun 18;2(3):194–205. </w:t>
      </w:r>
    </w:p>
    <w:p w14:paraId="0B312E93"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11.</w:t>
      </w:r>
      <w:r w:rsidRPr="004F6DF4">
        <w:rPr>
          <w:rFonts w:cs="Times New Roman"/>
          <w:noProof/>
          <w:szCs w:val="24"/>
        </w:rPr>
        <w:tab/>
        <w:t xml:space="preserve">Vandito RL, Paramesti A. Partisipasi Politik Masyarakat Adat Dalam Konflik Agraria Di Papua: Studi Kasus Partisipasi Suku Awyu Melawan PT Megakarya Jaya Raya Dan PT Kartika Cipta Pratama. Publiciana. 2024;17(2):91–106. </w:t>
      </w:r>
    </w:p>
    <w:p w14:paraId="78D47AC4"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12.</w:t>
      </w:r>
      <w:r w:rsidRPr="004F6DF4">
        <w:rPr>
          <w:rFonts w:cs="Times New Roman"/>
          <w:noProof/>
          <w:szCs w:val="24"/>
        </w:rPr>
        <w:tab/>
        <w:t xml:space="preserve">Julianova T, Flambonita S, Apriyani L. Penerapan Meaningful Participation Dalam Pembentukan Undang-Undang Nomor 6 Tahun 2023 Pasca Putusan Mahkamah Konstitusi Nomor 91/PUU-XVIII/2020. Sriwijaya University; 2025. </w:t>
      </w:r>
    </w:p>
    <w:p w14:paraId="0A76A858"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lastRenderedPageBreak/>
        <w:t>13.</w:t>
      </w:r>
      <w:r w:rsidRPr="004F6DF4">
        <w:rPr>
          <w:rFonts w:cs="Times New Roman"/>
          <w:noProof/>
          <w:szCs w:val="24"/>
        </w:rPr>
        <w:tab/>
        <w:t xml:space="preserve">Saputra GW, Kurniawati, Susilawati. Manajemen Pemerintahan Daerah dan Desa: Konsep Dinamika dan Implementasi di Indonesia. Pertama. Nganjuk: CV. Dewa Publishing; 2025. i–vii, 1–107. </w:t>
      </w:r>
    </w:p>
    <w:p w14:paraId="0524E441"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14.</w:t>
      </w:r>
      <w:r w:rsidRPr="004F6DF4">
        <w:rPr>
          <w:rFonts w:cs="Times New Roman"/>
          <w:noProof/>
          <w:szCs w:val="24"/>
        </w:rPr>
        <w:tab/>
        <w:t xml:space="preserve">Wika M. Implementasi Kebijakan Pembangunan Kampung di Kawasan Adat: Studi Kasus Peran Pemerintah Kampung di Merauke. J Ilmu Sos Dan Hum. 2025;1(4):1909–20. </w:t>
      </w:r>
    </w:p>
    <w:p w14:paraId="73555280"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15.</w:t>
      </w:r>
      <w:r w:rsidRPr="004F6DF4">
        <w:rPr>
          <w:rFonts w:cs="Times New Roman"/>
          <w:noProof/>
          <w:szCs w:val="24"/>
        </w:rPr>
        <w:tab/>
        <w:t xml:space="preserve">Nathan IA. Partisipasi Masyarakat Adat dalam Perencanaan Pembangunan Daerah: Perspektif Tata Kelola Inklusif. J Ilmu Sos Dan Hum. 2026;2(1):802–12. </w:t>
      </w:r>
    </w:p>
    <w:p w14:paraId="2B4ADDE1"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16.</w:t>
      </w:r>
      <w:r w:rsidRPr="004F6DF4">
        <w:rPr>
          <w:rFonts w:cs="Times New Roman"/>
          <w:noProof/>
          <w:szCs w:val="24"/>
        </w:rPr>
        <w:tab/>
        <w:t xml:space="preserve">Perkumpulan HuMa. Laporan Asistensi Produk Hukum Daerah dan Penetapan Hutan Adat di Wilayah Kerja AMAN Sulawesi Selatan. Sulawesi Selatan; 2024. </w:t>
      </w:r>
    </w:p>
    <w:p w14:paraId="722ED16F"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17.</w:t>
      </w:r>
      <w:r w:rsidRPr="004F6DF4">
        <w:rPr>
          <w:rFonts w:cs="Times New Roman"/>
          <w:noProof/>
          <w:szCs w:val="24"/>
        </w:rPr>
        <w:tab/>
        <w:t xml:space="preserve">Rohman SN. Kearifan Lokal Masyarakat Adat Kampung Kuta Dalam Membangun Rumah Adat Sebagai Upaya Pelestarian Lingkungan Hidup. J GEOSEE (Geography Sci Educ Explor. 2023;4(1):40–9. </w:t>
      </w:r>
    </w:p>
    <w:p w14:paraId="09258138"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18.</w:t>
      </w:r>
      <w:r w:rsidRPr="004F6DF4">
        <w:rPr>
          <w:rFonts w:cs="Times New Roman"/>
          <w:noProof/>
          <w:szCs w:val="24"/>
        </w:rPr>
        <w:tab/>
        <w:t xml:space="preserve">Firmansyah F, Sholeh Hidayat, Suroso Mukti Leksono, Ujang Jamaludin. Kearifan Lokal dalam Menjaga Kelestarian Lingkungan Hidup di Cagar Alam Rawa Danau (CARD). Biosf  J Biol dan Pendidik Biol. 2023 Jun 30;8(1):1–5. </w:t>
      </w:r>
    </w:p>
    <w:p w14:paraId="7EDAF86A"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19.</w:t>
      </w:r>
      <w:r w:rsidRPr="004F6DF4">
        <w:rPr>
          <w:rFonts w:cs="Times New Roman"/>
          <w:noProof/>
          <w:szCs w:val="24"/>
        </w:rPr>
        <w:tab/>
        <w:t xml:space="preserve">Poro SM, Imron A, Shanty WY. Perlindungan Hukum Hak Tradisional Masyarakat Hukum Adat Terhadap Tindakan Individualisasi Tanah Ulayat Untuk Tujuan Komersial. Bhirawa Law J. 2021 May 31;2(1):73–8. </w:t>
      </w:r>
    </w:p>
    <w:p w14:paraId="3178E7C1"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20.</w:t>
      </w:r>
      <w:r w:rsidRPr="004F6DF4">
        <w:rPr>
          <w:rFonts w:cs="Times New Roman"/>
          <w:noProof/>
          <w:szCs w:val="24"/>
        </w:rPr>
        <w:tab/>
        <w:t xml:space="preserve">Pujiawati N, Rasito R, Suyitno Y. Relevance Between the Pamali Culture of Kuta Traditional Village Society With the Value of Character Education in Elementary School. In: Proceedings of the 1st International Conference on Social Sciences, ICONESS 2021, 19 July 2021, Purwokerto, Central Java, Indonesia. EAI; 2021. </w:t>
      </w:r>
    </w:p>
    <w:p w14:paraId="065FAAAA"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21.</w:t>
      </w:r>
      <w:r w:rsidRPr="004F6DF4">
        <w:rPr>
          <w:rFonts w:cs="Times New Roman"/>
          <w:noProof/>
          <w:szCs w:val="24"/>
        </w:rPr>
        <w:tab/>
        <w:t xml:space="preserve">Hilman I, Rosali ES. The Resilience of The Indigenous Community of Kampung Kuta In Conserving Forest With Local Wisdom. Soc Humanit Educ Stud Conf Ser. 2022 Dec 25;5(4):393. </w:t>
      </w:r>
    </w:p>
    <w:p w14:paraId="1F22DD2E"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22.</w:t>
      </w:r>
      <w:r w:rsidRPr="004F6DF4">
        <w:rPr>
          <w:rFonts w:cs="Times New Roman"/>
          <w:noProof/>
          <w:szCs w:val="24"/>
        </w:rPr>
        <w:tab/>
        <w:t xml:space="preserve">Andhani D, Rachmawati E, Saputra GW, Yusri A, Mulyasana D, Santosa P, et al. Kolaborasi Governance dalam Penyusunan Regulasi Desa Tentang Pelindungan Pekerja Migran Indonesia di Kecamatan Ngamprah. J Pengabdi Tri Bhakti. 2025;7(2):66–77. </w:t>
      </w:r>
    </w:p>
    <w:p w14:paraId="178BE1A4"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23.</w:t>
      </w:r>
      <w:r w:rsidRPr="004F6DF4">
        <w:rPr>
          <w:rFonts w:cs="Times New Roman"/>
          <w:noProof/>
          <w:szCs w:val="24"/>
        </w:rPr>
        <w:tab/>
        <w:t xml:space="preserve">Saputra GW, Zairusi, Andhani D, Triadi R, Suarha C, Kurniawati. Sistem Administrasi Negara Indonesia: Konsep, Dinamika, dan Praktik Tata Kelola Pemerintahan Modern. 1st ed. Solok: Mafy Media Literasi Indonesia; 2026. 165 p. </w:t>
      </w:r>
    </w:p>
    <w:p w14:paraId="6C5BFF55"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24.</w:t>
      </w:r>
      <w:r w:rsidRPr="004F6DF4">
        <w:rPr>
          <w:rFonts w:cs="Times New Roman"/>
          <w:noProof/>
          <w:szCs w:val="24"/>
        </w:rPr>
        <w:tab/>
        <w:t xml:space="preserve">Mazmanian DA, Sabatier PA. Implementation and Public Policy. Foresman: Scott; 1983. </w:t>
      </w:r>
    </w:p>
    <w:p w14:paraId="205F46E8"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25.</w:t>
      </w:r>
      <w:r w:rsidRPr="004F6DF4">
        <w:rPr>
          <w:rFonts w:cs="Times New Roman"/>
          <w:noProof/>
          <w:szCs w:val="24"/>
        </w:rPr>
        <w:tab/>
        <w:t xml:space="preserve">Saputra GW, Santosa P, Adiwisastra J. Implementasi Kebijakan Program Pengelolaan Sampah Di Kota Bandung Provinsi Jawa Barat. Moderat  J Ilm Ilmu Pemerintah. 2026;12(1):197–214. </w:t>
      </w:r>
    </w:p>
    <w:p w14:paraId="023002D5" w14:textId="77777777" w:rsidR="004F6DF4" w:rsidRPr="004F6DF4" w:rsidRDefault="004F6DF4" w:rsidP="002C63AF">
      <w:pPr>
        <w:widowControl w:val="0"/>
        <w:autoSpaceDE w:val="0"/>
        <w:autoSpaceDN w:val="0"/>
        <w:adjustRightInd w:val="0"/>
        <w:ind w:left="641" w:hanging="641"/>
        <w:jc w:val="both"/>
        <w:rPr>
          <w:rFonts w:cs="Times New Roman"/>
          <w:noProof/>
          <w:szCs w:val="24"/>
        </w:rPr>
      </w:pPr>
      <w:r w:rsidRPr="004F6DF4">
        <w:rPr>
          <w:rFonts w:cs="Times New Roman"/>
          <w:noProof/>
          <w:szCs w:val="24"/>
        </w:rPr>
        <w:t>26.</w:t>
      </w:r>
      <w:r w:rsidRPr="004F6DF4">
        <w:rPr>
          <w:rFonts w:cs="Times New Roman"/>
          <w:noProof/>
          <w:szCs w:val="24"/>
        </w:rPr>
        <w:tab/>
        <w:t xml:space="preserve">Saputra GW, Santosa P. Assessing the Impact of Collaborative Governance on Urban Waste Management Effectiveness: Evidence from Bandung City, Indonesia. Int J Res Innov Soc Sci. 2026;10(5):6070–6. </w:t>
      </w:r>
    </w:p>
    <w:p w14:paraId="06E962F9" w14:textId="77777777" w:rsidR="004F6DF4" w:rsidRPr="004F6DF4" w:rsidRDefault="004F6DF4" w:rsidP="002C63AF">
      <w:pPr>
        <w:widowControl w:val="0"/>
        <w:autoSpaceDE w:val="0"/>
        <w:autoSpaceDN w:val="0"/>
        <w:adjustRightInd w:val="0"/>
        <w:ind w:left="641" w:hanging="641"/>
        <w:jc w:val="both"/>
        <w:rPr>
          <w:rFonts w:cs="Times New Roman"/>
          <w:noProof/>
        </w:rPr>
      </w:pPr>
      <w:r w:rsidRPr="004F6DF4">
        <w:rPr>
          <w:rFonts w:cs="Times New Roman"/>
          <w:noProof/>
          <w:szCs w:val="24"/>
        </w:rPr>
        <w:t>27.</w:t>
      </w:r>
      <w:r w:rsidRPr="004F6DF4">
        <w:rPr>
          <w:rFonts w:cs="Times New Roman"/>
          <w:noProof/>
          <w:szCs w:val="24"/>
        </w:rPr>
        <w:tab/>
        <w:t xml:space="preserve">Triadi R, Saputra GW, Suarha C, Sarihati T. Collaborative Governance Proses Penanggulangan Bencana Alam Di Kabupaten Bandung Provinsi Jawa Barat. Moderat  J Ilm Ilmu Pemerintah. 2026;12(1):59–76. </w:t>
      </w:r>
    </w:p>
    <w:p w14:paraId="7D137FB3" w14:textId="22B0ACE5" w:rsidR="005C5FBC" w:rsidRPr="002C63AF" w:rsidRDefault="00AB18FF" w:rsidP="002C63AF">
      <w:pPr>
        <w:jc w:val="both"/>
        <w:rPr>
          <w:rFonts w:eastAsia="Times New Roman" w:cs="Times New Roman"/>
          <w:szCs w:val="24"/>
          <w:lang w:eastAsia="en-ID"/>
        </w:rPr>
      </w:pPr>
      <w:r>
        <w:rPr>
          <w:rFonts w:eastAsia="Times New Roman" w:cs="Times New Roman"/>
          <w:szCs w:val="24"/>
          <w:lang w:eastAsia="en-ID"/>
        </w:rPr>
        <w:fldChar w:fldCharType="end"/>
      </w:r>
    </w:p>
    <w:sectPr w:rsidR="005C5FBC" w:rsidRPr="002C63AF" w:rsidSect="009C0DB0">
      <w:pgSz w:w="11906" w:h="16838"/>
      <w:pgMar w:top="1094"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0DE0"/>
    <w:multiLevelType w:val="hybridMultilevel"/>
    <w:tmpl w:val="0360E4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1D149A"/>
    <w:multiLevelType w:val="hybridMultilevel"/>
    <w:tmpl w:val="E3C494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BB7070"/>
    <w:multiLevelType w:val="multilevel"/>
    <w:tmpl w:val="B3B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0A2E59"/>
    <w:multiLevelType w:val="hybridMultilevel"/>
    <w:tmpl w:val="A4A0367A"/>
    <w:lvl w:ilvl="0" w:tplc="4A22696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E017201"/>
    <w:multiLevelType w:val="multilevel"/>
    <w:tmpl w:val="A942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F66BC"/>
    <w:multiLevelType w:val="multilevel"/>
    <w:tmpl w:val="03FC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B0"/>
    <w:rsid w:val="00022FEF"/>
    <w:rsid w:val="000B76FF"/>
    <w:rsid w:val="000C5AB2"/>
    <w:rsid w:val="00184198"/>
    <w:rsid w:val="001D3B22"/>
    <w:rsid w:val="001E0663"/>
    <w:rsid w:val="002117A5"/>
    <w:rsid w:val="00225CB7"/>
    <w:rsid w:val="00271BAE"/>
    <w:rsid w:val="002A17FA"/>
    <w:rsid w:val="002C63AF"/>
    <w:rsid w:val="002D3DD5"/>
    <w:rsid w:val="003078DA"/>
    <w:rsid w:val="00390B05"/>
    <w:rsid w:val="003A7CD6"/>
    <w:rsid w:val="004335FE"/>
    <w:rsid w:val="00491E00"/>
    <w:rsid w:val="004F6DF4"/>
    <w:rsid w:val="00566E3E"/>
    <w:rsid w:val="00597BBA"/>
    <w:rsid w:val="005A3538"/>
    <w:rsid w:val="005C4662"/>
    <w:rsid w:val="005C5FBC"/>
    <w:rsid w:val="00606A8F"/>
    <w:rsid w:val="006119B2"/>
    <w:rsid w:val="0065109D"/>
    <w:rsid w:val="0072574E"/>
    <w:rsid w:val="00772ECA"/>
    <w:rsid w:val="00774A59"/>
    <w:rsid w:val="008664CD"/>
    <w:rsid w:val="00896757"/>
    <w:rsid w:val="008B435D"/>
    <w:rsid w:val="00981A09"/>
    <w:rsid w:val="009C0DB0"/>
    <w:rsid w:val="00A16044"/>
    <w:rsid w:val="00A24817"/>
    <w:rsid w:val="00A44603"/>
    <w:rsid w:val="00A950A9"/>
    <w:rsid w:val="00AB18FF"/>
    <w:rsid w:val="00AD32C9"/>
    <w:rsid w:val="00AF6BCA"/>
    <w:rsid w:val="00B130EF"/>
    <w:rsid w:val="00B141AD"/>
    <w:rsid w:val="00B43635"/>
    <w:rsid w:val="00B51E34"/>
    <w:rsid w:val="00B547CE"/>
    <w:rsid w:val="00B81C36"/>
    <w:rsid w:val="00BB5215"/>
    <w:rsid w:val="00BC7989"/>
    <w:rsid w:val="00C81C0E"/>
    <w:rsid w:val="00CD161C"/>
    <w:rsid w:val="00D62661"/>
    <w:rsid w:val="00DB460B"/>
    <w:rsid w:val="00DD0843"/>
    <w:rsid w:val="00E30F2D"/>
    <w:rsid w:val="00E52F4B"/>
    <w:rsid w:val="00E54438"/>
    <w:rsid w:val="00E86D41"/>
    <w:rsid w:val="00F25583"/>
    <w:rsid w:val="00F30A20"/>
    <w:rsid w:val="00F7246B"/>
    <w:rsid w:val="00F811D5"/>
    <w:rsid w:val="00FD69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3EBA"/>
  <w15:chartTrackingRefBased/>
  <w15:docId w15:val="{2C918392-D5AB-4A92-BD47-57B37372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0EF"/>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48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DB0"/>
    <w:pPr>
      <w:spacing w:before="100" w:beforeAutospacing="1" w:after="100" w:afterAutospacing="1"/>
    </w:pPr>
    <w:rPr>
      <w:rFonts w:eastAsia="Times New Roman" w:cs="Times New Roman"/>
      <w:szCs w:val="24"/>
      <w:lang w:eastAsia="en-ID"/>
    </w:rPr>
  </w:style>
  <w:style w:type="character" w:styleId="Emphasis">
    <w:name w:val="Emphasis"/>
    <w:basedOn w:val="DefaultParagraphFont"/>
    <w:uiPriority w:val="20"/>
    <w:qFormat/>
    <w:rsid w:val="009C0DB0"/>
    <w:rPr>
      <w:i/>
      <w:iCs/>
    </w:rPr>
  </w:style>
  <w:style w:type="character" w:styleId="Hyperlink">
    <w:name w:val="Hyperlink"/>
    <w:basedOn w:val="DefaultParagraphFont"/>
    <w:uiPriority w:val="99"/>
    <w:unhideWhenUsed/>
    <w:rsid w:val="00BB5215"/>
    <w:rPr>
      <w:color w:val="0563C1" w:themeColor="hyperlink"/>
      <w:u w:val="single"/>
    </w:rPr>
  </w:style>
  <w:style w:type="character" w:styleId="UnresolvedMention">
    <w:name w:val="Unresolved Mention"/>
    <w:basedOn w:val="DefaultParagraphFont"/>
    <w:uiPriority w:val="99"/>
    <w:semiHidden/>
    <w:unhideWhenUsed/>
    <w:rsid w:val="00BB5215"/>
    <w:rPr>
      <w:color w:val="605E5C"/>
      <w:shd w:val="clear" w:color="auto" w:fill="E1DFDD"/>
    </w:rPr>
  </w:style>
  <w:style w:type="paragraph" w:styleId="ListParagraph">
    <w:name w:val="List Paragraph"/>
    <w:basedOn w:val="Normal"/>
    <w:uiPriority w:val="34"/>
    <w:qFormat/>
    <w:rsid w:val="00BB5215"/>
    <w:pPr>
      <w:ind w:left="720"/>
      <w:contextualSpacing/>
    </w:pPr>
  </w:style>
  <w:style w:type="table" w:styleId="TableGrid">
    <w:name w:val="Table Grid"/>
    <w:basedOn w:val="TableNormal"/>
    <w:uiPriority w:val="39"/>
    <w:rsid w:val="002A17F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30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817"/>
    <w:rPr>
      <w:rFonts w:asciiTheme="majorHAnsi" w:eastAsiaTheme="majorEastAsia" w:hAnsiTheme="majorHAnsi" w:cstheme="majorBidi"/>
      <w:color w:val="1F3763" w:themeColor="accent1" w:themeShade="7F"/>
      <w:szCs w:val="24"/>
    </w:rPr>
  </w:style>
  <w:style w:type="character" w:styleId="Strong">
    <w:name w:val="Strong"/>
    <w:basedOn w:val="DefaultParagraphFont"/>
    <w:uiPriority w:val="22"/>
    <w:qFormat/>
    <w:rsid w:val="00184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6537">
      <w:bodyDiv w:val="1"/>
      <w:marLeft w:val="0"/>
      <w:marRight w:val="0"/>
      <w:marTop w:val="0"/>
      <w:marBottom w:val="0"/>
      <w:divBdr>
        <w:top w:val="none" w:sz="0" w:space="0" w:color="auto"/>
        <w:left w:val="none" w:sz="0" w:space="0" w:color="auto"/>
        <w:bottom w:val="none" w:sz="0" w:space="0" w:color="auto"/>
        <w:right w:val="none" w:sz="0" w:space="0" w:color="auto"/>
      </w:divBdr>
    </w:div>
    <w:div w:id="154422113">
      <w:bodyDiv w:val="1"/>
      <w:marLeft w:val="0"/>
      <w:marRight w:val="0"/>
      <w:marTop w:val="0"/>
      <w:marBottom w:val="0"/>
      <w:divBdr>
        <w:top w:val="none" w:sz="0" w:space="0" w:color="auto"/>
        <w:left w:val="none" w:sz="0" w:space="0" w:color="auto"/>
        <w:bottom w:val="none" w:sz="0" w:space="0" w:color="auto"/>
        <w:right w:val="none" w:sz="0" w:space="0" w:color="auto"/>
      </w:divBdr>
    </w:div>
    <w:div w:id="456458331">
      <w:bodyDiv w:val="1"/>
      <w:marLeft w:val="0"/>
      <w:marRight w:val="0"/>
      <w:marTop w:val="0"/>
      <w:marBottom w:val="0"/>
      <w:divBdr>
        <w:top w:val="none" w:sz="0" w:space="0" w:color="auto"/>
        <w:left w:val="none" w:sz="0" w:space="0" w:color="auto"/>
        <w:bottom w:val="none" w:sz="0" w:space="0" w:color="auto"/>
        <w:right w:val="none" w:sz="0" w:space="0" w:color="auto"/>
      </w:divBdr>
    </w:div>
    <w:div w:id="469791690">
      <w:bodyDiv w:val="1"/>
      <w:marLeft w:val="0"/>
      <w:marRight w:val="0"/>
      <w:marTop w:val="0"/>
      <w:marBottom w:val="0"/>
      <w:divBdr>
        <w:top w:val="none" w:sz="0" w:space="0" w:color="auto"/>
        <w:left w:val="none" w:sz="0" w:space="0" w:color="auto"/>
        <w:bottom w:val="none" w:sz="0" w:space="0" w:color="auto"/>
        <w:right w:val="none" w:sz="0" w:space="0" w:color="auto"/>
      </w:divBdr>
    </w:div>
    <w:div w:id="534200764">
      <w:bodyDiv w:val="1"/>
      <w:marLeft w:val="0"/>
      <w:marRight w:val="0"/>
      <w:marTop w:val="0"/>
      <w:marBottom w:val="0"/>
      <w:divBdr>
        <w:top w:val="none" w:sz="0" w:space="0" w:color="auto"/>
        <w:left w:val="none" w:sz="0" w:space="0" w:color="auto"/>
        <w:bottom w:val="none" w:sz="0" w:space="0" w:color="auto"/>
        <w:right w:val="none" w:sz="0" w:space="0" w:color="auto"/>
      </w:divBdr>
    </w:div>
    <w:div w:id="1046296242">
      <w:bodyDiv w:val="1"/>
      <w:marLeft w:val="0"/>
      <w:marRight w:val="0"/>
      <w:marTop w:val="0"/>
      <w:marBottom w:val="0"/>
      <w:divBdr>
        <w:top w:val="none" w:sz="0" w:space="0" w:color="auto"/>
        <w:left w:val="none" w:sz="0" w:space="0" w:color="auto"/>
        <w:bottom w:val="none" w:sz="0" w:space="0" w:color="auto"/>
        <w:right w:val="none" w:sz="0" w:space="0" w:color="auto"/>
      </w:divBdr>
    </w:div>
    <w:div w:id="1213343705">
      <w:bodyDiv w:val="1"/>
      <w:marLeft w:val="0"/>
      <w:marRight w:val="0"/>
      <w:marTop w:val="0"/>
      <w:marBottom w:val="0"/>
      <w:divBdr>
        <w:top w:val="none" w:sz="0" w:space="0" w:color="auto"/>
        <w:left w:val="none" w:sz="0" w:space="0" w:color="auto"/>
        <w:bottom w:val="none" w:sz="0" w:space="0" w:color="auto"/>
        <w:right w:val="none" w:sz="0" w:space="0" w:color="auto"/>
      </w:divBdr>
    </w:div>
    <w:div w:id="1215191151">
      <w:bodyDiv w:val="1"/>
      <w:marLeft w:val="0"/>
      <w:marRight w:val="0"/>
      <w:marTop w:val="0"/>
      <w:marBottom w:val="0"/>
      <w:divBdr>
        <w:top w:val="none" w:sz="0" w:space="0" w:color="auto"/>
        <w:left w:val="none" w:sz="0" w:space="0" w:color="auto"/>
        <w:bottom w:val="none" w:sz="0" w:space="0" w:color="auto"/>
        <w:right w:val="none" w:sz="0" w:space="0" w:color="auto"/>
      </w:divBdr>
    </w:div>
    <w:div w:id="1465583318">
      <w:bodyDiv w:val="1"/>
      <w:marLeft w:val="0"/>
      <w:marRight w:val="0"/>
      <w:marTop w:val="0"/>
      <w:marBottom w:val="0"/>
      <w:divBdr>
        <w:top w:val="none" w:sz="0" w:space="0" w:color="auto"/>
        <w:left w:val="none" w:sz="0" w:space="0" w:color="auto"/>
        <w:bottom w:val="none" w:sz="0" w:space="0" w:color="auto"/>
        <w:right w:val="none" w:sz="0" w:space="0" w:color="auto"/>
      </w:divBdr>
    </w:div>
    <w:div w:id="1790973543">
      <w:bodyDiv w:val="1"/>
      <w:marLeft w:val="0"/>
      <w:marRight w:val="0"/>
      <w:marTop w:val="0"/>
      <w:marBottom w:val="0"/>
      <w:divBdr>
        <w:top w:val="none" w:sz="0" w:space="0" w:color="auto"/>
        <w:left w:val="none" w:sz="0" w:space="0" w:color="auto"/>
        <w:bottom w:val="none" w:sz="0" w:space="0" w:color="auto"/>
        <w:right w:val="none" w:sz="0" w:space="0" w:color="auto"/>
      </w:divBdr>
    </w:div>
    <w:div w:id="1856534452">
      <w:bodyDiv w:val="1"/>
      <w:marLeft w:val="0"/>
      <w:marRight w:val="0"/>
      <w:marTop w:val="0"/>
      <w:marBottom w:val="0"/>
      <w:divBdr>
        <w:top w:val="none" w:sz="0" w:space="0" w:color="auto"/>
        <w:left w:val="none" w:sz="0" w:space="0" w:color="auto"/>
        <w:bottom w:val="none" w:sz="0" w:space="0" w:color="auto"/>
        <w:right w:val="none" w:sz="0" w:space="0" w:color="auto"/>
      </w:divBdr>
    </w:div>
    <w:div w:id="207519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8DCD-AB10-49D8-9EAF-3D8152F2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14890</Words>
  <Characters>84876</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UNIVERSITAS BANDUNG</dc:creator>
  <cp:keywords/>
  <dc:description/>
  <cp:lastModifiedBy>UNIVERSITAS BANDUNG</cp:lastModifiedBy>
  <cp:revision>11</cp:revision>
  <dcterms:created xsi:type="dcterms:W3CDTF">2026-05-07T13:41:00Z</dcterms:created>
  <dcterms:modified xsi:type="dcterms:W3CDTF">2026-06-15T17:18:00Z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e07b295e-8803-3842-b24e-60bcda77ef8d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http://csl.mendeley.com/styles/689410881/vancouver-2</vt:lpwstr>
  </property>
  <property fmtid="{D5CDD505-2E9C-101B-9397-08002B2CF9AE}" pid="24" name="Mendeley Recent Style Name 9_1">
    <vt:lpwstr>Vancouver - Kedok</vt:lpwstr>
  </property>
</Properties>
</file>