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8819B74">
      <w:pPr>
        <w:pStyle w:val="style0"/>
        <w:jc w:val="center"/>
        <w:rPr/>
      </w:pPr>
      <w:r>
        <w:rPr>
          <w:b/>
          <w:sz w:val="32"/>
        </w:rPr>
        <w:t>Preoperative Prediction of Difficult Laparoscopic Cholecystectomy: An Observational Study in 50 Cases at Tertiary Care Centre</w:t>
      </w:r>
      <w:r>
        <w:rPr>
          <w:b/>
          <w:sz w:val="32"/>
        </w:rPr>
        <w:br/>
      </w:r>
    </w:p>
    <w:p w14:paraId="091F2CE5">
      <w:pPr>
        <w:pStyle w:val="style0"/>
        <w:rPr/>
      </w:pPr>
      <w:r>
        <w:t>Author information:</w:t>
      </w:r>
    </w:p>
    <w:p w14:paraId="3FE37C33">
      <w:pPr>
        <w:pStyle w:val="style0"/>
        <w:rPr/>
      </w:pPr>
      <w:r>
        <w:br/>
      </w:r>
      <w:r>
        <w:t xml:space="preserve">1) </w:t>
      </w:r>
      <w:r>
        <w:rPr>
          <w:lang w:val="en-US"/>
        </w:rPr>
        <w:t xml:space="preserve">Corresponding author : </w:t>
      </w:r>
      <w:r>
        <w:t xml:space="preserve">Dr. Twinkle R Parmar, </w:t>
      </w:r>
      <w:r>
        <w:rPr>
          <w:lang w:val="en-US"/>
        </w:rPr>
        <w:t>Ex Junior resident,</w:t>
      </w:r>
      <w:r>
        <w:t xml:space="preserve">Department of General Surgery, Dr. M K Shah </w:t>
      </w:r>
      <w:r>
        <w:rPr>
          <w:lang w:val="en-US"/>
        </w:rPr>
        <w:t>MCRC and Smt. SMS Multispeciality Hospital</w:t>
      </w:r>
      <w:r>
        <w:t>, Ahmedabad</w:t>
      </w:r>
    </w:p>
    <w:p w14:paraId="D3A977CC">
      <w:pPr>
        <w:pStyle w:val="style0"/>
        <w:rPr/>
      </w:pPr>
      <w:r>
        <w:rPr>
          <w:lang w:val="en-US"/>
        </w:rPr>
        <w:t xml:space="preserve">    Email ID : parmartwinkle06661@gmail.com</w:t>
      </w:r>
    </w:p>
    <w:p w14:paraId="8106D4F2">
      <w:pPr>
        <w:pStyle w:val="style0"/>
        <w:rPr/>
      </w:pPr>
      <w:r>
        <w:rPr>
          <w:lang w:val="en-US"/>
        </w:rPr>
        <w:t xml:space="preserve">  Coauthors :</w:t>
      </w:r>
    </w:p>
    <w:p w14:paraId="9BDD6914">
      <w:pPr>
        <w:pStyle w:val="style0"/>
        <w:rPr/>
      </w:pPr>
      <w:r>
        <w:t>2) Dr. Gunvant H Rathod, Professor and Head, Department of General Surgery,</w:t>
      </w:r>
      <w:r>
        <w:rPr>
          <w:lang w:val="en-US"/>
        </w:rPr>
        <w:t xml:space="preserve"> </w:t>
      </w:r>
      <w:r>
        <w:t xml:space="preserve">Dr. M K Shah </w:t>
      </w:r>
      <w:r>
        <w:rPr>
          <w:lang w:val="en-US"/>
        </w:rPr>
        <w:t>MCRC and Smt. SMS Multispeciality Hospital</w:t>
      </w:r>
      <w:r>
        <w:t>, Ahmedabad</w:t>
      </w:r>
    </w:p>
    <w:p w14:paraId="BD67069B">
      <w:pPr>
        <w:pStyle w:val="style0"/>
        <w:rPr/>
      </w:pPr>
      <w:r>
        <w:rPr>
          <w:lang w:val="en-US"/>
        </w:rPr>
        <w:t>3) Dr.Lav Mehta, Senior resident, Department of General Surgery, Dr. M K Shah MCRC and Smt. SMS Multispeciality hospital, Ahmedabad</w:t>
      </w:r>
    </w:p>
    <w:p w14:paraId="B99DE8D3">
      <w:pPr>
        <w:pStyle w:val="style1"/>
        <w:rPr/>
      </w:pPr>
      <w:r>
        <w:rPr>
          <w:sz w:val="28"/>
        </w:rPr>
        <w:t>Abstract</w:t>
      </w:r>
    </w:p>
    <w:p w14:paraId="551F4031">
      <w:pPr>
        <w:pStyle w:val="style0"/>
        <w:rPr/>
      </w:pPr>
      <w:r>
        <w:rPr>
          <w:sz w:val="22"/>
        </w:rPr>
        <w:t>Context: Laparoscopic cholecystectomy is the gold standard treatment for symptomatic gallstone disease. However, difficult laparoscopic cholecystectomy may lead to increased operative time, conversion to open surgery, and complications.</w:t>
      </w:r>
      <w:r>
        <w:rPr>
          <w:sz w:val="22"/>
        </w:rPr>
        <w:br/>
      </w:r>
      <w:r>
        <w:rPr>
          <w:sz w:val="22"/>
        </w:rPr>
        <w:br/>
      </w:r>
      <w:r>
        <w:rPr>
          <w:sz w:val="22"/>
        </w:rPr>
        <w:t>Aim: To identify preoperative factors predicting difficult laparoscopic cholecystectomy and correlate them with intraoperative difficulty.</w:t>
      </w:r>
      <w:r>
        <w:rPr>
          <w:sz w:val="22"/>
        </w:rPr>
        <w:br/>
      </w:r>
      <w:r>
        <w:rPr>
          <w:sz w:val="22"/>
        </w:rPr>
        <w:br/>
      </w:r>
      <w:r>
        <w:rPr>
          <w:sz w:val="22"/>
        </w:rPr>
        <w:t>Methods: This observational study included 50 patients undergoing laparoscopic cholecystectomy at a tertiary care centre. Preoperative clinical and ultrasonographic parameters including age, sex, BMI, history of hospitalization, previous abdominal surgery, palpable gallbladder, gallbladder wall thickness, impacted stones, and pericholecystic fluid were assessed. Intraoperative difficulty was graded using a predefined scoring system.</w:t>
      </w:r>
      <w:r>
        <w:rPr>
          <w:sz w:val="22"/>
        </w:rPr>
        <w:br/>
      </w:r>
      <w:r>
        <w:rPr>
          <w:sz w:val="22"/>
        </w:rPr>
        <w:br/>
      </w:r>
      <w:r>
        <w:rPr>
          <w:sz w:val="22"/>
        </w:rPr>
        <w:t>Results: Increased age (&gt;50 years), male gender, BMI &gt;25 kg/m², thickened gallbladder wall, impacted stone, and pericholecystic fluid were significantly associated with difficult laparoscopic cholecystectomy. Patients with higher preoperative scores had prolonged operative time and increased risk of conversion to open surgery.</w:t>
      </w:r>
      <w:r>
        <w:rPr>
          <w:sz w:val="22"/>
        </w:rPr>
        <w:br/>
      </w:r>
      <w:r>
        <w:rPr>
          <w:sz w:val="22"/>
        </w:rPr>
        <w:br/>
      </w:r>
      <w:r>
        <w:rPr>
          <w:sz w:val="22"/>
        </w:rPr>
        <w:t>Conclusion: Preoperative clinical and ultrasonographic assessment is useful in predicting difficult laparoscopic cholecystectomy and helps in operative planning, reducing complications, and improving surgical outcomes.</w:t>
      </w:r>
      <w:r>
        <w:rPr>
          <w:sz w:val="22"/>
        </w:rPr>
        <w:br/>
      </w:r>
      <w:r>
        <w:rPr>
          <w:sz w:val="22"/>
        </w:rPr>
        <w:br/>
      </w:r>
      <w:r>
        <w:rPr>
          <w:sz w:val="22"/>
        </w:rPr>
        <w:t>Keywords: laparoscopic cholecystectomy, gallstones, difficult cholecystectomy, predictive factors, ultrasonography</w:t>
      </w:r>
    </w:p>
    <w:p w14:paraId="6D685D5C">
      <w:pPr>
        <w:pStyle w:val="style1"/>
        <w:rPr/>
      </w:pPr>
      <w:r>
        <w:rPr>
          <w:sz w:val="28"/>
        </w:rPr>
        <w:t>Introduction</w:t>
      </w:r>
    </w:p>
    <w:p w14:paraId="2663810B">
      <w:pPr>
        <w:pStyle w:val="style0"/>
        <w:rPr/>
      </w:pPr>
      <w:r>
        <w:rPr>
          <w:sz w:val="22"/>
        </w:rPr>
        <w:t>Gallstone disease is a common surgical condition and an important cause of hospital admission worldwide</w:t>
      </w:r>
      <w:r>
        <w:rPr>
          <w:sz w:val="22"/>
          <w:vertAlign w:val="superscript"/>
          <w:lang w:val="en-US"/>
        </w:rPr>
        <w:t>1,2</w:t>
      </w:r>
      <w:r>
        <w:rPr>
          <w:sz w:val="22"/>
        </w:rPr>
        <w:t>. Laparoscopic cholecystectomy is considered the treatment of choice due to reduced postoperative pain, shorter hospital stay, and faster recovery</w:t>
      </w:r>
      <w:r>
        <w:rPr>
          <w:sz w:val="22"/>
          <w:vertAlign w:val="superscript"/>
          <w:lang w:val="en-US"/>
        </w:rPr>
        <w:t>3,4</w:t>
      </w:r>
      <w:r>
        <w:rPr>
          <w:sz w:val="22"/>
        </w:rPr>
        <w:t>. Despite advances in minimally invasive surgery, difficult laparoscopic cholecystectomy remains a challenge because of adhesions, distorted anatomy, inflammation, and technical difficulties</w:t>
      </w:r>
      <w:r>
        <w:rPr>
          <w:sz w:val="22"/>
          <w:vertAlign w:val="superscript"/>
          <w:lang w:val="en-US"/>
        </w:rPr>
        <w:t>5,6</w:t>
      </w:r>
      <w:r>
        <w:rPr>
          <w:sz w:val="22"/>
        </w:rPr>
        <w:t>.</w:t>
      </w:r>
      <w:r>
        <w:rPr>
          <w:sz w:val="22"/>
        </w:rPr>
        <w:br/>
      </w:r>
      <w:r>
        <w:rPr>
          <w:sz w:val="22"/>
        </w:rPr>
        <w:br/>
      </w:r>
      <w:r>
        <w:rPr>
          <w:sz w:val="22"/>
        </w:rPr>
        <w:t>Preoperative prediction of difficult cholecystectomy allows better surgical planning and patient counselling</w:t>
      </w:r>
      <w:r>
        <w:rPr>
          <w:sz w:val="22"/>
          <w:vertAlign w:val="superscript"/>
          <w:lang w:val="en-US"/>
        </w:rPr>
        <w:t>7</w:t>
      </w:r>
      <w:r>
        <w:rPr>
          <w:sz w:val="22"/>
        </w:rPr>
        <w:t>. Several factors such as older age, male gender, obesity, previous abdominal surgery, thickened gallbladder wall, impacted stones, and pericholecystic fluid have been associated with increased operative difficulty</w:t>
      </w:r>
      <w:r>
        <w:rPr>
          <w:sz w:val="22"/>
          <w:vertAlign w:val="superscript"/>
          <w:lang w:val="en-US"/>
        </w:rPr>
        <w:t>8</w:t>
      </w:r>
      <w:r>
        <w:rPr>
          <w:sz w:val="22"/>
        </w:rPr>
        <w:t>.</w:t>
      </w:r>
    </w:p>
    <w:p w14:paraId="EAC9FC4C">
      <w:pPr>
        <w:pStyle w:val="style1"/>
        <w:rPr/>
      </w:pPr>
      <w:r>
        <w:rPr>
          <w:sz w:val="28"/>
        </w:rPr>
        <w:t>Materials and Methods</w:t>
      </w:r>
    </w:p>
    <w:p w14:paraId="59B528C5">
      <w:pPr>
        <w:pStyle w:val="style0"/>
        <w:rPr>
          <w:sz w:val="22"/>
        </w:rPr>
      </w:pPr>
      <w:r>
        <w:rPr>
          <w:sz w:val="22"/>
        </w:rPr>
        <w:t>This prospective observational study was conducted in 50 patients undergoing laparoscopic cholecystectomy at a tertiary care teaching hospital. Adult patients diagnosed with symptomatic cholelithiasis were included after obtaining informed consent.</w:t>
      </w:r>
      <w:r>
        <w:rPr>
          <w:sz w:val="22"/>
        </w:rPr>
        <w:br/>
      </w:r>
      <w:r>
        <w:rPr>
          <w:sz w:val="22"/>
        </w:rPr>
        <w:br/>
      </w:r>
      <w:r>
        <w:rPr>
          <w:sz w:val="22"/>
        </w:rPr>
        <w:t>Preoperative assessment included detailed history, clinical examination, laboratory investigations, and ultrasonography. The following predictive factors were studied:</w:t>
      </w:r>
      <w:r>
        <w:rPr>
          <w:sz w:val="22"/>
        </w:rPr>
        <w:br/>
      </w:r>
      <w:r>
        <w:rPr>
          <w:sz w:val="22"/>
        </w:rPr>
        <w:br/>
      </w:r>
      <w:r>
        <w:rPr>
          <w:sz w:val="22"/>
        </w:rPr>
        <w:t>• Age &gt;50 years</w:t>
      </w:r>
      <w:r>
        <w:rPr>
          <w:sz w:val="22"/>
        </w:rPr>
        <w:br/>
      </w:r>
      <w:r>
        <w:rPr>
          <w:sz w:val="22"/>
        </w:rPr>
        <w:t>• Male gender</w:t>
      </w:r>
      <w:r>
        <w:rPr>
          <w:sz w:val="22"/>
        </w:rPr>
        <w:br/>
      </w:r>
      <w:r>
        <w:rPr>
          <w:sz w:val="22"/>
        </w:rPr>
        <w:t>• BMI &gt;25 kg/m²</w:t>
      </w:r>
      <w:r>
        <w:rPr>
          <w:sz w:val="22"/>
        </w:rPr>
        <w:br/>
      </w:r>
      <w:r>
        <w:rPr>
          <w:sz w:val="22"/>
        </w:rPr>
        <w:t>• Previous hospitalization for acute cholecystitis/pancreatitis</w:t>
      </w:r>
      <w:r>
        <w:rPr>
          <w:sz w:val="22"/>
        </w:rPr>
        <w:br/>
      </w:r>
      <w:r>
        <w:rPr>
          <w:sz w:val="22"/>
        </w:rPr>
        <w:t>• Previous abdominal surgery</w:t>
      </w:r>
      <w:r>
        <w:rPr>
          <w:sz w:val="22"/>
        </w:rPr>
        <w:br/>
      </w:r>
      <w:r>
        <w:rPr>
          <w:sz w:val="22"/>
        </w:rPr>
        <w:t>• Palpable gallbladder</w:t>
      </w:r>
      <w:r>
        <w:rPr>
          <w:sz w:val="22"/>
        </w:rPr>
        <w:br/>
      </w:r>
      <w:r>
        <w:rPr>
          <w:sz w:val="22"/>
        </w:rPr>
        <w:t>• Gallbladder wall thickness &gt;4 mm</w:t>
      </w:r>
      <w:r>
        <w:rPr>
          <w:sz w:val="22"/>
        </w:rPr>
        <w:br/>
      </w:r>
      <w:r>
        <w:rPr>
          <w:sz w:val="22"/>
        </w:rPr>
        <w:t>• Impacted gallstone</w:t>
      </w:r>
      <w:r>
        <w:rPr>
          <w:sz w:val="22"/>
        </w:rPr>
        <w:br/>
      </w:r>
      <w:r>
        <w:rPr>
          <w:sz w:val="22"/>
        </w:rPr>
        <w:t>• Pericholecystic fluid</w:t>
      </w:r>
      <w:r>
        <w:rPr>
          <w:sz w:val="22"/>
        </w:rPr>
        <w:br/>
      </w:r>
      <w:r>
        <w:rPr>
          <w:sz w:val="22"/>
        </w:rPr>
        <w:br/>
      </w:r>
      <w:r>
        <w:rPr>
          <w:sz w:val="22"/>
        </w:rPr>
        <w:t>Intraoperative difficulty was graded based on operative findings, adhesions, anatomy, operative time, bile spillage, and need for conversion to open surgery. Statistical analysis was performed to determine correlation between predictive factors and operative difficulty.</w:t>
      </w:r>
    </w:p>
    <w:p w14:paraId="6B7F5FE5">
      <w:pPr>
        <w:spacing w:after="200" w:lineRule="auto" w:line="276"/>
        <w:jc w:val="left"/>
        <w:rPr/>
      </w:pPr>
      <w:r>
        <w:rPr>
          <w:rFonts w:ascii="Cambria" w:cs="宋体" w:eastAsia="ＭＳ 明朝" w:hAnsi="Cambria" w:hint="default"/>
          <w:b/>
          <w:bCs/>
          <w:i w:val="false"/>
          <w:iCs w:val="false"/>
          <w:color w:val="auto"/>
          <w:sz w:val="28"/>
          <w:szCs w:val="22"/>
          <w:highlight w:val="none"/>
          <w:vertAlign w:val="baseline"/>
          <w:em w:val="none"/>
          <w:lang w:val="en-US" w:eastAsia="en-US"/>
        </w:rPr>
        <w:t>PREOPERATIVE</w:t>
      </w:r>
      <w:r>
        <w:rPr>
          <w:rFonts w:ascii="Cambria" w:cs="宋体" w:eastAsia="ＭＳ 明朝" w:hAnsi="Cambria" w:hint="default"/>
          <w:b/>
          <w:bCs/>
          <w:i w:val="false"/>
          <w:iCs w:val="false"/>
          <w:color w:val="auto"/>
          <w:sz w:val="28"/>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8"/>
          <w:szCs w:val="22"/>
          <w:highlight w:val="none"/>
          <w:vertAlign w:val="baseline"/>
          <w:em w:val="none"/>
          <w:lang w:val="en-US" w:eastAsia="en-US"/>
        </w:rPr>
        <w:t>SCORING</w:t>
      </w:r>
      <w:r>
        <w:rPr>
          <w:rFonts w:ascii="Cambria" w:cs="宋体" w:eastAsia="ＭＳ 明朝" w:hAnsi="Cambria" w:hint="default"/>
          <w:b/>
          <w:bCs/>
          <w:i w:val="false"/>
          <w:iCs w:val="false"/>
          <w:color w:val="auto"/>
          <w:sz w:val="28"/>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8"/>
          <w:szCs w:val="22"/>
          <w:highlight w:val="none"/>
          <w:vertAlign w:val="baseline"/>
          <w:em w:val="none"/>
          <w:lang w:val="en-US" w:eastAsia="en-US"/>
        </w:rPr>
        <w:t>SYSTEM</w:t>
      </w:r>
    </w:p>
    <w:p w14:paraId="C666319C">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system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Randhawa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Pujahari.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added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total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patients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divided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categories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risks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based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total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w:t>
      </w:r>
    </w:p>
    <w:p w14:paraId="ACC2B1DD">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Preoperative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based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clinical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parameters</w:t>
      </w:r>
    </w:p>
    <w:tbl>
      <w:tblPr>
        <w:jc w:val="left"/>
        <w:tblCellMar>
          <w:top w:w="0" w:type="dxa"/>
          <w:left w:w="108" w:type="dxa"/>
          <w:bottom w:w="0" w:type="dxa"/>
          <w:right w:w="108" w:type="dxa"/>
        </w:tblCellMar>
      </w:tblPr>
      <w:tblGrid>
        <w:gridCol w:w="2160"/>
        <w:gridCol w:w="2160"/>
        <w:gridCol w:w="2160"/>
        <w:gridCol w:w="2160"/>
      </w:tblGrid>
      <w:tr>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9F3175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Parameter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6036">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Criteria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4F7F">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Criteria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2A87">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Max</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4FEA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Age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2FD1">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&lt;50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yrs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AA4A">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&gt;50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yrs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1A5B0DB">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90FB3">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Sex</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30B21">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Female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317F">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9863D81">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8F1256B">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Hospitalization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62C5576">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1C74D">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36FDE0B">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367A837">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BMI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(kg/ht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m²)</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A92DE">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&lt;25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5762516">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25–27.5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&gt;27.5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FBA9">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B7B630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Abdominal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scar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9DD3DC6">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A5763">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Infra-umbilical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supra-umbilical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CB1F121">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6ED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Palpable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gallbladder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7CF6">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4406365">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47819F7">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FDACA84">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thickness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7D7794D">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4FF7E98">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Thick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9B6B">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9F98B">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Pericholecystic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collection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5CE6A">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2AE23">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B55A028">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r>
      <w:tr>
        <w:tblPrEx/>
        <w:trPr>
          <w:cantSplit w:val="false"/>
          <w:tblHeader w:val="false"/>
          <w:jc w:val="left"/>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8739">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Impacted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stone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543341C">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26847">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77703">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r>
    </w:tbl>
    <w:p w14:paraId="FAA7D603">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history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p>
    <w:p w14:paraId="4A9DA50A">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Total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maximum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p w14:paraId="1BFCCEB4">
      <w:pPr>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SCORE</w:t>
      </w:r>
    </w:p>
    <w:p w14:paraId="11244B1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Easy</w:t>
      </w:r>
    </w:p>
    <w:p w14:paraId="BF59A64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Difficult</w:t>
      </w:r>
    </w:p>
    <w:p w14:paraId="3836B423">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difficult</w:t>
      </w:r>
    </w:p>
    <w:p w14:paraId="C2049279">
      <w:pPr>
        <w:spacing w:after="200" w:lineRule="auto" w:line="276"/>
        <w:jc w:val="left"/>
        <w:rPr>
          <w:rFonts w:ascii="Cambria" w:cs="宋体" w:eastAsia="ＭＳ 明朝" w:hAnsi="Cambria" w:hint="default"/>
          <w:b/>
          <w:bCs/>
          <w:i w:val="false"/>
          <w:iCs w:val="false"/>
          <w:color w:val="auto"/>
          <w:sz w:val="26"/>
          <w:szCs w:val="22"/>
          <w:highlight w:val="none"/>
          <w:vertAlign w:val="baseline"/>
          <w:em w:val="none"/>
          <w:lang w:val="en-US" w:eastAsia="en-US"/>
        </w:rPr>
      </w:pPr>
    </w:p>
    <w:p w14:paraId="FBD29F52">
      <w:pPr>
        <w:spacing w:after="200" w:lineRule="auto" w:line="276"/>
        <w:jc w:val="left"/>
        <w:rPr>
          <w:rFonts w:ascii="Cambria" w:cs="宋体" w:eastAsia="ＭＳ 明朝" w:hAnsi="Cambria" w:hint="default"/>
          <w:b/>
          <w:bCs/>
          <w:i w:val="false"/>
          <w:iCs w:val="false"/>
          <w:color w:val="auto"/>
          <w:sz w:val="26"/>
          <w:szCs w:val="22"/>
          <w:highlight w:val="none"/>
          <w:vertAlign w:val="baseline"/>
          <w:em w:val="none"/>
          <w:lang w:val="en-US" w:eastAsia="en-US"/>
        </w:rPr>
      </w:pPr>
    </w:p>
    <w:p w14:paraId="0AF70C29">
      <w:pPr>
        <w:spacing w:after="200" w:lineRule="auto" w:line="276"/>
        <w:jc w:val="left"/>
        <w:rPr>
          <w:rFonts w:ascii="Cambria" w:cs="宋体" w:eastAsia="ＭＳ 明朝" w:hAnsi="Cambria" w:hint="default"/>
          <w:b/>
          <w:bCs/>
          <w:i w:val="false"/>
          <w:iCs w:val="false"/>
          <w:color w:val="auto"/>
          <w:sz w:val="26"/>
          <w:szCs w:val="22"/>
          <w:highlight w:val="none"/>
          <w:vertAlign w:val="baseline"/>
          <w:em w:val="none"/>
          <w:lang w:val="en-US" w:eastAsia="en-US"/>
        </w:rPr>
      </w:pPr>
    </w:p>
    <w:p w14:paraId="2C067547">
      <w:pPr>
        <w:spacing w:after="200" w:lineRule="auto" w:line="276"/>
        <w:jc w:val="left"/>
        <w:rPr/>
      </w:pPr>
      <w:r>
        <w:rPr>
          <w:rFonts w:ascii="Cambria" w:cs="宋体" w:eastAsia="ＭＳ 明朝" w:hAnsi="Cambria" w:hint="default"/>
          <w:b/>
          <w:bCs/>
          <w:i w:val="false"/>
          <w:iCs w:val="false"/>
          <w:color w:val="auto"/>
          <w:sz w:val="26"/>
          <w:szCs w:val="22"/>
          <w:highlight w:val="none"/>
          <w:vertAlign w:val="baseline"/>
          <w:em w:val="none"/>
          <w:lang w:val="en-US" w:eastAsia="en-US"/>
        </w:rPr>
        <w:t>Peroperative</w:t>
      </w:r>
      <w:r>
        <w:rPr>
          <w:rFonts w:ascii="Cambria" w:cs="宋体" w:eastAsia="ＭＳ 明朝" w:hAnsi="Cambria" w:hint="default"/>
          <w:b/>
          <w:bCs/>
          <w:i w:val="false"/>
          <w:iCs w:val="false"/>
          <w:color w:val="auto"/>
          <w:sz w:val="26"/>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6"/>
          <w:szCs w:val="22"/>
          <w:highlight w:val="none"/>
          <w:vertAlign w:val="baseline"/>
          <w:em w:val="none"/>
          <w:lang w:val="en-US" w:eastAsia="en-US"/>
        </w:rPr>
        <w:t>grading</w:t>
      </w:r>
    </w:p>
    <w:tbl>
      <w:tblPr>
        <w:jc w:val="left"/>
        <w:tblCellMar>
          <w:top w:w="0" w:type="dxa"/>
          <w:left w:w="108" w:type="dxa"/>
          <w:bottom w:w="0" w:type="dxa"/>
          <w:right w:w="108" w:type="dxa"/>
        </w:tblCellMar>
      </w:tblPr>
      <w:tblGrid>
        <w:gridCol w:w="4320"/>
        <w:gridCol w:w="4320"/>
      </w:tblGrid>
      <w:tr>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2E407CA">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Grade</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34C0642">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Criteria</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A5664">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Easy</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59BD2B8">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taken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&lt;60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bile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spillage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injury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duct/artery</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C485099">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Difficult</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947D9">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taken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60–120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Bile/stone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spillage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Injury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duct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conversion</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E1CE">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difficult</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B01D85F">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taken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&gt;120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Conversion</w:t>
            </w:r>
          </w:p>
        </w:tc>
      </w:tr>
    </w:tbl>
    <w:p w14:paraId="F99B886C">
      <w:pPr>
        <w:pStyle w:val="style0"/>
        <w:rPr>
          <w:sz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cases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routine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anesthetic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fitness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subjected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surgery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cases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operated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single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surgeon.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duration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surgery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from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incision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port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closure.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predicted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preoperative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degree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difficulty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compared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outcome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intraoperatively.</w:t>
      </w:r>
    </w:p>
    <w:p w14:paraId="954DD259">
      <w:pPr>
        <w:pStyle w:val="style1"/>
        <w:rPr>
          <w:b/>
          <w:sz w:val="22"/>
        </w:rPr>
      </w:pPr>
      <w:r>
        <w:rPr>
          <w:sz w:val="28"/>
        </w:rPr>
        <w:t>Results</w:t>
      </w:r>
    </w:p>
    <w:p w14:paraId="7A7CD558">
      <w:pPr>
        <w:pStyle w:val="style0"/>
        <w:rPr>
          <w:b/>
          <w:sz w:val="22"/>
        </w:rPr>
      </w:pPr>
      <w:r>
        <w:rPr>
          <w:rFonts w:ascii="Cambria" w:cs="宋体" w:eastAsia="ＭＳ 明朝" w:hAnsi="Cambria" w:hint="default"/>
          <w:b/>
          <w:bCs/>
          <w:i w:val="false"/>
          <w:iCs w:val="false"/>
          <w:color w:val="auto"/>
          <w:sz w:val="22"/>
          <w:szCs w:val="22"/>
          <w:highlight w:val="none"/>
          <w:vertAlign w:val="baseline"/>
          <w:em w:val="none"/>
          <w:lang w:val="en-US" w:eastAsia="en-US"/>
        </w:rPr>
        <w:t>TABLE</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PREDICTIVE</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ASSOCIATION</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OF</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RISK</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FACTORS</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WITH</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FINAL</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OUTCOME</w:t>
      </w:r>
    </w:p>
    <w:tbl>
      <w:tblPr>
        <w:jc w:val="left"/>
        <w:tblCellMar>
          <w:top w:w="0" w:type="dxa"/>
          <w:left w:w="108" w:type="dxa"/>
          <w:bottom w:w="0" w:type="dxa"/>
          <w:right w:w="108" w:type="dxa"/>
        </w:tblCellMar>
      </w:tblPr>
      <w:tblGrid>
        <w:gridCol w:w="794"/>
        <w:gridCol w:w="1701"/>
        <w:gridCol w:w="1027"/>
        <w:gridCol w:w="1041"/>
        <w:gridCol w:w="886"/>
        <w:gridCol w:w="986"/>
        <w:gridCol w:w="986"/>
        <w:gridCol w:w="1437"/>
      </w:tblGrid>
      <w:tr w14:paraId="3A063098">
        <w:trPr>
          <w:cantSplit w:val="false"/>
          <w:tblHeader w:val="false"/>
          <w:jc w:val="left"/>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69B">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No</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9439F">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Variables</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54AD">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Level</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CF90707">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Difficult</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8A48">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Easy</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BFFBB">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Odds</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Ratio</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E191">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P</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Value</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85E5">
            <w:pPr>
              <w:pStyle w:val="style0"/>
              <w:spacing w:after="200" w:lineRule="auto" w:line="276"/>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Significance</w:t>
            </w:r>
          </w:p>
        </w:tc>
      </w:tr>
      <w:tr w14:paraId="818099B7">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B9E1E">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ED835">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Age</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E3B4F6A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&lt;=50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3D7737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3BA2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12</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63FE9C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1.625</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CC671888">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0.395</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40B4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40294F00">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382B9E1E">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6A3ED835">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F7CAE">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&gt;50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1B75">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44F7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13</w:t>
            </w:r>
          </w:p>
        </w:tc>
        <w:tc>
          <w:tcPr>
            <w:tcW w:w="986" w:type="dxa"/>
            <w:vMerge w:val="continue"/>
            <w:tcBorders>
              <w:top w:val="single" w:sz="4" w:space="0" w:color="auto"/>
              <w:left w:val="single" w:sz="4" w:space="0" w:color="auto"/>
              <w:bottom w:val="single" w:sz="4" w:space="0" w:color="auto"/>
              <w:right w:val="single" w:sz="4" w:space="0" w:color="auto"/>
            </w:tcBorders>
            <w:tcMar/>
          </w:tcPr>
          <w:p w14:paraId="F63FE9C3">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CC671888">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20940B49">
            <w:pPr>
              <w:pStyle w:val="style0"/>
              <w:spacing w:after="200" w:lineRule="auto" w:line="276"/>
              <w:jc w:val="left"/>
              <w:rPr/>
            </w:pPr>
          </w:p>
        </w:tc>
      </w:tr>
      <w:tr w14:paraId="AF9712F6">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30992F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EE8516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Sex</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58568">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Male</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E543029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6249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6A98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9.333</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CC6D65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0.001</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E93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06B3418F">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F30992FC">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FEE85169">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8A27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Female</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181D6C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9CDBF40B">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21</w:t>
            </w:r>
          </w:p>
        </w:tc>
        <w:tc>
          <w:tcPr>
            <w:tcW w:w="986" w:type="dxa"/>
            <w:vMerge w:val="continue"/>
            <w:tcBorders>
              <w:top w:val="single" w:sz="4" w:space="0" w:color="auto"/>
              <w:left w:val="single" w:sz="4" w:space="0" w:color="auto"/>
              <w:bottom w:val="single" w:sz="4" w:space="0" w:color="auto"/>
              <w:right w:val="single" w:sz="4" w:space="0" w:color="auto"/>
            </w:tcBorders>
            <w:tcMar/>
          </w:tcPr>
          <w:p w14:paraId="6A36A98F">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8CC6D65F">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2583E934">
            <w:pPr>
              <w:pStyle w:val="style0"/>
              <w:spacing w:after="200" w:lineRule="auto" w:line="276"/>
              <w:jc w:val="left"/>
              <w:rPr/>
            </w:pPr>
          </w:p>
        </w:tc>
      </w:tr>
      <w:tr w14:paraId="FAC5DF73">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104B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928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BMI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[kg/m²]</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6C63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&gt;25</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CE4B919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FAC8DA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A33238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0.960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A9D6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0.944</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FADC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19C34688">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55C104BF">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5936928A">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E69FAF4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&lt;=25</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71F4DF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281556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16</w:t>
            </w:r>
          </w:p>
        </w:tc>
        <w:tc>
          <w:tcPr>
            <w:tcW w:w="986" w:type="dxa"/>
            <w:vMerge w:val="continue"/>
            <w:tcBorders>
              <w:top w:val="single" w:sz="4" w:space="0" w:color="auto"/>
              <w:left w:val="single" w:sz="4" w:space="0" w:color="auto"/>
              <w:bottom w:val="single" w:sz="4" w:space="0" w:color="auto"/>
              <w:right w:val="single" w:sz="4" w:space="0" w:color="auto"/>
            </w:tcBorders>
            <w:tcMar/>
          </w:tcPr>
          <w:p w14:paraId="FA33238A">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77DA9D63">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06CFADC7">
            <w:pPr>
              <w:pStyle w:val="style0"/>
              <w:spacing w:after="200" w:lineRule="auto" w:line="276"/>
              <w:jc w:val="left"/>
              <w:rPr/>
            </w:pPr>
          </w:p>
        </w:tc>
      </w:tr>
      <w:tr w14:paraId="049EF8A9">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61E5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83B183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Hospitalization</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CE3279F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398A2">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356D7E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F82E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34.548</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4783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0.016</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40FF70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49AFC8F6">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52F61E51">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883B1834">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988A3B9E">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5DF9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BE68E1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25</w:t>
            </w:r>
          </w:p>
        </w:tc>
        <w:tc>
          <w:tcPr>
            <w:tcW w:w="986" w:type="dxa"/>
            <w:vMerge w:val="continue"/>
            <w:tcBorders>
              <w:top w:val="single" w:sz="4" w:space="0" w:color="auto"/>
              <w:left w:val="single" w:sz="4" w:space="0" w:color="auto"/>
              <w:bottom w:val="single" w:sz="4" w:space="0" w:color="auto"/>
              <w:right w:val="single" w:sz="4" w:space="0" w:color="auto"/>
            </w:tcBorders>
            <w:tcMar/>
          </w:tcPr>
          <w:p w14:paraId="570F82E4">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69547839">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840FF70F">
            <w:pPr>
              <w:pStyle w:val="style0"/>
              <w:spacing w:after="200" w:lineRule="auto" w:line="276"/>
              <w:jc w:val="left"/>
              <w:rPr/>
            </w:pPr>
          </w:p>
        </w:tc>
      </w:tr>
      <w:tr w14:paraId="22C34AD6">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9FE95">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6A18">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Scar</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69DB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3432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C092947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CBC3BDF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2.087</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3CF0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0.559</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9947FA2">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2A970035">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0599FE95">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333A6A18">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CA9B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5D81436">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23</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316F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24</w:t>
            </w:r>
          </w:p>
        </w:tc>
        <w:tc>
          <w:tcPr>
            <w:tcW w:w="986" w:type="dxa"/>
            <w:vMerge w:val="continue"/>
            <w:tcBorders>
              <w:top w:val="single" w:sz="4" w:space="0" w:color="auto"/>
              <w:left w:val="single" w:sz="4" w:space="0" w:color="auto"/>
              <w:bottom w:val="single" w:sz="4" w:space="0" w:color="auto"/>
              <w:right w:val="single" w:sz="4" w:space="0" w:color="auto"/>
            </w:tcBorders>
            <w:tcMar/>
          </w:tcPr>
          <w:p w14:paraId="CBC3BDFD">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29B3CF0F">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89947FA2">
            <w:pPr>
              <w:pStyle w:val="style0"/>
              <w:spacing w:after="200" w:lineRule="auto" w:line="276"/>
              <w:jc w:val="left"/>
              <w:rPr/>
            </w:pPr>
          </w:p>
        </w:tc>
      </w:tr>
      <w:tr w14:paraId="138D6153">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DFB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6B7930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Comorbidity</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9D1E6542">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A6DA4C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12</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613B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1A9A12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1.384</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F61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0.569</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549A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6D953CA3">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7F21DFB7">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B6B79309">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AE8001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D34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13</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7DC1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tc>
        <w:tc>
          <w:tcPr>
            <w:tcW w:w="986" w:type="dxa"/>
            <w:vMerge w:val="continue"/>
            <w:tcBorders>
              <w:top w:val="single" w:sz="4" w:space="0" w:color="auto"/>
              <w:left w:val="single" w:sz="4" w:space="0" w:color="auto"/>
              <w:bottom w:val="single" w:sz="4" w:space="0" w:color="auto"/>
              <w:right w:val="single" w:sz="4" w:space="0" w:color="auto"/>
            </w:tcBorders>
            <w:tcMar/>
          </w:tcPr>
          <w:p w14:paraId="A1A9A12D">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4713F610">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2D8549AA">
            <w:pPr>
              <w:pStyle w:val="style0"/>
              <w:spacing w:after="200" w:lineRule="auto" w:line="276"/>
              <w:jc w:val="left"/>
              <w:rPr/>
            </w:pPr>
          </w:p>
        </w:tc>
      </w:tr>
      <w:tr w14:paraId="9D230526">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9F74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330D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Palpable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GB</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00C2A9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299FFF3">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7754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608E">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3.122</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666252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0.492</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C839B">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8EBE18B8">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0B89F743">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279330D9">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37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53E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24</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BA2">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25</w:t>
            </w:r>
          </w:p>
        </w:tc>
        <w:tc>
          <w:tcPr>
            <w:tcW w:w="986" w:type="dxa"/>
            <w:vMerge w:val="continue"/>
            <w:tcBorders>
              <w:top w:val="single" w:sz="4" w:space="0" w:color="auto"/>
              <w:left w:val="single" w:sz="4" w:space="0" w:color="auto"/>
              <w:bottom w:val="single" w:sz="4" w:space="0" w:color="auto"/>
              <w:right w:val="single" w:sz="4" w:space="0" w:color="auto"/>
            </w:tcBorders>
            <w:tcMar/>
          </w:tcPr>
          <w:p w14:paraId="6C79608E">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F6662529">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3E4C839B">
            <w:pPr>
              <w:pStyle w:val="style0"/>
              <w:spacing w:after="200" w:lineRule="auto" w:line="276"/>
              <w:jc w:val="left"/>
              <w:rPr/>
            </w:pPr>
          </w:p>
        </w:tc>
      </w:tr>
      <w:tr w14:paraId="80029A8D">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4CE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8</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8057672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GB</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thickness</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0779B5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&gt;4mm</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6C9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D4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A014C46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17.250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8743A2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0.0007</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7E5843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D2E9D38A">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4FA54CEC">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8057672D">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99A0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&lt;=4mm</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9F2F4AB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6FBDF4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23</w:t>
            </w:r>
          </w:p>
        </w:tc>
        <w:tc>
          <w:tcPr>
            <w:tcW w:w="986" w:type="dxa"/>
            <w:vMerge w:val="continue"/>
            <w:tcBorders>
              <w:top w:val="single" w:sz="4" w:space="0" w:color="auto"/>
              <w:left w:val="single" w:sz="4" w:space="0" w:color="auto"/>
              <w:bottom w:val="single" w:sz="4" w:space="0" w:color="auto"/>
              <w:right w:val="single" w:sz="4" w:space="0" w:color="auto"/>
            </w:tcBorders>
            <w:tcMar/>
          </w:tcPr>
          <w:p w14:paraId="A014C461">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D8743A27">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F7E58434">
            <w:pPr>
              <w:pStyle w:val="style0"/>
              <w:spacing w:after="200" w:lineRule="auto" w:line="276"/>
              <w:jc w:val="left"/>
              <w:rPr/>
            </w:pPr>
          </w:p>
        </w:tc>
      </w:tr>
      <w:tr w14:paraId="87F77669">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50DE">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DE47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Impacted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stone</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B51F222">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Present</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4115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DB88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4F80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2.875</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FE9A8">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0.235</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68D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62350EE1">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7AC550DE">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387DE47D">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977967C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Absent</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B67EF12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20</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F38A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23</w:t>
            </w:r>
          </w:p>
        </w:tc>
        <w:tc>
          <w:tcPr>
            <w:tcW w:w="986" w:type="dxa"/>
            <w:vMerge w:val="continue"/>
            <w:tcBorders>
              <w:top w:val="single" w:sz="4" w:space="0" w:color="auto"/>
              <w:left w:val="single" w:sz="4" w:space="0" w:color="auto"/>
              <w:bottom w:val="single" w:sz="4" w:space="0" w:color="auto"/>
              <w:right w:val="single" w:sz="4" w:space="0" w:color="auto"/>
            </w:tcBorders>
            <w:tcMar/>
          </w:tcPr>
          <w:p w14:paraId="4144F80F">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2DFFE9A8">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039E68D4">
            <w:pPr>
              <w:pStyle w:val="style0"/>
              <w:spacing w:after="200" w:lineRule="auto" w:line="276"/>
              <w:jc w:val="left"/>
              <w:rPr/>
            </w:pPr>
          </w:p>
        </w:tc>
      </w:tr>
      <w:tr w14:paraId="1E4B455E">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3DAE0B1">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CD0721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Pericholecystic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fluid</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7F8245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Present</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34C8F">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73C1C3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F5C">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E8368025">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0.114</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99513E2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FD88F646">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D3DAE0B1">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FCD07214">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D4BBC70B">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Absent</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9032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20</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F215D94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24</w:t>
            </w:r>
          </w:p>
        </w:tc>
        <w:tc>
          <w:tcPr>
            <w:tcW w:w="986" w:type="dxa"/>
            <w:vMerge w:val="continue"/>
            <w:tcBorders>
              <w:top w:val="single" w:sz="4" w:space="0" w:color="auto"/>
              <w:left w:val="single" w:sz="4" w:space="0" w:color="auto"/>
              <w:bottom w:val="single" w:sz="4" w:space="0" w:color="auto"/>
              <w:right w:val="single" w:sz="4" w:space="0" w:color="auto"/>
            </w:tcBorders>
            <w:tcMar/>
          </w:tcPr>
          <w:p w14:paraId="2F3A2F5C">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E8368025">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99513E20">
            <w:pPr>
              <w:pStyle w:val="style0"/>
              <w:spacing w:after="200" w:lineRule="auto" w:line="276"/>
              <w:jc w:val="left"/>
              <w:rPr/>
            </w:pPr>
          </w:p>
        </w:tc>
      </w:tr>
      <w:tr w14:paraId="3B09172B">
        <w:tblPrEx/>
        <w:trPr>
          <w:cantSplit w:val="false"/>
          <w:tblHeader w:val="false"/>
          <w:jc w:val="left"/>
        </w:trPr>
        <w:tc>
          <w:tcPr>
            <w:tcW w:w="7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F788">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11</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BA14">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Preoperative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scoring</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6EB9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&gt;5</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3D83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11</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BFB37">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E11B7ED8">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40.44</w:t>
            </w:r>
          </w:p>
        </w:tc>
        <w:tc>
          <w:tcPr>
            <w:tcW w:w="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81969">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0.0125</w:t>
            </w:r>
          </w:p>
        </w:tc>
        <w:tc>
          <w:tcPr>
            <w:tcW w:w="14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13DAD">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Significant</w:t>
            </w:r>
          </w:p>
        </w:tc>
      </w:tr>
      <w:tr w14:paraId="600F8BF0">
        <w:tblPrEx/>
        <w:trPr>
          <w:cantSplit w:val="false"/>
          <w:tblHeader w:val="false"/>
          <w:jc w:val="left"/>
        </w:trPr>
        <w:tc>
          <w:tcPr>
            <w:tcW w:w="795" w:type="dxa"/>
            <w:vMerge w:val="continue"/>
            <w:tcBorders>
              <w:top w:val="single" w:sz="4" w:space="0" w:color="auto"/>
              <w:left w:val="single" w:sz="4" w:space="0" w:color="auto"/>
              <w:bottom w:val="single" w:sz="4" w:space="0" w:color="auto"/>
              <w:right w:val="single" w:sz="4" w:space="0" w:color="auto"/>
            </w:tcBorders>
            <w:tcMar/>
          </w:tcPr>
          <w:p w14:paraId="26E0F788">
            <w:pPr>
              <w:pStyle w:val="style0"/>
              <w:spacing w:after="200" w:lineRule="auto" w:line="276"/>
              <w:jc w:val="left"/>
              <w:rPr/>
            </w:pPr>
          </w:p>
        </w:tc>
        <w:tc>
          <w:tcPr>
            <w:tcW w:w="1701" w:type="dxa"/>
            <w:vMerge w:val="continue"/>
            <w:tcBorders>
              <w:top w:val="single" w:sz="4" w:space="0" w:color="auto"/>
              <w:left w:val="single" w:sz="4" w:space="0" w:color="auto"/>
              <w:bottom w:val="single" w:sz="4" w:space="0" w:color="auto"/>
              <w:right w:val="single" w:sz="4" w:space="0" w:color="auto"/>
            </w:tcBorders>
            <w:tcMar/>
          </w:tcPr>
          <w:p w14:paraId="1474BA14">
            <w:pPr>
              <w:pStyle w:val="style0"/>
              <w:spacing w:after="200" w:lineRule="auto" w:line="276"/>
              <w:jc w:val="left"/>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C2D113CE">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&lt;=5</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E1098E5A">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14</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E4650">
            <w:pPr>
              <w:pStyle w:val="style0"/>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25</w:t>
            </w:r>
          </w:p>
        </w:tc>
        <w:tc>
          <w:tcPr>
            <w:tcW w:w="986" w:type="dxa"/>
            <w:vMerge w:val="continue"/>
            <w:tcBorders>
              <w:top w:val="single" w:sz="4" w:space="0" w:color="auto"/>
              <w:left w:val="single" w:sz="4" w:space="0" w:color="auto"/>
              <w:bottom w:val="single" w:sz="4" w:space="0" w:color="auto"/>
              <w:right w:val="single" w:sz="4" w:space="0" w:color="auto"/>
            </w:tcBorders>
            <w:tcMar/>
          </w:tcPr>
          <w:p w14:paraId="E11B7ED8">
            <w:pPr>
              <w:pStyle w:val="style0"/>
              <w:spacing w:after="200" w:lineRule="auto" w:line="276"/>
              <w:jc w:val="left"/>
              <w:rPr/>
            </w:pPr>
          </w:p>
        </w:tc>
        <w:tc>
          <w:tcPr>
            <w:tcW w:w="986" w:type="dxa"/>
            <w:vMerge w:val="continue"/>
            <w:tcBorders>
              <w:top w:val="single" w:sz="4" w:space="0" w:color="auto"/>
              <w:left w:val="single" w:sz="4" w:space="0" w:color="auto"/>
              <w:bottom w:val="single" w:sz="4" w:space="0" w:color="auto"/>
              <w:right w:val="single" w:sz="4" w:space="0" w:color="auto"/>
            </w:tcBorders>
            <w:tcMar/>
          </w:tcPr>
          <w:p w14:paraId="70381969">
            <w:pPr>
              <w:pStyle w:val="style0"/>
              <w:spacing w:after="200" w:lineRule="auto" w:line="276"/>
              <w:jc w:val="left"/>
              <w:rPr/>
            </w:pPr>
          </w:p>
        </w:tc>
        <w:tc>
          <w:tcPr>
            <w:tcW w:w="1437" w:type="dxa"/>
            <w:vMerge w:val="continue"/>
            <w:tcBorders>
              <w:top w:val="single" w:sz="4" w:space="0" w:color="auto"/>
              <w:left w:val="single" w:sz="4" w:space="0" w:color="auto"/>
              <w:bottom w:val="single" w:sz="4" w:space="0" w:color="auto"/>
              <w:right w:val="single" w:sz="4" w:space="0" w:color="auto"/>
            </w:tcBorders>
            <w:tcMar/>
          </w:tcPr>
          <w:p w14:paraId="01613DAD">
            <w:pPr>
              <w:pStyle w:val="style0"/>
              <w:spacing w:after="200" w:lineRule="auto" w:line="276"/>
              <w:jc w:val="left"/>
              <w:rPr/>
            </w:pPr>
          </w:p>
        </w:tc>
      </w:tr>
    </w:tbl>
    <w:p w14:paraId="B824DBD0">
      <w:pPr>
        <w:pStyle w:val="style0"/>
        <w:rPr/>
      </w:pPr>
    </w:p>
    <w:p w14:paraId="D78ACEFA">
      <w:pPr>
        <w:pStyle w:val="style0"/>
        <w:rPr/>
      </w:pPr>
      <w:r>
        <w:rPr>
          <w:sz w:val="22"/>
        </w:rPr>
        <w:t>Among 50 studied patients, females constituted the majority of cases. Difficult laparoscopic cholecystectomy was more commonly observed in elderly patients, males, obese individuals, and patients with previous attacks of acute cholecystitis.</w:t>
      </w:r>
      <w:r>
        <w:rPr>
          <w:sz w:val="22"/>
        </w:rPr>
        <w:br/>
      </w:r>
      <w:r>
        <w:rPr>
          <w:sz w:val="22"/>
        </w:rPr>
        <w:br/>
      </w:r>
      <w:r>
        <w:rPr>
          <w:sz w:val="22"/>
        </w:rPr>
        <w:t>Ultrasonographic findings such as gallbladder wall thickness &gt;4 mm, impacted stones, and pericholecystic fluid showed strong association with difficult surgery. Higher preoperative predictive scores correlated with prolonged operative time and increased conversion rates.</w:t>
      </w:r>
      <w:r>
        <w:rPr>
          <w:sz w:val="22"/>
        </w:rPr>
        <w:br/>
      </w:r>
      <w:r>
        <w:rPr>
          <w:sz w:val="22"/>
        </w:rPr>
        <w:br/>
      </w:r>
      <w:r>
        <w:rPr>
          <w:sz w:val="22"/>
        </w:rPr>
        <w:t>Patients with low predictive scores generally had uncomplicated laparoscopic cholecystectomy and shorter postoperative recovery.</w:t>
      </w:r>
    </w:p>
    <w:p w14:paraId="F18011F9">
      <w:pPr>
        <w:pStyle w:val="style1"/>
        <w:rPr/>
      </w:pPr>
      <w:r>
        <w:rPr>
          <w:sz w:val="28"/>
        </w:rPr>
        <w:t>Discussion</w:t>
      </w:r>
    </w:p>
    <w:p w14:paraId="61DDD463">
      <w:pPr>
        <w:pStyle w:val="style0"/>
        <w:rPr/>
      </w:pPr>
      <w:r>
        <w:rPr>
          <w:sz w:val="22"/>
        </w:rPr>
        <w:t>Prediction of difficult laparoscopic cholecystectomy remains clinically important for reducing operative complications and conversion rates</w:t>
      </w:r>
      <w:r>
        <w:rPr>
          <w:sz w:val="22"/>
          <w:vertAlign w:val="superscript"/>
          <w:lang w:val="en-US"/>
        </w:rPr>
        <w:t>9</w:t>
      </w:r>
      <w:r>
        <w:rPr>
          <w:sz w:val="22"/>
        </w:rPr>
        <w:t>. The present study demonstrated that both clinical and ultrasonographic parameters are useful predictors of operative difficulty</w:t>
      </w:r>
      <w:r>
        <w:rPr>
          <w:sz w:val="22"/>
          <w:vertAlign w:val="superscript"/>
          <w:lang w:val="en-US"/>
        </w:rPr>
        <w:t>10</w:t>
      </w:r>
      <w:r>
        <w:rPr>
          <w:sz w:val="22"/>
        </w:rPr>
        <w:t>.</w:t>
      </w:r>
      <w:r>
        <w:rPr>
          <w:sz w:val="22"/>
        </w:rPr>
        <w:br/>
      </w:r>
      <w:r>
        <w:rPr>
          <w:sz w:val="22"/>
        </w:rPr>
        <w:br/>
      </w:r>
      <w:r>
        <w:rPr>
          <w:sz w:val="22"/>
        </w:rPr>
        <w:t>Previous studies have similarly reported that thickened gallbladder wall, impacted stones, obesity, and recurrent inflammation increase operative difficulty due to dense adhesions and distorted anatomy</w:t>
      </w:r>
      <w:r>
        <w:rPr>
          <w:sz w:val="22"/>
          <w:vertAlign w:val="superscript"/>
          <w:lang w:val="en-US"/>
        </w:rPr>
        <w:t>11,12</w:t>
      </w:r>
      <w:r>
        <w:rPr>
          <w:sz w:val="22"/>
        </w:rPr>
        <w:t>. Accurate preoperative evaluation allows better case selection, improved counselling, and availability of experienced surgeons during difficult procedures</w:t>
      </w:r>
      <w:r>
        <w:rPr>
          <w:sz w:val="22"/>
          <w:vertAlign w:val="superscript"/>
          <w:lang w:val="en-US"/>
        </w:rPr>
        <w:t>13</w:t>
      </w:r>
      <w:r>
        <w:rPr>
          <w:sz w:val="22"/>
        </w:rPr>
        <w:t>.</w:t>
      </w:r>
    </w:p>
    <w:p w14:paraId="06E32074">
      <w:pPr>
        <w:pStyle w:val="style1"/>
        <w:rPr/>
      </w:pPr>
      <w:r>
        <w:rPr>
          <w:sz w:val="28"/>
        </w:rPr>
        <w:t>Conclusion</w:t>
      </w:r>
    </w:p>
    <w:p w14:paraId="D3BFA41A">
      <w:pPr>
        <w:pStyle w:val="style0"/>
        <w:rPr/>
      </w:pPr>
      <w:r>
        <w:rPr>
          <w:sz w:val="22"/>
        </w:rPr>
        <w:t>Preoperative prediction of difficult laparoscopic cholecystectomy using clinical and ultrasonographic parameters is reliable and clinically useful. Factors such as older age, male gender, obesity, thickened gallbladder wall, impacted stones, and pericholecystic fluid significantly predict operative difficulty. Early identification of high-risk patients improves operative planning, reduces complications, and enhances patient outcomes.</w:t>
      </w:r>
    </w:p>
    <w:p w14:paraId="1B804B35">
      <w:pPr>
        <w:pStyle w:val="style1"/>
        <w:rPr/>
      </w:pPr>
      <w:r>
        <w:t>References</w:t>
      </w:r>
    </w:p>
    <w:p w14:paraId="0C00959A">
      <w:pPr>
        <w:pStyle w:val="style49"/>
        <w:numPr>
          <w:ilvl w:val="0"/>
          <w:numId w:val="0"/>
        </w:numPr>
        <w:ind w:left="0" w:firstLine="0"/>
        <w:rPr>
          <w:lang w:val="en-US"/>
        </w:rPr>
      </w:pPr>
      <w:r>
        <w:rPr>
          <w:lang w:val="en-US"/>
        </w:rPr>
        <w:t>1. Bailey and Love’s Short practice of surgery, 28th Edition, Part 11, chapter 71: The Gallbladder and bile ducts, page no: 1232-59.</w:t>
      </w:r>
    </w:p>
    <w:p w14:paraId="0F6153DF">
      <w:pPr>
        <w:pStyle w:val="style49"/>
        <w:numPr>
          <w:ilvl w:val="0"/>
          <w:numId w:val="0"/>
        </w:numPr>
        <w:ind w:left="0" w:firstLine="0"/>
        <w:rPr>
          <w:lang w:val="en-US"/>
        </w:rPr>
      </w:pPr>
      <w:r>
        <w:rPr>
          <w:lang w:val="en-US"/>
        </w:rPr>
        <w:t>2. Schwartz’s principles of surgery, 10th Edition, chapter 32: Gallbladder and The extrahepatic biliary system, page no: 1309-40.</w:t>
      </w:r>
    </w:p>
    <w:p w14:paraId="23CF4BDE">
      <w:pPr>
        <w:pStyle w:val="style49"/>
        <w:numPr>
          <w:ilvl w:val="0"/>
          <w:numId w:val="0"/>
        </w:numPr>
        <w:ind w:left="0" w:firstLine="0"/>
        <w:rPr/>
      </w:pPr>
      <w:r>
        <w:rPr>
          <w:lang w:val="en-US"/>
        </w:rPr>
        <w:t>3. Sabiston Textbook of surgery, The Biological Basis of Modern Surgical Practice, 21st Edition, Section 10, Chapter 55: Biliary system, page no:1489-1527.</w:t>
      </w:r>
    </w:p>
    <w:p w14:paraId="836AA29B">
      <w:pPr>
        <w:pStyle w:val="style49"/>
        <w:numPr>
          <w:ilvl w:val="0"/>
          <w:numId w:val="0"/>
        </w:numPr>
        <w:ind w:left="0" w:firstLine="0"/>
        <w:rPr>
          <w:lang w:val="en-US"/>
        </w:rPr>
      </w:pPr>
      <w:r>
        <w:rPr>
          <w:lang w:val="en-US"/>
        </w:rPr>
        <w:t>4. R K Mishra, Textbook of Practical Laparoscopic Surgery, 3rd Edition, Section 2, Chapter 13: Laparoscopic cholecystectomy, page no:165-83</w:t>
      </w:r>
      <w:r>
        <w:rPr>
          <w:lang w:val="en-US"/>
        </w:rPr>
        <w:cr/>
      </w:r>
      <w:r>
        <w:rPr>
          <w:lang w:val="en-US"/>
        </w:rPr>
        <w:t>5. Art of Laparoscopic Surgery Textbook &amp; Atlas, C Palanivelu, 2nd Edition, volume 4, section 4: biliary, Chapter 92-95, page no:1187-1274</w:t>
      </w:r>
    </w:p>
    <w:p w14:paraId="0EDB92ED">
      <w:pPr>
        <w:pStyle w:val="style49"/>
        <w:numPr>
          <w:ilvl w:val="0"/>
          <w:numId w:val="0"/>
        </w:numPr>
        <w:ind w:left="0" w:firstLine="0"/>
        <w:rPr>
          <w:lang w:val="en-US"/>
        </w:rPr>
      </w:pPr>
      <w:r>
        <w:rPr>
          <w:lang w:val="en-US"/>
        </w:rPr>
        <w:t>6. Visharmsingh Textbook of Clinical Embryology; Chapter 14: Major Digestive Glands and Spleen; page no: 158-159</w:t>
      </w:r>
    </w:p>
    <w:p w14:paraId="A8AE18F5">
      <w:pPr>
        <w:pStyle w:val="style49"/>
        <w:numPr>
          <w:ilvl w:val="0"/>
          <w:numId w:val="0"/>
        </w:numPr>
        <w:ind w:left="0" w:firstLine="0"/>
        <w:rPr/>
      </w:pPr>
      <w:r>
        <w:rPr>
          <w:lang w:val="en-US"/>
        </w:rPr>
        <w:t>7. Shackelford’s Surgery of the Alimentary tract; 8TH edition; Volume 2, Section 3, chapter 106-108, Page no:1249-85</w:t>
      </w:r>
    </w:p>
    <w:p w14:paraId="74ACEF05">
      <w:pPr>
        <w:pStyle w:val="style49"/>
        <w:numPr>
          <w:ilvl w:val="0"/>
          <w:numId w:val="0"/>
        </w:numPr>
        <w:ind w:left="0" w:firstLine="0"/>
        <w:rPr/>
      </w:pPr>
      <w:r>
        <w:rPr>
          <w:lang w:val="en-US"/>
        </w:rPr>
        <w:t>8. Fischers mastery of surgery; 7th Edition; Volume 2; Chapter 103,104,110; Surgical anatomy of liver and bile ducts, diagnostic consideration in biliary and liver disease and Laparoscopic cholecystectomy; page no:3647-3718, 3907-3932.</w:t>
      </w:r>
    </w:p>
    <w:p w14:paraId="4063AAD8">
      <w:pPr>
        <w:pStyle w:val="style49"/>
        <w:numPr>
          <w:ilvl w:val="0"/>
          <w:numId w:val="0"/>
        </w:numPr>
        <w:ind w:left="0" w:firstLine="0"/>
        <w:rPr>
          <w:lang w:val="en-US"/>
        </w:rPr>
      </w:pPr>
      <w:r>
        <w:rPr>
          <w:lang w:val="en-US"/>
        </w:rPr>
        <w:t>9. Chhaparia S, Dewangan KP, Geddam SR. Prediction of difficult laparoscopic cholecystectomy on the basis of preoperative ultrasonography assessment. Int Surg J 2024; 11:75-87.</w:t>
      </w:r>
      <w:r>
        <w:rPr>
          <w:lang w:val="en-US"/>
        </w:rPr>
        <w:cr/>
      </w:r>
      <w:r>
        <w:rPr>
          <w:lang w:val="en-US"/>
        </w:rPr>
        <w:t>10. Chandak U, Chauhan K, Gupta BB, Mitra A, Bansod P, Upadrashta R et al. Assessment of risk factors in patients undergoing difficult cholecystectomy: a cross-sectional study at a tertiary care hospital in central India. Int Surg J 2024;11:63-9.</w:t>
      </w:r>
    </w:p>
    <w:p w14:paraId="23BC3562">
      <w:pPr>
        <w:pStyle w:val="style49"/>
        <w:numPr>
          <w:ilvl w:val="0"/>
          <w:numId w:val="0"/>
        </w:numPr>
        <w:ind w:left="0" w:firstLine="0"/>
        <w:rPr>
          <w:lang w:val="en-US"/>
        </w:rPr>
      </w:pPr>
      <w:r>
        <w:rPr>
          <w:lang w:val="en-US"/>
        </w:rPr>
        <w:t>11. Dr. Abhishek Bansal, Dr. Hari S Mahobia and Dr. Gajanan Waghoikar, A clinical study to determine predictive factors for difficult laparoscopic cholecystectomy International Journal of Surgery Science 2020; 4(4): 126-132.</w:t>
      </w:r>
      <w:r>
        <w:rPr>
          <w:lang w:val="en-US"/>
        </w:rPr>
        <w:cr/>
      </w:r>
      <w:r>
        <w:rPr>
          <w:lang w:val="en-US"/>
        </w:rPr>
        <w:t>12. Agrawal P, AlamM, Pratap D, Singh KK, Gupta L, Tripathi U. Pre-operative predictors of difficult laparoscopic cholecystectomy and its correlation with post-cholecystectomy syndrome and its impact on quality of life in North Indian population Int J Res Med Sci 2021;9:3571-81.</w:t>
      </w:r>
    </w:p>
    <w:p w14:paraId="A82BA5E8">
      <w:pPr>
        <w:pStyle w:val="style49"/>
        <w:numPr>
          <w:ilvl w:val="0"/>
          <w:numId w:val="0"/>
        </w:numPr>
        <w:ind w:left="0" w:firstLine="0"/>
        <w:rPr/>
      </w:pPr>
      <w:r>
        <w:rPr>
          <w:lang w:val="en-US"/>
        </w:rPr>
        <w:t>13. Dr S Thirumuruganand , Dr Harish Manivannan, A Study of Pre-Operative Predictors of Difficult Laparoscopic Cholecystectomy, Volume 9 Issue 3, March 2020, International Journal of Science and Research (IJSR).</w:t>
      </w:r>
    </w:p>
    <w:p w14:paraId="AF664209">
      <w:pPr>
        <w:pStyle w:val="style49"/>
        <w:numPr>
          <w:ilvl w:val="0"/>
          <w:numId w:val="0"/>
        </w:numPr>
        <w:ind w:left="0" w:firstLine="0"/>
        <w:rPr/>
      </w:pPr>
    </w:p>
    <w:p w14:paraId="D552C1B5">
      <w:pPr>
        <w:pStyle w:val="style0"/>
        <w:keepNext/>
        <w:keepLines/>
        <w:spacing w:before="200" w:lineRule="auto" w:line="276"/>
        <w:jc w:val="left"/>
        <w:outlineLvl w:val="1"/>
        <w:rPr/>
      </w:pPr>
      <w:r>
        <w:rPr>
          <w:rFonts w:ascii="Calibri" w:cs="Shruti" w:eastAsia="ＭＳ ゴシック" w:hAnsi="Calibri" w:hint="default"/>
          <w:b/>
          <w:bCs/>
          <w:i w:val="false"/>
          <w:iCs w:val="false"/>
          <w:color w:val="4f81bd"/>
          <w:sz w:val="26"/>
          <w:szCs w:val="26"/>
          <w:highlight w:val="none"/>
          <w:vertAlign w:val="baseline"/>
          <w:em w:val="none"/>
          <w:lang w:val="en-US" w:eastAsia="en-US"/>
        </w:rPr>
        <w:t>Source(s)</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of</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support</w:t>
      </w:r>
    </w:p>
    <w:p w14:paraId="390BB3DD">
      <w:pPr>
        <w:pStyle w:val="style0"/>
        <w:spacing w:after="200" w:lineRule="auto" w:line="276"/>
        <w:jc w:val="left"/>
        <w:rPr/>
      </w:pP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None.</w:t>
      </w:r>
    </w:p>
    <w:p w14:paraId="12914D40">
      <w:pPr>
        <w:pStyle w:val="style0"/>
        <w:keepNext/>
        <w:keepLines/>
        <w:spacing w:before="200" w:lineRule="auto" w:line="276"/>
        <w:jc w:val="left"/>
        <w:outlineLvl w:val="1"/>
        <w:rPr/>
      </w:pPr>
      <w:r>
        <w:rPr>
          <w:rFonts w:ascii="Calibri" w:cs="Shruti" w:eastAsia="ＭＳ ゴシック" w:hAnsi="Calibri" w:hint="default"/>
          <w:b/>
          <w:bCs/>
          <w:i w:val="false"/>
          <w:iCs w:val="false"/>
          <w:color w:val="4f81bd"/>
          <w:sz w:val="26"/>
          <w:szCs w:val="26"/>
          <w:highlight w:val="none"/>
          <w:vertAlign w:val="baseline"/>
          <w:em w:val="none"/>
          <w:lang w:val="en-US" w:eastAsia="en-US"/>
        </w:rPr>
        <w:t>Conflict</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of</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Interest</w:t>
      </w:r>
    </w:p>
    <w:p w14:paraId="41B358E0">
      <w:pPr>
        <w:pStyle w:val="style0"/>
        <w:spacing w:after="200" w:lineRule="auto" w:line="276"/>
        <w:jc w:val="left"/>
        <w:rPr/>
      </w:pP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None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declared.</w:t>
      </w:r>
    </w:p>
    <w:p w14:paraId="29B4FBD2">
      <w:pPr>
        <w:pStyle w:val="style0"/>
        <w:keepNext/>
        <w:keepLines/>
        <w:spacing w:before="200" w:lineRule="auto" w:line="276"/>
        <w:jc w:val="left"/>
        <w:outlineLvl w:val="1"/>
        <w:rPr/>
      </w:pPr>
      <w:r>
        <w:rPr>
          <w:rFonts w:ascii="Calibri" w:cs="Shruti" w:eastAsia="ＭＳ ゴシック" w:hAnsi="Calibri" w:hint="default"/>
          <w:b/>
          <w:bCs/>
          <w:i w:val="false"/>
          <w:iCs w:val="false"/>
          <w:color w:val="4f81bd"/>
          <w:sz w:val="26"/>
          <w:szCs w:val="26"/>
          <w:highlight w:val="none"/>
          <w:vertAlign w:val="baseline"/>
          <w:em w:val="none"/>
          <w:lang w:val="en-US" w:eastAsia="en-US"/>
        </w:rPr>
        <w:t>Ethical</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policy</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and</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IRB</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statement</w:t>
      </w:r>
    </w:p>
    <w:p w14:paraId="FB6B13C1">
      <w:pPr>
        <w:pStyle w:val="style0"/>
        <w:spacing w:after="200" w:lineRule="auto" w:line="276"/>
        <w:jc w:val="left"/>
        <w:rPr/>
      </w:pP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Approved</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by</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Institutional</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Ethics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Committee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two</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months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prior</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commencement</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(Approval</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MKSMCRC/IEC/SERC/21</w:t>
      </w:r>
      <w:r>
        <w:rPr>
          <w:rFonts w:cs="Shruti" w:eastAsia="ＭＳ 明朝" w:hAnsi="Cambria" w:hint="default"/>
          <w:b w:val="false"/>
          <w:bCs w:val="false"/>
          <w:i w:val="false"/>
          <w:iCs w:val="false"/>
          <w:color w:val="auto"/>
          <w:sz w:val="22"/>
          <w:szCs w:val="22"/>
          <w:highlight w:val="none"/>
          <w:vertAlign w:val="baseline"/>
          <w:em w:val="none"/>
          <w:lang w:val="en-US" w:eastAsia="en-US"/>
        </w:rPr>
        <w:t>53</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Date: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24/03/20</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23</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All</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participants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gave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written</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informed</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consent.</w:t>
      </w:r>
    </w:p>
    <w:p w14:paraId="5DD70FF7">
      <w:pPr>
        <w:pStyle w:val="style0"/>
        <w:keepNext/>
        <w:keepLines/>
        <w:spacing w:before="200" w:lineRule="auto" w:line="276"/>
        <w:jc w:val="left"/>
        <w:outlineLvl w:val="1"/>
        <w:rPr/>
      </w:pPr>
      <w:r>
        <w:rPr>
          <w:rFonts w:ascii="Calibri" w:cs="Shruti" w:eastAsia="ＭＳ ゴシック" w:hAnsi="Calibri" w:hint="default"/>
          <w:b/>
          <w:bCs/>
          <w:i w:val="false"/>
          <w:iCs w:val="false"/>
          <w:color w:val="4f81bd"/>
          <w:sz w:val="26"/>
          <w:szCs w:val="26"/>
          <w:highlight w:val="none"/>
          <w:vertAlign w:val="baseline"/>
          <w:em w:val="none"/>
          <w:lang w:val="en-US" w:eastAsia="en-US"/>
        </w:rPr>
        <w:t>Patient</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declaration</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of</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consent</w:t>
      </w:r>
    </w:p>
    <w:p w14:paraId="C64FEA6D">
      <w:pPr>
        <w:pStyle w:val="style0"/>
        <w:spacing w:after="200" w:lineRule="auto" w:line="276"/>
        <w:jc w:val="left"/>
        <w:rPr/>
      </w:pP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All</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patients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gave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informed</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consent</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for</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participation,</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data</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collection,</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anonymised</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reporting.</w:t>
      </w:r>
    </w:p>
    <w:p w14:paraId="566716A1">
      <w:pPr>
        <w:pStyle w:val="style0"/>
        <w:keepNext/>
        <w:keepLines/>
        <w:spacing w:before="200" w:lineRule="auto" w:line="276"/>
        <w:jc w:val="left"/>
        <w:outlineLvl w:val="1"/>
        <w:rPr/>
      </w:pPr>
      <w:r>
        <w:rPr>
          <w:rFonts w:ascii="Calibri" w:cs="Shruti" w:eastAsia="ＭＳ ゴシック" w:hAnsi="Calibri" w:hint="default"/>
          <w:b/>
          <w:bCs/>
          <w:i w:val="false"/>
          <w:iCs w:val="false"/>
          <w:color w:val="4f81bd"/>
          <w:sz w:val="26"/>
          <w:szCs w:val="26"/>
          <w:highlight w:val="none"/>
          <w:vertAlign w:val="baseline"/>
          <w:em w:val="none"/>
          <w:lang w:val="en-US" w:eastAsia="en-US"/>
        </w:rPr>
        <w:t>Reporting</w:t>
      </w:r>
      <w:r>
        <w:rPr>
          <w:rFonts w:ascii="Calibri" w:cs="Shruti"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Shruti" w:eastAsia="ＭＳ ゴシック" w:hAnsi="Calibri" w:hint="default"/>
          <w:b/>
          <w:bCs/>
          <w:i w:val="false"/>
          <w:iCs w:val="false"/>
          <w:color w:val="4f81bd"/>
          <w:sz w:val="26"/>
          <w:szCs w:val="26"/>
          <w:highlight w:val="none"/>
          <w:vertAlign w:val="baseline"/>
          <w:em w:val="none"/>
          <w:lang w:val="en-US" w:eastAsia="en-US"/>
        </w:rPr>
        <w:t>guideline</w:t>
      </w:r>
    </w:p>
    <w:p w14:paraId="3BC0BB65">
      <w:pPr>
        <w:pStyle w:val="style49"/>
        <w:numPr>
          <w:ilvl w:val="0"/>
          <w:numId w:val="0"/>
        </w:numPr>
        <w:ind w:left="0" w:firstLine="0"/>
        <w:rPr/>
      </w:pP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This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manuscript</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adheres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STROBE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(2007)</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recommendations</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for</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Prospective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comparative</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Shruti" w:eastAsia="ＭＳ 明朝" w:hAnsi="Cambria" w:hint="default"/>
          <w:b w:val="false"/>
          <w:bCs w:val="false"/>
          <w:i w:val="false"/>
          <w:iCs w:val="false"/>
          <w:color w:val="auto"/>
          <w:sz w:val="22"/>
          <w:szCs w:val="22"/>
          <w:highlight w:val="none"/>
          <w:vertAlign w:val="baseline"/>
          <w:em w:val="none"/>
          <w:lang w:val="en-US" w:eastAsia="en-US"/>
        </w:rPr>
        <w:t>studies.</w:t>
      </w:r>
    </w:p>
    <w:p w14:paraId="C743FF19">
      <w:pPr>
        <w:pStyle w:val="style0"/>
        <w:rPr/>
      </w:pPr>
    </w:p>
    <w:p w14:paraId="AAF82581">
      <w:pPr>
        <w:pStyle w:val="style0"/>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 w:name="Shruti">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7a"/>
    <w:family w:val="auto"/>
    <w:pitch w:val="default"/>
    <w:sig w:usb0="00000003"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c58465b-0cc1-4097-b0d0-4739e44fb5e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b8915f8-64a1-446c-b111-c154a34c59f2"/>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f80ba2ad-0eaa-41e8-b365-21978327c059"/>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924ff280-127b-42f0-9166-f610b504e607"/>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cf809ff7-7c8f-4472-9269-e7d85913d9ce"/>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65deb516-794a-45ba-b6ed-b6c860fd9e40"/>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0a032e0e-45bb-4103-b875-0fcf7240ca16"/>
    <w:basedOn w:val="style65"/>
    <w:next w:val="style4108"/>
    <w:link w:val="style180"/>
    <w:uiPriority w:val="29"/>
    <w:rPr>
      <w:i/>
      <w:iCs/>
      <w:color w:val="000000"/>
    </w:rPr>
  </w:style>
  <w:style w:type="character" w:customStyle="1" w:styleId="style4109">
    <w:name w:val="Heading 4 Char_f22b1ee3-ab77-47d3-9555-a750bc32a46d"/>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e93a4e3a-f86d-4bf6-a7cb-4c8c6d7d2c02"/>
    <w:basedOn w:val="style65"/>
    <w:next w:val="style4110"/>
    <w:link w:val="style5"/>
    <w:uiPriority w:val="9"/>
    <w:rPr>
      <w:rFonts w:ascii="Calibri" w:cs="宋体" w:eastAsia="ＭＳ ゴシック" w:hAnsi="Calibri"/>
      <w:color w:val="243f60"/>
    </w:rPr>
  </w:style>
  <w:style w:type="character" w:customStyle="1" w:styleId="style4111">
    <w:name w:val="Heading 6 Char_0bc7d846-2f1f-4624-a4de-17b1db3109da"/>
    <w:basedOn w:val="style65"/>
    <w:next w:val="style4111"/>
    <w:link w:val="style6"/>
    <w:uiPriority w:val="9"/>
    <w:rPr>
      <w:rFonts w:ascii="Calibri" w:cs="宋体" w:eastAsia="ＭＳ ゴシック" w:hAnsi="Calibri"/>
      <w:i/>
      <w:iCs/>
      <w:color w:val="243f60"/>
    </w:rPr>
  </w:style>
  <w:style w:type="character" w:customStyle="1" w:styleId="style4112">
    <w:name w:val="Heading 7 Char_8c5d566c-86d1-45f8-8143-4d47d03f8793"/>
    <w:basedOn w:val="style65"/>
    <w:next w:val="style4112"/>
    <w:link w:val="style7"/>
    <w:uiPriority w:val="9"/>
    <w:rPr>
      <w:rFonts w:ascii="Calibri" w:cs="宋体" w:eastAsia="ＭＳ ゴシック" w:hAnsi="Calibri"/>
      <w:i/>
      <w:iCs/>
      <w:color w:val="404040"/>
    </w:rPr>
  </w:style>
  <w:style w:type="character" w:customStyle="1" w:styleId="style4113">
    <w:name w:val="Heading 8 Char_67cbc0fc-1a8a-4306-bf14-2cd74b8e8c72"/>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d1f21aa1-99ae-47a3-9fab-4ea4ca1a11a1"/>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75ea6064-bcdc-4d67-87b3-1c267a52ca10"/>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1468</Words>
  <Pages>1</Pages>
  <Characters>9117</Characters>
  <Application>WPS Office</Application>
  <DocSecurity>0</DocSecurity>
  <Paragraphs>328</Paragraphs>
  <ScaleCrop>false</ScaleCrop>
  <LinksUpToDate>false</LinksUpToDate>
  <CharactersWithSpaces>10339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2026-05-25T05:47:40Z</dcterms:created>
  <dc:creator>python-docx</dc:creator>
  <dc:description>generated by python-docx</dc:description>
  <lastModifiedBy>24094RAD4I</lastModifiedBy>
  <dcterms:modified xsi:type="dcterms:W3CDTF">2026-05-26T12:31:06Z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43fe948283ec49c0aee3508da1014082_23</vt:lpwstr>
  </property>
</Properties>
</file>