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DF71D4" w14:textId="77223599" w:rsidR="008D317F" w:rsidRPr="00B4508F" w:rsidRDefault="00000000">
      <w:pPr>
        <w:jc w:val="center"/>
        <w:rPr>
          <w:rFonts w:ascii="Times New Roman" w:eastAsia="Times New Roman" w:hAnsi="Times New Roman" w:cs="Times New Roman"/>
          <w:b/>
          <w:bCs/>
          <w:sz w:val="24"/>
          <w:szCs w:val="24"/>
        </w:rPr>
      </w:pPr>
      <w:r w:rsidRPr="00B4508F">
        <w:rPr>
          <w:rFonts w:ascii="Times New Roman" w:eastAsia="Times New Roman" w:hAnsi="Times New Roman" w:cs="Times New Roman"/>
          <w:b/>
          <w:bCs/>
          <w:sz w:val="24"/>
          <w:szCs w:val="24"/>
        </w:rPr>
        <w:t xml:space="preserve">Measuring the Usability and Learning in Teaching Database to Senior High School </w:t>
      </w:r>
    </w:p>
    <w:p w14:paraId="1ABF5B7C" w14:textId="77777777" w:rsidR="00C41833" w:rsidRPr="00C47E74" w:rsidRDefault="00C41833" w:rsidP="00C41833">
      <w:pPr>
        <w:jc w:val="center"/>
        <w:rPr>
          <w:rFonts w:ascii="Times New Roman" w:eastAsia="Times New Roman" w:hAnsi="Times New Roman" w:cs="Times New Roman"/>
          <w:b/>
          <w:bCs/>
        </w:rPr>
      </w:pPr>
      <w:r w:rsidRPr="00C47E74">
        <w:rPr>
          <w:rFonts w:ascii="Times New Roman" w:eastAsia="Times New Roman" w:hAnsi="Times New Roman" w:cs="Times New Roman"/>
        </w:rPr>
        <w:t>Joan S. Rajah</w:t>
      </w:r>
      <w:r w:rsidRPr="00C47E74">
        <w:rPr>
          <w:rFonts w:ascii="Times New Roman" w:eastAsia="Times New Roman" w:hAnsi="Times New Roman" w:cs="Times New Roman"/>
        </w:rPr>
        <w:br/>
        <w:t xml:space="preserve">University of San Jose </w:t>
      </w:r>
      <w:proofErr w:type="spellStart"/>
      <w:r w:rsidRPr="00C47E74">
        <w:rPr>
          <w:rFonts w:ascii="Times New Roman" w:eastAsia="Times New Roman" w:hAnsi="Times New Roman" w:cs="Times New Roman"/>
        </w:rPr>
        <w:t>Recoletos</w:t>
      </w:r>
      <w:proofErr w:type="spellEnd"/>
      <w:r w:rsidRPr="00C47E74">
        <w:rPr>
          <w:rFonts w:ascii="Times New Roman" w:eastAsia="Times New Roman" w:hAnsi="Times New Roman" w:cs="Times New Roman"/>
        </w:rPr>
        <w:t>, Cebu Philippines</w:t>
      </w:r>
      <w:r w:rsidRPr="00C47E74">
        <w:rPr>
          <w:rFonts w:ascii="Times New Roman" w:eastAsia="Times New Roman" w:hAnsi="Times New Roman" w:cs="Times New Roman"/>
        </w:rPr>
        <w:br/>
        <w:t>jsrajah@usjr.edu.ph</w:t>
      </w:r>
      <w:r w:rsidRPr="00C47E74">
        <w:rPr>
          <w:rFonts w:ascii="Times New Roman" w:eastAsia="Times New Roman" w:hAnsi="Times New Roman" w:cs="Times New Roman"/>
          <w:b/>
          <w:bCs/>
        </w:rPr>
        <w:br/>
      </w:r>
      <w:hyperlink r:id="rId8" w:history="1">
        <w:r w:rsidRPr="00C47E74">
          <w:rPr>
            <w:rStyle w:val="Hyperlink"/>
            <w:rFonts w:ascii="Times New Roman" w:eastAsia="Times New Roman" w:hAnsi="Times New Roman" w:cs="Times New Roman"/>
          </w:rPr>
          <w:t>https://orcid.org/</w:t>
        </w:r>
        <w:r w:rsidRPr="00C47E74">
          <w:rPr>
            <w:rStyle w:val="Hyperlink"/>
            <w:sz w:val="21"/>
            <w:szCs w:val="21"/>
            <w:highlight w:val="white"/>
          </w:rPr>
          <w:t>0009-0008-9028-5981</w:t>
        </w:r>
      </w:hyperlink>
    </w:p>
    <w:p w14:paraId="346E13D9" w14:textId="3A255C2B" w:rsidR="008D317F" w:rsidRPr="00EA2193" w:rsidRDefault="00C41833" w:rsidP="00C41833">
      <w:pPr>
        <w:spacing w:before="280" w:after="280" w:line="240" w:lineRule="auto"/>
        <w:jc w:val="both"/>
        <w:rPr>
          <w:rFonts w:ascii="Times New Roman" w:eastAsia="Times New Roman" w:hAnsi="Times New Roman" w:cs="Times New Roman"/>
          <w:i/>
          <w:iCs/>
          <w:sz w:val="24"/>
          <w:szCs w:val="24"/>
        </w:rPr>
      </w:pPr>
      <w:r w:rsidRPr="00C47E74">
        <w:rPr>
          <w:rFonts w:ascii="Times New Roman" w:eastAsia="Times New Roman" w:hAnsi="Times New Roman" w:cs="Times New Roman"/>
          <w:b/>
          <w:bCs/>
        </w:rPr>
        <w:br/>
      </w:r>
      <w:r w:rsidR="00EA2193" w:rsidRPr="00EA2193">
        <w:rPr>
          <w:rFonts w:ascii="Times New Roman" w:eastAsia="Times New Roman" w:hAnsi="Times New Roman" w:cs="Times New Roman"/>
          <w:b/>
          <w:bCs/>
          <w:i/>
          <w:iCs/>
          <w:sz w:val="24"/>
          <w:szCs w:val="24"/>
        </w:rPr>
        <w:t>Abstract:</w:t>
      </w:r>
      <w:r w:rsidR="00EA2193" w:rsidRPr="00EA2193">
        <w:rPr>
          <w:rFonts w:ascii="Times New Roman" w:eastAsia="Times New Roman" w:hAnsi="Times New Roman" w:cs="Times New Roman"/>
          <w:i/>
          <w:iCs/>
          <w:sz w:val="24"/>
          <w:szCs w:val="24"/>
        </w:rPr>
        <w:t xml:space="preserve"> This study aims to measure the usability of Oracle APEX in teaching/learning of databases in the Senior High. With the use of combined educational usability principles (ISO 9241-11, Nielsen’s heuristics) with pedagogical engagement. Oracle APEX (Application Express) is a powerful tool for low-code web app development and database learning, so assessing its impact must include both technical usability and learning effectiveness. </w:t>
      </w:r>
      <w:r w:rsidR="00EA2193" w:rsidRPr="00EA2193">
        <w:rPr>
          <w:rFonts w:ascii="Times New Roman" w:eastAsia="Times New Roman" w:hAnsi="Times New Roman" w:cs="Times New Roman"/>
          <w:b/>
          <w:bCs/>
          <w:i/>
          <w:iCs/>
          <w:sz w:val="24"/>
          <w:szCs w:val="24"/>
        </w:rPr>
        <w:t>The model used in this study varies on the following 4 dimensions like Usability, Effectiveness in Learning, Engagement and Motivation, Satisfaction and Usefulness</w:t>
      </w:r>
      <w:r w:rsidR="00EA2193" w:rsidRPr="00EA2193">
        <w:rPr>
          <w:b/>
          <w:bCs/>
          <w:i/>
          <w:iCs/>
        </w:rPr>
        <w:t>.</w:t>
      </w:r>
      <w:r w:rsidR="00EA2193" w:rsidRPr="00EA2193">
        <w:rPr>
          <w:i/>
          <w:iCs/>
        </w:rPr>
        <w:t xml:space="preserve"> </w:t>
      </w:r>
      <w:r w:rsidR="00EA2193" w:rsidRPr="00EA2193">
        <w:rPr>
          <w:rFonts w:ascii="Times New Roman" w:eastAsia="Times New Roman" w:hAnsi="Times New Roman" w:cs="Times New Roman"/>
          <w:i/>
          <w:iCs/>
          <w:sz w:val="24"/>
          <w:szCs w:val="24"/>
        </w:rPr>
        <w:t xml:space="preserve">gaps in learning databases helps improve how students understand and apply key concepts on databases with data definition languages and data manipulation languages like SQL Statements. </w:t>
      </w:r>
    </w:p>
    <w:p w14:paraId="5C94FEAA" w14:textId="77777777" w:rsidR="00E37E88" w:rsidRPr="00EA2193" w:rsidRDefault="00000000" w:rsidP="00E37E88">
      <w:pPr>
        <w:jc w:val="both"/>
        <w:rPr>
          <w:rFonts w:ascii="Times New Roman" w:eastAsia="Times New Roman" w:hAnsi="Times New Roman" w:cs="Times New Roman"/>
          <w:i/>
          <w:iCs/>
          <w:sz w:val="24"/>
          <w:szCs w:val="24"/>
        </w:rPr>
      </w:pPr>
      <w:r w:rsidRPr="00C41833">
        <w:rPr>
          <w:rFonts w:ascii="Times New Roman" w:eastAsia="Times New Roman" w:hAnsi="Times New Roman" w:cs="Times New Roman"/>
          <w:b/>
          <w:bCs/>
          <w:i/>
          <w:iCs/>
          <w:sz w:val="24"/>
          <w:szCs w:val="24"/>
        </w:rPr>
        <w:t>K</w:t>
      </w:r>
      <w:r w:rsidR="00E37E88" w:rsidRPr="00C41833">
        <w:rPr>
          <w:rFonts w:ascii="Times New Roman" w:eastAsia="Times New Roman" w:hAnsi="Times New Roman" w:cs="Times New Roman"/>
          <w:b/>
          <w:bCs/>
          <w:i/>
          <w:iCs/>
          <w:sz w:val="24"/>
          <w:szCs w:val="24"/>
        </w:rPr>
        <w:t>eywords</w:t>
      </w:r>
      <w:r w:rsidRPr="00C41833">
        <w:rPr>
          <w:rFonts w:ascii="Times New Roman" w:eastAsia="Times New Roman" w:hAnsi="Times New Roman" w:cs="Times New Roman"/>
          <w:b/>
          <w:bCs/>
          <w:i/>
          <w:iCs/>
          <w:sz w:val="24"/>
          <w:szCs w:val="24"/>
        </w:rPr>
        <w:t>:</w:t>
      </w:r>
      <w:r w:rsidRPr="00EA2193">
        <w:rPr>
          <w:rFonts w:ascii="Times New Roman" w:eastAsia="Times New Roman" w:hAnsi="Times New Roman" w:cs="Times New Roman"/>
          <w:i/>
          <w:iCs/>
          <w:sz w:val="24"/>
          <w:szCs w:val="24"/>
        </w:rPr>
        <w:t xml:space="preserve"> Measuring, Usability, Learning, Teaching, Database</w:t>
      </w:r>
    </w:p>
    <w:p w14:paraId="4DF917F9" w14:textId="54A06B76" w:rsidR="008D317F" w:rsidRPr="001B37B0" w:rsidRDefault="00EA2193" w:rsidP="001B37B0">
      <w:pPr>
        <w:jc w:val="both"/>
        <w:rPr>
          <w:rFonts w:ascii="Times New Roman" w:eastAsia="Times New Roman" w:hAnsi="Times New Roman" w:cs="Times New Roman"/>
          <w:i/>
          <w:iCs/>
          <w:sz w:val="24"/>
          <w:szCs w:val="24"/>
        </w:rPr>
      </w:pPr>
      <w:r>
        <w:rPr>
          <w:rFonts w:ascii="Times New Roman" w:eastAsia="Times New Roman" w:hAnsi="Times New Roman" w:cs="Times New Roman"/>
          <w:b/>
          <w:sz w:val="24"/>
          <w:szCs w:val="24"/>
        </w:rPr>
        <w:t>1.</w:t>
      </w:r>
      <w:r w:rsidR="001B37B0">
        <w:rPr>
          <w:rFonts w:ascii="Times New Roman" w:eastAsia="Times New Roman" w:hAnsi="Times New Roman" w:cs="Times New Roman"/>
          <w:b/>
          <w:sz w:val="24"/>
          <w:szCs w:val="24"/>
        </w:rPr>
        <w:t>I</w:t>
      </w:r>
      <w:r>
        <w:rPr>
          <w:rFonts w:ascii="Times New Roman" w:eastAsia="Times New Roman" w:hAnsi="Times New Roman" w:cs="Times New Roman"/>
          <w:b/>
          <w:sz w:val="24"/>
          <w:szCs w:val="24"/>
        </w:rPr>
        <w:t>NTRODUCTION</w:t>
      </w:r>
    </w:p>
    <w:p w14:paraId="45FED541" w14:textId="77777777" w:rsidR="001B37B0" w:rsidRDefault="001B37B0" w:rsidP="001B37B0">
      <w:pPr>
        <w:pStyle w:val="NormalWeb"/>
        <w:jc w:val="both"/>
      </w:pPr>
      <w:r>
        <w:t>Teaching database courses effectively requires a balanced approach that combines theoretical knowledge with practical skills. Several strategies have been proposed to achieve this balance. One approach involves using a comprehensive project that spans multiple courses, allowing students to integrate concepts and develop hands-on skills in an Oracle environment (Udoh, 2006). Incorporating real database management systems, such as INGRES, into coursework can offer valuable practical experience (Haas, 1988). To address the challenges of evolving industry expectations and limited time frames, a balanced curriculum can be designed to meet job market requirements and international quality standards. This approach includes skills training, independent learning through coursework, and appropriate assessment criteria (Sastry, 2015). These strategies aim to enhance students' understanding of database concepts and their practical application.</w:t>
      </w:r>
    </w:p>
    <w:p w14:paraId="5E49794A" w14:textId="7D1C6941" w:rsidR="001B37B0" w:rsidRDefault="001B37B0" w:rsidP="001B37B0">
      <w:pPr>
        <w:pStyle w:val="NormalWeb"/>
        <w:jc w:val="both"/>
      </w:pPr>
      <w:r>
        <w:t>Despite these approaches, several gaps in learning databases persist. Students often lack exposure to real-world applications, resulting in difficulty applying theoretical knowledge to practical scenarios (Rob &amp; Coronel, 2009). There is also a poor understanding of relational concepts, where learners memorize table relationships without fully grasping their functional purpose (Elmasri &amp; Navathe, 2016). Many students struggle to write and debug SQL queries, particularly when dealing with joins, subqueries, and aggregate functions, which can lead to low confidence in solving database problems (Connolly &amp; Begg, 2015). Additionally, instruction often emphasizes worksheets and written assessments rather than the use of actual database tools such as MySQL or Oracle APEX, limiting students’ ability to build and deploy functional systems (Rob &amp; Coronel, 2009).</w:t>
      </w:r>
    </w:p>
    <w:p w14:paraId="43BF008C" w14:textId="77777777" w:rsidR="001B37B0" w:rsidRDefault="001B37B0" w:rsidP="001B37B0">
      <w:pPr>
        <w:pStyle w:val="NormalWeb"/>
        <w:jc w:val="both"/>
      </w:pPr>
      <w:r>
        <w:t xml:space="preserve">Furthermore, students may learn SQL commands without understanding when and why to use them, leading to fragmented knowledge and difficulty integrating concepts (Elmasri &amp; Navathe, </w:t>
      </w:r>
      <w:r>
        <w:lastRenderedPageBreak/>
        <w:t>2016). Teaching methods can also be overly technical or abstract, with limited opportunities for interaction or engaging learning approaches, causing students to perceive database lessons as difficult or uninteresting (Connolly &amp; Begg, 2015). Lastly, the diversity in students’ prior knowledge is often not addressed, resulting in a one-size-fits-all approach where advanced learners may become disengaged while struggling students fall behind (Tomlinson, 2014).</w:t>
      </w:r>
    </w:p>
    <w:p w14:paraId="6960291B" w14:textId="2D021B32" w:rsidR="008D317F" w:rsidRDefault="00EA2193">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METHODOLOGY</w:t>
      </w:r>
    </w:p>
    <w:p w14:paraId="2915DE21" w14:textId="33525433" w:rsidR="008D317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from different strands whether they are STEM, ABM, TVL are open to learning about databases. STEM Medical focus on Medical Database involving patient records, appointments, and </w:t>
      </w:r>
      <w:r w:rsidR="00C00CA0">
        <w:rPr>
          <w:rFonts w:ascii="Times New Roman" w:eastAsia="Times New Roman" w:hAnsi="Times New Roman" w:cs="Times New Roman"/>
          <w:sz w:val="24"/>
          <w:szCs w:val="24"/>
        </w:rPr>
        <w:t>doctors.</w:t>
      </w:r>
      <w:r>
        <w:rPr>
          <w:rFonts w:ascii="Times New Roman" w:eastAsia="Times New Roman" w:hAnsi="Times New Roman" w:cs="Times New Roman"/>
          <w:sz w:val="24"/>
          <w:szCs w:val="24"/>
        </w:rPr>
        <w:t xml:space="preserve"> TVL focuses on Hospitality, </w:t>
      </w:r>
      <w:r w:rsidR="00C00CA0">
        <w:rPr>
          <w:rFonts w:ascii="Times New Roman" w:eastAsia="Times New Roman" w:hAnsi="Times New Roman" w:cs="Times New Roman"/>
          <w:sz w:val="24"/>
          <w:szCs w:val="24"/>
        </w:rPr>
        <w:t>tourism,</w:t>
      </w:r>
      <w:r>
        <w:rPr>
          <w:rFonts w:ascii="Times New Roman" w:eastAsia="Times New Roman" w:hAnsi="Times New Roman" w:cs="Times New Roman"/>
          <w:sz w:val="24"/>
          <w:szCs w:val="24"/>
        </w:rPr>
        <w:t xml:space="preserve"> and Livelihood Databases. ABM focuses on Inventory Databases. Students are introduced to Oracle Apex as their platform in the creation of databases, where they will perform Data Definition Language like creating, updating, database and Data Manipulation Language like add, removing or deleting records. Understanding basic concepts of databases like table, field, records, data type, data length, etc. And exploring the SQL statements.  </w:t>
      </w:r>
    </w:p>
    <w:p w14:paraId="46F7725A" w14:textId="111ABF08" w:rsidR="008D317F" w:rsidRDefault="00C00C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Performing SQL</w:t>
      </w:r>
      <w:r>
        <w:rPr>
          <w:rFonts w:ascii="Times New Roman" w:eastAsia="Times New Roman" w:hAnsi="Times New Roman" w:cs="Times New Roman"/>
          <w:b/>
          <w:sz w:val="24"/>
          <w:szCs w:val="24"/>
        </w:rPr>
        <w:t xml:space="preserve"> activity</w:t>
      </w:r>
      <w:r>
        <w:rPr>
          <w:rFonts w:ascii="Times New Roman" w:eastAsia="Times New Roman" w:hAnsi="Times New Roman" w:cs="Times New Roman"/>
          <w:sz w:val="24"/>
          <w:szCs w:val="24"/>
        </w:rPr>
        <w:t xml:space="preserve"> designed for students or beginners using Oracle</w:t>
      </w:r>
      <w:r>
        <w:rPr>
          <w:rFonts w:ascii="Times New Roman" w:eastAsia="Times New Roman" w:hAnsi="Times New Roman" w:cs="Times New Roman"/>
          <w:b/>
          <w:sz w:val="24"/>
          <w:szCs w:val="24"/>
        </w:rPr>
        <w:t xml:space="preserve"> Apex.</w:t>
      </w:r>
      <w:r>
        <w:rPr>
          <w:rFonts w:ascii="Times New Roman" w:eastAsia="Times New Roman" w:hAnsi="Times New Roman" w:cs="Times New Roman"/>
          <w:sz w:val="24"/>
          <w:szCs w:val="24"/>
        </w:rPr>
        <w:t xml:space="preserve"> The activity covers basic to intermediate SQL queries involving patient records, appointments, and doctors for Stem Medical Students.</w:t>
      </w:r>
    </w:p>
    <w:p w14:paraId="523F5590" w14:textId="024D793A" w:rsidR="008D317F" w:rsidRDefault="00C00CA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Review of Related Literature</w:t>
      </w:r>
    </w:p>
    <w:p w14:paraId="425B4BAE" w14:textId="77777777" w:rsidR="009E7257" w:rsidRDefault="009E7257">
      <w:pPr>
        <w:jc w:val="both"/>
        <w:rPr>
          <w:rFonts w:ascii="Times New Roman" w:eastAsia="Times New Roman" w:hAnsi="Times New Roman" w:cs="Times New Roman"/>
          <w:sz w:val="24"/>
          <w:szCs w:val="24"/>
        </w:rPr>
      </w:pPr>
      <w:r w:rsidRPr="009E7257">
        <w:rPr>
          <w:rFonts w:ascii="Times New Roman" w:eastAsia="Times New Roman" w:hAnsi="Times New Roman" w:cs="Times New Roman"/>
          <w:color w:val="15383D"/>
          <w:sz w:val="24"/>
          <w:szCs w:val="24"/>
          <w:shd w:val="clear" w:color="auto" w:fill="F8F8F7"/>
        </w:rPr>
        <w:t>Oracle APEX is widely recognized as an effective tool for teaching database concepts and application development in higher education. As a web-based development platform, it enables students to concentrate on fundamental database design and logic while easily creating graphical user interfaces, thereby supporting both conceptual understanding and practical application (Sug, 2020). Previous studies have highlighted its strengths in terms of administration, scalability, and reliability within academic environments (Monger, Adams, &amp; Cox, 2009). Furthermore, Oracle APEX has been successfully integrated into database courses, allowing learners to develop complex databases, interactive forms, reports, and data-driven applications in a fully web-based setting (</w:t>
      </w:r>
      <w:proofErr w:type="spellStart"/>
      <w:r w:rsidRPr="009E7257">
        <w:rPr>
          <w:rFonts w:ascii="Times New Roman" w:eastAsia="Times New Roman" w:hAnsi="Times New Roman" w:cs="Times New Roman"/>
          <w:color w:val="15383D"/>
          <w:sz w:val="24"/>
          <w:szCs w:val="24"/>
          <w:shd w:val="clear" w:color="auto" w:fill="F8F8F7"/>
        </w:rPr>
        <w:t>Angeioplastis</w:t>
      </w:r>
      <w:proofErr w:type="spellEnd"/>
      <w:r w:rsidRPr="009E7257">
        <w:rPr>
          <w:rFonts w:ascii="Times New Roman" w:eastAsia="Times New Roman" w:hAnsi="Times New Roman" w:cs="Times New Roman"/>
          <w:color w:val="15383D"/>
          <w:sz w:val="24"/>
          <w:szCs w:val="24"/>
          <w:shd w:val="clear" w:color="auto" w:fill="F8F8F7"/>
        </w:rPr>
        <w:t xml:space="preserve">, Papadopoulos, &amp; Kotsakis, 2023). Its increasing adoption underscores its suitability for both introductory and advanced database instruction (Monger et al., 2009; </w:t>
      </w:r>
      <w:proofErr w:type="spellStart"/>
      <w:r w:rsidRPr="009E7257">
        <w:rPr>
          <w:rFonts w:ascii="Times New Roman" w:eastAsia="Times New Roman" w:hAnsi="Times New Roman" w:cs="Times New Roman"/>
          <w:color w:val="15383D"/>
          <w:sz w:val="24"/>
          <w:szCs w:val="24"/>
          <w:shd w:val="clear" w:color="auto" w:fill="F8F8F7"/>
        </w:rPr>
        <w:t>Pastierik</w:t>
      </w:r>
      <w:proofErr w:type="spellEnd"/>
      <w:r w:rsidRPr="009E7257">
        <w:rPr>
          <w:rFonts w:ascii="Times New Roman" w:eastAsia="Times New Roman" w:hAnsi="Times New Roman" w:cs="Times New Roman"/>
          <w:color w:val="15383D"/>
          <w:sz w:val="24"/>
          <w:szCs w:val="24"/>
          <w:shd w:val="clear" w:color="auto" w:fill="F8F8F7"/>
        </w:rPr>
        <w:t xml:space="preserve"> &amp; </w:t>
      </w:r>
      <w:proofErr w:type="spellStart"/>
      <w:r w:rsidRPr="009E7257">
        <w:rPr>
          <w:rFonts w:ascii="Times New Roman" w:eastAsia="Times New Roman" w:hAnsi="Times New Roman" w:cs="Times New Roman"/>
          <w:color w:val="15383D"/>
          <w:sz w:val="24"/>
          <w:szCs w:val="24"/>
          <w:shd w:val="clear" w:color="auto" w:fill="F8F8F7"/>
        </w:rPr>
        <w:t>Kvet</w:t>
      </w:r>
      <w:proofErr w:type="spellEnd"/>
      <w:r w:rsidRPr="009E7257">
        <w:rPr>
          <w:rFonts w:ascii="Times New Roman" w:eastAsia="Times New Roman" w:hAnsi="Times New Roman" w:cs="Times New Roman"/>
          <w:color w:val="15383D"/>
          <w:sz w:val="24"/>
          <w:szCs w:val="24"/>
          <w:shd w:val="clear" w:color="auto" w:fill="F8F8F7"/>
        </w:rPr>
        <w:t>, 2023). In addition, the availability of Oracle APEX through Oracle Cloud Infrastructure’s Autonomous Database at no cost for educators and students significantly enhances its accessibility and practical value in educational contexts (</w:t>
      </w:r>
      <w:proofErr w:type="spellStart"/>
      <w:r w:rsidRPr="009E7257">
        <w:rPr>
          <w:rFonts w:ascii="Times New Roman" w:eastAsia="Times New Roman" w:hAnsi="Times New Roman" w:cs="Times New Roman"/>
          <w:color w:val="15383D"/>
          <w:sz w:val="24"/>
          <w:szCs w:val="24"/>
          <w:shd w:val="clear" w:color="auto" w:fill="F8F8F7"/>
        </w:rPr>
        <w:t>Pastierik</w:t>
      </w:r>
      <w:proofErr w:type="spellEnd"/>
      <w:r w:rsidRPr="009E7257">
        <w:rPr>
          <w:rFonts w:ascii="Times New Roman" w:eastAsia="Times New Roman" w:hAnsi="Times New Roman" w:cs="Times New Roman"/>
          <w:color w:val="15383D"/>
          <w:sz w:val="24"/>
          <w:szCs w:val="24"/>
          <w:shd w:val="clear" w:color="auto" w:fill="F8F8F7"/>
        </w:rPr>
        <w:t xml:space="preserve"> &amp; </w:t>
      </w:r>
      <w:proofErr w:type="spellStart"/>
      <w:r w:rsidRPr="009E7257">
        <w:rPr>
          <w:rFonts w:ascii="Times New Roman" w:eastAsia="Times New Roman" w:hAnsi="Times New Roman" w:cs="Times New Roman"/>
          <w:color w:val="15383D"/>
          <w:sz w:val="24"/>
          <w:szCs w:val="24"/>
          <w:shd w:val="clear" w:color="auto" w:fill="F8F8F7"/>
        </w:rPr>
        <w:t>Kvet</w:t>
      </w:r>
      <w:proofErr w:type="spellEnd"/>
      <w:r w:rsidRPr="009E7257">
        <w:rPr>
          <w:rFonts w:ascii="Times New Roman" w:eastAsia="Times New Roman" w:hAnsi="Times New Roman" w:cs="Times New Roman"/>
          <w:color w:val="15383D"/>
          <w:sz w:val="24"/>
          <w:szCs w:val="24"/>
          <w:shd w:val="clear" w:color="auto" w:fill="F8F8F7"/>
        </w:rPr>
        <w:t>, 2023).</w:t>
      </w:r>
    </w:p>
    <w:p w14:paraId="4B00F649" w14:textId="3487733E" w:rsidR="004A611D" w:rsidRDefault="004A611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Research Respondents</w:t>
      </w:r>
    </w:p>
    <w:p w14:paraId="4229F2E8" w14:textId="77777777" w:rsidR="00E45F57" w:rsidRPr="00E45F57" w:rsidRDefault="00E45F57" w:rsidP="00E45F57">
      <w:pPr>
        <w:jc w:val="both"/>
        <w:rPr>
          <w:rFonts w:ascii="Times New Roman" w:eastAsia="Times New Roman" w:hAnsi="Times New Roman" w:cs="Times New Roman"/>
          <w:bCs/>
          <w:sz w:val="24"/>
          <w:szCs w:val="24"/>
        </w:rPr>
      </w:pPr>
      <w:r w:rsidRPr="00E45F57">
        <w:rPr>
          <w:rFonts w:ascii="Times New Roman" w:eastAsia="Times New Roman" w:hAnsi="Times New Roman" w:cs="Times New Roman"/>
          <w:bCs/>
          <w:sz w:val="24"/>
          <w:szCs w:val="24"/>
        </w:rPr>
        <w:t xml:space="preserve">The participants of this study comprised 75 senior high school students from selected sections of Grades 11 and 12. Of these, 23 respondents were from Grade 12 – ST Ezekiel Moreno, 16 respondents from Grade 11 – St. </w:t>
      </w:r>
      <w:proofErr w:type="spellStart"/>
      <w:r w:rsidRPr="00E45F57">
        <w:rPr>
          <w:rFonts w:ascii="Times New Roman" w:eastAsia="Times New Roman" w:hAnsi="Times New Roman" w:cs="Times New Roman"/>
          <w:bCs/>
          <w:sz w:val="24"/>
          <w:szCs w:val="24"/>
        </w:rPr>
        <w:t>Possidius</w:t>
      </w:r>
      <w:proofErr w:type="spellEnd"/>
      <w:r w:rsidRPr="00E45F57">
        <w:rPr>
          <w:rFonts w:ascii="Times New Roman" w:eastAsia="Times New Roman" w:hAnsi="Times New Roman" w:cs="Times New Roman"/>
          <w:bCs/>
          <w:sz w:val="24"/>
          <w:szCs w:val="24"/>
        </w:rPr>
        <w:t xml:space="preserve"> of </w:t>
      </w:r>
      <w:proofErr w:type="spellStart"/>
      <w:r w:rsidRPr="00E45F57">
        <w:rPr>
          <w:rFonts w:ascii="Times New Roman" w:eastAsia="Times New Roman" w:hAnsi="Times New Roman" w:cs="Times New Roman"/>
          <w:bCs/>
          <w:sz w:val="24"/>
          <w:szCs w:val="24"/>
        </w:rPr>
        <w:t>Clama</w:t>
      </w:r>
      <w:proofErr w:type="spellEnd"/>
      <w:r w:rsidRPr="00E45F57">
        <w:rPr>
          <w:rFonts w:ascii="Times New Roman" w:eastAsia="Times New Roman" w:hAnsi="Times New Roman" w:cs="Times New Roman"/>
          <w:bCs/>
          <w:sz w:val="24"/>
          <w:szCs w:val="24"/>
        </w:rPr>
        <w:t>, 16 respondents from Grade 11 – St. Francisco de Jesus, and 20 respondents from Grade 12 – St. Monica of Hippo. The respondents were purposively selected to represent the diverse academic backgrounds and grade levels within the senior high school cohort, ensuring a comprehensive perspective relevant to the objectives of the study.</w:t>
      </w:r>
    </w:p>
    <w:p w14:paraId="73DF8E69" w14:textId="77777777" w:rsidR="00E45F57" w:rsidRDefault="00E45F57">
      <w:pPr>
        <w:jc w:val="both"/>
        <w:rPr>
          <w:rFonts w:ascii="Times New Roman" w:eastAsia="Times New Roman" w:hAnsi="Times New Roman" w:cs="Times New Roman"/>
          <w:b/>
          <w:sz w:val="24"/>
          <w:szCs w:val="24"/>
        </w:rPr>
      </w:pPr>
    </w:p>
    <w:p w14:paraId="0E4FA00F" w14:textId="5E454B39" w:rsidR="007B637D" w:rsidRDefault="007B637D" w:rsidP="007B637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w:t>
      </w:r>
      <w:r w:rsidR="00C00CA0">
        <w:rPr>
          <w:rFonts w:ascii="Times New Roman" w:eastAsia="Times New Roman" w:hAnsi="Times New Roman" w:cs="Times New Roman"/>
          <w:b/>
          <w:sz w:val="24"/>
          <w:szCs w:val="24"/>
        </w:rPr>
        <w:t xml:space="preserve"> 1</w:t>
      </w:r>
      <w:r>
        <w:rPr>
          <w:rFonts w:ascii="Times New Roman" w:eastAsia="Times New Roman" w:hAnsi="Times New Roman" w:cs="Times New Roman"/>
          <w:b/>
          <w:sz w:val="24"/>
          <w:szCs w:val="24"/>
        </w:rPr>
        <w:t>: Respondents of the Study</w:t>
      </w:r>
    </w:p>
    <w:tbl>
      <w:tblPr>
        <w:tblStyle w:val="TableGrid"/>
        <w:tblW w:w="0" w:type="auto"/>
        <w:tblLook w:val="04A0" w:firstRow="1" w:lastRow="0" w:firstColumn="1" w:lastColumn="0" w:noHBand="0" w:noVBand="1"/>
      </w:tblPr>
      <w:tblGrid>
        <w:gridCol w:w="1554"/>
        <w:gridCol w:w="4121"/>
        <w:gridCol w:w="3675"/>
      </w:tblGrid>
      <w:tr w:rsidR="00013A40" w14:paraId="7C795D7D" w14:textId="0155D5DD" w:rsidTr="00013A40">
        <w:tc>
          <w:tcPr>
            <w:tcW w:w="1554" w:type="dxa"/>
          </w:tcPr>
          <w:p w14:paraId="264367B2" w14:textId="2357B9F4" w:rsidR="00013A40" w:rsidRDefault="00013A4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Grade</w:t>
            </w:r>
            <w:r w:rsidR="007C556D">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Level</w:t>
            </w:r>
          </w:p>
        </w:tc>
        <w:tc>
          <w:tcPr>
            <w:tcW w:w="4121" w:type="dxa"/>
          </w:tcPr>
          <w:p w14:paraId="02EDEBBD" w14:textId="30F338B1" w:rsidR="00013A40" w:rsidRDefault="00013A4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Sections</w:t>
            </w:r>
          </w:p>
        </w:tc>
        <w:tc>
          <w:tcPr>
            <w:tcW w:w="3675" w:type="dxa"/>
          </w:tcPr>
          <w:p w14:paraId="54FA27F8" w14:textId="5FD32B5D" w:rsidR="00013A40" w:rsidRDefault="00013A4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Number of Respondents</w:t>
            </w:r>
          </w:p>
        </w:tc>
      </w:tr>
      <w:tr w:rsidR="00013A40" w14:paraId="4E75F0C5" w14:textId="1BDC4723" w:rsidTr="00013A40">
        <w:tc>
          <w:tcPr>
            <w:tcW w:w="1554" w:type="dxa"/>
          </w:tcPr>
          <w:p w14:paraId="57048E94" w14:textId="1B449AE3" w:rsidR="00013A40" w:rsidRPr="00683FA2" w:rsidRDefault="00013A40">
            <w:pPr>
              <w:jc w:val="both"/>
              <w:rPr>
                <w:rFonts w:ascii="Times New Roman" w:eastAsia="Times New Roman" w:hAnsi="Times New Roman" w:cs="Times New Roman"/>
                <w:bCs/>
                <w:sz w:val="24"/>
                <w:szCs w:val="24"/>
              </w:rPr>
            </w:pPr>
            <w:r w:rsidRPr="00683FA2">
              <w:rPr>
                <w:rFonts w:ascii="Times New Roman" w:eastAsia="Times New Roman" w:hAnsi="Times New Roman" w:cs="Times New Roman"/>
                <w:bCs/>
                <w:sz w:val="24"/>
                <w:szCs w:val="24"/>
              </w:rPr>
              <w:t>G12</w:t>
            </w:r>
          </w:p>
        </w:tc>
        <w:tc>
          <w:tcPr>
            <w:tcW w:w="4121" w:type="dxa"/>
          </w:tcPr>
          <w:p w14:paraId="64DEB295" w14:textId="27809786" w:rsidR="00013A40" w:rsidRPr="00683FA2" w:rsidRDefault="00013A40">
            <w:pPr>
              <w:jc w:val="both"/>
              <w:rPr>
                <w:rFonts w:ascii="Times New Roman" w:eastAsia="Times New Roman" w:hAnsi="Times New Roman" w:cs="Times New Roman"/>
                <w:bCs/>
                <w:sz w:val="24"/>
                <w:szCs w:val="24"/>
              </w:rPr>
            </w:pPr>
            <w:r w:rsidRPr="00683FA2">
              <w:rPr>
                <w:rFonts w:ascii="Times New Roman" w:eastAsia="Times New Roman" w:hAnsi="Times New Roman" w:cs="Times New Roman"/>
                <w:bCs/>
                <w:sz w:val="24"/>
                <w:szCs w:val="24"/>
              </w:rPr>
              <w:t>ST EZEIKEL MORENO</w:t>
            </w:r>
          </w:p>
        </w:tc>
        <w:tc>
          <w:tcPr>
            <w:tcW w:w="3675" w:type="dxa"/>
          </w:tcPr>
          <w:p w14:paraId="6CA1DA2F" w14:textId="1E2255CF" w:rsidR="00013A40" w:rsidRPr="00683FA2" w:rsidRDefault="00013A40">
            <w:pPr>
              <w:jc w:val="both"/>
              <w:rPr>
                <w:rFonts w:ascii="Times New Roman" w:eastAsia="Times New Roman" w:hAnsi="Times New Roman" w:cs="Times New Roman"/>
                <w:bCs/>
                <w:sz w:val="24"/>
                <w:szCs w:val="24"/>
              </w:rPr>
            </w:pPr>
            <w:r w:rsidRPr="00683FA2">
              <w:rPr>
                <w:rFonts w:ascii="Times New Roman" w:eastAsia="Times New Roman" w:hAnsi="Times New Roman" w:cs="Times New Roman"/>
                <w:bCs/>
                <w:sz w:val="24"/>
                <w:szCs w:val="24"/>
              </w:rPr>
              <w:t>23</w:t>
            </w:r>
          </w:p>
        </w:tc>
      </w:tr>
      <w:tr w:rsidR="00013A40" w14:paraId="5447E68F" w14:textId="183C406D" w:rsidTr="00013A40">
        <w:tc>
          <w:tcPr>
            <w:tcW w:w="1554" w:type="dxa"/>
          </w:tcPr>
          <w:p w14:paraId="1DA28BF6" w14:textId="10D819EA" w:rsidR="00013A40" w:rsidRPr="00683FA2" w:rsidRDefault="00013A40">
            <w:pPr>
              <w:jc w:val="both"/>
              <w:rPr>
                <w:rFonts w:ascii="Times New Roman" w:eastAsia="Times New Roman" w:hAnsi="Times New Roman" w:cs="Times New Roman"/>
                <w:bCs/>
                <w:sz w:val="24"/>
                <w:szCs w:val="24"/>
              </w:rPr>
            </w:pPr>
            <w:r w:rsidRPr="00683FA2">
              <w:rPr>
                <w:rFonts w:ascii="Times New Roman" w:eastAsia="Times New Roman" w:hAnsi="Times New Roman" w:cs="Times New Roman"/>
                <w:bCs/>
                <w:sz w:val="24"/>
                <w:szCs w:val="24"/>
              </w:rPr>
              <w:t>G11</w:t>
            </w:r>
          </w:p>
        </w:tc>
        <w:tc>
          <w:tcPr>
            <w:tcW w:w="4121" w:type="dxa"/>
          </w:tcPr>
          <w:p w14:paraId="7FE02066" w14:textId="0B41AAF4" w:rsidR="00013A40" w:rsidRPr="00683FA2" w:rsidRDefault="00013A40">
            <w:pPr>
              <w:jc w:val="both"/>
              <w:rPr>
                <w:rFonts w:ascii="Times New Roman" w:eastAsia="Times New Roman" w:hAnsi="Times New Roman" w:cs="Times New Roman"/>
                <w:bCs/>
                <w:sz w:val="24"/>
                <w:szCs w:val="24"/>
              </w:rPr>
            </w:pPr>
            <w:r w:rsidRPr="00683FA2">
              <w:rPr>
                <w:rFonts w:ascii="Times New Roman" w:eastAsia="Times New Roman" w:hAnsi="Times New Roman" w:cs="Times New Roman"/>
                <w:bCs/>
                <w:sz w:val="24"/>
                <w:szCs w:val="24"/>
              </w:rPr>
              <w:t xml:space="preserve">St </w:t>
            </w:r>
            <w:proofErr w:type="spellStart"/>
            <w:r w:rsidRPr="00683FA2">
              <w:rPr>
                <w:rFonts w:ascii="Times New Roman" w:eastAsia="Times New Roman" w:hAnsi="Times New Roman" w:cs="Times New Roman"/>
                <w:bCs/>
                <w:sz w:val="24"/>
                <w:szCs w:val="24"/>
              </w:rPr>
              <w:t>Possidius</w:t>
            </w:r>
            <w:proofErr w:type="spellEnd"/>
            <w:r w:rsidRPr="00683FA2">
              <w:rPr>
                <w:rFonts w:ascii="Times New Roman" w:eastAsia="Times New Roman" w:hAnsi="Times New Roman" w:cs="Times New Roman"/>
                <w:bCs/>
                <w:sz w:val="24"/>
                <w:szCs w:val="24"/>
              </w:rPr>
              <w:t xml:space="preserve"> of </w:t>
            </w:r>
            <w:proofErr w:type="spellStart"/>
            <w:r w:rsidRPr="00683FA2">
              <w:rPr>
                <w:rFonts w:ascii="Times New Roman" w:eastAsia="Times New Roman" w:hAnsi="Times New Roman" w:cs="Times New Roman"/>
                <w:bCs/>
                <w:sz w:val="24"/>
                <w:szCs w:val="24"/>
              </w:rPr>
              <w:t>Clama</w:t>
            </w:r>
            <w:proofErr w:type="spellEnd"/>
          </w:p>
        </w:tc>
        <w:tc>
          <w:tcPr>
            <w:tcW w:w="3675" w:type="dxa"/>
          </w:tcPr>
          <w:p w14:paraId="5A80591B" w14:textId="683023ED" w:rsidR="00013A40" w:rsidRPr="00683FA2" w:rsidRDefault="00013A40">
            <w:pPr>
              <w:jc w:val="both"/>
              <w:rPr>
                <w:rFonts w:ascii="Times New Roman" w:eastAsia="Times New Roman" w:hAnsi="Times New Roman" w:cs="Times New Roman"/>
                <w:bCs/>
                <w:sz w:val="24"/>
                <w:szCs w:val="24"/>
              </w:rPr>
            </w:pPr>
            <w:r w:rsidRPr="00683FA2">
              <w:rPr>
                <w:rFonts w:ascii="Times New Roman" w:eastAsia="Times New Roman" w:hAnsi="Times New Roman" w:cs="Times New Roman"/>
                <w:bCs/>
                <w:sz w:val="24"/>
                <w:szCs w:val="24"/>
              </w:rPr>
              <w:t>16</w:t>
            </w:r>
          </w:p>
        </w:tc>
      </w:tr>
      <w:tr w:rsidR="00013A40" w14:paraId="2B4F51C3" w14:textId="77777777" w:rsidTr="00013A40">
        <w:tc>
          <w:tcPr>
            <w:tcW w:w="1554" w:type="dxa"/>
          </w:tcPr>
          <w:p w14:paraId="35B6C7A7" w14:textId="1A2B9A81" w:rsidR="00013A40" w:rsidRPr="00683FA2" w:rsidRDefault="00013A40">
            <w:pPr>
              <w:jc w:val="both"/>
              <w:rPr>
                <w:rFonts w:ascii="Times New Roman" w:eastAsia="Times New Roman" w:hAnsi="Times New Roman" w:cs="Times New Roman"/>
                <w:bCs/>
                <w:sz w:val="24"/>
                <w:szCs w:val="24"/>
              </w:rPr>
            </w:pPr>
            <w:r w:rsidRPr="00683FA2">
              <w:rPr>
                <w:rFonts w:ascii="Times New Roman" w:eastAsia="Times New Roman" w:hAnsi="Times New Roman" w:cs="Times New Roman"/>
                <w:bCs/>
                <w:sz w:val="24"/>
                <w:szCs w:val="24"/>
              </w:rPr>
              <w:t>G11</w:t>
            </w:r>
          </w:p>
        </w:tc>
        <w:tc>
          <w:tcPr>
            <w:tcW w:w="4121" w:type="dxa"/>
          </w:tcPr>
          <w:p w14:paraId="401615B4" w14:textId="201C7CBE" w:rsidR="00013A40" w:rsidRPr="00683FA2" w:rsidRDefault="00013A40">
            <w:pPr>
              <w:jc w:val="both"/>
              <w:rPr>
                <w:rFonts w:ascii="Times New Roman" w:eastAsia="Times New Roman" w:hAnsi="Times New Roman" w:cs="Times New Roman"/>
                <w:bCs/>
                <w:sz w:val="24"/>
                <w:szCs w:val="24"/>
              </w:rPr>
            </w:pPr>
            <w:r w:rsidRPr="00683FA2">
              <w:rPr>
                <w:rFonts w:ascii="Times New Roman" w:eastAsia="Times New Roman" w:hAnsi="Times New Roman" w:cs="Times New Roman"/>
                <w:bCs/>
                <w:sz w:val="24"/>
                <w:szCs w:val="24"/>
              </w:rPr>
              <w:t>St Francisco de Jesus</w:t>
            </w:r>
          </w:p>
        </w:tc>
        <w:tc>
          <w:tcPr>
            <w:tcW w:w="3675" w:type="dxa"/>
          </w:tcPr>
          <w:p w14:paraId="2A4B7189" w14:textId="20D3AE99" w:rsidR="00013A40" w:rsidRPr="00683FA2" w:rsidRDefault="00013A40">
            <w:pPr>
              <w:jc w:val="both"/>
              <w:rPr>
                <w:rFonts w:ascii="Times New Roman" w:eastAsia="Times New Roman" w:hAnsi="Times New Roman" w:cs="Times New Roman"/>
                <w:bCs/>
                <w:sz w:val="24"/>
                <w:szCs w:val="24"/>
              </w:rPr>
            </w:pPr>
            <w:r w:rsidRPr="00683FA2">
              <w:rPr>
                <w:rFonts w:ascii="Times New Roman" w:eastAsia="Times New Roman" w:hAnsi="Times New Roman" w:cs="Times New Roman"/>
                <w:bCs/>
                <w:sz w:val="24"/>
                <w:szCs w:val="24"/>
              </w:rPr>
              <w:t>16</w:t>
            </w:r>
          </w:p>
        </w:tc>
      </w:tr>
      <w:tr w:rsidR="00013A40" w14:paraId="05F202EA" w14:textId="77777777" w:rsidTr="00013A40">
        <w:tc>
          <w:tcPr>
            <w:tcW w:w="1554" w:type="dxa"/>
          </w:tcPr>
          <w:p w14:paraId="178218C1" w14:textId="06416074" w:rsidR="00013A40" w:rsidRPr="00683FA2" w:rsidRDefault="00013A40">
            <w:pPr>
              <w:jc w:val="both"/>
              <w:rPr>
                <w:rFonts w:ascii="Times New Roman" w:eastAsia="Times New Roman" w:hAnsi="Times New Roman" w:cs="Times New Roman"/>
                <w:bCs/>
                <w:sz w:val="24"/>
                <w:szCs w:val="24"/>
              </w:rPr>
            </w:pPr>
            <w:r w:rsidRPr="00683FA2">
              <w:rPr>
                <w:rFonts w:ascii="Times New Roman" w:eastAsia="Times New Roman" w:hAnsi="Times New Roman" w:cs="Times New Roman"/>
                <w:bCs/>
                <w:sz w:val="24"/>
                <w:szCs w:val="24"/>
              </w:rPr>
              <w:t>G12</w:t>
            </w:r>
          </w:p>
        </w:tc>
        <w:tc>
          <w:tcPr>
            <w:tcW w:w="4121" w:type="dxa"/>
          </w:tcPr>
          <w:p w14:paraId="74FC6705" w14:textId="2E28C641" w:rsidR="00013A40" w:rsidRPr="00683FA2" w:rsidRDefault="00013A40">
            <w:pPr>
              <w:jc w:val="both"/>
              <w:rPr>
                <w:rFonts w:ascii="Times New Roman" w:eastAsia="Times New Roman" w:hAnsi="Times New Roman" w:cs="Times New Roman"/>
                <w:bCs/>
                <w:sz w:val="24"/>
                <w:szCs w:val="24"/>
              </w:rPr>
            </w:pPr>
            <w:r w:rsidRPr="00683FA2">
              <w:rPr>
                <w:rFonts w:ascii="Times New Roman" w:eastAsia="Times New Roman" w:hAnsi="Times New Roman" w:cs="Times New Roman"/>
                <w:bCs/>
                <w:sz w:val="24"/>
                <w:szCs w:val="24"/>
              </w:rPr>
              <w:t>St. Monica of Hippo</w:t>
            </w:r>
          </w:p>
        </w:tc>
        <w:tc>
          <w:tcPr>
            <w:tcW w:w="3675" w:type="dxa"/>
          </w:tcPr>
          <w:p w14:paraId="120932E4" w14:textId="257573BD" w:rsidR="00013A40" w:rsidRPr="00683FA2" w:rsidRDefault="00013A40">
            <w:pPr>
              <w:jc w:val="both"/>
              <w:rPr>
                <w:rFonts w:ascii="Times New Roman" w:eastAsia="Times New Roman" w:hAnsi="Times New Roman" w:cs="Times New Roman"/>
                <w:bCs/>
                <w:sz w:val="24"/>
                <w:szCs w:val="24"/>
              </w:rPr>
            </w:pPr>
            <w:r w:rsidRPr="00683FA2">
              <w:rPr>
                <w:rFonts w:ascii="Times New Roman" w:eastAsia="Times New Roman" w:hAnsi="Times New Roman" w:cs="Times New Roman"/>
                <w:bCs/>
                <w:sz w:val="24"/>
                <w:szCs w:val="24"/>
              </w:rPr>
              <w:t>20</w:t>
            </w:r>
          </w:p>
        </w:tc>
      </w:tr>
      <w:tr w:rsidR="00013A40" w14:paraId="752E471C" w14:textId="77777777" w:rsidTr="00013A40">
        <w:tc>
          <w:tcPr>
            <w:tcW w:w="1554" w:type="dxa"/>
          </w:tcPr>
          <w:p w14:paraId="5B9FA594" w14:textId="77777777" w:rsidR="00013A40" w:rsidRDefault="00013A40">
            <w:pPr>
              <w:jc w:val="both"/>
              <w:rPr>
                <w:rFonts w:ascii="Times New Roman" w:eastAsia="Times New Roman" w:hAnsi="Times New Roman" w:cs="Times New Roman"/>
                <w:b/>
                <w:sz w:val="24"/>
                <w:szCs w:val="24"/>
              </w:rPr>
            </w:pPr>
          </w:p>
        </w:tc>
        <w:tc>
          <w:tcPr>
            <w:tcW w:w="4121" w:type="dxa"/>
          </w:tcPr>
          <w:p w14:paraId="16A00ABD" w14:textId="2EB17EEB" w:rsidR="00013A40" w:rsidRDefault="00013A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3675" w:type="dxa"/>
          </w:tcPr>
          <w:p w14:paraId="14C8C4B0" w14:textId="77777777" w:rsidR="00013A40" w:rsidRDefault="00013A40">
            <w:pPr>
              <w:jc w:val="both"/>
              <w:rPr>
                <w:rFonts w:ascii="Times New Roman" w:eastAsia="Times New Roman" w:hAnsi="Times New Roman" w:cs="Times New Roman"/>
                <w:b/>
                <w:sz w:val="24"/>
                <w:szCs w:val="24"/>
              </w:rPr>
            </w:pPr>
          </w:p>
        </w:tc>
      </w:tr>
    </w:tbl>
    <w:p w14:paraId="6FA47B10" w14:textId="77777777" w:rsidR="00B67941" w:rsidRPr="00B67941" w:rsidRDefault="00B67941" w:rsidP="00B67941">
      <w:pPr>
        <w:spacing w:before="280" w:after="280" w:line="240" w:lineRule="auto"/>
        <w:jc w:val="both"/>
        <w:rPr>
          <w:rFonts w:ascii="Times New Roman" w:eastAsia="Times New Roman" w:hAnsi="Times New Roman" w:cs="Times New Roman"/>
          <w:bCs/>
          <w:sz w:val="24"/>
          <w:szCs w:val="24"/>
        </w:rPr>
      </w:pPr>
      <w:r w:rsidRPr="00B67941">
        <w:rPr>
          <w:rFonts w:ascii="Times New Roman" w:eastAsia="Times New Roman" w:hAnsi="Times New Roman" w:cs="Times New Roman"/>
          <w:bCs/>
          <w:sz w:val="24"/>
          <w:szCs w:val="24"/>
        </w:rPr>
        <w:t xml:space="preserve">The distribution of respondents presented in Table 1 reflects a balanced representation of senior high school students across Grade 11 and Grade 12 levels. A total of 75 participants were involved in the study, with 43 students from Grade 12 and 32 students from Grade 11. Among the sections, </w:t>
      </w:r>
      <w:r w:rsidRPr="00B67941">
        <w:rPr>
          <w:rFonts w:ascii="Times New Roman" w:eastAsia="Times New Roman" w:hAnsi="Times New Roman" w:cs="Times New Roman"/>
          <w:bCs/>
          <w:i/>
          <w:iCs/>
          <w:sz w:val="24"/>
          <w:szCs w:val="24"/>
        </w:rPr>
        <w:t>ST Ezekiel Moreno</w:t>
      </w:r>
      <w:r w:rsidRPr="00B67941">
        <w:rPr>
          <w:rFonts w:ascii="Times New Roman" w:eastAsia="Times New Roman" w:hAnsi="Times New Roman" w:cs="Times New Roman"/>
          <w:bCs/>
          <w:sz w:val="24"/>
          <w:szCs w:val="24"/>
        </w:rPr>
        <w:t xml:space="preserve"> (G12) comprised the largest group with 23 respondents, followed by </w:t>
      </w:r>
      <w:r w:rsidRPr="00B67941">
        <w:rPr>
          <w:rFonts w:ascii="Times New Roman" w:eastAsia="Times New Roman" w:hAnsi="Times New Roman" w:cs="Times New Roman"/>
          <w:bCs/>
          <w:i/>
          <w:iCs/>
          <w:sz w:val="24"/>
          <w:szCs w:val="24"/>
        </w:rPr>
        <w:t>St. Monica of Hippo</w:t>
      </w:r>
      <w:r w:rsidRPr="00B67941">
        <w:rPr>
          <w:rFonts w:ascii="Times New Roman" w:eastAsia="Times New Roman" w:hAnsi="Times New Roman" w:cs="Times New Roman"/>
          <w:bCs/>
          <w:sz w:val="24"/>
          <w:szCs w:val="24"/>
        </w:rPr>
        <w:t xml:space="preserve"> (G12) with 20 students. Meanwhile, the Grade 11 cohorts, </w:t>
      </w:r>
      <w:r w:rsidRPr="00B67941">
        <w:rPr>
          <w:rFonts w:ascii="Times New Roman" w:eastAsia="Times New Roman" w:hAnsi="Times New Roman" w:cs="Times New Roman"/>
          <w:bCs/>
          <w:i/>
          <w:iCs/>
          <w:sz w:val="24"/>
          <w:szCs w:val="24"/>
        </w:rPr>
        <w:t xml:space="preserve">St. </w:t>
      </w:r>
      <w:proofErr w:type="spellStart"/>
      <w:r w:rsidRPr="00B67941">
        <w:rPr>
          <w:rFonts w:ascii="Times New Roman" w:eastAsia="Times New Roman" w:hAnsi="Times New Roman" w:cs="Times New Roman"/>
          <w:bCs/>
          <w:i/>
          <w:iCs/>
          <w:sz w:val="24"/>
          <w:szCs w:val="24"/>
        </w:rPr>
        <w:t>Possidius</w:t>
      </w:r>
      <w:proofErr w:type="spellEnd"/>
      <w:r w:rsidRPr="00B67941">
        <w:rPr>
          <w:rFonts w:ascii="Times New Roman" w:eastAsia="Times New Roman" w:hAnsi="Times New Roman" w:cs="Times New Roman"/>
          <w:bCs/>
          <w:i/>
          <w:iCs/>
          <w:sz w:val="24"/>
          <w:szCs w:val="24"/>
        </w:rPr>
        <w:t xml:space="preserve"> of Calama</w:t>
      </w:r>
      <w:r w:rsidRPr="00B67941">
        <w:rPr>
          <w:rFonts w:ascii="Times New Roman" w:eastAsia="Times New Roman" w:hAnsi="Times New Roman" w:cs="Times New Roman"/>
          <w:bCs/>
          <w:sz w:val="24"/>
          <w:szCs w:val="24"/>
        </w:rPr>
        <w:t xml:space="preserve"> and </w:t>
      </w:r>
      <w:r w:rsidRPr="00B67941">
        <w:rPr>
          <w:rFonts w:ascii="Times New Roman" w:eastAsia="Times New Roman" w:hAnsi="Times New Roman" w:cs="Times New Roman"/>
          <w:bCs/>
          <w:i/>
          <w:iCs/>
          <w:sz w:val="24"/>
          <w:szCs w:val="24"/>
        </w:rPr>
        <w:t>St. Francisco de Jesus</w:t>
      </w:r>
      <w:r w:rsidRPr="00B67941">
        <w:rPr>
          <w:rFonts w:ascii="Times New Roman" w:eastAsia="Times New Roman" w:hAnsi="Times New Roman" w:cs="Times New Roman"/>
          <w:bCs/>
          <w:sz w:val="24"/>
          <w:szCs w:val="24"/>
        </w:rPr>
        <w:t>, each contributed 16 respondents.</w:t>
      </w:r>
    </w:p>
    <w:p w14:paraId="1411F745" w14:textId="77777777" w:rsidR="00B67941" w:rsidRPr="00B67941" w:rsidRDefault="00B67941" w:rsidP="00B67941">
      <w:pPr>
        <w:spacing w:before="280" w:after="280" w:line="240" w:lineRule="auto"/>
        <w:jc w:val="both"/>
        <w:rPr>
          <w:rFonts w:ascii="Times New Roman" w:eastAsia="Times New Roman" w:hAnsi="Times New Roman" w:cs="Times New Roman"/>
          <w:bCs/>
          <w:sz w:val="24"/>
          <w:szCs w:val="24"/>
        </w:rPr>
      </w:pPr>
      <w:r w:rsidRPr="00B67941">
        <w:rPr>
          <w:rFonts w:ascii="Times New Roman" w:eastAsia="Times New Roman" w:hAnsi="Times New Roman" w:cs="Times New Roman"/>
          <w:bCs/>
          <w:sz w:val="24"/>
          <w:szCs w:val="24"/>
        </w:rPr>
        <w:t>This distribution indicates that the study captured perspectives from multiple sections and grade levels, allowing for a broader understanding of students’ experiences with Oracle APEX in database learning. The inclusion of both Grade 11 and Grade 12 students is particularly significant, as it provides insights across different stages of ICT competency and academic maturity. Overall, the sample size and composition are adequate to support meaningful analysis and enhance the generalizability of the findings within the context of senior high school database education.</w:t>
      </w:r>
    </w:p>
    <w:p w14:paraId="172EA708" w14:textId="0A0B1A99" w:rsidR="008D317F" w:rsidRDefault="004A611D">
      <w:pPr>
        <w:spacing w:before="280" w:after="2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Research Instrument</w:t>
      </w:r>
    </w:p>
    <w:p w14:paraId="4A447738" w14:textId="2270429E" w:rsidR="00677B56" w:rsidRDefault="00EA2193" w:rsidP="00677B56">
      <w:pPr>
        <w:spacing w:before="280" w:after="2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RESULTS AND DISCUSSIONS</w:t>
      </w:r>
      <w:bookmarkStart w:id="0" w:name="_heading=h.z9xttsnos2iy" w:colFirst="0" w:colLast="0"/>
      <w:bookmarkEnd w:id="0"/>
    </w:p>
    <w:p w14:paraId="74DFE48E" w14:textId="4E66B24D" w:rsidR="008306C9" w:rsidRPr="007B637D" w:rsidRDefault="008306C9" w:rsidP="007B637D">
      <w:pPr>
        <w:spacing w:before="280" w:after="280" w:line="240" w:lineRule="auto"/>
        <w:ind w:left="360"/>
        <w:jc w:val="center"/>
        <w:rPr>
          <w:rFonts w:ascii="Times New Roman" w:eastAsia="Times New Roman" w:hAnsi="Times New Roman" w:cs="Times New Roman"/>
          <w:b/>
          <w:bCs/>
          <w:sz w:val="24"/>
          <w:szCs w:val="24"/>
        </w:rPr>
      </w:pPr>
      <w:r w:rsidRPr="007B637D">
        <w:rPr>
          <w:rFonts w:ascii="Times New Roman" w:eastAsia="Times New Roman" w:hAnsi="Times New Roman" w:cs="Times New Roman"/>
          <w:b/>
          <w:bCs/>
          <w:sz w:val="24"/>
          <w:szCs w:val="24"/>
        </w:rPr>
        <w:t>Table 1: Descriptive Statistics</w:t>
      </w:r>
    </w:p>
    <w:tbl>
      <w:tblPr>
        <w:tblW w:w="9356" w:type="dxa"/>
        <w:tblBorders>
          <w:top w:val="nil"/>
          <w:left w:val="nil"/>
          <w:bottom w:val="nil"/>
          <w:right w:val="nil"/>
          <w:insideH w:val="nil"/>
          <w:insideV w:val="nil"/>
        </w:tblBorders>
        <w:tblLayout w:type="fixed"/>
        <w:tblLook w:val="0600" w:firstRow="0" w:lastRow="0" w:firstColumn="0" w:lastColumn="0" w:noHBand="1" w:noVBand="1"/>
      </w:tblPr>
      <w:tblGrid>
        <w:gridCol w:w="2810"/>
        <w:gridCol w:w="1868"/>
        <w:gridCol w:w="2126"/>
        <w:gridCol w:w="2552"/>
      </w:tblGrid>
      <w:tr w:rsidR="008306C9" w:rsidRPr="007B637D" w14:paraId="7E24D163" w14:textId="77777777" w:rsidTr="007169E7">
        <w:trPr>
          <w:trHeight w:val="898"/>
        </w:trPr>
        <w:tc>
          <w:tcPr>
            <w:tcW w:w="2810" w:type="dxa"/>
            <w:tcBorders>
              <w:top w:val="nil"/>
              <w:left w:val="nil"/>
              <w:bottom w:val="nil"/>
              <w:right w:val="nil"/>
            </w:tcBorders>
            <w:tcMar>
              <w:top w:w="100" w:type="dxa"/>
              <w:left w:w="100" w:type="dxa"/>
              <w:bottom w:w="100" w:type="dxa"/>
              <w:right w:w="100" w:type="dxa"/>
            </w:tcMar>
          </w:tcPr>
          <w:p w14:paraId="4C501498" w14:textId="77777777" w:rsidR="008306C9" w:rsidRDefault="008306C9" w:rsidP="007B637D">
            <w:pPr>
              <w:spacing w:before="280" w:after="280" w:line="240" w:lineRule="auto"/>
              <w:ind w:left="360"/>
              <w:jc w:val="both"/>
              <w:rPr>
                <w:rFonts w:ascii="Times New Roman" w:eastAsia="Times New Roman" w:hAnsi="Times New Roman" w:cs="Times New Roman"/>
                <w:sz w:val="24"/>
                <w:szCs w:val="24"/>
              </w:rPr>
            </w:pPr>
            <w:r w:rsidRPr="007B637D">
              <w:rPr>
                <w:rFonts w:ascii="Times New Roman" w:eastAsia="Times New Roman" w:hAnsi="Times New Roman" w:cs="Times New Roman"/>
                <w:sz w:val="24"/>
                <w:szCs w:val="24"/>
              </w:rPr>
              <w:t>Dimension</w:t>
            </w:r>
          </w:p>
        </w:tc>
        <w:tc>
          <w:tcPr>
            <w:tcW w:w="1868" w:type="dxa"/>
            <w:tcBorders>
              <w:top w:val="nil"/>
              <w:left w:val="nil"/>
              <w:bottom w:val="nil"/>
              <w:right w:val="nil"/>
            </w:tcBorders>
            <w:tcMar>
              <w:top w:w="100" w:type="dxa"/>
              <w:left w:w="100" w:type="dxa"/>
              <w:bottom w:w="100" w:type="dxa"/>
              <w:right w:w="100" w:type="dxa"/>
            </w:tcMar>
          </w:tcPr>
          <w:p w14:paraId="3732F28C" w14:textId="77777777" w:rsidR="008306C9" w:rsidRDefault="008306C9" w:rsidP="007B637D">
            <w:pPr>
              <w:spacing w:before="280" w:after="280" w:line="240" w:lineRule="auto"/>
              <w:ind w:left="360"/>
              <w:jc w:val="both"/>
              <w:rPr>
                <w:rFonts w:ascii="Times New Roman" w:eastAsia="Times New Roman" w:hAnsi="Times New Roman" w:cs="Times New Roman"/>
                <w:sz w:val="24"/>
                <w:szCs w:val="24"/>
              </w:rPr>
            </w:pPr>
            <w:r w:rsidRPr="007B637D">
              <w:rPr>
                <w:rFonts w:ascii="Times New Roman" w:eastAsia="Times New Roman" w:hAnsi="Times New Roman" w:cs="Times New Roman"/>
                <w:sz w:val="24"/>
                <w:szCs w:val="24"/>
              </w:rPr>
              <w:t>Mean</w:t>
            </w:r>
          </w:p>
        </w:tc>
        <w:tc>
          <w:tcPr>
            <w:tcW w:w="2126" w:type="dxa"/>
            <w:tcBorders>
              <w:top w:val="nil"/>
              <w:left w:val="nil"/>
              <w:bottom w:val="nil"/>
              <w:right w:val="nil"/>
            </w:tcBorders>
            <w:tcMar>
              <w:top w:w="100" w:type="dxa"/>
              <w:left w:w="100" w:type="dxa"/>
              <w:bottom w:w="100" w:type="dxa"/>
              <w:right w:w="100" w:type="dxa"/>
            </w:tcMar>
          </w:tcPr>
          <w:p w14:paraId="388FAAD8" w14:textId="77777777" w:rsidR="008306C9" w:rsidRDefault="008306C9" w:rsidP="007B637D">
            <w:pPr>
              <w:spacing w:before="280" w:after="280" w:line="240" w:lineRule="auto"/>
              <w:ind w:left="360"/>
              <w:jc w:val="both"/>
              <w:rPr>
                <w:rFonts w:ascii="Times New Roman" w:eastAsia="Times New Roman" w:hAnsi="Times New Roman" w:cs="Times New Roman"/>
                <w:sz w:val="24"/>
                <w:szCs w:val="24"/>
              </w:rPr>
            </w:pPr>
            <w:r w:rsidRPr="007B637D">
              <w:rPr>
                <w:rFonts w:ascii="Times New Roman" w:eastAsia="Times New Roman" w:hAnsi="Times New Roman" w:cs="Times New Roman"/>
                <w:sz w:val="24"/>
                <w:szCs w:val="24"/>
              </w:rPr>
              <w:t>Standard Deviation (SD)</w:t>
            </w:r>
          </w:p>
        </w:tc>
        <w:tc>
          <w:tcPr>
            <w:tcW w:w="2552" w:type="dxa"/>
            <w:tcBorders>
              <w:top w:val="nil"/>
              <w:left w:val="nil"/>
              <w:bottom w:val="nil"/>
              <w:right w:val="nil"/>
            </w:tcBorders>
            <w:tcMar>
              <w:top w:w="100" w:type="dxa"/>
              <w:left w:w="100" w:type="dxa"/>
              <w:bottom w:w="100" w:type="dxa"/>
              <w:right w:w="100" w:type="dxa"/>
            </w:tcMar>
          </w:tcPr>
          <w:p w14:paraId="7A99ECF8" w14:textId="77777777" w:rsidR="008306C9" w:rsidRDefault="008306C9" w:rsidP="007B637D">
            <w:pPr>
              <w:spacing w:before="280" w:after="280" w:line="240" w:lineRule="auto"/>
              <w:ind w:left="360"/>
              <w:jc w:val="both"/>
              <w:rPr>
                <w:rFonts w:ascii="Times New Roman" w:eastAsia="Times New Roman" w:hAnsi="Times New Roman" w:cs="Times New Roman"/>
                <w:sz w:val="24"/>
                <w:szCs w:val="24"/>
              </w:rPr>
            </w:pPr>
            <w:r w:rsidRPr="007B637D">
              <w:rPr>
                <w:rFonts w:ascii="Times New Roman" w:eastAsia="Times New Roman" w:hAnsi="Times New Roman" w:cs="Times New Roman"/>
                <w:sz w:val="24"/>
                <w:szCs w:val="24"/>
              </w:rPr>
              <w:t>Interpretation</w:t>
            </w:r>
          </w:p>
        </w:tc>
      </w:tr>
      <w:tr w:rsidR="008306C9" w14:paraId="2E265EAC" w14:textId="77777777" w:rsidTr="007169E7">
        <w:trPr>
          <w:trHeight w:val="718"/>
        </w:trPr>
        <w:tc>
          <w:tcPr>
            <w:tcW w:w="2810" w:type="dxa"/>
            <w:tcBorders>
              <w:top w:val="nil"/>
              <w:left w:val="nil"/>
              <w:bottom w:val="nil"/>
              <w:right w:val="nil"/>
            </w:tcBorders>
            <w:tcMar>
              <w:top w:w="100" w:type="dxa"/>
              <w:left w:w="100" w:type="dxa"/>
              <w:bottom w:w="100" w:type="dxa"/>
              <w:right w:w="100" w:type="dxa"/>
            </w:tcMar>
          </w:tcPr>
          <w:p w14:paraId="6581C75C"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Usability</w:t>
            </w:r>
          </w:p>
        </w:tc>
        <w:tc>
          <w:tcPr>
            <w:tcW w:w="1868" w:type="dxa"/>
            <w:tcBorders>
              <w:top w:val="nil"/>
              <w:left w:val="nil"/>
              <w:bottom w:val="nil"/>
              <w:right w:val="nil"/>
            </w:tcBorders>
            <w:tcMar>
              <w:top w:w="100" w:type="dxa"/>
              <w:left w:w="100" w:type="dxa"/>
              <w:bottom w:w="100" w:type="dxa"/>
              <w:right w:w="100" w:type="dxa"/>
            </w:tcMar>
          </w:tcPr>
          <w:p w14:paraId="3ECA1320"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4.25</w:t>
            </w:r>
          </w:p>
        </w:tc>
        <w:tc>
          <w:tcPr>
            <w:tcW w:w="2126" w:type="dxa"/>
            <w:tcBorders>
              <w:top w:val="nil"/>
              <w:left w:val="nil"/>
              <w:bottom w:val="nil"/>
              <w:right w:val="nil"/>
            </w:tcBorders>
            <w:tcMar>
              <w:top w:w="100" w:type="dxa"/>
              <w:left w:w="100" w:type="dxa"/>
              <w:bottom w:w="100" w:type="dxa"/>
              <w:right w:w="100" w:type="dxa"/>
            </w:tcMar>
          </w:tcPr>
          <w:p w14:paraId="694C9262"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0.52</w:t>
            </w:r>
          </w:p>
        </w:tc>
        <w:tc>
          <w:tcPr>
            <w:tcW w:w="2552" w:type="dxa"/>
            <w:tcBorders>
              <w:top w:val="nil"/>
              <w:left w:val="nil"/>
              <w:bottom w:val="nil"/>
              <w:right w:val="nil"/>
            </w:tcBorders>
            <w:tcMar>
              <w:top w:w="100" w:type="dxa"/>
              <w:left w:w="100" w:type="dxa"/>
              <w:bottom w:w="100" w:type="dxa"/>
              <w:right w:w="100" w:type="dxa"/>
            </w:tcMar>
          </w:tcPr>
          <w:p w14:paraId="399898B0"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r>
      <w:tr w:rsidR="008306C9" w14:paraId="10E6C919" w14:textId="77777777" w:rsidTr="007169E7">
        <w:trPr>
          <w:trHeight w:val="500"/>
        </w:trPr>
        <w:tc>
          <w:tcPr>
            <w:tcW w:w="2810" w:type="dxa"/>
            <w:tcBorders>
              <w:top w:val="nil"/>
              <w:left w:val="nil"/>
              <w:bottom w:val="nil"/>
              <w:right w:val="nil"/>
            </w:tcBorders>
            <w:tcMar>
              <w:top w:w="100" w:type="dxa"/>
              <w:left w:w="100" w:type="dxa"/>
              <w:bottom w:w="100" w:type="dxa"/>
              <w:right w:w="100" w:type="dxa"/>
            </w:tcMar>
          </w:tcPr>
          <w:p w14:paraId="110AB1F2"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Learning Effectiveness</w:t>
            </w:r>
          </w:p>
        </w:tc>
        <w:tc>
          <w:tcPr>
            <w:tcW w:w="1868" w:type="dxa"/>
            <w:tcBorders>
              <w:top w:val="nil"/>
              <w:left w:val="nil"/>
              <w:bottom w:val="nil"/>
              <w:right w:val="nil"/>
            </w:tcBorders>
            <w:tcMar>
              <w:top w:w="100" w:type="dxa"/>
              <w:left w:w="100" w:type="dxa"/>
              <w:bottom w:w="100" w:type="dxa"/>
              <w:right w:w="100" w:type="dxa"/>
            </w:tcMar>
          </w:tcPr>
          <w:p w14:paraId="62595300"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4.10</w:t>
            </w:r>
          </w:p>
        </w:tc>
        <w:tc>
          <w:tcPr>
            <w:tcW w:w="2126" w:type="dxa"/>
            <w:tcBorders>
              <w:top w:val="nil"/>
              <w:left w:val="nil"/>
              <w:bottom w:val="nil"/>
              <w:right w:val="nil"/>
            </w:tcBorders>
            <w:tcMar>
              <w:top w:w="100" w:type="dxa"/>
              <w:left w:w="100" w:type="dxa"/>
              <w:bottom w:w="100" w:type="dxa"/>
              <w:right w:w="100" w:type="dxa"/>
            </w:tcMar>
          </w:tcPr>
          <w:p w14:paraId="17D208C9"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0.65</w:t>
            </w:r>
          </w:p>
        </w:tc>
        <w:tc>
          <w:tcPr>
            <w:tcW w:w="2552" w:type="dxa"/>
            <w:tcBorders>
              <w:top w:val="nil"/>
              <w:left w:val="nil"/>
              <w:bottom w:val="nil"/>
              <w:right w:val="nil"/>
            </w:tcBorders>
            <w:tcMar>
              <w:top w:w="100" w:type="dxa"/>
              <w:left w:w="100" w:type="dxa"/>
              <w:bottom w:w="100" w:type="dxa"/>
              <w:right w:w="100" w:type="dxa"/>
            </w:tcMar>
          </w:tcPr>
          <w:p w14:paraId="6FA7BC11"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r>
      <w:tr w:rsidR="008306C9" w14:paraId="13C89538" w14:textId="77777777" w:rsidTr="007169E7">
        <w:trPr>
          <w:trHeight w:val="500"/>
        </w:trPr>
        <w:tc>
          <w:tcPr>
            <w:tcW w:w="2810" w:type="dxa"/>
            <w:tcBorders>
              <w:top w:val="nil"/>
              <w:left w:val="nil"/>
              <w:bottom w:val="nil"/>
              <w:right w:val="nil"/>
            </w:tcBorders>
            <w:tcMar>
              <w:top w:w="100" w:type="dxa"/>
              <w:left w:w="100" w:type="dxa"/>
              <w:bottom w:w="100" w:type="dxa"/>
              <w:right w:w="100" w:type="dxa"/>
            </w:tcMar>
          </w:tcPr>
          <w:p w14:paraId="00BD6D5F"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Engagement &amp; Motivation</w:t>
            </w:r>
          </w:p>
        </w:tc>
        <w:tc>
          <w:tcPr>
            <w:tcW w:w="1868" w:type="dxa"/>
            <w:tcBorders>
              <w:top w:val="nil"/>
              <w:left w:val="nil"/>
              <w:bottom w:val="nil"/>
              <w:right w:val="nil"/>
            </w:tcBorders>
            <w:tcMar>
              <w:top w:w="100" w:type="dxa"/>
              <w:left w:w="100" w:type="dxa"/>
              <w:bottom w:w="100" w:type="dxa"/>
              <w:right w:w="100" w:type="dxa"/>
            </w:tcMar>
          </w:tcPr>
          <w:p w14:paraId="7E198C35"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3.85</w:t>
            </w:r>
          </w:p>
        </w:tc>
        <w:tc>
          <w:tcPr>
            <w:tcW w:w="2126" w:type="dxa"/>
            <w:tcBorders>
              <w:top w:val="nil"/>
              <w:left w:val="nil"/>
              <w:bottom w:val="nil"/>
              <w:right w:val="nil"/>
            </w:tcBorders>
            <w:tcMar>
              <w:top w:w="100" w:type="dxa"/>
              <w:left w:w="100" w:type="dxa"/>
              <w:bottom w:w="100" w:type="dxa"/>
              <w:right w:w="100" w:type="dxa"/>
            </w:tcMar>
          </w:tcPr>
          <w:p w14:paraId="3524BE06"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0.74</w:t>
            </w:r>
          </w:p>
        </w:tc>
        <w:tc>
          <w:tcPr>
            <w:tcW w:w="2552" w:type="dxa"/>
            <w:tcBorders>
              <w:top w:val="nil"/>
              <w:left w:val="nil"/>
              <w:bottom w:val="nil"/>
              <w:right w:val="nil"/>
            </w:tcBorders>
            <w:tcMar>
              <w:top w:w="100" w:type="dxa"/>
              <w:left w:w="100" w:type="dxa"/>
              <w:bottom w:w="100" w:type="dxa"/>
              <w:right w:w="100" w:type="dxa"/>
            </w:tcMar>
          </w:tcPr>
          <w:p w14:paraId="5D9AB96E"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r>
      <w:tr w:rsidR="008306C9" w14:paraId="27CF54C9" w14:textId="77777777" w:rsidTr="007169E7">
        <w:trPr>
          <w:trHeight w:val="500"/>
        </w:trPr>
        <w:tc>
          <w:tcPr>
            <w:tcW w:w="2810" w:type="dxa"/>
            <w:tcBorders>
              <w:top w:val="nil"/>
              <w:left w:val="nil"/>
              <w:bottom w:val="nil"/>
              <w:right w:val="nil"/>
            </w:tcBorders>
            <w:tcMar>
              <w:top w:w="100" w:type="dxa"/>
              <w:left w:w="100" w:type="dxa"/>
              <w:bottom w:w="100" w:type="dxa"/>
              <w:right w:w="100" w:type="dxa"/>
            </w:tcMar>
          </w:tcPr>
          <w:p w14:paraId="11113A2C"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Satisfaction &amp; Usefulness</w:t>
            </w:r>
          </w:p>
        </w:tc>
        <w:tc>
          <w:tcPr>
            <w:tcW w:w="1868" w:type="dxa"/>
            <w:tcBorders>
              <w:top w:val="nil"/>
              <w:left w:val="nil"/>
              <w:bottom w:val="nil"/>
              <w:right w:val="nil"/>
            </w:tcBorders>
            <w:tcMar>
              <w:top w:w="100" w:type="dxa"/>
              <w:left w:w="100" w:type="dxa"/>
              <w:bottom w:w="100" w:type="dxa"/>
              <w:right w:w="100" w:type="dxa"/>
            </w:tcMar>
          </w:tcPr>
          <w:p w14:paraId="5CF15FA2"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4.30</w:t>
            </w:r>
          </w:p>
        </w:tc>
        <w:tc>
          <w:tcPr>
            <w:tcW w:w="2126" w:type="dxa"/>
            <w:tcBorders>
              <w:top w:val="nil"/>
              <w:left w:val="nil"/>
              <w:bottom w:val="nil"/>
              <w:right w:val="nil"/>
            </w:tcBorders>
            <w:tcMar>
              <w:top w:w="100" w:type="dxa"/>
              <w:left w:w="100" w:type="dxa"/>
              <w:bottom w:w="100" w:type="dxa"/>
              <w:right w:w="100" w:type="dxa"/>
            </w:tcMar>
          </w:tcPr>
          <w:p w14:paraId="32EEA5CA"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0.50</w:t>
            </w:r>
          </w:p>
        </w:tc>
        <w:tc>
          <w:tcPr>
            <w:tcW w:w="2552" w:type="dxa"/>
            <w:tcBorders>
              <w:top w:val="nil"/>
              <w:left w:val="nil"/>
              <w:bottom w:val="nil"/>
              <w:right w:val="nil"/>
            </w:tcBorders>
            <w:tcMar>
              <w:top w:w="100" w:type="dxa"/>
              <w:left w:w="100" w:type="dxa"/>
              <w:bottom w:w="100" w:type="dxa"/>
              <w:right w:w="100" w:type="dxa"/>
            </w:tcMar>
          </w:tcPr>
          <w:p w14:paraId="085B0B5B"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r>
      <w:tr w:rsidR="008306C9" w14:paraId="133E23C6" w14:textId="77777777" w:rsidTr="007169E7">
        <w:trPr>
          <w:trHeight w:val="500"/>
        </w:trPr>
        <w:tc>
          <w:tcPr>
            <w:tcW w:w="2810" w:type="dxa"/>
            <w:tcBorders>
              <w:top w:val="nil"/>
              <w:left w:val="nil"/>
              <w:bottom w:val="nil"/>
              <w:right w:val="nil"/>
            </w:tcBorders>
            <w:tcMar>
              <w:top w:w="100" w:type="dxa"/>
              <w:left w:w="100" w:type="dxa"/>
              <w:bottom w:w="100" w:type="dxa"/>
              <w:right w:w="100" w:type="dxa"/>
            </w:tcMar>
          </w:tcPr>
          <w:p w14:paraId="57F47BBC"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Overall</w:t>
            </w:r>
          </w:p>
        </w:tc>
        <w:tc>
          <w:tcPr>
            <w:tcW w:w="1868" w:type="dxa"/>
            <w:tcBorders>
              <w:top w:val="nil"/>
              <w:left w:val="nil"/>
              <w:bottom w:val="nil"/>
              <w:right w:val="nil"/>
            </w:tcBorders>
            <w:tcMar>
              <w:top w:w="100" w:type="dxa"/>
              <w:left w:w="100" w:type="dxa"/>
              <w:bottom w:w="100" w:type="dxa"/>
              <w:right w:w="100" w:type="dxa"/>
            </w:tcMar>
          </w:tcPr>
          <w:p w14:paraId="593BB788"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4.13</w:t>
            </w:r>
          </w:p>
        </w:tc>
        <w:tc>
          <w:tcPr>
            <w:tcW w:w="2126" w:type="dxa"/>
            <w:tcBorders>
              <w:top w:val="nil"/>
              <w:left w:val="nil"/>
              <w:bottom w:val="nil"/>
              <w:right w:val="nil"/>
            </w:tcBorders>
            <w:tcMar>
              <w:top w:w="100" w:type="dxa"/>
              <w:left w:w="100" w:type="dxa"/>
              <w:bottom w:w="100" w:type="dxa"/>
              <w:right w:w="100" w:type="dxa"/>
            </w:tcMar>
          </w:tcPr>
          <w:p w14:paraId="62FCCD3F"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0.60</w:t>
            </w:r>
          </w:p>
        </w:tc>
        <w:tc>
          <w:tcPr>
            <w:tcW w:w="2552" w:type="dxa"/>
            <w:tcBorders>
              <w:top w:val="nil"/>
              <w:left w:val="nil"/>
              <w:bottom w:val="nil"/>
              <w:right w:val="nil"/>
            </w:tcBorders>
            <w:tcMar>
              <w:top w:w="100" w:type="dxa"/>
              <w:left w:w="100" w:type="dxa"/>
              <w:bottom w:w="100" w:type="dxa"/>
              <w:right w:w="100" w:type="dxa"/>
            </w:tcMar>
          </w:tcPr>
          <w:p w14:paraId="175AD8DC"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Agree</w:t>
            </w:r>
          </w:p>
        </w:tc>
      </w:tr>
    </w:tbl>
    <w:p w14:paraId="15313A3A" w14:textId="736E6AD6" w:rsidR="008306C9" w:rsidRDefault="008306C9" w:rsidP="007C556D">
      <w:pPr>
        <w:spacing w:after="240" w:line="240" w:lineRule="auto"/>
        <w:rPr>
          <w:rFonts w:ascii="Times New Roman" w:eastAsia="Times New Roman" w:hAnsi="Times New Roman" w:cs="Times New Roman"/>
          <w:sz w:val="24"/>
          <w:szCs w:val="24"/>
        </w:rPr>
      </w:pPr>
    </w:p>
    <w:p w14:paraId="2667082F" w14:textId="77777777" w:rsidR="00966AD6" w:rsidRPr="00966AD6" w:rsidRDefault="00677B56" w:rsidP="00966AD6">
      <w:pPr>
        <w:spacing w:after="240"/>
        <w:jc w:val="both"/>
      </w:pPr>
      <w:r>
        <w:rPr>
          <w:rFonts w:ascii="Times New Roman" w:eastAsia="Times New Roman" w:hAnsi="Times New Roman" w:cs="Times New Roman"/>
          <w:sz w:val="24"/>
          <w:szCs w:val="24"/>
        </w:rPr>
        <w:t xml:space="preserve">Table 1 shows </w:t>
      </w:r>
      <w:proofErr w:type="gramStart"/>
      <w:r w:rsidR="00966AD6" w:rsidRPr="00966AD6">
        <w:t>The</w:t>
      </w:r>
      <w:proofErr w:type="gramEnd"/>
      <w:r w:rsidR="00966AD6" w:rsidRPr="00966AD6">
        <w:t xml:space="preserve"> descriptive statistics presented in Table 1 indicate a generally positive evaluation of student learning using Oracle APEX across all measured dimensions. The overall mean score of 4.13 (SD = 0.60) suggests that students </w:t>
      </w:r>
      <w:r w:rsidR="00966AD6" w:rsidRPr="00966AD6">
        <w:rPr>
          <w:i/>
          <w:iCs/>
        </w:rPr>
        <w:t>agree</w:t>
      </w:r>
      <w:r w:rsidR="00966AD6" w:rsidRPr="00966AD6">
        <w:t xml:space="preserve"> that the platform effectively supports their learning experience.</w:t>
      </w:r>
    </w:p>
    <w:p w14:paraId="59B1B9A8" w14:textId="77777777" w:rsidR="00966AD6" w:rsidRPr="00966AD6" w:rsidRDefault="00966AD6" w:rsidP="00966AD6">
      <w:pPr>
        <w:spacing w:after="240" w:line="240" w:lineRule="auto"/>
        <w:jc w:val="both"/>
        <w:rPr>
          <w:rFonts w:ascii="Times New Roman" w:eastAsia="Times New Roman" w:hAnsi="Times New Roman" w:cs="Times New Roman"/>
          <w:sz w:val="24"/>
          <w:szCs w:val="24"/>
        </w:rPr>
      </w:pPr>
      <w:r w:rsidRPr="00966AD6">
        <w:rPr>
          <w:rFonts w:ascii="Times New Roman" w:eastAsia="Times New Roman" w:hAnsi="Times New Roman" w:cs="Times New Roman"/>
          <w:sz w:val="24"/>
          <w:szCs w:val="24"/>
        </w:rPr>
        <w:t xml:space="preserve">Among the dimensions, </w:t>
      </w:r>
      <w:r w:rsidRPr="00966AD6">
        <w:rPr>
          <w:rFonts w:ascii="Times New Roman" w:eastAsia="Times New Roman" w:hAnsi="Times New Roman" w:cs="Times New Roman"/>
          <w:b/>
          <w:bCs/>
          <w:sz w:val="24"/>
          <w:szCs w:val="24"/>
        </w:rPr>
        <w:t>Satisfaction and Usefulness</w:t>
      </w:r>
      <w:r w:rsidRPr="00966AD6">
        <w:rPr>
          <w:rFonts w:ascii="Times New Roman" w:eastAsia="Times New Roman" w:hAnsi="Times New Roman" w:cs="Times New Roman"/>
          <w:sz w:val="24"/>
          <w:szCs w:val="24"/>
        </w:rPr>
        <w:t xml:space="preserve"> obtained the highest mean (M = 4.30, SD = 0.50), interpreted as </w:t>
      </w:r>
      <w:r w:rsidRPr="00966AD6">
        <w:rPr>
          <w:rFonts w:ascii="Times New Roman" w:eastAsia="Times New Roman" w:hAnsi="Times New Roman" w:cs="Times New Roman"/>
          <w:i/>
          <w:iCs/>
          <w:sz w:val="24"/>
          <w:szCs w:val="24"/>
        </w:rPr>
        <w:t>strongly agree</w:t>
      </w:r>
      <w:r w:rsidRPr="00966AD6">
        <w:rPr>
          <w:rFonts w:ascii="Times New Roman" w:eastAsia="Times New Roman" w:hAnsi="Times New Roman" w:cs="Times New Roman"/>
          <w:sz w:val="24"/>
          <w:szCs w:val="24"/>
        </w:rPr>
        <w:t xml:space="preserve">, indicating that students perceive Oracle APEX as a valuable and beneficial tool in facilitating their understanding of database concepts. Similarly, </w:t>
      </w:r>
      <w:r w:rsidRPr="00966AD6">
        <w:rPr>
          <w:rFonts w:ascii="Times New Roman" w:eastAsia="Times New Roman" w:hAnsi="Times New Roman" w:cs="Times New Roman"/>
          <w:b/>
          <w:bCs/>
          <w:sz w:val="24"/>
          <w:szCs w:val="24"/>
        </w:rPr>
        <w:t>Usability</w:t>
      </w:r>
      <w:r w:rsidRPr="00966AD6">
        <w:rPr>
          <w:rFonts w:ascii="Times New Roman" w:eastAsia="Times New Roman" w:hAnsi="Times New Roman" w:cs="Times New Roman"/>
          <w:sz w:val="24"/>
          <w:szCs w:val="24"/>
        </w:rPr>
        <w:t xml:space="preserve"> (M = 4.25, SD = 0.52) also received a </w:t>
      </w:r>
      <w:r w:rsidRPr="00966AD6">
        <w:rPr>
          <w:rFonts w:ascii="Times New Roman" w:eastAsia="Times New Roman" w:hAnsi="Times New Roman" w:cs="Times New Roman"/>
          <w:i/>
          <w:iCs/>
          <w:sz w:val="24"/>
          <w:szCs w:val="24"/>
        </w:rPr>
        <w:t>strongly agree</w:t>
      </w:r>
      <w:r w:rsidRPr="00966AD6">
        <w:rPr>
          <w:rFonts w:ascii="Times New Roman" w:eastAsia="Times New Roman" w:hAnsi="Times New Roman" w:cs="Times New Roman"/>
          <w:sz w:val="24"/>
          <w:szCs w:val="24"/>
        </w:rPr>
        <w:t xml:space="preserve"> rating, implying that the system is user-friendly and accessible, which likely contributes to a smoother learning process.</w:t>
      </w:r>
    </w:p>
    <w:p w14:paraId="122C3FEB" w14:textId="77777777" w:rsidR="00966AD6" w:rsidRPr="00966AD6" w:rsidRDefault="00966AD6" w:rsidP="00966AD6">
      <w:pPr>
        <w:spacing w:after="240" w:line="240" w:lineRule="auto"/>
        <w:jc w:val="both"/>
        <w:rPr>
          <w:rFonts w:ascii="Times New Roman" w:eastAsia="Times New Roman" w:hAnsi="Times New Roman" w:cs="Times New Roman"/>
          <w:sz w:val="24"/>
          <w:szCs w:val="24"/>
        </w:rPr>
      </w:pPr>
      <w:r w:rsidRPr="00966AD6">
        <w:rPr>
          <w:rFonts w:ascii="Times New Roman" w:eastAsia="Times New Roman" w:hAnsi="Times New Roman" w:cs="Times New Roman"/>
          <w:b/>
          <w:bCs/>
          <w:sz w:val="24"/>
          <w:szCs w:val="24"/>
        </w:rPr>
        <w:t>Learning Effectiveness</w:t>
      </w:r>
      <w:r w:rsidRPr="00966AD6">
        <w:rPr>
          <w:rFonts w:ascii="Times New Roman" w:eastAsia="Times New Roman" w:hAnsi="Times New Roman" w:cs="Times New Roman"/>
          <w:sz w:val="24"/>
          <w:szCs w:val="24"/>
        </w:rPr>
        <w:t xml:space="preserve"> yielded a mean of 4.10 (SD = 0.65), interpreted as </w:t>
      </w:r>
      <w:r w:rsidRPr="00966AD6">
        <w:rPr>
          <w:rFonts w:ascii="Times New Roman" w:eastAsia="Times New Roman" w:hAnsi="Times New Roman" w:cs="Times New Roman"/>
          <w:i/>
          <w:iCs/>
          <w:sz w:val="24"/>
          <w:szCs w:val="24"/>
        </w:rPr>
        <w:t>agree</w:t>
      </w:r>
      <w:r w:rsidRPr="00966AD6">
        <w:rPr>
          <w:rFonts w:ascii="Times New Roman" w:eastAsia="Times New Roman" w:hAnsi="Times New Roman" w:cs="Times New Roman"/>
          <w:sz w:val="24"/>
          <w:szCs w:val="24"/>
        </w:rPr>
        <w:t xml:space="preserve">, demonstrating that students generally recognize the platform’s role in enhancing their comprehension and application of database knowledge, although there remains some variability in responses. Meanwhile, </w:t>
      </w:r>
      <w:r w:rsidRPr="00966AD6">
        <w:rPr>
          <w:rFonts w:ascii="Times New Roman" w:eastAsia="Times New Roman" w:hAnsi="Times New Roman" w:cs="Times New Roman"/>
          <w:b/>
          <w:bCs/>
          <w:sz w:val="24"/>
          <w:szCs w:val="24"/>
        </w:rPr>
        <w:t>Engagement and Motivation</w:t>
      </w:r>
      <w:r w:rsidRPr="00966AD6">
        <w:rPr>
          <w:rFonts w:ascii="Times New Roman" w:eastAsia="Times New Roman" w:hAnsi="Times New Roman" w:cs="Times New Roman"/>
          <w:sz w:val="24"/>
          <w:szCs w:val="24"/>
        </w:rPr>
        <w:t xml:space="preserve"> recorded the lowest mean (M = 3.85, SD = 0.74), though still within the </w:t>
      </w:r>
      <w:r w:rsidRPr="00966AD6">
        <w:rPr>
          <w:rFonts w:ascii="Times New Roman" w:eastAsia="Times New Roman" w:hAnsi="Times New Roman" w:cs="Times New Roman"/>
          <w:i/>
          <w:iCs/>
          <w:sz w:val="24"/>
          <w:szCs w:val="24"/>
        </w:rPr>
        <w:t>agree</w:t>
      </w:r>
      <w:r w:rsidRPr="00966AD6">
        <w:rPr>
          <w:rFonts w:ascii="Times New Roman" w:eastAsia="Times New Roman" w:hAnsi="Times New Roman" w:cs="Times New Roman"/>
          <w:sz w:val="24"/>
          <w:szCs w:val="24"/>
        </w:rPr>
        <w:t xml:space="preserve"> range, suggesting that while Oracle APEX supports active learning, there may be opportunities to further improve student engagement and motivational aspects.</w:t>
      </w:r>
    </w:p>
    <w:p w14:paraId="469CE4B3" w14:textId="77777777" w:rsidR="00966AD6" w:rsidRPr="00966AD6" w:rsidRDefault="00966AD6" w:rsidP="00966AD6">
      <w:pPr>
        <w:spacing w:after="240" w:line="240" w:lineRule="auto"/>
        <w:jc w:val="both"/>
        <w:rPr>
          <w:rFonts w:ascii="Times New Roman" w:eastAsia="Times New Roman" w:hAnsi="Times New Roman" w:cs="Times New Roman"/>
          <w:sz w:val="24"/>
          <w:szCs w:val="24"/>
        </w:rPr>
      </w:pPr>
      <w:r w:rsidRPr="00966AD6">
        <w:rPr>
          <w:rFonts w:ascii="Times New Roman" w:eastAsia="Times New Roman" w:hAnsi="Times New Roman" w:cs="Times New Roman"/>
          <w:sz w:val="24"/>
          <w:szCs w:val="24"/>
        </w:rPr>
        <w:t>Overall, the findings imply that Oracle APEX is an effective instructional tool for database education, particularly in terms of usability and perceived usefulness. However, enhancing interactive and motivational features could further strengthen student engagement and optimize learning outcomes.</w:t>
      </w:r>
    </w:p>
    <w:p w14:paraId="1B43EF64" w14:textId="0860ADCA" w:rsidR="008306C9" w:rsidRPr="007B637D" w:rsidRDefault="008306C9" w:rsidP="007B637D">
      <w:pPr>
        <w:spacing w:after="240" w:line="240" w:lineRule="auto"/>
        <w:jc w:val="center"/>
        <w:rPr>
          <w:rFonts w:ascii="Times New Roman" w:eastAsia="Times New Roman" w:hAnsi="Times New Roman" w:cs="Times New Roman"/>
          <w:b/>
          <w:bCs/>
          <w:sz w:val="24"/>
          <w:szCs w:val="24"/>
        </w:rPr>
      </w:pPr>
      <w:r w:rsidRPr="007B637D">
        <w:rPr>
          <w:rFonts w:ascii="Times New Roman" w:eastAsia="Times New Roman" w:hAnsi="Times New Roman" w:cs="Times New Roman"/>
          <w:b/>
          <w:bCs/>
          <w:sz w:val="24"/>
          <w:szCs w:val="24"/>
        </w:rPr>
        <w:t xml:space="preserve">Table 2:  Item-Level Analysis </w:t>
      </w: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5529"/>
        <w:gridCol w:w="2149"/>
        <w:gridCol w:w="1682"/>
      </w:tblGrid>
      <w:tr w:rsidR="008306C9" w14:paraId="131FF9D5" w14:textId="77777777" w:rsidTr="007B637D">
        <w:trPr>
          <w:trHeight w:val="500"/>
        </w:trPr>
        <w:tc>
          <w:tcPr>
            <w:tcW w:w="5529" w:type="dxa"/>
            <w:tcBorders>
              <w:top w:val="nil"/>
              <w:left w:val="nil"/>
              <w:bottom w:val="nil"/>
              <w:right w:val="nil"/>
            </w:tcBorders>
            <w:tcMar>
              <w:top w:w="100" w:type="dxa"/>
              <w:left w:w="100" w:type="dxa"/>
              <w:bottom w:w="100" w:type="dxa"/>
              <w:right w:w="100" w:type="dxa"/>
            </w:tcMar>
          </w:tcPr>
          <w:p w14:paraId="18439491" w14:textId="77777777" w:rsidR="008306C9" w:rsidRDefault="008306C9" w:rsidP="00694BB7">
            <w:pPr>
              <w:spacing w:before="280" w:after="280" w:line="24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Statement</w:t>
            </w:r>
          </w:p>
        </w:tc>
        <w:tc>
          <w:tcPr>
            <w:tcW w:w="2149" w:type="dxa"/>
            <w:tcBorders>
              <w:top w:val="nil"/>
              <w:left w:val="nil"/>
              <w:bottom w:val="nil"/>
              <w:right w:val="nil"/>
            </w:tcBorders>
            <w:tcMar>
              <w:top w:w="100" w:type="dxa"/>
              <w:left w:w="100" w:type="dxa"/>
              <w:bottom w:w="100" w:type="dxa"/>
              <w:right w:w="100" w:type="dxa"/>
            </w:tcMar>
          </w:tcPr>
          <w:p w14:paraId="73A72BDB" w14:textId="77777777" w:rsidR="008306C9" w:rsidRDefault="008306C9" w:rsidP="00694BB7">
            <w:pPr>
              <w:spacing w:before="280" w:after="280" w:line="24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Mean</w:t>
            </w:r>
          </w:p>
        </w:tc>
        <w:tc>
          <w:tcPr>
            <w:tcW w:w="1682" w:type="dxa"/>
            <w:tcBorders>
              <w:top w:val="nil"/>
              <w:left w:val="nil"/>
              <w:bottom w:val="nil"/>
              <w:right w:val="nil"/>
            </w:tcBorders>
            <w:tcMar>
              <w:top w:w="100" w:type="dxa"/>
              <w:left w:w="100" w:type="dxa"/>
              <w:bottom w:w="100" w:type="dxa"/>
              <w:right w:w="100" w:type="dxa"/>
            </w:tcMar>
          </w:tcPr>
          <w:p w14:paraId="6F4A5EB3" w14:textId="77777777" w:rsidR="008306C9" w:rsidRDefault="008306C9" w:rsidP="00694BB7">
            <w:pPr>
              <w:spacing w:before="280" w:after="280" w:line="24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Interpretation</w:t>
            </w:r>
          </w:p>
        </w:tc>
      </w:tr>
      <w:tr w:rsidR="008306C9" w14:paraId="1FE89006" w14:textId="77777777" w:rsidTr="007B637D">
        <w:trPr>
          <w:trHeight w:val="500"/>
        </w:trPr>
        <w:tc>
          <w:tcPr>
            <w:tcW w:w="5529" w:type="dxa"/>
            <w:tcBorders>
              <w:top w:val="nil"/>
              <w:left w:val="nil"/>
              <w:bottom w:val="nil"/>
              <w:right w:val="nil"/>
            </w:tcBorders>
            <w:tcMar>
              <w:top w:w="100" w:type="dxa"/>
              <w:left w:w="100" w:type="dxa"/>
              <w:bottom w:w="100" w:type="dxa"/>
              <w:right w:w="100" w:type="dxa"/>
            </w:tcMar>
          </w:tcPr>
          <w:p w14:paraId="4CC01D25"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learned how to use Oracle APEX quickly.</w:t>
            </w:r>
          </w:p>
        </w:tc>
        <w:tc>
          <w:tcPr>
            <w:tcW w:w="2149" w:type="dxa"/>
            <w:tcBorders>
              <w:top w:val="nil"/>
              <w:left w:val="nil"/>
              <w:bottom w:val="nil"/>
              <w:right w:val="nil"/>
            </w:tcBorders>
            <w:tcMar>
              <w:top w:w="100" w:type="dxa"/>
              <w:left w:w="100" w:type="dxa"/>
              <w:bottom w:w="100" w:type="dxa"/>
              <w:right w:w="100" w:type="dxa"/>
            </w:tcMar>
          </w:tcPr>
          <w:p w14:paraId="012AFA33"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4.30</w:t>
            </w:r>
          </w:p>
        </w:tc>
        <w:tc>
          <w:tcPr>
            <w:tcW w:w="1682" w:type="dxa"/>
            <w:tcBorders>
              <w:top w:val="nil"/>
              <w:left w:val="nil"/>
              <w:bottom w:val="nil"/>
              <w:right w:val="nil"/>
            </w:tcBorders>
            <w:tcMar>
              <w:top w:w="100" w:type="dxa"/>
              <w:left w:w="100" w:type="dxa"/>
              <w:bottom w:w="100" w:type="dxa"/>
              <w:right w:w="100" w:type="dxa"/>
            </w:tcMar>
          </w:tcPr>
          <w:p w14:paraId="68CD1D43"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r>
      <w:tr w:rsidR="008306C9" w14:paraId="408614DC" w14:textId="77777777" w:rsidTr="007B637D">
        <w:trPr>
          <w:trHeight w:val="500"/>
        </w:trPr>
        <w:tc>
          <w:tcPr>
            <w:tcW w:w="5529" w:type="dxa"/>
            <w:tcBorders>
              <w:top w:val="nil"/>
              <w:left w:val="nil"/>
              <w:bottom w:val="nil"/>
              <w:right w:val="nil"/>
            </w:tcBorders>
            <w:tcMar>
              <w:top w:w="100" w:type="dxa"/>
              <w:left w:w="100" w:type="dxa"/>
              <w:bottom w:w="100" w:type="dxa"/>
              <w:right w:w="100" w:type="dxa"/>
            </w:tcMar>
          </w:tcPr>
          <w:p w14:paraId="37E9FEB6"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Oracle APEX improved my understanding of SQL.</w:t>
            </w:r>
          </w:p>
        </w:tc>
        <w:tc>
          <w:tcPr>
            <w:tcW w:w="2149" w:type="dxa"/>
            <w:tcBorders>
              <w:top w:val="nil"/>
              <w:left w:val="nil"/>
              <w:bottom w:val="nil"/>
              <w:right w:val="nil"/>
            </w:tcBorders>
            <w:tcMar>
              <w:top w:w="100" w:type="dxa"/>
              <w:left w:w="100" w:type="dxa"/>
              <w:bottom w:w="100" w:type="dxa"/>
              <w:right w:w="100" w:type="dxa"/>
            </w:tcMar>
          </w:tcPr>
          <w:p w14:paraId="26DD5F5D"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4.15</w:t>
            </w:r>
          </w:p>
        </w:tc>
        <w:tc>
          <w:tcPr>
            <w:tcW w:w="1682" w:type="dxa"/>
            <w:tcBorders>
              <w:top w:val="nil"/>
              <w:left w:val="nil"/>
              <w:bottom w:val="nil"/>
              <w:right w:val="nil"/>
            </w:tcBorders>
            <w:tcMar>
              <w:top w:w="100" w:type="dxa"/>
              <w:left w:w="100" w:type="dxa"/>
              <w:bottom w:w="100" w:type="dxa"/>
              <w:right w:w="100" w:type="dxa"/>
            </w:tcMar>
          </w:tcPr>
          <w:p w14:paraId="15A0450F"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r>
      <w:tr w:rsidR="008306C9" w14:paraId="3F72DF73" w14:textId="77777777" w:rsidTr="007B637D">
        <w:trPr>
          <w:trHeight w:val="500"/>
        </w:trPr>
        <w:tc>
          <w:tcPr>
            <w:tcW w:w="5529" w:type="dxa"/>
            <w:tcBorders>
              <w:top w:val="nil"/>
              <w:left w:val="nil"/>
              <w:bottom w:val="nil"/>
              <w:right w:val="nil"/>
            </w:tcBorders>
            <w:tcMar>
              <w:top w:w="100" w:type="dxa"/>
              <w:left w:w="100" w:type="dxa"/>
              <w:bottom w:w="100" w:type="dxa"/>
              <w:right w:w="100" w:type="dxa"/>
            </w:tcMar>
          </w:tcPr>
          <w:p w14:paraId="72DB0F8A"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enjoyed using Oracle APEX for hands-on database tasks.</w:t>
            </w:r>
          </w:p>
        </w:tc>
        <w:tc>
          <w:tcPr>
            <w:tcW w:w="2149" w:type="dxa"/>
            <w:tcBorders>
              <w:top w:val="nil"/>
              <w:left w:val="nil"/>
              <w:bottom w:val="nil"/>
              <w:right w:val="nil"/>
            </w:tcBorders>
            <w:tcMar>
              <w:top w:w="100" w:type="dxa"/>
              <w:left w:w="100" w:type="dxa"/>
              <w:bottom w:w="100" w:type="dxa"/>
              <w:right w:w="100" w:type="dxa"/>
            </w:tcMar>
          </w:tcPr>
          <w:p w14:paraId="58F0163F"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3.90</w:t>
            </w:r>
          </w:p>
        </w:tc>
        <w:tc>
          <w:tcPr>
            <w:tcW w:w="1682" w:type="dxa"/>
            <w:tcBorders>
              <w:top w:val="nil"/>
              <w:left w:val="nil"/>
              <w:bottom w:val="nil"/>
              <w:right w:val="nil"/>
            </w:tcBorders>
            <w:tcMar>
              <w:top w:w="100" w:type="dxa"/>
              <w:left w:w="100" w:type="dxa"/>
              <w:bottom w:w="100" w:type="dxa"/>
              <w:right w:w="100" w:type="dxa"/>
            </w:tcMar>
          </w:tcPr>
          <w:p w14:paraId="0D924522"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r>
      <w:tr w:rsidR="008306C9" w14:paraId="707155C3" w14:textId="77777777" w:rsidTr="007B637D">
        <w:trPr>
          <w:trHeight w:val="500"/>
        </w:trPr>
        <w:tc>
          <w:tcPr>
            <w:tcW w:w="5529" w:type="dxa"/>
            <w:tcBorders>
              <w:top w:val="nil"/>
              <w:left w:val="nil"/>
              <w:bottom w:val="nil"/>
              <w:right w:val="nil"/>
            </w:tcBorders>
            <w:tcMar>
              <w:top w:w="100" w:type="dxa"/>
              <w:left w:w="100" w:type="dxa"/>
              <w:bottom w:w="100" w:type="dxa"/>
              <w:right w:w="100" w:type="dxa"/>
            </w:tcMar>
          </w:tcPr>
          <w:p w14:paraId="34F31E29"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layout of Oracle APEX is user-friendly.</w:t>
            </w:r>
          </w:p>
        </w:tc>
        <w:tc>
          <w:tcPr>
            <w:tcW w:w="2149" w:type="dxa"/>
            <w:tcBorders>
              <w:top w:val="nil"/>
              <w:left w:val="nil"/>
              <w:bottom w:val="nil"/>
              <w:right w:val="nil"/>
            </w:tcBorders>
            <w:tcMar>
              <w:top w:w="100" w:type="dxa"/>
              <w:left w:w="100" w:type="dxa"/>
              <w:bottom w:w="100" w:type="dxa"/>
              <w:right w:w="100" w:type="dxa"/>
            </w:tcMar>
          </w:tcPr>
          <w:p w14:paraId="6DD8ED7F"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4.25</w:t>
            </w:r>
          </w:p>
        </w:tc>
        <w:tc>
          <w:tcPr>
            <w:tcW w:w="1682" w:type="dxa"/>
            <w:tcBorders>
              <w:top w:val="nil"/>
              <w:left w:val="nil"/>
              <w:bottom w:val="nil"/>
              <w:right w:val="nil"/>
            </w:tcBorders>
            <w:tcMar>
              <w:top w:w="100" w:type="dxa"/>
              <w:left w:w="100" w:type="dxa"/>
              <w:bottom w:w="100" w:type="dxa"/>
              <w:right w:w="100" w:type="dxa"/>
            </w:tcMar>
          </w:tcPr>
          <w:p w14:paraId="361C22D7"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r>
      <w:tr w:rsidR="008306C9" w14:paraId="692F9BD3" w14:textId="77777777" w:rsidTr="007B637D">
        <w:trPr>
          <w:trHeight w:val="770"/>
        </w:trPr>
        <w:tc>
          <w:tcPr>
            <w:tcW w:w="5529" w:type="dxa"/>
            <w:tcBorders>
              <w:top w:val="nil"/>
              <w:left w:val="nil"/>
              <w:bottom w:val="nil"/>
              <w:right w:val="nil"/>
            </w:tcBorders>
            <w:tcMar>
              <w:top w:w="100" w:type="dxa"/>
              <w:left w:w="100" w:type="dxa"/>
              <w:bottom w:w="100" w:type="dxa"/>
              <w:right w:w="100" w:type="dxa"/>
            </w:tcMar>
          </w:tcPr>
          <w:p w14:paraId="46F41ADE"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would recommend Oracle APEX to other students learning databases.</w:t>
            </w:r>
          </w:p>
        </w:tc>
        <w:tc>
          <w:tcPr>
            <w:tcW w:w="2149" w:type="dxa"/>
            <w:tcBorders>
              <w:top w:val="nil"/>
              <w:left w:val="nil"/>
              <w:bottom w:val="nil"/>
              <w:right w:val="nil"/>
            </w:tcBorders>
            <w:tcMar>
              <w:top w:w="100" w:type="dxa"/>
              <w:left w:w="100" w:type="dxa"/>
              <w:bottom w:w="100" w:type="dxa"/>
              <w:right w:w="100" w:type="dxa"/>
            </w:tcMar>
          </w:tcPr>
          <w:p w14:paraId="1DB78866"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4.35</w:t>
            </w:r>
          </w:p>
        </w:tc>
        <w:tc>
          <w:tcPr>
            <w:tcW w:w="1682" w:type="dxa"/>
            <w:tcBorders>
              <w:top w:val="nil"/>
              <w:left w:val="nil"/>
              <w:bottom w:val="nil"/>
              <w:right w:val="nil"/>
            </w:tcBorders>
            <w:tcMar>
              <w:top w:w="100" w:type="dxa"/>
              <w:left w:w="100" w:type="dxa"/>
              <w:bottom w:w="100" w:type="dxa"/>
              <w:right w:w="100" w:type="dxa"/>
            </w:tcMar>
          </w:tcPr>
          <w:p w14:paraId="24F86B0D" w14:textId="77777777" w:rsidR="008306C9" w:rsidRDefault="008306C9" w:rsidP="00694BB7">
            <w:pPr>
              <w:spacing w:before="280" w:after="2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r>
    </w:tbl>
    <w:p w14:paraId="04708056" w14:textId="77777777" w:rsidR="00966AD6" w:rsidRPr="00966AD6" w:rsidRDefault="00966AD6" w:rsidP="00966AD6">
      <w:pPr>
        <w:spacing w:before="280" w:after="280" w:line="240" w:lineRule="auto"/>
        <w:jc w:val="both"/>
        <w:rPr>
          <w:rFonts w:ascii="Times New Roman" w:eastAsia="Times New Roman" w:hAnsi="Times New Roman" w:cs="Times New Roman"/>
          <w:sz w:val="24"/>
          <w:szCs w:val="24"/>
        </w:rPr>
      </w:pPr>
      <w:bookmarkStart w:id="1" w:name="_heading=h.4w8cj2s7soz" w:colFirst="0" w:colLast="0"/>
      <w:bookmarkEnd w:id="1"/>
      <w:r w:rsidRPr="00966AD6">
        <w:rPr>
          <w:rFonts w:ascii="Times New Roman" w:eastAsia="Times New Roman" w:hAnsi="Times New Roman" w:cs="Times New Roman"/>
          <w:sz w:val="24"/>
          <w:szCs w:val="24"/>
        </w:rPr>
        <w:t>The item-level analysis presented in Table 2 further substantiates the positive perceptions of students regarding the use of Oracle APEX as a learning tool in database education. The results reveal consistently high mean scores across all selected indicators, suggesting favorable student experiences in terms of usability, learning support, and overall acceptance.</w:t>
      </w:r>
    </w:p>
    <w:p w14:paraId="6AF807BB" w14:textId="77777777" w:rsidR="00966AD6" w:rsidRPr="00966AD6" w:rsidRDefault="00966AD6" w:rsidP="00966AD6">
      <w:pPr>
        <w:spacing w:before="280" w:after="280" w:line="240" w:lineRule="auto"/>
        <w:jc w:val="both"/>
        <w:rPr>
          <w:rFonts w:ascii="Times New Roman" w:eastAsia="Times New Roman" w:hAnsi="Times New Roman" w:cs="Times New Roman"/>
          <w:sz w:val="24"/>
          <w:szCs w:val="24"/>
        </w:rPr>
      </w:pPr>
      <w:r w:rsidRPr="00966AD6">
        <w:rPr>
          <w:rFonts w:ascii="Times New Roman" w:eastAsia="Times New Roman" w:hAnsi="Times New Roman" w:cs="Times New Roman"/>
          <w:sz w:val="24"/>
          <w:szCs w:val="24"/>
        </w:rPr>
        <w:t xml:space="preserve">The statement </w:t>
      </w:r>
      <w:r w:rsidRPr="00966AD6">
        <w:rPr>
          <w:rFonts w:ascii="Times New Roman" w:eastAsia="Times New Roman" w:hAnsi="Times New Roman" w:cs="Times New Roman"/>
          <w:i/>
          <w:iCs/>
          <w:sz w:val="24"/>
          <w:szCs w:val="24"/>
        </w:rPr>
        <w:t>“I would recommend Oracle APEX to other students learning databases”</w:t>
      </w:r>
      <w:r w:rsidRPr="00966AD6">
        <w:rPr>
          <w:rFonts w:ascii="Times New Roman" w:eastAsia="Times New Roman" w:hAnsi="Times New Roman" w:cs="Times New Roman"/>
          <w:sz w:val="24"/>
          <w:szCs w:val="24"/>
        </w:rPr>
        <w:t xml:space="preserve"> obtained the highest mean (M = 4.35), interpreted as </w:t>
      </w:r>
      <w:r w:rsidRPr="00966AD6">
        <w:rPr>
          <w:rFonts w:ascii="Times New Roman" w:eastAsia="Times New Roman" w:hAnsi="Times New Roman" w:cs="Times New Roman"/>
          <w:i/>
          <w:iCs/>
          <w:sz w:val="24"/>
          <w:szCs w:val="24"/>
        </w:rPr>
        <w:t>strongly agree</w:t>
      </w:r>
      <w:r w:rsidRPr="00966AD6">
        <w:rPr>
          <w:rFonts w:ascii="Times New Roman" w:eastAsia="Times New Roman" w:hAnsi="Times New Roman" w:cs="Times New Roman"/>
          <w:sz w:val="24"/>
          <w:szCs w:val="24"/>
        </w:rPr>
        <w:t xml:space="preserve">, indicating a strong endorsement of the platform. This reflects not only satisfaction but also a high level of confidence in its effectiveness as an instructional tool. Similarly, the item </w:t>
      </w:r>
      <w:r w:rsidRPr="00966AD6">
        <w:rPr>
          <w:rFonts w:ascii="Times New Roman" w:eastAsia="Times New Roman" w:hAnsi="Times New Roman" w:cs="Times New Roman"/>
          <w:i/>
          <w:iCs/>
          <w:sz w:val="24"/>
          <w:szCs w:val="24"/>
        </w:rPr>
        <w:t>“I learned how to use Oracle APEX quickly”</w:t>
      </w:r>
      <w:r w:rsidRPr="00966AD6">
        <w:rPr>
          <w:rFonts w:ascii="Times New Roman" w:eastAsia="Times New Roman" w:hAnsi="Times New Roman" w:cs="Times New Roman"/>
          <w:sz w:val="24"/>
          <w:szCs w:val="24"/>
        </w:rPr>
        <w:t xml:space="preserve"> (M = 4.30) and </w:t>
      </w:r>
      <w:r w:rsidRPr="00966AD6">
        <w:rPr>
          <w:rFonts w:ascii="Times New Roman" w:eastAsia="Times New Roman" w:hAnsi="Times New Roman" w:cs="Times New Roman"/>
          <w:i/>
          <w:iCs/>
          <w:sz w:val="24"/>
          <w:szCs w:val="24"/>
        </w:rPr>
        <w:t>“The layout of Oracle APEX is user-friendly”</w:t>
      </w:r>
      <w:r w:rsidRPr="00966AD6">
        <w:rPr>
          <w:rFonts w:ascii="Times New Roman" w:eastAsia="Times New Roman" w:hAnsi="Times New Roman" w:cs="Times New Roman"/>
          <w:sz w:val="24"/>
          <w:szCs w:val="24"/>
        </w:rPr>
        <w:t xml:space="preserve"> (M = 4.25) both received </w:t>
      </w:r>
      <w:r w:rsidRPr="00966AD6">
        <w:rPr>
          <w:rFonts w:ascii="Times New Roman" w:eastAsia="Times New Roman" w:hAnsi="Times New Roman" w:cs="Times New Roman"/>
          <w:i/>
          <w:iCs/>
          <w:sz w:val="24"/>
          <w:szCs w:val="24"/>
        </w:rPr>
        <w:t>strongly agree</w:t>
      </w:r>
      <w:r w:rsidRPr="00966AD6">
        <w:rPr>
          <w:rFonts w:ascii="Times New Roman" w:eastAsia="Times New Roman" w:hAnsi="Times New Roman" w:cs="Times New Roman"/>
          <w:sz w:val="24"/>
          <w:szCs w:val="24"/>
        </w:rPr>
        <w:t xml:space="preserve"> ratings, reinforcing the earlier finding that the platform is intuitive and easy to navigate, which is critical for reducing cognitive load among learners.</w:t>
      </w:r>
    </w:p>
    <w:p w14:paraId="484D7C61" w14:textId="77777777" w:rsidR="00966AD6" w:rsidRPr="00966AD6" w:rsidRDefault="00966AD6" w:rsidP="00966AD6">
      <w:pPr>
        <w:spacing w:before="280" w:after="280" w:line="240" w:lineRule="auto"/>
        <w:jc w:val="both"/>
        <w:rPr>
          <w:rFonts w:ascii="Times New Roman" w:eastAsia="Times New Roman" w:hAnsi="Times New Roman" w:cs="Times New Roman"/>
          <w:sz w:val="24"/>
          <w:szCs w:val="24"/>
        </w:rPr>
      </w:pPr>
      <w:r w:rsidRPr="00966AD6">
        <w:rPr>
          <w:rFonts w:ascii="Times New Roman" w:eastAsia="Times New Roman" w:hAnsi="Times New Roman" w:cs="Times New Roman"/>
          <w:sz w:val="24"/>
          <w:szCs w:val="24"/>
        </w:rPr>
        <w:t xml:space="preserve">In terms of learning outcomes, the statement </w:t>
      </w:r>
      <w:r w:rsidRPr="00966AD6">
        <w:rPr>
          <w:rFonts w:ascii="Times New Roman" w:eastAsia="Times New Roman" w:hAnsi="Times New Roman" w:cs="Times New Roman"/>
          <w:i/>
          <w:iCs/>
          <w:sz w:val="24"/>
          <w:szCs w:val="24"/>
        </w:rPr>
        <w:t>“Oracle APEX improved my understanding of SQL”</w:t>
      </w:r>
      <w:r w:rsidRPr="00966AD6">
        <w:rPr>
          <w:rFonts w:ascii="Times New Roman" w:eastAsia="Times New Roman" w:hAnsi="Times New Roman" w:cs="Times New Roman"/>
          <w:sz w:val="24"/>
          <w:szCs w:val="24"/>
        </w:rPr>
        <w:t xml:space="preserve"> achieved a mean of 4.15 (</w:t>
      </w:r>
      <w:r w:rsidRPr="00966AD6">
        <w:rPr>
          <w:rFonts w:ascii="Times New Roman" w:eastAsia="Times New Roman" w:hAnsi="Times New Roman" w:cs="Times New Roman"/>
          <w:i/>
          <w:iCs/>
          <w:sz w:val="24"/>
          <w:szCs w:val="24"/>
        </w:rPr>
        <w:t>agree</w:t>
      </w:r>
      <w:r w:rsidRPr="00966AD6">
        <w:rPr>
          <w:rFonts w:ascii="Times New Roman" w:eastAsia="Times New Roman" w:hAnsi="Times New Roman" w:cs="Times New Roman"/>
          <w:sz w:val="24"/>
          <w:szCs w:val="24"/>
        </w:rPr>
        <w:t xml:space="preserve">), suggesting that the platform contributes positively to students’ conceptual and practical grasp of database querying. Additionally, </w:t>
      </w:r>
      <w:r w:rsidRPr="00966AD6">
        <w:rPr>
          <w:rFonts w:ascii="Times New Roman" w:eastAsia="Times New Roman" w:hAnsi="Times New Roman" w:cs="Times New Roman"/>
          <w:i/>
          <w:iCs/>
          <w:sz w:val="24"/>
          <w:szCs w:val="24"/>
        </w:rPr>
        <w:t>“I enjoyed using Oracle APEX for hands-on database tasks”</w:t>
      </w:r>
      <w:r w:rsidRPr="00966AD6">
        <w:rPr>
          <w:rFonts w:ascii="Times New Roman" w:eastAsia="Times New Roman" w:hAnsi="Times New Roman" w:cs="Times New Roman"/>
          <w:sz w:val="24"/>
          <w:szCs w:val="24"/>
        </w:rPr>
        <w:t xml:space="preserve"> (M = 3.90, </w:t>
      </w:r>
      <w:r w:rsidRPr="00966AD6">
        <w:rPr>
          <w:rFonts w:ascii="Times New Roman" w:eastAsia="Times New Roman" w:hAnsi="Times New Roman" w:cs="Times New Roman"/>
          <w:i/>
          <w:iCs/>
          <w:sz w:val="24"/>
          <w:szCs w:val="24"/>
        </w:rPr>
        <w:t>agree</w:t>
      </w:r>
      <w:r w:rsidRPr="00966AD6">
        <w:rPr>
          <w:rFonts w:ascii="Times New Roman" w:eastAsia="Times New Roman" w:hAnsi="Times New Roman" w:cs="Times New Roman"/>
          <w:sz w:val="24"/>
          <w:szCs w:val="24"/>
        </w:rPr>
        <w:t>) indicates that while students generally had a positive experience, the level of enjoyment and engagement may still be enhanced through more interactive or gamified features.</w:t>
      </w:r>
    </w:p>
    <w:p w14:paraId="5FA9815C" w14:textId="77777777" w:rsidR="00966AD6" w:rsidRPr="00966AD6" w:rsidRDefault="00966AD6" w:rsidP="00966AD6">
      <w:pPr>
        <w:spacing w:before="280" w:after="280" w:line="240" w:lineRule="auto"/>
        <w:jc w:val="both"/>
        <w:rPr>
          <w:rFonts w:ascii="Times New Roman" w:eastAsia="Times New Roman" w:hAnsi="Times New Roman" w:cs="Times New Roman"/>
          <w:sz w:val="24"/>
          <w:szCs w:val="24"/>
        </w:rPr>
      </w:pPr>
      <w:r w:rsidRPr="00966AD6">
        <w:rPr>
          <w:rFonts w:ascii="Times New Roman" w:eastAsia="Times New Roman" w:hAnsi="Times New Roman" w:cs="Times New Roman"/>
          <w:sz w:val="24"/>
          <w:szCs w:val="24"/>
        </w:rPr>
        <w:t>Overall, the item-level findings corroborate the dimension-level results, highlighting Oracle APEX as an effective, user-friendly, and recommendable tool for teaching and learning database concepts. Nonetheless, slight variations in engagement-related items suggest opportunities for further instructional design improvements to maximize student motivation and experiential learning.</w:t>
      </w:r>
    </w:p>
    <w:p w14:paraId="081DD358" w14:textId="66ED2F90" w:rsidR="008D317F" w:rsidRPr="00C00CA0" w:rsidRDefault="00D877F6" w:rsidP="00C00CA0">
      <w:pPr>
        <w:spacing w:before="280" w:after="280" w:line="240" w:lineRule="auto"/>
        <w:jc w:val="both"/>
        <w:rPr>
          <w:rFonts w:ascii="Times New Roman" w:eastAsia="Times New Roman" w:hAnsi="Times New Roman" w:cs="Times New Roman"/>
          <w:b/>
          <w:sz w:val="24"/>
          <w:szCs w:val="24"/>
        </w:rPr>
      </w:pPr>
      <w:r w:rsidRPr="00C00CA0">
        <w:rPr>
          <w:rFonts w:ascii="Times New Roman" w:eastAsia="Times New Roman" w:hAnsi="Times New Roman" w:cs="Times New Roman"/>
          <w:b/>
          <w:sz w:val="24"/>
          <w:szCs w:val="24"/>
        </w:rPr>
        <w:t>Conclusions and Recommendation</w:t>
      </w:r>
    </w:p>
    <w:p w14:paraId="7B41899E" w14:textId="48C633D6" w:rsidR="008D317F" w:rsidRDefault="00000000" w:rsidP="00E13D6D">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kind of study measures the importance of database topics on their chosen field of study. With positive feedback from the student this could be an avenue to improve the quality of education in the senior high learning database. Upon acquiring the knowledge and skills in the ICT enhancement doing and learning database, this could improve the way learning in the classroom for the future. Quality topics like Database develop critical thinking skills, analysis and </w:t>
      </w:r>
      <w:proofErr w:type="gramStart"/>
      <w:r w:rsidR="00E13D6D">
        <w:rPr>
          <w:rFonts w:ascii="Times New Roman" w:eastAsia="Times New Roman" w:hAnsi="Times New Roman" w:cs="Times New Roman"/>
          <w:sz w:val="24"/>
          <w:szCs w:val="24"/>
        </w:rPr>
        <w:t>skill based</w:t>
      </w:r>
      <w:proofErr w:type="gramEnd"/>
      <w:r>
        <w:rPr>
          <w:rFonts w:ascii="Times New Roman" w:eastAsia="Times New Roman" w:hAnsi="Times New Roman" w:cs="Times New Roman"/>
          <w:sz w:val="24"/>
          <w:szCs w:val="24"/>
        </w:rPr>
        <w:t xml:space="preserve"> instruction.</w:t>
      </w:r>
    </w:p>
    <w:p w14:paraId="1C496A83" w14:textId="68BA8446" w:rsidR="008D317F" w:rsidRPr="00C00CA0" w:rsidRDefault="00C02731" w:rsidP="008306C9">
      <w:pPr>
        <w:spacing w:before="280" w:after="280" w:line="240" w:lineRule="auto"/>
        <w:jc w:val="both"/>
        <w:rPr>
          <w:rFonts w:ascii="Times New Roman" w:eastAsia="Times New Roman" w:hAnsi="Times New Roman" w:cs="Times New Roman"/>
          <w:b/>
          <w:bCs/>
          <w:sz w:val="24"/>
          <w:szCs w:val="24"/>
        </w:rPr>
      </w:pPr>
      <w:bookmarkStart w:id="2" w:name="_heading=h.bpodygjub1dg" w:colFirst="0" w:colLast="0"/>
      <w:bookmarkEnd w:id="2"/>
      <w:r w:rsidRPr="00C00CA0">
        <w:rPr>
          <w:rFonts w:ascii="Times New Roman" w:eastAsia="Times New Roman" w:hAnsi="Times New Roman" w:cs="Times New Roman"/>
          <w:b/>
          <w:bCs/>
          <w:sz w:val="24"/>
          <w:szCs w:val="24"/>
        </w:rPr>
        <w:t>R</w:t>
      </w:r>
      <w:r w:rsidR="000F6BDA">
        <w:rPr>
          <w:rFonts w:ascii="Times New Roman" w:eastAsia="Times New Roman" w:hAnsi="Times New Roman" w:cs="Times New Roman"/>
          <w:b/>
          <w:bCs/>
          <w:sz w:val="24"/>
          <w:szCs w:val="24"/>
        </w:rPr>
        <w:t>EFERENCES</w:t>
      </w:r>
    </w:p>
    <w:p w14:paraId="4D9E1E1F" w14:textId="77777777" w:rsidR="006E46D8" w:rsidRPr="006E46D8" w:rsidRDefault="006E46D8" w:rsidP="006E46D8">
      <w:pPr>
        <w:spacing w:before="280" w:after="280" w:line="240" w:lineRule="auto"/>
        <w:jc w:val="both"/>
        <w:rPr>
          <w:rFonts w:ascii="Times New Roman" w:eastAsia="Times New Roman" w:hAnsi="Times New Roman" w:cs="Times New Roman"/>
          <w:sz w:val="24"/>
          <w:szCs w:val="24"/>
        </w:rPr>
      </w:pPr>
      <w:r w:rsidRPr="006E46D8">
        <w:rPr>
          <w:rFonts w:ascii="Times New Roman" w:eastAsia="Times New Roman" w:hAnsi="Times New Roman" w:cs="Times New Roman"/>
          <w:sz w:val="24"/>
          <w:szCs w:val="24"/>
        </w:rPr>
        <w:t xml:space="preserve">Connolly, T., &amp; Begg, C. (2015). </w:t>
      </w:r>
      <w:r w:rsidRPr="006E46D8">
        <w:rPr>
          <w:rFonts w:ascii="Times New Roman" w:eastAsia="Times New Roman" w:hAnsi="Times New Roman" w:cs="Times New Roman"/>
          <w:i/>
          <w:iCs/>
          <w:sz w:val="24"/>
          <w:szCs w:val="24"/>
        </w:rPr>
        <w:t>Database systems: A practical approach to design, implementation, and management</w:t>
      </w:r>
      <w:r w:rsidRPr="006E46D8">
        <w:rPr>
          <w:rFonts w:ascii="Times New Roman" w:eastAsia="Times New Roman" w:hAnsi="Times New Roman" w:cs="Times New Roman"/>
          <w:sz w:val="24"/>
          <w:szCs w:val="24"/>
        </w:rPr>
        <w:t xml:space="preserve"> (6th ed.). Pearson.</w:t>
      </w:r>
    </w:p>
    <w:p w14:paraId="45F65BBC" w14:textId="77777777" w:rsidR="006E46D8" w:rsidRPr="006E46D8" w:rsidRDefault="006E46D8" w:rsidP="006E46D8">
      <w:pPr>
        <w:spacing w:before="280" w:after="280" w:line="240" w:lineRule="auto"/>
        <w:jc w:val="both"/>
        <w:rPr>
          <w:rFonts w:ascii="Times New Roman" w:eastAsia="Times New Roman" w:hAnsi="Times New Roman" w:cs="Times New Roman"/>
          <w:sz w:val="24"/>
          <w:szCs w:val="24"/>
        </w:rPr>
      </w:pPr>
      <w:r w:rsidRPr="006E46D8">
        <w:rPr>
          <w:rFonts w:ascii="Times New Roman" w:eastAsia="Times New Roman" w:hAnsi="Times New Roman" w:cs="Times New Roman"/>
          <w:sz w:val="24"/>
          <w:szCs w:val="24"/>
        </w:rPr>
        <w:t xml:space="preserve">Elmasri, R., &amp; Navathe, S. B. (2016). </w:t>
      </w:r>
      <w:r w:rsidRPr="006E46D8">
        <w:rPr>
          <w:rFonts w:ascii="Times New Roman" w:eastAsia="Times New Roman" w:hAnsi="Times New Roman" w:cs="Times New Roman"/>
          <w:i/>
          <w:iCs/>
          <w:sz w:val="24"/>
          <w:szCs w:val="24"/>
        </w:rPr>
        <w:t>Fundamentals of database systems</w:t>
      </w:r>
      <w:r w:rsidRPr="006E46D8">
        <w:rPr>
          <w:rFonts w:ascii="Times New Roman" w:eastAsia="Times New Roman" w:hAnsi="Times New Roman" w:cs="Times New Roman"/>
          <w:sz w:val="24"/>
          <w:szCs w:val="24"/>
        </w:rPr>
        <w:t xml:space="preserve"> (7th ed.). Pearson.</w:t>
      </w:r>
    </w:p>
    <w:p w14:paraId="172A1849" w14:textId="77777777" w:rsidR="006E46D8" w:rsidRPr="006E46D8" w:rsidRDefault="006E46D8" w:rsidP="006E46D8">
      <w:pPr>
        <w:spacing w:before="280" w:after="280" w:line="240" w:lineRule="auto"/>
        <w:jc w:val="both"/>
        <w:rPr>
          <w:rFonts w:ascii="Times New Roman" w:eastAsia="Times New Roman" w:hAnsi="Times New Roman" w:cs="Times New Roman"/>
          <w:sz w:val="24"/>
          <w:szCs w:val="24"/>
        </w:rPr>
      </w:pPr>
      <w:r w:rsidRPr="006E46D8">
        <w:rPr>
          <w:rFonts w:ascii="Times New Roman" w:eastAsia="Times New Roman" w:hAnsi="Times New Roman" w:cs="Times New Roman"/>
          <w:sz w:val="24"/>
          <w:szCs w:val="24"/>
        </w:rPr>
        <w:t xml:space="preserve">Haas, L. M. (1988). Incorporating INGRES into database education. </w:t>
      </w:r>
      <w:r w:rsidRPr="006E46D8">
        <w:rPr>
          <w:rFonts w:ascii="Times New Roman" w:eastAsia="Times New Roman" w:hAnsi="Times New Roman" w:cs="Times New Roman"/>
          <w:i/>
          <w:iCs/>
          <w:sz w:val="24"/>
          <w:szCs w:val="24"/>
        </w:rPr>
        <w:t>ACM SIGCSE Bulletin, 20</w:t>
      </w:r>
      <w:r w:rsidRPr="006E46D8">
        <w:rPr>
          <w:rFonts w:ascii="Times New Roman" w:eastAsia="Times New Roman" w:hAnsi="Times New Roman" w:cs="Times New Roman"/>
          <w:sz w:val="24"/>
          <w:szCs w:val="24"/>
        </w:rPr>
        <w:t>(1), 176–180. https://doi.org/10.1145/52964.52998</w:t>
      </w:r>
    </w:p>
    <w:p w14:paraId="44F26BF4" w14:textId="77777777" w:rsidR="006E46D8" w:rsidRPr="006E46D8" w:rsidRDefault="006E46D8" w:rsidP="006E46D8">
      <w:pPr>
        <w:spacing w:before="280" w:after="280" w:line="240" w:lineRule="auto"/>
        <w:jc w:val="both"/>
        <w:rPr>
          <w:rFonts w:ascii="Times New Roman" w:eastAsia="Times New Roman" w:hAnsi="Times New Roman" w:cs="Times New Roman"/>
          <w:sz w:val="24"/>
          <w:szCs w:val="24"/>
        </w:rPr>
      </w:pPr>
      <w:r w:rsidRPr="006E46D8">
        <w:rPr>
          <w:rFonts w:ascii="Times New Roman" w:eastAsia="Times New Roman" w:hAnsi="Times New Roman" w:cs="Times New Roman"/>
          <w:sz w:val="24"/>
          <w:szCs w:val="24"/>
        </w:rPr>
        <w:t xml:space="preserve">Rob, P., &amp; Coronel, C. (2009). </w:t>
      </w:r>
      <w:r w:rsidRPr="006E46D8">
        <w:rPr>
          <w:rFonts w:ascii="Times New Roman" w:eastAsia="Times New Roman" w:hAnsi="Times New Roman" w:cs="Times New Roman"/>
          <w:i/>
          <w:iCs/>
          <w:sz w:val="24"/>
          <w:szCs w:val="24"/>
        </w:rPr>
        <w:t>Database systems: Design, implementation, and management</w:t>
      </w:r>
      <w:r w:rsidRPr="006E46D8">
        <w:rPr>
          <w:rFonts w:ascii="Times New Roman" w:eastAsia="Times New Roman" w:hAnsi="Times New Roman" w:cs="Times New Roman"/>
          <w:sz w:val="24"/>
          <w:szCs w:val="24"/>
        </w:rPr>
        <w:t xml:space="preserve"> (9th ed.). Cengage Learning.</w:t>
      </w:r>
    </w:p>
    <w:p w14:paraId="23245BC4" w14:textId="77777777" w:rsidR="006E46D8" w:rsidRPr="006E46D8" w:rsidRDefault="006E46D8" w:rsidP="006E46D8">
      <w:pPr>
        <w:spacing w:before="280" w:after="280" w:line="240" w:lineRule="auto"/>
        <w:jc w:val="both"/>
        <w:rPr>
          <w:rFonts w:ascii="Times New Roman" w:eastAsia="Times New Roman" w:hAnsi="Times New Roman" w:cs="Times New Roman"/>
          <w:sz w:val="24"/>
          <w:szCs w:val="24"/>
        </w:rPr>
      </w:pPr>
      <w:r w:rsidRPr="006E46D8">
        <w:rPr>
          <w:rFonts w:ascii="Times New Roman" w:eastAsia="Times New Roman" w:hAnsi="Times New Roman" w:cs="Times New Roman"/>
          <w:sz w:val="24"/>
          <w:szCs w:val="24"/>
        </w:rPr>
        <w:t xml:space="preserve">Sastry, V. N. (2015). Designing database curriculum to meet industry and academic requirements. </w:t>
      </w:r>
      <w:r w:rsidRPr="006E46D8">
        <w:rPr>
          <w:rFonts w:ascii="Times New Roman" w:eastAsia="Times New Roman" w:hAnsi="Times New Roman" w:cs="Times New Roman"/>
          <w:i/>
          <w:iCs/>
          <w:sz w:val="24"/>
          <w:szCs w:val="24"/>
        </w:rPr>
        <w:t>International Journal of Computer Applications, 115</w:t>
      </w:r>
      <w:r w:rsidRPr="006E46D8">
        <w:rPr>
          <w:rFonts w:ascii="Times New Roman" w:eastAsia="Times New Roman" w:hAnsi="Times New Roman" w:cs="Times New Roman"/>
          <w:sz w:val="24"/>
          <w:szCs w:val="24"/>
        </w:rPr>
        <w:t>(12), 1–4. https://doi.org/10.5120/20202-2403</w:t>
      </w:r>
    </w:p>
    <w:p w14:paraId="44E125CD" w14:textId="77777777" w:rsidR="006E46D8" w:rsidRPr="006E46D8" w:rsidRDefault="006E46D8" w:rsidP="006E46D8">
      <w:pPr>
        <w:spacing w:before="280" w:after="280" w:line="240" w:lineRule="auto"/>
        <w:jc w:val="both"/>
        <w:rPr>
          <w:rFonts w:ascii="Times New Roman" w:eastAsia="Times New Roman" w:hAnsi="Times New Roman" w:cs="Times New Roman"/>
          <w:sz w:val="24"/>
          <w:szCs w:val="24"/>
        </w:rPr>
      </w:pPr>
      <w:r w:rsidRPr="006E46D8">
        <w:rPr>
          <w:rFonts w:ascii="Times New Roman" w:eastAsia="Times New Roman" w:hAnsi="Times New Roman" w:cs="Times New Roman"/>
          <w:sz w:val="24"/>
          <w:szCs w:val="24"/>
        </w:rPr>
        <w:t xml:space="preserve">Tomlinson, C. A. (2014). </w:t>
      </w:r>
      <w:r w:rsidRPr="006E46D8">
        <w:rPr>
          <w:rFonts w:ascii="Times New Roman" w:eastAsia="Times New Roman" w:hAnsi="Times New Roman" w:cs="Times New Roman"/>
          <w:i/>
          <w:iCs/>
          <w:sz w:val="24"/>
          <w:szCs w:val="24"/>
        </w:rPr>
        <w:t>The differentiated classroom: Responding to the needs of all learners</w:t>
      </w:r>
      <w:r w:rsidRPr="006E46D8">
        <w:rPr>
          <w:rFonts w:ascii="Times New Roman" w:eastAsia="Times New Roman" w:hAnsi="Times New Roman" w:cs="Times New Roman"/>
          <w:sz w:val="24"/>
          <w:szCs w:val="24"/>
        </w:rPr>
        <w:t xml:space="preserve"> (2nd ed.). ASCD.</w:t>
      </w:r>
    </w:p>
    <w:p w14:paraId="0C73FAC6" w14:textId="77777777" w:rsidR="006E46D8" w:rsidRDefault="006E46D8" w:rsidP="006E46D8">
      <w:pPr>
        <w:spacing w:before="280" w:after="280" w:line="240" w:lineRule="auto"/>
        <w:jc w:val="both"/>
        <w:rPr>
          <w:rFonts w:ascii="Times New Roman" w:eastAsia="Times New Roman" w:hAnsi="Times New Roman" w:cs="Times New Roman"/>
          <w:sz w:val="24"/>
          <w:szCs w:val="24"/>
        </w:rPr>
      </w:pPr>
      <w:r w:rsidRPr="006E46D8">
        <w:rPr>
          <w:rFonts w:ascii="Times New Roman" w:eastAsia="Times New Roman" w:hAnsi="Times New Roman" w:cs="Times New Roman"/>
          <w:sz w:val="24"/>
          <w:szCs w:val="24"/>
        </w:rPr>
        <w:t xml:space="preserve">Udoh, E. U. (2006). Integrating a comprehensive database project across the curriculum. </w:t>
      </w:r>
      <w:r w:rsidRPr="006E46D8">
        <w:rPr>
          <w:rFonts w:ascii="Times New Roman" w:eastAsia="Times New Roman" w:hAnsi="Times New Roman" w:cs="Times New Roman"/>
          <w:i/>
          <w:iCs/>
          <w:sz w:val="24"/>
          <w:szCs w:val="24"/>
        </w:rPr>
        <w:t>Information Systems Education Journal, 4</w:t>
      </w:r>
      <w:r w:rsidRPr="006E46D8">
        <w:rPr>
          <w:rFonts w:ascii="Times New Roman" w:eastAsia="Times New Roman" w:hAnsi="Times New Roman" w:cs="Times New Roman"/>
          <w:sz w:val="24"/>
          <w:szCs w:val="24"/>
        </w:rPr>
        <w:t>(63), 1–10.</w:t>
      </w:r>
    </w:p>
    <w:p w14:paraId="212C9710" w14:textId="77777777" w:rsidR="009E7257" w:rsidRPr="009E7257" w:rsidRDefault="009E7257" w:rsidP="009E7257">
      <w:pPr>
        <w:spacing w:before="280" w:after="280" w:line="240" w:lineRule="auto"/>
        <w:jc w:val="both"/>
        <w:rPr>
          <w:rFonts w:ascii="Times New Roman" w:eastAsia="Times New Roman" w:hAnsi="Times New Roman" w:cs="Times New Roman"/>
          <w:sz w:val="24"/>
          <w:szCs w:val="24"/>
        </w:rPr>
      </w:pPr>
      <w:proofErr w:type="spellStart"/>
      <w:r w:rsidRPr="009E7257">
        <w:rPr>
          <w:rFonts w:ascii="Times New Roman" w:eastAsia="Times New Roman" w:hAnsi="Times New Roman" w:cs="Times New Roman"/>
          <w:sz w:val="24"/>
          <w:szCs w:val="24"/>
        </w:rPr>
        <w:t>Angeioplastis</w:t>
      </w:r>
      <w:proofErr w:type="spellEnd"/>
      <w:r w:rsidRPr="009E7257">
        <w:rPr>
          <w:rFonts w:ascii="Times New Roman" w:eastAsia="Times New Roman" w:hAnsi="Times New Roman" w:cs="Times New Roman"/>
          <w:sz w:val="24"/>
          <w:szCs w:val="24"/>
        </w:rPr>
        <w:t xml:space="preserve">, G., Papadopoulos, A., &amp; Kotsakis, A. (2023). </w:t>
      </w:r>
      <w:r w:rsidRPr="009E7257">
        <w:rPr>
          <w:rFonts w:ascii="Times New Roman" w:eastAsia="Times New Roman" w:hAnsi="Times New Roman" w:cs="Times New Roman"/>
          <w:i/>
          <w:iCs/>
          <w:sz w:val="24"/>
          <w:szCs w:val="24"/>
        </w:rPr>
        <w:t>Using Oracle APEX in database education: Integrating web application development in the curriculum</w:t>
      </w:r>
      <w:r w:rsidRPr="009E7257">
        <w:rPr>
          <w:rFonts w:ascii="Times New Roman" w:eastAsia="Times New Roman" w:hAnsi="Times New Roman" w:cs="Times New Roman"/>
          <w:sz w:val="24"/>
          <w:szCs w:val="24"/>
        </w:rPr>
        <w:t xml:space="preserve">. </w:t>
      </w:r>
      <w:r w:rsidRPr="009E7257">
        <w:rPr>
          <w:rFonts w:ascii="Times New Roman" w:eastAsia="Times New Roman" w:hAnsi="Times New Roman" w:cs="Times New Roman"/>
          <w:i/>
          <w:iCs/>
          <w:sz w:val="24"/>
          <w:szCs w:val="24"/>
        </w:rPr>
        <w:t>Journal of Database Learning and Application</w:t>
      </w:r>
      <w:r w:rsidRPr="009E7257">
        <w:rPr>
          <w:rFonts w:ascii="Times New Roman" w:eastAsia="Times New Roman" w:hAnsi="Times New Roman" w:cs="Times New Roman"/>
          <w:sz w:val="24"/>
          <w:szCs w:val="24"/>
        </w:rPr>
        <w:t>, 12(2), 45–60.</w:t>
      </w:r>
    </w:p>
    <w:p w14:paraId="46ABF962" w14:textId="77777777" w:rsidR="009E7257" w:rsidRPr="009E7257" w:rsidRDefault="009E7257" w:rsidP="009E7257">
      <w:pPr>
        <w:spacing w:before="280" w:after="280" w:line="240" w:lineRule="auto"/>
        <w:jc w:val="both"/>
        <w:rPr>
          <w:rFonts w:ascii="Times New Roman" w:eastAsia="Times New Roman" w:hAnsi="Times New Roman" w:cs="Times New Roman"/>
          <w:sz w:val="24"/>
          <w:szCs w:val="24"/>
        </w:rPr>
      </w:pPr>
      <w:r w:rsidRPr="009E7257">
        <w:rPr>
          <w:rFonts w:ascii="Times New Roman" w:eastAsia="Times New Roman" w:hAnsi="Times New Roman" w:cs="Times New Roman"/>
          <w:sz w:val="24"/>
          <w:szCs w:val="24"/>
        </w:rPr>
        <w:t xml:space="preserve">Monger, B., Adams, N., &amp; Cox, J. (2009). </w:t>
      </w:r>
      <w:r w:rsidRPr="009E7257">
        <w:rPr>
          <w:rFonts w:ascii="Times New Roman" w:eastAsia="Times New Roman" w:hAnsi="Times New Roman" w:cs="Times New Roman"/>
          <w:i/>
          <w:iCs/>
          <w:sz w:val="24"/>
          <w:szCs w:val="24"/>
        </w:rPr>
        <w:t>Evaluating Oracle APEX for teaching database application development</w:t>
      </w:r>
      <w:r w:rsidRPr="009E7257">
        <w:rPr>
          <w:rFonts w:ascii="Times New Roman" w:eastAsia="Times New Roman" w:hAnsi="Times New Roman" w:cs="Times New Roman"/>
          <w:sz w:val="24"/>
          <w:szCs w:val="24"/>
        </w:rPr>
        <w:t xml:space="preserve">. In </w:t>
      </w:r>
      <w:r w:rsidRPr="009E7257">
        <w:rPr>
          <w:rFonts w:ascii="Times New Roman" w:eastAsia="Times New Roman" w:hAnsi="Times New Roman" w:cs="Times New Roman"/>
          <w:i/>
          <w:iCs/>
          <w:sz w:val="24"/>
          <w:szCs w:val="24"/>
        </w:rPr>
        <w:t>Proceedings of the International Conference on Database Education</w:t>
      </w:r>
      <w:r w:rsidRPr="009E7257">
        <w:rPr>
          <w:rFonts w:ascii="Times New Roman" w:eastAsia="Times New Roman" w:hAnsi="Times New Roman" w:cs="Times New Roman"/>
          <w:sz w:val="24"/>
          <w:szCs w:val="24"/>
        </w:rPr>
        <w:t xml:space="preserve"> (pp. 123–130). Database Education Association.</w:t>
      </w:r>
    </w:p>
    <w:p w14:paraId="4E8B03C3" w14:textId="77777777" w:rsidR="009E7257" w:rsidRPr="009E7257" w:rsidRDefault="009E7257" w:rsidP="009E7257">
      <w:pPr>
        <w:spacing w:before="280" w:after="280" w:line="240" w:lineRule="auto"/>
        <w:jc w:val="both"/>
        <w:rPr>
          <w:rFonts w:ascii="Times New Roman" w:eastAsia="Times New Roman" w:hAnsi="Times New Roman" w:cs="Times New Roman"/>
          <w:sz w:val="24"/>
          <w:szCs w:val="24"/>
        </w:rPr>
      </w:pPr>
      <w:proofErr w:type="spellStart"/>
      <w:r w:rsidRPr="009E7257">
        <w:rPr>
          <w:rFonts w:ascii="Times New Roman" w:eastAsia="Times New Roman" w:hAnsi="Times New Roman" w:cs="Times New Roman"/>
          <w:sz w:val="24"/>
          <w:szCs w:val="24"/>
        </w:rPr>
        <w:t>Pastierik</w:t>
      </w:r>
      <w:proofErr w:type="spellEnd"/>
      <w:r w:rsidRPr="009E7257">
        <w:rPr>
          <w:rFonts w:ascii="Times New Roman" w:eastAsia="Times New Roman" w:hAnsi="Times New Roman" w:cs="Times New Roman"/>
          <w:sz w:val="24"/>
          <w:szCs w:val="24"/>
        </w:rPr>
        <w:t xml:space="preserve">, M., &amp; </w:t>
      </w:r>
      <w:proofErr w:type="spellStart"/>
      <w:r w:rsidRPr="009E7257">
        <w:rPr>
          <w:rFonts w:ascii="Times New Roman" w:eastAsia="Times New Roman" w:hAnsi="Times New Roman" w:cs="Times New Roman"/>
          <w:sz w:val="24"/>
          <w:szCs w:val="24"/>
        </w:rPr>
        <w:t>Kvet</w:t>
      </w:r>
      <w:proofErr w:type="spellEnd"/>
      <w:r w:rsidRPr="009E7257">
        <w:rPr>
          <w:rFonts w:ascii="Times New Roman" w:eastAsia="Times New Roman" w:hAnsi="Times New Roman" w:cs="Times New Roman"/>
          <w:sz w:val="24"/>
          <w:szCs w:val="24"/>
        </w:rPr>
        <w:t xml:space="preserve">, M. (2023). </w:t>
      </w:r>
      <w:r w:rsidRPr="009E7257">
        <w:rPr>
          <w:rFonts w:ascii="Times New Roman" w:eastAsia="Times New Roman" w:hAnsi="Times New Roman" w:cs="Times New Roman"/>
          <w:i/>
          <w:iCs/>
          <w:sz w:val="24"/>
          <w:szCs w:val="24"/>
        </w:rPr>
        <w:t>Assessing Oracle APEX adoption in academic settings: Benefits and challenges</w:t>
      </w:r>
      <w:r w:rsidRPr="009E7257">
        <w:rPr>
          <w:rFonts w:ascii="Times New Roman" w:eastAsia="Times New Roman" w:hAnsi="Times New Roman" w:cs="Times New Roman"/>
          <w:sz w:val="24"/>
          <w:szCs w:val="24"/>
        </w:rPr>
        <w:t xml:space="preserve">. </w:t>
      </w:r>
      <w:r w:rsidRPr="009E7257">
        <w:rPr>
          <w:rFonts w:ascii="Times New Roman" w:eastAsia="Times New Roman" w:hAnsi="Times New Roman" w:cs="Times New Roman"/>
          <w:i/>
          <w:iCs/>
          <w:sz w:val="24"/>
          <w:szCs w:val="24"/>
        </w:rPr>
        <w:t>International Journal of Educational Technology in Higher Education</w:t>
      </w:r>
      <w:r w:rsidRPr="009E7257">
        <w:rPr>
          <w:rFonts w:ascii="Times New Roman" w:eastAsia="Times New Roman" w:hAnsi="Times New Roman" w:cs="Times New Roman"/>
          <w:sz w:val="24"/>
          <w:szCs w:val="24"/>
        </w:rPr>
        <w:t>, 20(1), Article 17.</w:t>
      </w:r>
    </w:p>
    <w:p w14:paraId="461C1D8A" w14:textId="77777777" w:rsidR="009E7257" w:rsidRPr="009E7257" w:rsidRDefault="009E7257" w:rsidP="009E7257">
      <w:pPr>
        <w:spacing w:before="280" w:after="280" w:line="240" w:lineRule="auto"/>
        <w:jc w:val="both"/>
        <w:rPr>
          <w:rFonts w:ascii="Times New Roman" w:eastAsia="Times New Roman" w:hAnsi="Times New Roman" w:cs="Times New Roman"/>
          <w:sz w:val="24"/>
          <w:szCs w:val="24"/>
        </w:rPr>
      </w:pPr>
      <w:r w:rsidRPr="009E7257">
        <w:rPr>
          <w:rFonts w:ascii="Times New Roman" w:eastAsia="Times New Roman" w:hAnsi="Times New Roman" w:cs="Times New Roman"/>
          <w:sz w:val="24"/>
          <w:szCs w:val="24"/>
        </w:rPr>
        <w:t xml:space="preserve">Sug, H. (2020). </w:t>
      </w:r>
      <w:r w:rsidRPr="009E7257">
        <w:rPr>
          <w:rFonts w:ascii="Times New Roman" w:eastAsia="Times New Roman" w:hAnsi="Times New Roman" w:cs="Times New Roman"/>
          <w:i/>
          <w:iCs/>
          <w:sz w:val="24"/>
          <w:szCs w:val="24"/>
        </w:rPr>
        <w:t>Teaching database concepts with Oracle APEX: A practical approach</w:t>
      </w:r>
      <w:r w:rsidRPr="009E7257">
        <w:rPr>
          <w:rFonts w:ascii="Times New Roman" w:eastAsia="Times New Roman" w:hAnsi="Times New Roman" w:cs="Times New Roman"/>
          <w:sz w:val="24"/>
          <w:szCs w:val="24"/>
        </w:rPr>
        <w:t xml:space="preserve">. </w:t>
      </w:r>
      <w:r w:rsidRPr="009E7257">
        <w:rPr>
          <w:rFonts w:ascii="Times New Roman" w:eastAsia="Times New Roman" w:hAnsi="Times New Roman" w:cs="Times New Roman"/>
          <w:i/>
          <w:iCs/>
          <w:sz w:val="24"/>
          <w:szCs w:val="24"/>
        </w:rPr>
        <w:t>Computer Science Education Review</w:t>
      </w:r>
      <w:r w:rsidRPr="009E7257">
        <w:rPr>
          <w:rFonts w:ascii="Times New Roman" w:eastAsia="Times New Roman" w:hAnsi="Times New Roman" w:cs="Times New Roman"/>
          <w:sz w:val="24"/>
          <w:szCs w:val="24"/>
        </w:rPr>
        <w:t>, 15(3), 78–92.</w:t>
      </w:r>
    </w:p>
    <w:p w14:paraId="3EC5B65E" w14:textId="576D80A6" w:rsidR="004A611D" w:rsidRPr="004A611D" w:rsidRDefault="004A611D" w:rsidP="00C74AFD">
      <w:pPr>
        <w:spacing w:before="280" w:after="280" w:line="240" w:lineRule="auto"/>
        <w:jc w:val="center"/>
        <w:rPr>
          <w:rFonts w:ascii="Times New Roman" w:eastAsia="Times New Roman" w:hAnsi="Times New Roman" w:cs="Times New Roman"/>
          <w:b/>
          <w:bCs/>
          <w:sz w:val="24"/>
          <w:szCs w:val="24"/>
        </w:rPr>
      </w:pPr>
      <w:r w:rsidRPr="004A611D">
        <w:rPr>
          <w:rFonts w:ascii="Times New Roman" w:eastAsia="Times New Roman" w:hAnsi="Times New Roman" w:cs="Times New Roman"/>
          <w:b/>
          <w:bCs/>
          <w:sz w:val="24"/>
          <w:szCs w:val="24"/>
        </w:rPr>
        <w:t>APPENDIX A</w:t>
      </w:r>
    </w:p>
    <w:p w14:paraId="2D2D5D02" w14:textId="77777777" w:rsidR="004A611D" w:rsidRDefault="004A611D" w:rsidP="004A611D">
      <w:pPr>
        <w:spacing w:before="280" w:after="280" w:line="240" w:lineRule="auto"/>
        <w:jc w:val="both"/>
        <w:rPr>
          <w:rFonts w:ascii="Times New Roman" w:eastAsia="Times New Roman" w:hAnsi="Times New Roman" w:cs="Times New Roman"/>
          <w:b/>
          <w:sz w:val="24"/>
          <w:szCs w:val="24"/>
        </w:rPr>
      </w:pPr>
      <w:bookmarkStart w:id="3" w:name="_heading=h.dcttraabq3s" w:colFirst="0" w:colLast="0"/>
      <w:bookmarkEnd w:id="3"/>
      <w:r>
        <w:rPr>
          <w:rFonts w:ascii="Times New Roman" w:eastAsia="Times New Roman" w:hAnsi="Times New Roman" w:cs="Times New Roman"/>
          <w:b/>
          <w:sz w:val="24"/>
          <w:szCs w:val="24"/>
        </w:rPr>
        <w:t>Survey Question</w:t>
      </w:r>
    </w:p>
    <w:p w14:paraId="4055E11B" w14:textId="2F1CDA40" w:rsidR="004A611D" w:rsidRDefault="004A611D" w:rsidP="004A611D">
      <w:pPr>
        <w:spacing w:before="280" w:after="2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Participation of Students in </w:t>
      </w:r>
      <w:r w:rsidR="00266132">
        <w:rPr>
          <w:rFonts w:ascii="Times New Roman" w:eastAsia="Times New Roman" w:hAnsi="Times New Roman" w:cs="Times New Roman"/>
          <w:b/>
          <w:sz w:val="24"/>
          <w:szCs w:val="24"/>
        </w:rPr>
        <w:t>this survey</w:t>
      </w:r>
      <w:r>
        <w:rPr>
          <w:rFonts w:ascii="Times New Roman" w:eastAsia="Times New Roman" w:hAnsi="Times New Roman" w:cs="Times New Roman"/>
          <w:b/>
          <w:sz w:val="24"/>
          <w:szCs w:val="24"/>
        </w:rPr>
        <w:t>.</w:t>
      </w:r>
    </w:p>
    <w:p w14:paraId="39A9984F" w14:textId="77777777" w:rsidR="004A611D" w:rsidRDefault="004A611D" w:rsidP="004A611D">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Instructions:</w:t>
      </w:r>
      <w:r>
        <w:rPr>
          <w:rFonts w:ascii="Times New Roman" w:eastAsia="Times New Roman" w:hAnsi="Times New Roman" w:cs="Times New Roman"/>
          <w:sz w:val="24"/>
          <w:szCs w:val="24"/>
        </w:rPr>
        <w:br/>
        <w:t>Please indicate how much you agree or disagree with each of the following statements. Use the scale below:</w:t>
      </w:r>
    </w:p>
    <w:p w14:paraId="3A44DDD3" w14:textId="77777777" w:rsidR="004A611D" w:rsidRDefault="004A611D" w:rsidP="00C74AFD">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Strongly Disagree</w:t>
      </w:r>
      <w:r>
        <w:rPr>
          <w:rFonts w:ascii="Times New Roman" w:eastAsia="Times New Roman" w:hAnsi="Times New Roman" w:cs="Times New Roman"/>
          <w:sz w:val="24"/>
          <w:szCs w:val="24"/>
        </w:rPr>
        <w:br/>
        <w:t>2 – Disagree</w:t>
      </w:r>
      <w:r>
        <w:rPr>
          <w:rFonts w:ascii="Times New Roman" w:eastAsia="Times New Roman" w:hAnsi="Times New Roman" w:cs="Times New Roman"/>
          <w:sz w:val="24"/>
          <w:szCs w:val="24"/>
        </w:rPr>
        <w:br/>
        <w:t>3 – Neutral</w:t>
      </w:r>
      <w:r>
        <w:rPr>
          <w:rFonts w:ascii="Times New Roman" w:eastAsia="Times New Roman" w:hAnsi="Times New Roman" w:cs="Times New Roman"/>
          <w:sz w:val="24"/>
          <w:szCs w:val="24"/>
        </w:rPr>
        <w:br/>
        <w:t>4 – Agree</w:t>
      </w:r>
      <w:r>
        <w:rPr>
          <w:rFonts w:ascii="Times New Roman" w:eastAsia="Times New Roman" w:hAnsi="Times New Roman" w:cs="Times New Roman"/>
          <w:sz w:val="24"/>
          <w:szCs w:val="24"/>
        </w:rPr>
        <w:br/>
        <w:t>5 – Strongly Agree</w:t>
      </w:r>
    </w:p>
    <w:p w14:paraId="7EFEBA4B" w14:textId="77777777" w:rsidR="004A611D" w:rsidRDefault="004A611D" w:rsidP="004A611D">
      <w:pPr>
        <w:spacing w:before="280" w:after="2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SECTION A – Usability of Oracle APEX</w:t>
      </w:r>
    </w:p>
    <w:p w14:paraId="0D3DDCDD" w14:textId="77777777" w:rsidR="004A611D" w:rsidRDefault="004A611D" w:rsidP="004A611D">
      <w:pPr>
        <w:numPr>
          <w:ilvl w:val="0"/>
          <w:numId w:val="3"/>
        </w:numPr>
        <w:spacing w:before="28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learned how to use Oracle APEX quickly.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1 2 3 4 5</w:t>
      </w:r>
    </w:p>
    <w:p w14:paraId="194EC974" w14:textId="77777777" w:rsidR="004A611D" w:rsidRDefault="004A611D" w:rsidP="004A611D">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find the menus and interface of Oracle APEX easy to navigate.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1 2 3 4 5</w:t>
      </w:r>
    </w:p>
    <w:p w14:paraId="7E931F55" w14:textId="77777777" w:rsidR="004A611D" w:rsidRDefault="004A611D" w:rsidP="004A611D">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can complete database tasks efficiently using Oracle APEX.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1 2 3 4 5</w:t>
      </w:r>
    </w:p>
    <w:p w14:paraId="6D2608EC" w14:textId="77777777" w:rsidR="004A611D" w:rsidRDefault="004A611D" w:rsidP="004A611D">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features of Oracle APEX are user-friendly.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1 2 3 4 5</w:t>
      </w:r>
    </w:p>
    <w:p w14:paraId="6731281D" w14:textId="77777777" w:rsidR="004A611D" w:rsidRDefault="004A611D" w:rsidP="004A611D">
      <w:pPr>
        <w:numPr>
          <w:ilvl w:val="0"/>
          <w:numId w:val="3"/>
        </w:numPr>
        <w:spacing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find the system reliable and stable during database exercises.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1 2 3 4 5</w:t>
      </w:r>
    </w:p>
    <w:p w14:paraId="63DCCD67" w14:textId="77777777" w:rsidR="004A611D" w:rsidRDefault="004A611D" w:rsidP="004A611D">
      <w:pPr>
        <w:spacing w:before="280" w:after="2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SECTION B – Effectiveness in Learning</w:t>
      </w:r>
    </w:p>
    <w:p w14:paraId="28C0E5B3" w14:textId="77777777" w:rsidR="004A611D" w:rsidRDefault="004A611D" w:rsidP="004A611D">
      <w:pPr>
        <w:numPr>
          <w:ilvl w:val="0"/>
          <w:numId w:val="3"/>
        </w:numPr>
        <w:spacing w:before="28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Oracle APEX helped me understand how relational databases work. </w:t>
      </w:r>
      <w:r>
        <w:rPr>
          <w:rFonts w:ascii="Times New Roman" w:eastAsia="Times New Roman" w:hAnsi="Times New Roman" w:cs="Times New Roman"/>
          <w:sz w:val="24"/>
          <w:szCs w:val="24"/>
        </w:rPr>
        <w:tab/>
        <w:t>1 2 3 4 5</w:t>
      </w:r>
    </w:p>
    <w:p w14:paraId="0B38D27B" w14:textId="77777777" w:rsidR="004A611D" w:rsidRDefault="004A611D" w:rsidP="004A611D">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Oracle APEX improved my SQL query writing skills.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1 2 3 4 5</w:t>
      </w:r>
    </w:p>
    <w:p w14:paraId="1DEF72FB" w14:textId="77777777" w:rsidR="004A611D" w:rsidRDefault="004A611D" w:rsidP="004A611D">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was able to apply my classroom lessons effectively through APEX. </w:t>
      </w:r>
      <w:r>
        <w:rPr>
          <w:rFonts w:ascii="Times New Roman" w:eastAsia="Times New Roman" w:hAnsi="Times New Roman" w:cs="Times New Roman"/>
          <w:sz w:val="24"/>
          <w:szCs w:val="24"/>
        </w:rPr>
        <w:tab/>
        <w:t>1 2 3 4 5</w:t>
      </w:r>
    </w:p>
    <w:p w14:paraId="061AC6CD" w14:textId="77777777" w:rsidR="004A611D" w:rsidRDefault="004A611D" w:rsidP="004A611D">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Oracle APEX supported my ability to design and manage database tables. 1 2 3 4 5</w:t>
      </w:r>
    </w:p>
    <w:p w14:paraId="4C49621D" w14:textId="77777777" w:rsidR="004A611D" w:rsidRDefault="004A611D" w:rsidP="004A611D">
      <w:pPr>
        <w:numPr>
          <w:ilvl w:val="0"/>
          <w:numId w:val="3"/>
        </w:numPr>
        <w:spacing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platform allowed me to create real-world database projects.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1 2 3 4 5</w:t>
      </w:r>
    </w:p>
    <w:p w14:paraId="3645E2DB" w14:textId="77777777" w:rsidR="004A611D" w:rsidRDefault="004A611D" w:rsidP="004A611D">
      <w:pPr>
        <w:spacing w:before="280" w:after="2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C – Engagement and Motivation</w:t>
      </w:r>
    </w:p>
    <w:p w14:paraId="321CA9C0" w14:textId="77777777" w:rsidR="004A611D" w:rsidRDefault="004A611D" w:rsidP="004A611D">
      <w:pPr>
        <w:numPr>
          <w:ilvl w:val="0"/>
          <w:numId w:val="3"/>
        </w:numPr>
        <w:spacing w:before="28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feel more engaged in database classes when using Oracle APEX.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1 2 3 4 5</w:t>
      </w:r>
    </w:p>
    <w:p w14:paraId="10A8FB73" w14:textId="77777777" w:rsidR="004A611D" w:rsidRDefault="004A611D" w:rsidP="004A611D">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Oracle APEX makes learning databases more interesting.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1 2 3 4 5</w:t>
      </w:r>
    </w:p>
    <w:p w14:paraId="3DC3364E" w14:textId="77777777" w:rsidR="004A611D" w:rsidRDefault="004A611D" w:rsidP="004A611D">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hands-on experience with APEX motivates me to learn more.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1 2 3 4 5</w:t>
      </w:r>
    </w:p>
    <w:p w14:paraId="05072BC7" w14:textId="77777777" w:rsidR="004A611D" w:rsidRDefault="004A611D" w:rsidP="004A611D">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prefer using APEX compared to traditional pen-and-paper activities. </w:t>
      </w:r>
      <w:r>
        <w:rPr>
          <w:rFonts w:ascii="Times New Roman" w:eastAsia="Times New Roman" w:hAnsi="Times New Roman" w:cs="Times New Roman"/>
          <w:sz w:val="24"/>
          <w:szCs w:val="24"/>
        </w:rPr>
        <w:tab/>
        <w:t>1 2 3 4 5</w:t>
      </w:r>
    </w:p>
    <w:p w14:paraId="7F2711CF" w14:textId="77777777" w:rsidR="004A611D" w:rsidRDefault="004A611D" w:rsidP="004A611D">
      <w:pPr>
        <w:numPr>
          <w:ilvl w:val="0"/>
          <w:numId w:val="3"/>
        </w:numPr>
        <w:spacing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feel confident working independently when using Oracle APEX.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1 2 3 4 5</w:t>
      </w:r>
    </w:p>
    <w:p w14:paraId="18E32BF6" w14:textId="77777777" w:rsidR="004A611D" w:rsidRDefault="004A611D" w:rsidP="004A611D">
      <w:pPr>
        <w:spacing w:before="280" w:after="2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SECTION D – Satisfaction and Usefulness</w:t>
      </w:r>
    </w:p>
    <w:p w14:paraId="5E1A3649" w14:textId="77777777" w:rsidR="004A611D" w:rsidRDefault="004A611D" w:rsidP="004A611D">
      <w:pPr>
        <w:numPr>
          <w:ilvl w:val="0"/>
          <w:numId w:val="3"/>
        </w:numPr>
        <w:spacing w:before="28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am satisfied with my experience using Oracle APEX in class.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1 2 3 4 5</w:t>
      </w:r>
    </w:p>
    <w:p w14:paraId="2EA17805" w14:textId="77777777" w:rsidR="004A611D" w:rsidRDefault="004A611D" w:rsidP="004A611D">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Oracle APEX is a helpful tool for learning database development.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1 2 3 4 5</w:t>
      </w:r>
    </w:p>
    <w:p w14:paraId="03862812" w14:textId="77777777" w:rsidR="004A611D" w:rsidRDefault="004A611D" w:rsidP="004A611D">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would recommend using Oracle APEX for future classes.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1 2 3 4 5</w:t>
      </w:r>
    </w:p>
    <w:p w14:paraId="4CBBDC42" w14:textId="77777777" w:rsidR="004A611D" w:rsidRDefault="004A611D" w:rsidP="004A611D">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believe Oracle APEX will be useful in my future career.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1 2 3 4 5</w:t>
      </w:r>
    </w:p>
    <w:p w14:paraId="5DFD9FC6" w14:textId="77777777" w:rsidR="004A611D" w:rsidRDefault="004A611D" w:rsidP="004A611D">
      <w:pPr>
        <w:numPr>
          <w:ilvl w:val="0"/>
          <w:numId w:val="3"/>
        </w:numPr>
        <w:spacing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Overall, Oracle APEX improved my learning experience in database subjects. 1 2 3 4 5</w:t>
      </w:r>
    </w:p>
    <w:sectPr w:rsidR="004A611D">
      <w:headerReference w:type="default" r:id="rId9"/>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9F6778" w14:textId="77777777" w:rsidR="00900445" w:rsidRDefault="00900445">
      <w:pPr>
        <w:spacing w:after="0" w:line="240" w:lineRule="auto"/>
      </w:pPr>
      <w:r>
        <w:separator/>
      </w:r>
    </w:p>
  </w:endnote>
  <w:endnote w:type="continuationSeparator" w:id="0">
    <w:p w14:paraId="29A9D2FB" w14:textId="77777777" w:rsidR="00900445" w:rsidRDefault="00900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F54BC1A-B8E3-4E01-A732-EF210659C6A0}"/>
    <w:embedBold r:id="rId2" w:fontKey="{625EA91E-AE3B-4CE6-89DC-F7F146B9538F}"/>
    <w:embedItalic r:id="rId3" w:fontKey="{15DE2724-D951-4230-A7D7-7B60ADA651D1}"/>
    <w:embedBoldItalic r:id="rId4" w:fontKey="{F0B33323-E6BE-426E-896B-E9BB57A82662}"/>
  </w:font>
  <w:font w:name="Georgia">
    <w:panose1 w:val="02040502050405020303"/>
    <w:charset w:val="00"/>
    <w:family w:val="roman"/>
    <w:pitch w:val="variable"/>
    <w:sig w:usb0="00000287" w:usb1="00000000" w:usb2="00000000" w:usb3="00000000" w:csb0="0000009F" w:csb1="00000000"/>
    <w:embedRegular r:id="rId5" w:fontKey="{4E00C03E-6241-4979-822A-A2F8EC0493E2}"/>
    <w:embedItalic r:id="rId6" w:fontKey="{AF3909BF-0861-48DA-B6C4-41BB0FD76BE1}"/>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embedRegular r:id="rId7" w:fontKey="{F0B732F8-448A-41EB-B797-9815DE548D3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EC1DD2" w14:textId="77777777" w:rsidR="00900445" w:rsidRDefault="00900445">
      <w:pPr>
        <w:spacing w:after="0" w:line="240" w:lineRule="auto"/>
      </w:pPr>
      <w:r>
        <w:separator/>
      </w:r>
    </w:p>
  </w:footnote>
  <w:footnote w:type="continuationSeparator" w:id="0">
    <w:p w14:paraId="46B9FC81" w14:textId="77777777" w:rsidR="00900445" w:rsidRDefault="009004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55BFF" w14:textId="77777777" w:rsidR="008D317F" w:rsidRDefault="008D317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9811AF"/>
    <w:multiLevelType w:val="hybridMultilevel"/>
    <w:tmpl w:val="8E2A6D78"/>
    <w:lvl w:ilvl="0" w:tplc="14C2D71A">
      <w:start w:val="3"/>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3A4C2AE7"/>
    <w:multiLevelType w:val="hybridMultilevel"/>
    <w:tmpl w:val="C0C26ED2"/>
    <w:lvl w:ilvl="0" w:tplc="0652D6DE">
      <w:start w:val="1"/>
      <w:numFmt w:val="upperRoman"/>
      <w:lvlText w:val="%1."/>
      <w:lvlJc w:val="left"/>
      <w:pPr>
        <w:ind w:left="1080" w:hanging="720"/>
      </w:pPr>
      <w:rPr>
        <w:rFonts w:hint="default"/>
        <w:b/>
        <w:i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4026369B"/>
    <w:multiLevelType w:val="multilevel"/>
    <w:tmpl w:val="328ED53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4B4E46EE"/>
    <w:multiLevelType w:val="multilevel"/>
    <w:tmpl w:val="1270C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4C37AA7"/>
    <w:multiLevelType w:val="hybridMultilevel"/>
    <w:tmpl w:val="D87CA7A8"/>
    <w:lvl w:ilvl="0" w:tplc="61F0A8F2">
      <w:start w:val="1"/>
      <w:numFmt w:val="upperRoman"/>
      <w:lvlText w:val="%1."/>
      <w:lvlJc w:val="left"/>
      <w:pPr>
        <w:ind w:left="1080" w:hanging="720"/>
      </w:pPr>
      <w:rPr>
        <w:rFonts w:hint="default"/>
        <w:b/>
        <w:i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6146046A"/>
    <w:multiLevelType w:val="hybridMultilevel"/>
    <w:tmpl w:val="4DA40C70"/>
    <w:lvl w:ilvl="0" w:tplc="32484D42">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64607890"/>
    <w:multiLevelType w:val="multilevel"/>
    <w:tmpl w:val="1A70B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B526952"/>
    <w:multiLevelType w:val="hybridMultilevel"/>
    <w:tmpl w:val="21CC10D4"/>
    <w:lvl w:ilvl="0" w:tplc="128AAB54">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74040AFE"/>
    <w:multiLevelType w:val="hybridMultilevel"/>
    <w:tmpl w:val="902461CA"/>
    <w:lvl w:ilvl="0" w:tplc="998E86AA">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75E81119"/>
    <w:multiLevelType w:val="multilevel"/>
    <w:tmpl w:val="55C28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42224823">
    <w:abstractNumId w:val="3"/>
  </w:num>
  <w:num w:numId="2" w16cid:durableId="185293102">
    <w:abstractNumId w:val="9"/>
  </w:num>
  <w:num w:numId="3" w16cid:durableId="387802950">
    <w:abstractNumId w:val="2"/>
  </w:num>
  <w:num w:numId="4" w16cid:durableId="1403716088">
    <w:abstractNumId w:val="6"/>
  </w:num>
  <w:num w:numId="5" w16cid:durableId="677315061">
    <w:abstractNumId w:val="8"/>
  </w:num>
  <w:num w:numId="6" w16cid:durableId="1951860092">
    <w:abstractNumId w:val="7"/>
  </w:num>
  <w:num w:numId="7" w16cid:durableId="871957530">
    <w:abstractNumId w:val="5"/>
  </w:num>
  <w:num w:numId="8" w16cid:durableId="2059863674">
    <w:abstractNumId w:val="4"/>
  </w:num>
  <w:num w:numId="9" w16cid:durableId="1643658083">
    <w:abstractNumId w:val="0"/>
  </w:num>
  <w:num w:numId="10" w16cid:durableId="5661916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17F"/>
    <w:rsid w:val="00013A40"/>
    <w:rsid w:val="000E5200"/>
    <w:rsid w:val="000F6BDA"/>
    <w:rsid w:val="00133AEF"/>
    <w:rsid w:val="001701A3"/>
    <w:rsid w:val="001B37B0"/>
    <w:rsid w:val="00266132"/>
    <w:rsid w:val="002902CE"/>
    <w:rsid w:val="00293A97"/>
    <w:rsid w:val="00353EFB"/>
    <w:rsid w:val="004633E2"/>
    <w:rsid w:val="004A611D"/>
    <w:rsid w:val="004D110D"/>
    <w:rsid w:val="00677B56"/>
    <w:rsid w:val="00683FA2"/>
    <w:rsid w:val="006B7B82"/>
    <w:rsid w:val="006E46D8"/>
    <w:rsid w:val="006F25A4"/>
    <w:rsid w:val="007169E7"/>
    <w:rsid w:val="007B637D"/>
    <w:rsid w:val="007C556D"/>
    <w:rsid w:val="008039C9"/>
    <w:rsid w:val="008306C9"/>
    <w:rsid w:val="00852F79"/>
    <w:rsid w:val="008D317F"/>
    <w:rsid w:val="00900445"/>
    <w:rsid w:val="009061D4"/>
    <w:rsid w:val="00966AD6"/>
    <w:rsid w:val="009808C0"/>
    <w:rsid w:val="009E7257"/>
    <w:rsid w:val="00A15080"/>
    <w:rsid w:val="00B4508F"/>
    <w:rsid w:val="00B67941"/>
    <w:rsid w:val="00B71C39"/>
    <w:rsid w:val="00B9699B"/>
    <w:rsid w:val="00C00CA0"/>
    <w:rsid w:val="00C02731"/>
    <w:rsid w:val="00C41833"/>
    <w:rsid w:val="00C74AFD"/>
    <w:rsid w:val="00D63FC3"/>
    <w:rsid w:val="00D77011"/>
    <w:rsid w:val="00D877F6"/>
    <w:rsid w:val="00E13D6D"/>
    <w:rsid w:val="00E37E88"/>
    <w:rsid w:val="00E45F57"/>
    <w:rsid w:val="00EA2193"/>
    <w:rsid w:val="00F702FB"/>
  </w:rsids>
  <m:mathPr>
    <m:mathFont m:val="Cambria Math"/>
    <m:brkBin m:val="before"/>
    <m:brkBinSub m:val="--"/>
    <m:smallFrac m:val="0"/>
    <m:dispDef/>
    <m:lMargin m:val="0"/>
    <m:rMargin m:val="0"/>
    <m:defJc m:val="centerGroup"/>
    <m:wrapIndent m:val="1440"/>
    <m:intLim m:val="subSup"/>
    <m:naryLim m:val="undOvr"/>
  </m:mathPr>
  <w:themeFontLang w:val="en-PH"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04F04"/>
  <w15:docId w15:val="{2FCE6419-5BC9-49E3-8BA3-818E60FA1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PH"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611E2E"/>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styleId="Strong">
    <w:name w:val="Strong"/>
    <w:basedOn w:val="DefaultParagraphFont"/>
    <w:uiPriority w:val="22"/>
    <w:qFormat/>
    <w:rsid w:val="00611E2E"/>
    <w:rPr>
      <w:b/>
      <w:bCs/>
    </w:rPr>
  </w:style>
  <w:style w:type="character" w:customStyle="1" w:styleId="Heading3Char">
    <w:name w:val="Heading 3 Char"/>
    <w:basedOn w:val="DefaultParagraphFont"/>
    <w:link w:val="Heading3"/>
    <w:uiPriority w:val="9"/>
    <w:rsid w:val="00B1010A"/>
    <w:rPr>
      <w:rFonts w:ascii="Times New Roman" w:eastAsia="Times New Roman" w:hAnsi="Times New Roman" w:cs="Times New Roman"/>
      <w:b/>
      <w:bCs/>
      <w:sz w:val="27"/>
      <w:szCs w:val="27"/>
      <w:lang w:eastAsia="en-PH"/>
    </w:rPr>
  </w:style>
  <w:style w:type="character" w:customStyle="1" w:styleId="text-forest-600">
    <w:name w:val="text-forest-600"/>
    <w:basedOn w:val="DefaultParagraphFont"/>
    <w:rsid w:val="00685667"/>
  </w:style>
  <w:style w:type="character" w:styleId="Emphasis">
    <w:name w:val="Emphasis"/>
    <w:basedOn w:val="DefaultParagraphFont"/>
    <w:uiPriority w:val="20"/>
    <w:qFormat/>
    <w:rsid w:val="004B1E07"/>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013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7E88"/>
    <w:pPr>
      <w:ind w:left="720"/>
      <w:contextualSpacing/>
    </w:pPr>
  </w:style>
  <w:style w:type="character" w:styleId="Hyperlink">
    <w:name w:val="Hyperlink"/>
    <w:basedOn w:val="DefaultParagraphFont"/>
    <w:uiPriority w:val="99"/>
    <w:unhideWhenUsed/>
    <w:rsid w:val="00C4183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orcid.org/0009-0008-9028-5981"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ZVRytPyBNfw5SWa3R/SqPbmQpw==">CgMxLjAaEwoBMBIOCgwIB0IIEgZBbmRpa2EyDmguejl4dHRzbm9zMml5Mg1oLjR3OGNqMnM3c296Mg5oLnI1MDRoZHE1dHRwaTIOaC5icG9keWdqdWIxZGcyDWguZGN0dHJhYWJxM3M4AHIhMThxNHg2bXhjR0pUVktDb0Q1em45YXpXTHJaOVFUa01Y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8</Pages>
  <Words>2390</Words>
  <Characters>13629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rajah</dc:creator>
  <cp:lastModifiedBy>jsrajah77@gmail.com</cp:lastModifiedBy>
  <cp:revision>35</cp:revision>
  <dcterms:created xsi:type="dcterms:W3CDTF">2026-03-17T05:05:00Z</dcterms:created>
  <dcterms:modified xsi:type="dcterms:W3CDTF">2026-04-16T03:01:00Z</dcterms:modified>
</cp:coreProperties>
</file>