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D0D1" w14:textId="77777777" w:rsidR="00CE0393" w:rsidRPr="00AA2965" w:rsidRDefault="00401671" w:rsidP="00AA2965">
      <w:pPr>
        <w:spacing w:before="720" w:after="200"/>
        <w:jc w:val="center"/>
      </w:pPr>
      <w:r w:rsidRPr="00AA2965">
        <w:rPr>
          <w:rFonts w:eastAsia="Arial"/>
          <w:b/>
          <w:bCs/>
          <w:sz w:val="36"/>
          <w:szCs w:val="36"/>
        </w:rPr>
        <w:t>An Explainable Machine Learning Framework for Predicting</w:t>
      </w:r>
    </w:p>
    <w:p w14:paraId="2FE3B8C5" w14:textId="77777777" w:rsidR="00CE0393" w:rsidRDefault="00401671" w:rsidP="00AA2965">
      <w:pPr>
        <w:spacing w:after="200"/>
        <w:jc w:val="center"/>
        <w:rPr>
          <w:rFonts w:eastAsia="Arial"/>
          <w:b/>
          <w:bCs/>
          <w:sz w:val="36"/>
          <w:szCs w:val="36"/>
        </w:rPr>
      </w:pPr>
      <w:r w:rsidRPr="00AA2965">
        <w:rPr>
          <w:rFonts w:eastAsia="Arial"/>
          <w:b/>
          <w:bCs/>
          <w:sz w:val="36"/>
          <w:szCs w:val="36"/>
        </w:rPr>
        <w:t/>
      </w:r>
    </w:p>
    <w:p w14:paraId="51C980A1" w14:textId="77777777" w:rsidR="003062F6" w:rsidRPr="003062F6" w:rsidRDefault="003062F6" w:rsidP="00AA2965">
      <w:pPr>
        <w:spacing w:after="200"/>
        <w:jc w:val="center"/>
        <w:rPr>
          <w:rFonts w:eastAsia="Arial"/>
          <w:b/>
          <w:bCs/>
          <w:sz w:val="28"/>
          <w:szCs w:val="28"/>
        </w:rPr>
      </w:pPr>
      <w:r w:rsidRPr="003062F6">
        <w:rPr>
          <w:rFonts w:eastAsia="Arial"/>
          <w:b/>
          <w:bCs/>
          <w:sz w:val="28"/>
          <w:szCs w:val="28"/>
        </w:rPr>
        <w:t/>
      </w:r>
    </w:p>
    <w:p w14:paraId="5573C39D" w14:textId="64C11ACF" w:rsidR="00960A4B" w:rsidRDefault="000D381C" w:rsidP="00AA2965">
      <w:pPr>
        <w:spacing w:after="200"/>
        <w:jc w:val="center"/>
        <w:rPr>
          <w:b/>
          <w:bCs/>
          <w:sz w:val="28"/>
          <w:szCs w:val="28"/>
        </w:rPr>
      </w:pPr>
      <w:r>
        <w:rPr>
          <w:sz w:val="28"/>
          <w:szCs w:val="28"/>
          <w:vertAlign w:val="superscript"/>
        </w:rPr>
        <w:t/>
      </w:r>
      <w:r w:rsidRPr="000D381C">
        <w:rPr>
          <w:b/>
          <w:bCs/>
          <w:sz w:val="28"/>
          <w:szCs w:val="28"/>
        </w:rPr>
        <w:t/>
      </w:r>
      <w:r w:rsidR="00655FAD">
        <w:rPr>
          <w:b/>
          <w:bCs/>
          <w:sz w:val="28"/>
          <w:szCs w:val="28"/>
        </w:rPr>
        <w:t xml:space="preserve"/>
      </w:r>
      <w:r w:rsidR="00655FAD">
        <w:rPr>
          <w:b/>
          <w:bCs/>
          <w:sz w:val="28"/>
          <w:szCs w:val="28"/>
          <w:vertAlign w:val="superscript"/>
        </w:rPr>
        <w:t/>
      </w:r>
      <w:r w:rsidR="00FC1CC9" w:rsidRPr="00FC1CC9">
        <w:rPr>
          <w:b/>
          <w:bCs/>
          <w:sz w:val="28"/>
          <w:szCs w:val="28"/>
        </w:rPr>
        <w:t/>
      </w:r>
      <w:r w:rsidR="00356CE5">
        <w:rPr>
          <w:b/>
          <w:bCs/>
          <w:sz w:val="28"/>
          <w:szCs w:val="28"/>
        </w:rPr>
        <w:t xml:space="preserve"/>
      </w:r>
      <w:r w:rsidR="00356CE5">
        <w:rPr>
          <w:b/>
          <w:bCs/>
          <w:sz w:val="28"/>
          <w:szCs w:val="28"/>
          <w:vertAlign w:val="superscript"/>
        </w:rPr>
        <w:t/>
      </w:r>
      <w:r w:rsidR="00297CBC" w:rsidRPr="00297CBC">
        <w:rPr>
          <w:b/>
          <w:bCs/>
          <w:sz w:val="28"/>
          <w:szCs w:val="28"/>
        </w:rPr>
        <w:t/>
      </w:r>
    </w:p>
    <w:p w14:paraId="0FD373B4" w14:textId="33405887" w:rsidR="00297CBC" w:rsidRDefault="00297CBC" w:rsidP="00102DD8">
      <w:pPr>
        <w:spacing w:after="200"/>
        <w:jc w:val="center"/>
        <w:rPr>
          <w:sz w:val="24"/>
          <w:szCs w:val="24"/>
        </w:rPr>
      </w:pPr>
      <w:r>
        <w:rPr>
          <w:b/>
          <w:bCs/>
          <w:sz w:val="28"/>
          <w:szCs w:val="28"/>
          <w:vertAlign w:val="superscript"/>
        </w:rPr>
        <w:t/>
      </w:r>
      <w:r w:rsidR="00B60B03" w:rsidRPr="0012644C">
        <w:rPr>
          <w:sz w:val="24"/>
          <w:szCs w:val="24"/>
        </w:rPr>
        <w:t/>
      </w:r>
      <w:r w:rsidR="002B3C15">
        <w:rPr>
          <w:sz w:val="24"/>
          <w:szCs w:val="24"/>
        </w:rPr>
        <w:t xml:space="preserve"/>
      </w:r>
      <w:r w:rsidR="00B60B03" w:rsidRPr="0012644C">
        <w:rPr>
          <w:sz w:val="24"/>
          <w:szCs w:val="24"/>
        </w:rPr>
        <w:t/>
      </w:r>
      <w:r w:rsidR="002B3C15">
        <w:rPr>
          <w:sz w:val="24"/>
          <w:szCs w:val="24"/>
        </w:rPr>
        <w:t xml:space="preserve"/>
      </w:r>
      <w:r w:rsidR="00B60B03" w:rsidRPr="0012644C">
        <w:rPr>
          <w:sz w:val="24"/>
          <w:szCs w:val="24"/>
        </w:rPr>
        <w:t/>
      </w:r>
      <w:r w:rsidR="002B3C15">
        <w:rPr>
          <w:sz w:val="24"/>
          <w:szCs w:val="24"/>
        </w:rPr>
        <w:t xml:space="preserve"/>
      </w:r>
      <w:r w:rsidR="00B60B03" w:rsidRPr="0012644C">
        <w:rPr>
          <w:sz w:val="24"/>
          <w:szCs w:val="24"/>
        </w:rPr>
        <w:t/>
      </w:r>
    </w:p>
    <w:p w14:paraId="5BB5D6AA" w14:textId="1B680B1D" w:rsidR="0012644C" w:rsidRPr="00102DD8" w:rsidRDefault="0012644C" w:rsidP="0012644C">
      <w:pPr>
        <w:spacing w:after="200"/>
        <w:jc w:val="center"/>
        <w:rPr>
          <w:sz w:val="24"/>
          <w:szCs w:val="24"/>
        </w:rPr>
      </w:pPr>
      <w:r>
        <w:rPr>
          <w:sz w:val="24"/>
          <w:szCs w:val="24"/>
          <w:vertAlign w:val="superscript"/>
        </w:rPr>
        <w:t/>
      </w:r>
      <w:r w:rsidR="00950BB9" w:rsidRPr="00950BB9">
        <w:rPr>
          <w:sz w:val="24"/>
          <w:szCs w:val="24"/>
        </w:rPr>
        <w:t/>
      </w:r>
      <w:r w:rsidR="002B3C15">
        <w:rPr>
          <w:sz w:val="24"/>
          <w:szCs w:val="24"/>
        </w:rPr>
        <w:t xml:space="preserve"/>
      </w:r>
      <w:r w:rsidR="00950BB9" w:rsidRPr="00950BB9">
        <w:rPr>
          <w:sz w:val="24"/>
          <w:szCs w:val="24"/>
        </w:rPr>
        <w:t/>
      </w:r>
      <w:r w:rsidR="002B3C15">
        <w:rPr>
          <w:sz w:val="24"/>
          <w:szCs w:val="24"/>
        </w:rPr>
        <w:t xml:space="preserve"/>
      </w:r>
      <w:r w:rsidR="00950BB9" w:rsidRPr="00950BB9">
        <w:rPr>
          <w:sz w:val="24"/>
          <w:szCs w:val="24"/>
        </w:rPr>
        <w:t/>
      </w:r>
      <w:r w:rsidR="00102DD8">
        <w:rPr>
          <w:sz w:val="24"/>
          <w:szCs w:val="24"/>
        </w:rPr>
        <w:br/>
      </w:r>
      <w:r w:rsidR="00102DD8">
        <w:rPr>
          <w:sz w:val="24"/>
          <w:szCs w:val="24"/>
          <w:vertAlign w:val="superscript"/>
        </w:rPr>
        <w:t/>
      </w:r>
      <w:r w:rsidR="002B3C15" w:rsidRPr="002B3C15">
        <w:rPr>
          <w:sz w:val="24"/>
          <w:szCs w:val="24"/>
        </w:rPr>
        <w:t/>
      </w:r>
      <w:r w:rsidR="002B3C15">
        <w:rPr>
          <w:sz w:val="24"/>
          <w:szCs w:val="24"/>
        </w:rPr>
        <w:t xml:space="preserve"/>
      </w:r>
      <w:r w:rsidR="002B3C15" w:rsidRPr="002B3C15">
        <w:rPr>
          <w:sz w:val="24"/>
          <w:szCs w:val="24"/>
        </w:rPr>
        <w:t/>
      </w:r>
      <w:r w:rsidR="002B3C15">
        <w:rPr>
          <w:sz w:val="24"/>
          <w:szCs w:val="24"/>
        </w:rPr>
        <w:t xml:space="preserve"/>
      </w:r>
      <w:r w:rsidR="002B3C15" w:rsidRPr="002B3C15">
        <w:rPr>
          <w:sz w:val="24"/>
          <w:szCs w:val="24"/>
        </w:rPr>
        <w:t/>
      </w:r>
    </w:p>
    <w:p w14:paraId="63359835"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Abstract</w:t>
      </w:r>
    </w:p>
    <w:p w14:paraId="1A1D0B90" w14:textId="77777777" w:rsidR="00CE0393" w:rsidRPr="00AA2965" w:rsidRDefault="00401671" w:rsidP="00AA2965">
      <w:pPr>
        <w:spacing w:before="120" w:after="120" w:line="360" w:lineRule="auto"/>
        <w:jc w:val="both"/>
      </w:pPr>
      <w:r w:rsidRPr="00AA2965">
        <w:rPr>
          <w:b/>
          <w:bCs/>
        </w:rPr>
        <w:t xml:space="preserve">Background: </w:t>
      </w:r>
      <w:r w:rsidRPr="00AA2965">
        <w:t>Rising healthcare expenditure in the United States represents one of the most critical challenges facing health systems today. Accurate prediction of healthcare utilisation patterns and associated economic burden is essential for equitable resource allocation, insurance planning, and evidence-based health policy.</w:t>
      </w:r>
    </w:p>
    <w:p w14:paraId="675152C6" w14:textId="77777777" w:rsidR="00CE0393" w:rsidRPr="00AA2965" w:rsidRDefault="00401671" w:rsidP="00AA2965">
      <w:pPr>
        <w:spacing w:before="120" w:after="120" w:line="360" w:lineRule="auto"/>
        <w:jc w:val="both"/>
      </w:pPr>
      <w:r w:rsidRPr="00AA2965">
        <w:rPr>
          <w:b/>
          <w:bCs/>
        </w:rPr>
        <w:t xml:space="preserve">Objective: </w:t>
      </w:r>
      <w:r w:rsidRPr="00AA2965">
        <w:t>This study presents an explainable machine learning framework integrating a two-stage economic modelling architecture with Shapley Additive Explanations (SHAP) to simultaneously predict healthcare utilisation across three care settings and quantify individual and system-level economic burden.</w:t>
      </w:r>
    </w:p>
    <w:p w14:paraId="35E1705D" w14:textId="77777777" w:rsidR="00CE0393" w:rsidRPr="00AA2965" w:rsidRDefault="00401671" w:rsidP="00AA2965">
      <w:pPr>
        <w:spacing w:before="120" w:after="120" w:line="360" w:lineRule="auto"/>
        <w:jc w:val="both"/>
      </w:pPr>
      <w:r w:rsidRPr="00AA2965">
        <w:rPr>
          <w:b/>
          <w:bCs/>
        </w:rPr>
        <w:t xml:space="preserve">Methods: </w:t>
      </w:r>
      <w:r w:rsidRPr="00AA2965">
        <w:t>We utilise the Medical Expenditure Panel Survey (MEPS) as the primary dataset, supplemented by HCUP for external validation. The pipeline encompasses structured preprocessing, novel composite feature engineering, and competitive benchmarking of XGBoost, Random Forest, LightGBM, and baseline linear regression. A two-stage economic model first predicts utilisation, then generates cost estimates conditional on those predictions.</w:t>
      </w:r>
    </w:p>
    <w:p w14:paraId="24A071FC" w14:textId="77777777" w:rsidR="00CE0393" w:rsidRPr="00AA2965" w:rsidRDefault="00401671" w:rsidP="00AA2965">
      <w:pPr>
        <w:spacing w:before="120" w:after="120" w:line="360" w:lineRule="auto"/>
        <w:jc w:val="both"/>
      </w:pPr>
      <w:r w:rsidRPr="00AA2965">
        <w:rPr>
          <w:b/>
          <w:bCs/>
        </w:rPr>
        <w:t xml:space="preserve">Results: </w:t>
      </w:r>
      <w:r w:rsidRPr="00AA2965">
        <w:t>XGBoost achieved superior performance (RMSE = 1.24 ED visits, R2 = 0.847 inpatient admissions) with an MAE of $1,847 per patient for total expenditure. SHAP decomposition identified chronic disease burden, age, insurance coverage depth, prior utilisation, and socioeconomic vulnerability as the five primary cost drivers. System-level forecasts matched CMS figures within 3.2%.</w:t>
      </w:r>
    </w:p>
    <w:p w14:paraId="7FF0FAA6" w14:textId="7BFB1014" w:rsidR="00CE0393" w:rsidRPr="00AA2965" w:rsidRDefault="00401671" w:rsidP="00AA2965">
      <w:pPr>
        <w:spacing w:before="120" w:after="120" w:line="360" w:lineRule="auto"/>
        <w:jc w:val="both"/>
      </w:pPr>
      <w:r w:rsidRPr="00AA2965">
        <w:rPr>
          <w:b/>
          <w:bCs/>
        </w:rPr>
        <w:lastRenderedPageBreak/>
        <w:t xml:space="preserve">Conclusions: </w:t>
      </w:r>
      <w:r w:rsidRPr="00AA2965">
        <w:t>The framework advances the state of the art by unifying utilisation prediction, econometric modelling, and explainable AI in a single reproducible pipeline. Its transparency makes it directly applicable to health policy resource allocation, insurance planning, and algorithmic accountability.</w:t>
      </w:r>
    </w:p>
    <w:tbl>
      <w:tblPr>
        <w:tblW w:w="9360" w:type="dxa"/>
        <w:tblCellMar>
          <w:left w:w="10" w:type="dxa"/>
          <w:right w:w="10" w:type="dxa"/>
        </w:tblCellMar>
        <w:tblLook w:val="0000" w:firstRow="0" w:lastRow="0" w:firstColumn="0" w:lastColumn="0" w:noHBand="0" w:noVBand="0"/>
      </w:tblPr>
      <w:tblGrid>
        <w:gridCol w:w="9360"/>
      </w:tblGrid>
      <w:tr w:rsidR="00D32B36" w14:paraId="6EEB91F2" w14:textId="77777777" w:rsidTr="00437A66">
        <w:tc>
          <w:tcPr>
            <w:tcW w:w="9360" w:type="dxa"/>
            <w:shd w:val="clear" w:color="auto" w:fill="FFFFFF" w:themeFill="background1"/>
            <w:tcMar>
              <w:top w:w="120" w:type="dxa"/>
              <w:left w:w="160" w:type="dxa"/>
              <w:bottom w:w="120" w:type="dxa"/>
              <w:right w:w="160" w:type="dxa"/>
            </w:tcMar>
          </w:tcPr>
          <w:p w14:paraId="5ACCA70B" w14:textId="77777777" w:rsidR="00CE0393" w:rsidRPr="00AA2965" w:rsidRDefault="00401671" w:rsidP="00AA2965">
            <w:r w:rsidRPr="00AA2965">
              <w:rPr>
                <w:b/>
                <w:bCs/>
              </w:rPr>
              <w:t xml:space="preserve">Keywords: </w:t>
            </w:r>
            <w:r w:rsidRPr="00AA2965">
              <w:t>Machine learning; Healthcare utilisation; Economic burden; SHAP explainability; XGBoost; Medical expenditure; Predictive modelling; Health equity; United States health systems</w:t>
            </w:r>
          </w:p>
        </w:tc>
      </w:tr>
    </w:tbl>
    <w:p w14:paraId="1145256B" w14:textId="77777777" w:rsidR="00CE0393" w:rsidRPr="00AA2965" w:rsidRDefault="00CE0393" w:rsidP="00AA2965">
      <w:pPr>
        <w:spacing w:before="240"/>
        <w:jc w:val="both"/>
      </w:pPr>
    </w:p>
    <w:p w14:paraId="24B92D0D"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1. Introduction</w:t>
      </w:r>
    </w:p>
    <w:p w14:paraId="6F020185"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1.1 Background and Motivation</w:t>
      </w:r>
    </w:p>
    <w:p w14:paraId="3B013531" w14:textId="42D00981" w:rsidR="00CE0393" w:rsidRPr="00AA2965" w:rsidRDefault="00401671" w:rsidP="00AA2965">
      <w:pPr>
        <w:spacing w:before="120" w:after="120" w:line="360" w:lineRule="auto"/>
        <w:jc w:val="both"/>
      </w:pPr>
      <w:r w:rsidRPr="00AA2965">
        <w:t>The United States healthcare system accounts for approximately 17.3% of gross domestic product, with aggregate national health expenditure exceeding $4.5 trillion annually. This figure disproportionately large relative to comparable high-income nations reflects deep structural inefficiencies in service delivery, insurance market fragmentation, and the chronic under-management of high-utilisation patient cohorts. Emergency department overcrowding, preventable hospital readmissions, and catastrophic out-of-po</w:t>
      </w:r>
      <w:r w:rsidRPr="00AA2965">
        <w:t>cket expenditure represent the most visible manifestations of these systemic failures.</w:t>
      </w:r>
    </w:p>
    <w:p w14:paraId="3862659A" w14:textId="5BCC3207" w:rsidR="00CE0393" w:rsidRPr="00AA2965" w:rsidRDefault="00401671" w:rsidP="00AA2965">
      <w:pPr>
        <w:spacing w:before="120" w:after="120" w:line="360" w:lineRule="auto"/>
        <w:jc w:val="both"/>
      </w:pPr>
      <w:r w:rsidRPr="00AA2965">
        <w:t xml:space="preserve">Accurate predictive modelling of healthcare utilisation and associated costs offers a powerful lever for systems-level reform. If health administrators, insurers, and policymakers can reliably anticipate which patient cohorts will generate disproportionate demand and at what projected </w:t>
      </w:r>
      <w:r w:rsidR="004B5668" w:rsidRPr="00AA2965">
        <w:t>cost they</w:t>
      </w:r>
      <w:r w:rsidRPr="00AA2965">
        <w:t xml:space="preserve"> can proactively deploy targeted interventions. Yet existing predictive tools suffer from two interrelated limitations: insufficient predictive accuracy due to neglect of non-linear interaction effects, and opacity that prevents clinical and regulatory acceptance.</w:t>
      </w:r>
    </w:p>
    <w:p w14:paraId="31E0A5C1" w14:textId="7FAC47FC" w:rsidR="00CE0393" w:rsidRPr="00AA2965" w:rsidRDefault="00401671" w:rsidP="00AA2965">
      <w:pPr>
        <w:spacing w:before="120" w:after="120" w:line="360" w:lineRule="auto"/>
        <w:jc w:val="both"/>
      </w:pPr>
      <w:r w:rsidRPr="00AA2965">
        <w:t xml:space="preserve">The emergence of gradient boosting </w:t>
      </w:r>
      <w:r w:rsidR="000913CC" w:rsidRPr="00AA2965">
        <w:t>architecture</w:t>
      </w:r>
      <w:r w:rsidR="004B5668" w:rsidRPr="00AA2965">
        <w:t>, particularly</w:t>
      </w:r>
      <w:r w:rsidRPr="00AA2965">
        <w:t xml:space="preserve"> </w:t>
      </w:r>
      <w:proofErr w:type="spellStart"/>
      <w:r w:rsidRPr="00AA2965">
        <w:t>XGBoost</w:t>
      </w:r>
      <w:proofErr w:type="spellEnd"/>
      <w:r w:rsidRPr="00AA2965">
        <w:t xml:space="preserve"> and </w:t>
      </w:r>
      <w:proofErr w:type="spellStart"/>
      <w:proofErr w:type="gramStart"/>
      <w:r w:rsidRPr="00AA2965">
        <w:t>LightGBM</w:t>
      </w:r>
      <w:proofErr w:type="spellEnd"/>
      <w:r w:rsidRPr="00AA2965">
        <w:t xml:space="preserve">  alongside</w:t>
      </w:r>
      <w:proofErr w:type="gramEnd"/>
      <w:r w:rsidRPr="00AA2965">
        <w:t xml:space="preserve"> post-hoc explainability frameworks such as SHAP has created an opportunity to resolve both limitations simultaneously. This paper capitalises on that opportunity by presenting a fully integrated, reproducible pipeline combining state-of-the-art ML prediction with a novel two-stage economic model and comprehensive SHAP-based transparency.</w:t>
      </w:r>
    </w:p>
    <w:p w14:paraId="1243AAAB"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1.2 Problem Statement</w:t>
      </w:r>
    </w:p>
    <w:p w14:paraId="48F71586" w14:textId="77777777" w:rsidR="00CE0393" w:rsidRPr="00AA2965" w:rsidRDefault="00401671" w:rsidP="00AA2965">
      <w:pPr>
        <w:spacing w:before="120" w:after="120" w:line="360" w:lineRule="auto"/>
        <w:jc w:val="both"/>
      </w:pPr>
      <w:r w:rsidRPr="00AA2965">
        <w:t>Three discrete gaps motivate this research:</w:t>
      </w:r>
    </w:p>
    <w:p w14:paraId="4A018062" w14:textId="77777777" w:rsidR="00CE0393" w:rsidRPr="00AA2965" w:rsidRDefault="00401671" w:rsidP="00AA2965">
      <w:pPr>
        <w:pStyle w:val="ListParagraph"/>
        <w:numPr>
          <w:ilvl w:val="0"/>
          <w:numId w:val="2"/>
        </w:numPr>
        <w:spacing w:before="60" w:after="60"/>
        <w:jc w:val="both"/>
      </w:pPr>
      <w:r w:rsidRPr="00AA2965">
        <w:t>Fragmented prediction pipelines: existing studies separately address utilisation prediction or cost estimation, but rarely integrate both within a single validated framework.</w:t>
      </w:r>
    </w:p>
    <w:p w14:paraId="36A70D1D" w14:textId="77777777" w:rsidR="00CE0393" w:rsidRPr="00AA2965" w:rsidRDefault="00401671" w:rsidP="00AA2965">
      <w:pPr>
        <w:pStyle w:val="ListParagraph"/>
        <w:numPr>
          <w:ilvl w:val="0"/>
          <w:numId w:val="2"/>
        </w:numPr>
        <w:spacing w:before="60" w:after="60"/>
        <w:jc w:val="both"/>
      </w:pPr>
      <w:r w:rsidRPr="00AA2965">
        <w:lastRenderedPageBreak/>
        <w:t>Absence of two-stage economic decomposition: cost is frequently modelled as a direct function of demographics, ignoring the causal pathway through clinical demand. This produces biased cost estimates and limits policy actionability.</w:t>
      </w:r>
    </w:p>
    <w:p w14:paraId="41AEDF63" w14:textId="77777777" w:rsidR="00CE0393" w:rsidRPr="00AA2965" w:rsidRDefault="00401671" w:rsidP="00AA2965">
      <w:pPr>
        <w:pStyle w:val="ListParagraph"/>
        <w:numPr>
          <w:ilvl w:val="0"/>
          <w:numId w:val="2"/>
        </w:numPr>
        <w:spacing w:before="60" w:after="60"/>
        <w:jc w:val="both"/>
      </w:pPr>
      <w:r w:rsidRPr="00AA2965">
        <w:t>Interpretability deficit: black-box models preclude adoption in clinical governance and regulatory contexts, necessitating tools that demonstrate algorithmic accountability.</w:t>
      </w:r>
    </w:p>
    <w:p w14:paraId="6CBCA83D" w14:textId="77777777" w:rsidR="00CE0393" w:rsidRPr="00AA2965" w:rsidRDefault="00CE0393" w:rsidP="00AA2965">
      <w:pPr>
        <w:spacing w:before="120"/>
        <w:jc w:val="both"/>
      </w:pPr>
    </w:p>
    <w:p w14:paraId="1C8F0CBF"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1.3 Research Objectives</w:t>
      </w:r>
    </w:p>
    <w:p w14:paraId="36E8B41C" w14:textId="77777777" w:rsidR="00CE0393" w:rsidRPr="00AA2965" w:rsidRDefault="00401671" w:rsidP="00AA2965">
      <w:pPr>
        <w:spacing w:before="120" w:after="120" w:line="360" w:lineRule="auto"/>
        <w:jc w:val="both"/>
      </w:pPr>
      <w:r w:rsidRPr="00AA2965">
        <w:t>This study pursues four primary objectives:</w:t>
      </w:r>
    </w:p>
    <w:p w14:paraId="18525CE8" w14:textId="77777777" w:rsidR="00CE0393" w:rsidRPr="00AA2965" w:rsidRDefault="00401671" w:rsidP="00AA2965">
      <w:pPr>
        <w:pStyle w:val="ListParagraph"/>
        <w:numPr>
          <w:ilvl w:val="0"/>
          <w:numId w:val="2"/>
        </w:numPr>
        <w:spacing w:before="60" w:after="60"/>
        <w:jc w:val="both"/>
      </w:pPr>
      <w:r w:rsidRPr="00AA2965">
        <w:t>To construct a reproducible ML pipeline for predicting ED visits, inpatient admissions, and outpatient encounters using MEPS data.</w:t>
      </w:r>
    </w:p>
    <w:p w14:paraId="2AC2F5BE" w14:textId="77777777" w:rsidR="00CE0393" w:rsidRPr="00AA2965" w:rsidRDefault="00401671" w:rsidP="00AA2965">
      <w:pPr>
        <w:pStyle w:val="ListParagraph"/>
        <w:numPr>
          <w:ilvl w:val="0"/>
          <w:numId w:val="2"/>
        </w:numPr>
        <w:spacing w:before="60" w:after="60"/>
        <w:jc w:val="both"/>
      </w:pPr>
      <w:r w:rsidRPr="00AA2965">
        <w:t>To develop and validate a two-stage economic model conditioning cost estimation on predicted utilisation outputs.</w:t>
      </w:r>
    </w:p>
    <w:p w14:paraId="145A3C1D" w14:textId="77777777" w:rsidR="00CE0393" w:rsidRPr="00AA2965" w:rsidRDefault="00401671" w:rsidP="00AA2965">
      <w:pPr>
        <w:pStyle w:val="ListParagraph"/>
        <w:numPr>
          <w:ilvl w:val="0"/>
          <w:numId w:val="2"/>
        </w:numPr>
        <w:spacing w:before="60" w:after="60"/>
        <w:jc w:val="both"/>
      </w:pPr>
      <w:r w:rsidRPr="00AA2965">
        <w:t>To apply SHAP explainability methods to decompose feature-level drivers of utilisation and cost at both individual and population levels.</w:t>
      </w:r>
    </w:p>
    <w:p w14:paraId="64C0DFF4" w14:textId="77777777" w:rsidR="00CE0393" w:rsidRPr="00AA2965" w:rsidRDefault="00401671" w:rsidP="00AA2965">
      <w:pPr>
        <w:pStyle w:val="ListParagraph"/>
        <w:numPr>
          <w:ilvl w:val="0"/>
          <w:numId w:val="2"/>
        </w:numPr>
        <w:spacing w:before="60" w:after="60"/>
        <w:jc w:val="both"/>
      </w:pPr>
      <w:r w:rsidRPr="00AA2965">
        <w:t>To generate system-level expenditure forecasts and risk stratification profiles applicable to health policy and insurance planning.</w:t>
      </w:r>
    </w:p>
    <w:p w14:paraId="565C6F0D" w14:textId="77777777" w:rsidR="00CE0393" w:rsidRPr="00AA2965" w:rsidRDefault="00CE0393" w:rsidP="00AA2965">
      <w:pPr>
        <w:spacing w:before="120"/>
        <w:jc w:val="both"/>
      </w:pPr>
    </w:p>
    <w:p w14:paraId="331D36A4"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1.4 Novelty and Contributions</w:t>
      </w:r>
    </w:p>
    <w:p w14:paraId="02C60128" w14:textId="77777777" w:rsidR="00CE0393" w:rsidRPr="00AA2965" w:rsidRDefault="00401671" w:rsidP="00AA2965">
      <w:pPr>
        <w:pStyle w:val="ListParagraph"/>
        <w:numPr>
          <w:ilvl w:val="0"/>
          <w:numId w:val="3"/>
        </w:numPr>
        <w:spacing w:before="60" w:after="60"/>
        <w:jc w:val="both"/>
      </w:pPr>
      <w:r w:rsidRPr="00AA2965">
        <w:t>An integrated utilisation-cost prediction framework bridging clinical demand forecasting and health economic modelling.</w:t>
      </w:r>
    </w:p>
    <w:p w14:paraId="01270B44" w14:textId="77777777" w:rsidR="00CE0393" w:rsidRPr="00AA2965" w:rsidRDefault="00401671" w:rsidP="00AA2965">
      <w:pPr>
        <w:pStyle w:val="ListParagraph"/>
        <w:numPr>
          <w:ilvl w:val="0"/>
          <w:numId w:val="3"/>
        </w:numPr>
        <w:spacing w:before="60" w:after="60"/>
        <w:jc w:val="both"/>
      </w:pPr>
      <w:r w:rsidRPr="00AA2965">
        <w:t>A two-stage economic decomposition model separating clinical demand from financial impact.</w:t>
      </w:r>
    </w:p>
    <w:p w14:paraId="51E7D7DE" w14:textId="77777777" w:rsidR="00CE0393" w:rsidRPr="00AA2965" w:rsidRDefault="00401671" w:rsidP="00AA2965">
      <w:pPr>
        <w:pStyle w:val="ListParagraph"/>
        <w:numPr>
          <w:ilvl w:val="0"/>
          <w:numId w:val="3"/>
        </w:numPr>
        <w:spacing w:before="60" w:after="60"/>
        <w:jc w:val="both"/>
      </w:pPr>
      <w:r w:rsidRPr="00AA2965">
        <w:t>A multi-dimensional SHAP analysis producing feature importance rankings, individual prediction explanations, and equity bias assessments.</w:t>
      </w:r>
    </w:p>
    <w:p w14:paraId="465137E8" w14:textId="77777777" w:rsidR="00CE0393" w:rsidRPr="00AA2965" w:rsidRDefault="00401671" w:rsidP="00AA2965">
      <w:pPr>
        <w:pStyle w:val="ListParagraph"/>
        <w:numPr>
          <w:ilvl w:val="0"/>
          <w:numId w:val="3"/>
        </w:numPr>
        <w:spacing w:before="60" w:after="60"/>
        <w:jc w:val="both"/>
      </w:pPr>
      <w:r w:rsidRPr="00AA2965">
        <w:t>A fully reproducible open-source pipeline enabling replication and extension by health data scientists and policy researchers.</w:t>
      </w:r>
    </w:p>
    <w:p w14:paraId="34DAAB54" w14:textId="77777777" w:rsidR="00CE0393" w:rsidRPr="00AA2965" w:rsidRDefault="00CE0393" w:rsidP="00AA2965">
      <w:pPr>
        <w:spacing w:before="240"/>
        <w:jc w:val="both"/>
      </w:pPr>
    </w:p>
    <w:p w14:paraId="43EB8C82"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2. Literature Review</w:t>
      </w:r>
    </w:p>
    <w:p w14:paraId="3E7A2CA5"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2.1 Machine Learning in Healthcare Utilisation Prediction</w:t>
      </w:r>
    </w:p>
    <w:p w14:paraId="700F927A" w14:textId="7AE356D0" w:rsidR="00CE0393" w:rsidRPr="00AA2965" w:rsidRDefault="00401671" w:rsidP="00AA2965">
      <w:pPr>
        <w:spacing w:before="120" w:after="120" w:line="360" w:lineRule="auto"/>
        <w:jc w:val="both"/>
      </w:pPr>
      <w:r w:rsidRPr="00AA2965">
        <w:t>The application of supervised ML to healthcare utilisation prediction has grown substantially over the past decade. Within the utilisation domain, random forest models have been applied to predict 30-day hospital readmissions (Futoma et al., 2015), while gradient boosting approaches have shown superior performance in predicting ED revisits in paediatric populations (Goto et al., 2019). However, the majority of utilisation prediction studies address a single care setting in isolation. Cross-setting integrate</w:t>
      </w:r>
      <w:r w:rsidRPr="00AA2965">
        <w:t xml:space="preserve">d models capable of simultaneously forecasting ED visits, inpatient admissions, and outpatient </w:t>
      </w:r>
      <w:r w:rsidR="00864729" w:rsidRPr="00AA2965">
        <w:t>encounters remain</w:t>
      </w:r>
      <w:r w:rsidRPr="00AA2965">
        <w:t xml:space="preserve"> rare in the literature.</w:t>
      </w:r>
    </w:p>
    <w:p w14:paraId="207338AD"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lastRenderedPageBreak/>
        <w:t>2.2 Economic Burden Modelling in US Healthcare</w:t>
      </w:r>
    </w:p>
    <w:p w14:paraId="7F51FD1E" w14:textId="104388B5" w:rsidR="00CE0393" w:rsidRPr="00AA2965" w:rsidRDefault="00401671" w:rsidP="00AA2965">
      <w:pPr>
        <w:spacing w:before="120" w:after="120" w:line="360" w:lineRule="auto"/>
        <w:jc w:val="both"/>
      </w:pPr>
      <w:r w:rsidRPr="00AA2965">
        <w:t xml:space="preserve">The economic modelling literature has primarily relied on generalised linear models, two-part models, and OLS regression with log-transformed outcomes. Manning and Mullahy (2001) established the canonical econometric framework for healthcare cost modelling. ML-based cost prediction models have demonstrated significant improvements over GLM baselines when non-linear predictor interactions are present. Yet few studies have explicitly modelled the pathway from </w:t>
      </w:r>
      <w:r w:rsidR="00945067" w:rsidRPr="00AA2965">
        <w:t>utilization</w:t>
      </w:r>
      <w:r w:rsidRPr="00AA2965">
        <w:t xml:space="preserve"> to </w:t>
      </w:r>
      <w:r w:rsidR="00945067" w:rsidRPr="00AA2965">
        <w:t>cost treating</w:t>
      </w:r>
      <w:r w:rsidRPr="00AA2965">
        <w:t xml:space="preserve"> cost as a direct outcome of patient characteristics rather than as a function of utilised services.</w:t>
      </w:r>
    </w:p>
    <w:p w14:paraId="0768518D"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2.3 Explainable AI in Clinical Decision Support</w:t>
      </w:r>
    </w:p>
    <w:p w14:paraId="480D4632" w14:textId="3BD44972" w:rsidR="00CE0393" w:rsidRPr="00AA2965" w:rsidRDefault="00401671" w:rsidP="00AA2965">
      <w:pPr>
        <w:spacing w:before="120" w:after="120" w:line="360" w:lineRule="auto"/>
        <w:jc w:val="both"/>
      </w:pPr>
      <w:r w:rsidRPr="00AA2965">
        <w:t xml:space="preserve">The explainability of ML models in healthcare has emerged as a critical requirement for ethical deployment and regulatory compliance. </w:t>
      </w:r>
      <w:r w:rsidR="00945067" w:rsidRPr="00AA2965">
        <w:t>SHAP introduced</w:t>
      </w:r>
      <w:r w:rsidRPr="00AA2965">
        <w:t xml:space="preserve"> by Lundberg and Lee (2017</w:t>
      </w:r>
      <w:proofErr w:type="gramStart"/>
      <w:r w:rsidRPr="00AA2965">
        <w:t>)  has</w:t>
      </w:r>
      <w:proofErr w:type="gramEnd"/>
      <w:r w:rsidRPr="00AA2965">
        <w:t xml:space="preserve"> become the dominant post-hoc explainability method due to its theoretical grounding in cooperative game theory. Recent studies have applied SHAP to sepsis prediction (Lundberg et al., 2020), mental health service utilisation, and insurance premium estimation. The present work extends this tradition to the integrated domain of utilisation prediction and economic burden quantification.</w:t>
      </w:r>
    </w:p>
    <w:p w14:paraId="404AB9F1"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2.4 Research Gap Summary</w:t>
      </w:r>
    </w:p>
    <w:p w14:paraId="0DCC1ADC"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D32B36" w14:paraId="782E4A64" w14:textId="77777777">
        <w:trPr>
          <w:tblHeader/>
        </w:trPr>
        <w:tc>
          <w:tcPr>
            <w:tcW w:w="3600" w:type="dxa"/>
            <w:shd w:val="clear" w:color="auto" w:fill="1B2A4A"/>
            <w:tcMar>
              <w:top w:w="80" w:type="dxa"/>
              <w:left w:w="120" w:type="dxa"/>
              <w:bottom w:w="80" w:type="dxa"/>
              <w:right w:w="120" w:type="dxa"/>
            </w:tcMar>
          </w:tcPr>
          <w:p w14:paraId="6A2F2843" w14:textId="77777777" w:rsidR="00CE0393" w:rsidRPr="00AA2965" w:rsidRDefault="00401671" w:rsidP="00AA2965">
            <w:pPr>
              <w:jc w:val="both"/>
            </w:pPr>
            <w:r w:rsidRPr="00AA2965">
              <w:rPr>
                <w:rFonts w:eastAsia="Arial"/>
                <w:b/>
                <w:bCs/>
                <w:sz w:val="20"/>
                <w:szCs w:val="20"/>
              </w:rPr>
              <w:t>Identified Gap</w:t>
            </w:r>
          </w:p>
        </w:tc>
        <w:tc>
          <w:tcPr>
            <w:tcW w:w="5760" w:type="dxa"/>
            <w:shd w:val="clear" w:color="auto" w:fill="1B2A4A"/>
            <w:tcMar>
              <w:top w:w="80" w:type="dxa"/>
              <w:left w:w="120" w:type="dxa"/>
              <w:bottom w:w="80" w:type="dxa"/>
              <w:right w:w="120" w:type="dxa"/>
            </w:tcMar>
          </w:tcPr>
          <w:p w14:paraId="2E2870FA" w14:textId="77777777" w:rsidR="00CE0393" w:rsidRPr="00AA2965" w:rsidRDefault="00401671" w:rsidP="00AA2965">
            <w:pPr>
              <w:jc w:val="both"/>
            </w:pPr>
            <w:r w:rsidRPr="00AA2965">
              <w:rPr>
                <w:rFonts w:eastAsia="Arial"/>
                <w:b/>
                <w:bCs/>
                <w:sz w:val="20"/>
                <w:szCs w:val="20"/>
              </w:rPr>
              <w:t>This Study's Response</w:t>
            </w:r>
          </w:p>
        </w:tc>
      </w:tr>
      <w:tr w:rsidR="00D32B36" w14:paraId="56DF64EB" w14:textId="77777777">
        <w:tc>
          <w:tcPr>
            <w:tcW w:w="3600" w:type="dxa"/>
            <w:shd w:val="clear" w:color="auto" w:fill="FFFFFF"/>
            <w:tcMar>
              <w:top w:w="80" w:type="dxa"/>
              <w:left w:w="120" w:type="dxa"/>
              <w:bottom w:w="80" w:type="dxa"/>
              <w:right w:w="120" w:type="dxa"/>
            </w:tcMar>
          </w:tcPr>
          <w:p w14:paraId="195BEBFF" w14:textId="77777777" w:rsidR="00CE0393" w:rsidRPr="00AA2965" w:rsidRDefault="00401671" w:rsidP="00AA2965">
            <w:pPr>
              <w:jc w:val="both"/>
            </w:pPr>
            <w:r w:rsidRPr="00AA2965">
              <w:rPr>
                <w:sz w:val="20"/>
                <w:szCs w:val="20"/>
              </w:rPr>
              <w:t>Fragmented prediction scope</w:t>
            </w:r>
          </w:p>
        </w:tc>
        <w:tc>
          <w:tcPr>
            <w:tcW w:w="5760" w:type="dxa"/>
            <w:shd w:val="clear" w:color="auto" w:fill="FFFFFF"/>
            <w:tcMar>
              <w:top w:w="80" w:type="dxa"/>
              <w:left w:w="120" w:type="dxa"/>
              <w:bottom w:w="80" w:type="dxa"/>
              <w:right w:w="120" w:type="dxa"/>
            </w:tcMar>
          </w:tcPr>
          <w:p w14:paraId="76795579" w14:textId="77777777" w:rsidR="00CE0393" w:rsidRPr="00AA2965" w:rsidRDefault="00401671" w:rsidP="00AA2965">
            <w:pPr>
              <w:jc w:val="both"/>
            </w:pPr>
            <w:r w:rsidRPr="00AA2965">
              <w:rPr>
                <w:sz w:val="20"/>
                <w:szCs w:val="20"/>
              </w:rPr>
              <w:t>Integrated multi-setting utilisation model (ED + Inpatient + Outpatient)</w:t>
            </w:r>
          </w:p>
        </w:tc>
      </w:tr>
      <w:tr w:rsidR="00D32B36" w14:paraId="5E9D9F84" w14:textId="77777777">
        <w:tc>
          <w:tcPr>
            <w:tcW w:w="3600" w:type="dxa"/>
            <w:shd w:val="clear" w:color="auto" w:fill="F2F2F2"/>
            <w:tcMar>
              <w:top w:w="80" w:type="dxa"/>
              <w:left w:w="120" w:type="dxa"/>
              <w:bottom w:w="80" w:type="dxa"/>
              <w:right w:w="120" w:type="dxa"/>
            </w:tcMar>
          </w:tcPr>
          <w:p w14:paraId="170E9DAE" w14:textId="77777777" w:rsidR="00CE0393" w:rsidRPr="00AA2965" w:rsidRDefault="00401671" w:rsidP="00AA2965">
            <w:pPr>
              <w:jc w:val="both"/>
            </w:pPr>
            <w:r w:rsidRPr="00AA2965">
              <w:rPr>
                <w:sz w:val="20"/>
                <w:szCs w:val="20"/>
              </w:rPr>
              <w:t>No two-stage economic decomposition</w:t>
            </w:r>
          </w:p>
        </w:tc>
        <w:tc>
          <w:tcPr>
            <w:tcW w:w="5760" w:type="dxa"/>
            <w:shd w:val="clear" w:color="auto" w:fill="F2F2F2"/>
            <w:tcMar>
              <w:top w:w="80" w:type="dxa"/>
              <w:left w:w="120" w:type="dxa"/>
              <w:bottom w:w="80" w:type="dxa"/>
              <w:right w:w="120" w:type="dxa"/>
            </w:tcMar>
          </w:tcPr>
          <w:p w14:paraId="26C3E27F" w14:textId="77777777" w:rsidR="00CE0393" w:rsidRPr="00AA2965" w:rsidRDefault="00401671" w:rsidP="00AA2965">
            <w:pPr>
              <w:jc w:val="both"/>
            </w:pPr>
            <w:r w:rsidRPr="00AA2965">
              <w:rPr>
                <w:sz w:val="20"/>
                <w:szCs w:val="20"/>
              </w:rPr>
              <w:t>Explicit causal pathway: demographics → utilisation → cost</w:t>
            </w:r>
          </w:p>
        </w:tc>
      </w:tr>
      <w:tr w:rsidR="00D32B36" w14:paraId="1B633FA1" w14:textId="77777777">
        <w:tc>
          <w:tcPr>
            <w:tcW w:w="3600" w:type="dxa"/>
            <w:shd w:val="clear" w:color="auto" w:fill="FFFFFF"/>
            <w:tcMar>
              <w:top w:w="80" w:type="dxa"/>
              <w:left w:w="120" w:type="dxa"/>
              <w:bottom w:w="80" w:type="dxa"/>
              <w:right w:w="120" w:type="dxa"/>
            </w:tcMar>
          </w:tcPr>
          <w:p w14:paraId="5941609E" w14:textId="77777777" w:rsidR="00CE0393" w:rsidRPr="00AA2965" w:rsidRDefault="00401671" w:rsidP="00AA2965">
            <w:pPr>
              <w:jc w:val="both"/>
            </w:pPr>
            <w:r w:rsidRPr="00AA2965">
              <w:rPr>
                <w:sz w:val="20"/>
                <w:szCs w:val="20"/>
              </w:rPr>
              <w:t>Black-box models lack interpretability</w:t>
            </w:r>
          </w:p>
        </w:tc>
        <w:tc>
          <w:tcPr>
            <w:tcW w:w="5760" w:type="dxa"/>
            <w:shd w:val="clear" w:color="auto" w:fill="FFFFFF"/>
            <w:tcMar>
              <w:top w:w="80" w:type="dxa"/>
              <w:left w:w="120" w:type="dxa"/>
              <w:bottom w:w="80" w:type="dxa"/>
              <w:right w:w="120" w:type="dxa"/>
            </w:tcMar>
          </w:tcPr>
          <w:p w14:paraId="3C246CEF" w14:textId="77777777" w:rsidR="00CE0393" w:rsidRPr="00AA2965" w:rsidRDefault="00401671" w:rsidP="00AA2965">
            <w:pPr>
              <w:jc w:val="both"/>
            </w:pPr>
            <w:r w:rsidRPr="00AA2965">
              <w:rPr>
                <w:sz w:val="20"/>
                <w:szCs w:val="20"/>
              </w:rPr>
              <w:t>SHAP explainability at individual and population levels</w:t>
            </w:r>
          </w:p>
        </w:tc>
      </w:tr>
      <w:tr w:rsidR="00D32B36" w14:paraId="39F469A1" w14:textId="77777777">
        <w:tc>
          <w:tcPr>
            <w:tcW w:w="3600" w:type="dxa"/>
            <w:shd w:val="clear" w:color="auto" w:fill="F2F2F2"/>
            <w:tcMar>
              <w:top w:w="80" w:type="dxa"/>
              <w:left w:w="120" w:type="dxa"/>
              <w:bottom w:w="80" w:type="dxa"/>
              <w:right w:w="120" w:type="dxa"/>
            </w:tcMar>
          </w:tcPr>
          <w:p w14:paraId="630C1475" w14:textId="77777777" w:rsidR="00CE0393" w:rsidRPr="00AA2965" w:rsidRDefault="00401671" w:rsidP="00AA2965">
            <w:pPr>
              <w:jc w:val="both"/>
            </w:pPr>
            <w:r w:rsidRPr="00AA2965">
              <w:rPr>
                <w:sz w:val="20"/>
                <w:szCs w:val="20"/>
              </w:rPr>
              <w:t>Limited policy translation</w:t>
            </w:r>
          </w:p>
        </w:tc>
        <w:tc>
          <w:tcPr>
            <w:tcW w:w="5760" w:type="dxa"/>
            <w:shd w:val="clear" w:color="auto" w:fill="F2F2F2"/>
            <w:tcMar>
              <w:top w:w="80" w:type="dxa"/>
              <w:left w:w="120" w:type="dxa"/>
              <w:bottom w:w="80" w:type="dxa"/>
              <w:right w:w="120" w:type="dxa"/>
            </w:tcMar>
          </w:tcPr>
          <w:p w14:paraId="6179B733" w14:textId="77777777" w:rsidR="00CE0393" w:rsidRPr="00AA2965" w:rsidRDefault="00401671" w:rsidP="00AA2965">
            <w:pPr>
              <w:jc w:val="both"/>
            </w:pPr>
            <w:r w:rsidRPr="00AA2965">
              <w:rPr>
                <w:sz w:val="20"/>
                <w:szCs w:val="20"/>
              </w:rPr>
              <w:t>Risk stratification and system-level expenditure forecasting</w:t>
            </w:r>
          </w:p>
        </w:tc>
      </w:tr>
    </w:tbl>
    <w:p w14:paraId="6DB2315D" w14:textId="77777777" w:rsidR="00CE0393" w:rsidRPr="00AA2965" w:rsidRDefault="00CE0393" w:rsidP="00AA2965">
      <w:pPr>
        <w:spacing w:before="80"/>
        <w:jc w:val="both"/>
      </w:pPr>
    </w:p>
    <w:p w14:paraId="681CB8F0" w14:textId="77777777" w:rsidR="00CE0393" w:rsidRPr="00AA2965" w:rsidRDefault="00401671" w:rsidP="00AA2965">
      <w:pPr>
        <w:spacing w:before="60" w:after="200"/>
        <w:jc w:val="both"/>
      </w:pPr>
      <w:r w:rsidRPr="00AA2965">
        <w:rPr>
          <w:rFonts w:eastAsia="Arial"/>
          <w:sz w:val="18"/>
          <w:szCs w:val="18"/>
        </w:rPr>
        <w:t>Table 1. Summary of literature gaps addressed by this study.</w:t>
      </w:r>
    </w:p>
    <w:p w14:paraId="30EFCEA4" w14:textId="77777777" w:rsidR="00CE0393" w:rsidRPr="00AA2965" w:rsidRDefault="00CE0393" w:rsidP="00AA2965">
      <w:pPr>
        <w:spacing w:before="240"/>
        <w:jc w:val="both"/>
      </w:pPr>
    </w:p>
    <w:p w14:paraId="7AD7424A"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3. Methodology</w:t>
      </w:r>
    </w:p>
    <w:p w14:paraId="2F17137C"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3.1 Study Design and System Architecture</w:t>
      </w:r>
    </w:p>
    <w:p w14:paraId="2353469A" w14:textId="77777777" w:rsidR="00CE0393" w:rsidRPr="00AA2965" w:rsidRDefault="00401671" w:rsidP="00AA2965">
      <w:pPr>
        <w:spacing w:before="120" w:after="120" w:line="360" w:lineRule="auto"/>
        <w:jc w:val="both"/>
      </w:pPr>
      <w:r w:rsidRPr="00AA2965">
        <w:t>This study employs a quantitative predictive modelling design, combining supervised machine learning for utilisation forecasting with econometric simulation for cost estimation. The research follows a structured pipeline comprising five analytical modules: data acquisition and preprocessing, feature engineering, model training and evaluation, two-stage economic modelling, and SHAP-based explainability analysis. Figure 1 provides the complete system architecture overview.</w:t>
      </w:r>
    </w:p>
    <w:p w14:paraId="4CC85185" w14:textId="77777777" w:rsidR="00CE0393" w:rsidRPr="00AA2965" w:rsidRDefault="00CE0393" w:rsidP="00AA2965">
      <w:pPr>
        <w:spacing w:before="160"/>
        <w:jc w:val="both"/>
      </w:pPr>
    </w:p>
    <w:p w14:paraId="3BEC3169" w14:textId="77777777" w:rsidR="00CE0393" w:rsidRPr="00AA2965" w:rsidRDefault="00401671" w:rsidP="00AA2965">
      <w:pPr>
        <w:spacing w:before="200" w:after="80"/>
        <w:jc w:val="both"/>
      </w:pPr>
      <w:r w:rsidRPr="00AA2965">
        <w:rPr>
          <w:noProof/>
        </w:rPr>
        <w:drawing>
          <wp:inline distT="0" distB="0" distL="0" distR="0" wp14:anchorId="727F4875" wp14:editId="180BAC97">
            <wp:extent cx="5762625"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62625" cy="1724025"/>
                    </a:xfrm>
                    <a:prstGeom prst="rect">
                      <a:avLst/>
                    </a:prstGeom>
                  </pic:spPr>
                </pic:pic>
              </a:graphicData>
            </a:graphic>
          </wp:inline>
        </w:drawing>
      </w:r>
    </w:p>
    <w:p w14:paraId="6F3057AB" w14:textId="77777777" w:rsidR="00CE0393" w:rsidRPr="00AA2965" w:rsidRDefault="00401671" w:rsidP="00AA2965">
      <w:pPr>
        <w:spacing w:before="60" w:after="200"/>
        <w:jc w:val="both"/>
      </w:pPr>
      <w:r w:rsidRPr="00AA2965">
        <w:rPr>
          <w:rFonts w:eastAsia="Arial"/>
          <w:sz w:val="18"/>
          <w:szCs w:val="18"/>
        </w:rPr>
        <w:t>Figure 1. System architecture of the integrated explainable ML pipeline for healthcare utilisation and cost prediction.</w:t>
      </w:r>
    </w:p>
    <w:p w14:paraId="2CA022C0" w14:textId="77777777" w:rsidR="00CE0393" w:rsidRPr="00AA2965" w:rsidRDefault="00CE0393" w:rsidP="00AA2965">
      <w:pPr>
        <w:spacing w:before="160"/>
        <w:jc w:val="both"/>
      </w:pPr>
    </w:p>
    <w:p w14:paraId="1661DB52"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3.2 Data Sources</w:t>
      </w:r>
    </w:p>
    <w:p w14:paraId="43279BC6"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3.2.1 Primary Dataset: Medical Expenditure Panel Survey (MEPS)</w:t>
      </w:r>
    </w:p>
    <w:p w14:paraId="618FE39A" w14:textId="77777777" w:rsidR="00CE0393" w:rsidRPr="00AA2965" w:rsidRDefault="00401671" w:rsidP="00AA2965">
      <w:pPr>
        <w:spacing w:before="120" w:after="120" w:line="360" w:lineRule="auto"/>
        <w:jc w:val="both"/>
      </w:pPr>
      <w:r w:rsidRPr="00AA2965">
        <w:t>The Medical Expenditure Panel Survey, administered by the Agency for Healthcare Research and Quality (AHRQ), constitutes the primary analytical dataset. MEPS is a nationally representative survey of families and individuals, their medical providers, and employers across the United States. We utilise the MEPS Full-Year Consolidated Data Files spanning 2016–2021, yielding an analytic sample of approximately 95,000 unique person-years after exclusion of records with missing outcome data.</w:t>
      </w:r>
    </w:p>
    <w:p w14:paraId="681B81A1"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3.2.2 Validation Dataset: HCUP</w:t>
      </w:r>
    </w:p>
    <w:p w14:paraId="0248F2E8" w14:textId="77777777" w:rsidR="00CE0393" w:rsidRPr="00AA2965" w:rsidRDefault="00401671" w:rsidP="00AA2965">
      <w:pPr>
        <w:spacing w:before="120" w:after="120" w:line="360" w:lineRule="auto"/>
        <w:jc w:val="both"/>
      </w:pPr>
      <w:r w:rsidRPr="00AA2965">
        <w:t>The Healthcare Cost and Utilisation Project (HCUP) provides hospital-level administrative data for external validation of inpatient utilisation predictions. The National Inpatient Sample (NIS) and State Emergency Department Databases (SEDD) are used to validate model predictions against observed national utilisation patterns at the population level.</w:t>
      </w:r>
    </w:p>
    <w:p w14:paraId="439B5398"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3.3 Data Preprocessing Pipeline</w:t>
      </w:r>
    </w:p>
    <w:p w14:paraId="38E2D998"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3.3.1 Data Cleaning</w:t>
      </w:r>
    </w:p>
    <w:p w14:paraId="71C271DC" w14:textId="77777777" w:rsidR="00CE0393" w:rsidRDefault="00401671" w:rsidP="00AA2965">
      <w:pPr>
        <w:spacing w:before="120" w:after="120" w:line="360" w:lineRule="auto"/>
        <w:jc w:val="both"/>
      </w:pPr>
      <w:r w:rsidRPr="00AA2965">
        <w:t>Missing data are addressed using a hybrid imputation strategy. For variables with fewer than 15% missing observations, multivariate imputation by chained equations (MICE) with predictive mean matching is applied. For variables with 15–30% missingness, k-nearest neighbour (KNN) imputation (k = 5) is employed. Outlier treatment employs the IQR method for expenditure variables, with Z-score Winsorisation for utilisation count variables. Categorical variables are encoded using one-hot encoding for low-cardinali</w:t>
      </w:r>
      <w:r w:rsidRPr="00AA2965">
        <w:t>ty features and target encoding for high-cardinality features.</w:t>
      </w:r>
    </w:p>
    <w:p w14:paraId="0EBE0D6A" w14:textId="77777777" w:rsidR="00945067" w:rsidRDefault="00945067" w:rsidP="00AA2965">
      <w:pPr>
        <w:spacing w:before="120" w:after="120" w:line="360" w:lineRule="auto"/>
        <w:jc w:val="both"/>
      </w:pPr>
    </w:p>
    <w:p w14:paraId="46B7FFE9" w14:textId="77777777" w:rsidR="00945067" w:rsidRPr="00AA2965" w:rsidRDefault="00945067" w:rsidP="00AA2965">
      <w:pPr>
        <w:spacing w:before="120" w:after="120" w:line="360" w:lineRule="auto"/>
        <w:jc w:val="both"/>
      </w:pPr>
    </w:p>
    <w:p w14:paraId="4B96F65D"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3.3.2 Feature Engineering</w:t>
      </w:r>
    </w:p>
    <w:p w14:paraId="797627EC" w14:textId="77777777" w:rsidR="00CE0393" w:rsidRPr="00AA2965" w:rsidRDefault="00401671" w:rsidP="00AA2965">
      <w:pPr>
        <w:spacing w:before="120" w:after="120" w:line="360" w:lineRule="auto"/>
        <w:jc w:val="both"/>
      </w:pPr>
      <w:r w:rsidRPr="00AA2965">
        <w:t>Four composite indices are constructed to capture multi-dimensional patient characteristics:</w:t>
      </w:r>
    </w:p>
    <w:p w14:paraId="44E67648"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D32B36" w14:paraId="3FBBF7EB" w14:textId="77777777">
        <w:trPr>
          <w:tblHeader/>
        </w:trPr>
        <w:tc>
          <w:tcPr>
            <w:tcW w:w="2880" w:type="dxa"/>
            <w:shd w:val="clear" w:color="auto" w:fill="1B2A4A"/>
            <w:tcMar>
              <w:top w:w="80" w:type="dxa"/>
              <w:left w:w="120" w:type="dxa"/>
              <w:bottom w:w="80" w:type="dxa"/>
              <w:right w:w="120" w:type="dxa"/>
            </w:tcMar>
          </w:tcPr>
          <w:p w14:paraId="58547136" w14:textId="77777777" w:rsidR="00CE0393" w:rsidRPr="00AA2965" w:rsidRDefault="00401671" w:rsidP="00AA2965">
            <w:pPr>
              <w:jc w:val="both"/>
            </w:pPr>
            <w:r w:rsidRPr="00AA2965">
              <w:rPr>
                <w:rFonts w:eastAsia="Arial"/>
                <w:b/>
                <w:bCs/>
                <w:sz w:val="20"/>
                <w:szCs w:val="20"/>
              </w:rPr>
              <w:t>Feature Index</w:t>
            </w:r>
          </w:p>
        </w:tc>
        <w:tc>
          <w:tcPr>
            <w:tcW w:w="6480" w:type="dxa"/>
            <w:shd w:val="clear" w:color="auto" w:fill="1B2A4A"/>
            <w:tcMar>
              <w:top w:w="80" w:type="dxa"/>
              <w:left w:w="120" w:type="dxa"/>
              <w:bottom w:w="80" w:type="dxa"/>
              <w:right w:w="120" w:type="dxa"/>
            </w:tcMar>
          </w:tcPr>
          <w:p w14:paraId="3A880247" w14:textId="77777777" w:rsidR="00CE0393" w:rsidRPr="00AA2965" w:rsidRDefault="00401671" w:rsidP="00AA2965">
            <w:pPr>
              <w:jc w:val="both"/>
            </w:pPr>
            <w:r w:rsidRPr="00AA2965">
              <w:rPr>
                <w:rFonts w:eastAsia="Arial"/>
                <w:b/>
                <w:bCs/>
                <w:sz w:val="20"/>
                <w:szCs w:val="20"/>
              </w:rPr>
              <w:t>Construction Method</w:t>
            </w:r>
          </w:p>
        </w:tc>
      </w:tr>
      <w:tr w:rsidR="00D32B36" w14:paraId="36EA0653" w14:textId="77777777">
        <w:tc>
          <w:tcPr>
            <w:tcW w:w="2880" w:type="dxa"/>
            <w:shd w:val="clear" w:color="auto" w:fill="FFFFFF"/>
            <w:tcMar>
              <w:top w:w="80" w:type="dxa"/>
              <w:left w:w="120" w:type="dxa"/>
              <w:bottom w:w="80" w:type="dxa"/>
              <w:right w:w="120" w:type="dxa"/>
            </w:tcMar>
          </w:tcPr>
          <w:p w14:paraId="4BC9D029" w14:textId="77777777" w:rsidR="00CE0393" w:rsidRPr="00AA2965" w:rsidRDefault="00401671" w:rsidP="00AA2965">
            <w:pPr>
              <w:jc w:val="both"/>
            </w:pPr>
            <w:r w:rsidRPr="00AA2965">
              <w:rPr>
                <w:sz w:val="20"/>
                <w:szCs w:val="20"/>
              </w:rPr>
              <w:t>Chronic Disease Index (CDI)</w:t>
            </w:r>
          </w:p>
        </w:tc>
        <w:tc>
          <w:tcPr>
            <w:tcW w:w="6480" w:type="dxa"/>
            <w:shd w:val="clear" w:color="auto" w:fill="FFFFFF"/>
            <w:tcMar>
              <w:top w:w="80" w:type="dxa"/>
              <w:left w:w="120" w:type="dxa"/>
              <w:bottom w:w="80" w:type="dxa"/>
              <w:right w:w="120" w:type="dxa"/>
            </w:tcMar>
          </w:tcPr>
          <w:p w14:paraId="1843963B" w14:textId="77777777" w:rsidR="00CE0393" w:rsidRPr="00AA2965" w:rsidRDefault="00401671" w:rsidP="00AA2965">
            <w:pPr>
              <w:jc w:val="both"/>
            </w:pPr>
            <w:r w:rsidRPr="00AA2965">
              <w:rPr>
                <w:sz w:val="20"/>
                <w:szCs w:val="20"/>
              </w:rPr>
              <w:t>Weighted sum of 12 binary chronic condition flags using Charlson Comorbidity Index mapping.</w:t>
            </w:r>
          </w:p>
        </w:tc>
      </w:tr>
      <w:tr w:rsidR="00D32B36" w14:paraId="1184E709" w14:textId="77777777">
        <w:tc>
          <w:tcPr>
            <w:tcW w:w="2880" w:type="dxa"/>
            <w:shd w:val="clear" w:color="auto" w:fill="F2F2F2"/>
            <w:tcMar>
              <w:top w:w="80" w:type="dxa"/>
              <w:left w:w="120" w:type="dxa"/>
              <w:bottom w:w="80" w:type="dxa"/>
              <w:right w:w="120" w:type="dxa"/>
            </w:tcMar>
          </w:tcPr>
          <w:p w14:paraId="0105C78E" w14:textId="77777777" w:rsidR="00CE0393" w:rsidRPr="00AA2965" w:rsidRDefault="00401671" w:rsidP="00AA2965">
            <w:pPr>
              <w:jc w:val="both"/>
            </w:pPr>
            <w:r w:rsidRPr="00AA2965">
              <w:rPr>
                <w:sz w:val="20"/>
                <w:szCs w:val="20"/>
              </w:rPr>
              <w:t>Utilisation History Score (UHS)</w:t>
            </w:r>
          </w:p>
        </w:tc>
        <w:tc>
          <w:tcPr>
            <w:tcW w:w="6480" w:type="dxa"/>
            <w:shd w:val="clear" w:color="auto" w:fill="F2F2F2"/>
            <w:tcMar>
              <w:top w:w="80" w:type="dxa"/>
              <w:left w:w="120" w:type="dxa"/>
              <w:bottom w:w="80" w:type="dxa"/>
              <w:right w:w="120" w:type="dxa"/>
            </w:tcMar>
          </w:tcPr>
          <w:p w14:paraId="55C5399F" w14:textId="77777777" w:rsidR="00CE0393" w:rsidRPr="00AA2965" w:rsidRDefault="00401671" w:rsidP="00AA2965">
            <w:pPr>
              <w:jc w:val="both"/>
            </w:pPr>
            <w:r w:rsidRPr="00AA2965">
              <w:rPr>
                <w:sz w:val="20"/>
                <w:szCs w:val="20"/>
              </w:rPr>
              <w:t>Lagged 12-month utilisation count across all care settings, normalised by age-group population means.</w:t>
            </w:r>
          </w:p>
        </w:tc>
      </w:tr>
      <w:tr w:rsidR="00D32B36" w14:paraId="400C93BF" w14:textId="77777777">
        <w:tc>
          <w:tcPr>
            <w:tcW w:w="2880" w:type="dxa"/>
            <w:shd w:val="clear" w:color="auto" w:fill="FFFFFF"/>
            <w:tcMar>
              <w:top w:w="80" w:type="dxa"/>
              <w:left w:w="120" w:type="dxa"/>
              <w:bottom w:w="80" w:type="dxa"/>
              <w:right w:w="120" w:type="dxa"/>
            </w:tcMar>
          </w:tcPr>
          <w:p w14:paraId="66B9C10C" w14:textId="77777777" w:rsidR="00CE0393" w:rsidRPr="00AA2965" w:rsidRDefault="00401671" w:rsidP="00AA2965">
            <w:pPr>
              <w:jc w:val="both"/>
            </w:pPr>
            <w:r w:rsidRPr="00AA2965">
              <w:rPr>
                <w:sz w:val="20"/>
                <w:szCs w:val="20"/>
              </w:rPr>
              <w:t>Socioeconomic Vulnerability Index (SVI)</w:t>
            </w:r>
          </w:p>
        </w:tc>
        <w:tc>
          <w:tcPr>
            <w:tcW w:w="6480" w:type="dxa"/>
            <w:shd w:val="clear" w:color="auto" w:fill="FFFFFF"/>
            <w:tcMar>
              <w:top w:w="80" w:type="dxa"/>
              <w:left w:w="120" w:type="dxa"/>
              <w:bottom w:w="80" w:type="dxa"/>
              <w:right w:w="120" w:type="dxa"/>
            </w:tcMar>
          </w:tcPr>
          <w:p w14:paraId="7F2FE477" w14:textId="77777777" w:rsidR="00CE0393" w:rsidRPr="00AA2965" w:rsidRDefault="00401671" w:rsidP="00AA2965">
            <w:pPr>
              <w:jc w:val="both"/>
            </w:pPr>
            <w:r w:rsidRPr="00AA2965">
              <w:rPr>
                <w:sz w:val="20"/>
                <w:szCs w:val="20"/>
              </w:rPr>
              <w:t>Principal component-derived composite of income-to-poverty ratio, education, employment, and housing stability.</w:t>
            </w:r>
          </w:p>
        </w:tc>
      </w:tr>
      <w:tr w:rsidR="00D32B36" w14:paraId="5F523073" w14:textId="77777777">
        <w:tc>
          <w:tcPr>
            <w:tcW w:w="2880" w:type="dxa"/>
            <w:shd w:val="clear" w:color="auto" w:fill="F2F2F2"/>
            <w:tcMar>
              <w:top w:w="80" w:type="dxa"/>
              <w:left w:w="120" w:type="dxa"/>
              <w:bottom w:w="80" w:type="dxa"/>
              <w:right w:w="120" w:type="dxa"/>
            </w:tcMar>
          </w:tcPr>
          <w:p w14:paraId="599E1E85" w14:textId="77777777" w:rsidR="00CE0393" w:rsidRPr="00AA2965" w:rsidRDefault="00401671" w:rsidP="00AA2965">
            <w:pPr>
              <w:jc w:val="both"/>
            </w:pPr>
            <w:r w:rsidRPr="00AA2965">
              <w:rPr>
                <w:sz w:val="20"/>
                <w:szCs w:val="20"/>
              </w:rPr>
              <w:t>Insurance Coverage Strength Index (ICSI)</w:t>
            </w:r>
          </w:p>
        </w:tc>
        <w:tc>
          <w:tcPr>
            <w:tcW w:w="6480" w:type="dxa"/>
            <w:shd w:val="clear" w:color="auto" w:fill="F2F2F2"/>
            <w:tcMar>
              <w:top w:w="80" w:type="dxa"/>
              <w:left w:w="120" w:type="dxa"/>
              <w:bottom w:w="80" w:type="dxa"/>
              <w:right w:w="120" w:type="dxa"/>
            </w:tcMar>
          </w:tcPr>
          <w:p w14:paraId="2205BD71" w14:textId="77777777" w:rsidR="00CE0393" w:rsidRPr="00AA2965" w:rsidRDefault="00401671" w:rsidP="00AA2965">
            <w:pPr>
              <w:jc w:val="both"/>
            </w:pPr>
            <w:r w:rsidRPr="00AA2965">
              <w:rPr>
                <w:sz w:val="20"/>
                <w:szCs w:val="20"/>
              </w:rPr>
              <w:t>Multi-item index capturing insurance type, coverage duration, and cost-sharing burden relative to income.</w:t>
            </w:r>
          </w:p>
        </w:tc>
      </w:tr>
    </w:tbl>
    <w:p w14:paraId="55D233F9" w14:textId="77777777" w:rsidR="00CE0393" w:rsidRPr="00AA2965" w:rsidRDefault="00CE0393" w:rsidP="00AA2965">
      <w:pPr>
        <w:spacing w:before="80"/>
        <w:jc w:val="both"/>
      </w:pPr>
    </w:p>
    <w:p w14:paraId="7C20CBBE" w14:textId="77777777" w:rsidR="00CE0393" w:rsidRPr="00AA2965" w:rsidRDefault="00401671" w:rsidP="00AA2965">
      <w:pPr>
        <w:spacing w:before="60" w:after="200"/>
        <w:jc w:val="both"/>
      </w:pPr>
      <w:r w:rsidRPr="00AA2965">
        <w:rPr>
          <w:rFonts w:eastAsia="Arial"/>
          <w:sz w:val="18"/>
          <w:szCs w:val="18"/>
        </w:rPr>
        <w:t>Table 2. Engineered feature indices and construction methods.</w:t>
      </w:r>
    </w:p>
    <w:p w14:paraId="113534A2" w14:textId="77777777" w:rsidR="00CE0393" w:rsidRPr="00AA2965" w:rsidRDefault="00CE0393" w:rsidP="00AA2965">
      <w:pPr>
        <w:spacing w:before="160"/>
        <w:jc w:val="both"/>
      </w:pPr>
    </w:p>
    <w:p w14:paraId="4130E106"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3.4 Machine Learning Framework</w:t>
      </w:r>
    </w:p>
    <w:p w14:paraId="0B358989"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3.4.1 Target Variables and Formulation</w:t>
      </w:r>
    </w:p>
    <w:p w14:paraId="1FEA04E5" w14:textId="77777777" w:rsidR="00CE0393" w:rsidRPr="00AA2965" w:rsidRDefault="00401671" w:rsidP="00AA2965">
      <w:pPr>
        <w:spacing w:before="120" w:after="120" w:line="360" w:lineRule="auto"/>
        <w:jc w:val="both"/>
      </w:pPr>
      <w:r w:rsidRPr="00AA2965">
        <w:t>Three utilisation targets and one economic target are specified:</w:t>
      </w:r>
    </w:p>
    <w:p w14:paraId="6FCA7A8A" w14:textId="77777777" w:rsidR="00CE0393" w:rsidRPr="00AA2965" w:rsidRDefault="00401671" w:rsidP="00AA2965">
      <w:pPr>
        <w:spacing w:before="120" w:after="120"/>
        <w:jc w:val="both"/>
      </w:pPr>
      <w:r w:rsidRPr="00AA2965">
        <w:rPr>
          <w:rFonts w:eastAsia="Courier New"/>
        </w:rPr>
        <w:t>Utilisation:  Ui = f(Xi, θ) + εi</w:t>
      </w:r>
    </w:p>
    <w:p w14:paraId="45CBE68F" w14:textId="77777777" w:rsidR="00CE0393" w:rsidRPr="00AA2965" w:rsidRDefault="00401671" w:rsidP="00AA2965">
      <w:pPr>
        <w:spacing w:before="120" w:after="120"/>
        <w:jc w:val="both"/>
      </w:pPr>
      <w:r w:rsidRPr="00AA2965">
        <w:rPr>
          <w:rFonts w:eastAsia="Courier New"/>
        </w:rPr>
        <w:t>Cost:         Ci = g(Ui, Xi) + εi</w:t>
      </w:r>
    </w:p>
    <w:p w14:paraId="3A58E17A" w14:textId="77777777" w:rsidR="00CE0393" w:rsidRPr="00AA2965" w:rsidRDefault="00401671" w:rsidP="00AA2965">
      <w:pPr>
        <w:spacing w:before="120" w:after="120" w:line="360" w:lineRule="auto"/>
        <w:jc w:val="both"/>
      </w:pPr>
      <w:r w:rsidRPr="00AA2965">
        <w:t>where Ui denotes the utilisation outcome, Xi is the feature vector, f is the ML function, and Ci is the total expenditure for individual i.</w:t>
      </w:r>
    </w:p>
    <w:p w14:paraId="7ECEE3E0"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3.4.2 Model Comparison</w:t>
      </w:r>
    </w:p>
    <w:p w14:paraId="6209116B"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1800"/>
        <w:gridCol w:w="1980"/>
        <w:gridCol w:w="3480"/>
      </w:tblGrid>
      <w:tr w:rsidR="00D32B36" w14:paraId="434FB73D" w14:textId="77777777">
        <w:trPr>
          <w:tblHeader/>
        </w:trPr>
        <w:tc>
          <w:tcPr>
            <w:tcW w:w="2100" w:type="dxa"/>
            <w:shd w:val="clear" w:color="auto" w:fill="1B2A4A"/>
            <w:tcMar>
              <w:top w:w="80" w:type="dxa"/>
              <w:left w:w="100" w:type="dxa"/>
              <w:bottom w:w="80" w:type="dxa"/>
              <w:right w:w="100" w:type="dxa"/>
            </w:tcMar>
          </w:tcPr>
          <w:p w14:paraId="10EE1841" w14:textId="77777777" w:rsidR="00CE0393" w:rsidRPr="00AA2965" w:rsidRDefault="00401671" w:rsidP="00AA2965">
            <w:pPr>
              <w:jc w:val="both"/>
            </w:pPr>
            <w:r w:rsidRPr="00AA2965">
              <w:rPr>
                <w:rFonts w:eastAsia="Arial"/>
                <w:b/>
                <w:bCs/>
                <w:sz w:val="18"/>
                <w:szCs w:val="18"/>
              </w:rPr>
              <w:t>Model</w:t>
            </w:r>
          </w:p>
        </w:tc>
        <w:tc>
          <w:tcPr>
            <w:tcW w:w="1800" w:type="dxa"/>
            <w:shd w:val="clear" w:color="auto" w:fill="1B2A4A"/>
            <w:tcMar>
              <w:top w:w="80" w:type="dxa"/>
              <w:left w:w="100" w:type="dxa"/>
              <w:bottom w:w="80" w:type="dxa"/>
              <w:right w:w="100" w:type="dxa"/>
            </w:tcMar>
          </w:tcPr>
          <w:p w14:paraId="19253C0C" w14:textId="77777777" w:rsidR="00CE0393" w:rsidRPr="00AA2965" w:rsidRDefault="00401671" w:rsidP="00AA2965">
            <w:pPr>
              <w:jc w:val="both"/>
            </w:pPr>
            <w:r w:rsidRPr="00AA2965">
              <w:rPr>
                <w:rFonts w:eastAsia="Arial"/>
                <w:b/>
                <w:bCs/>
                <w:sz w:val="18"/>
                <w:szCs w:val="18"/>
              </w:rPr>
              <w:t>Algorithm</w:t>
            </w:r>
          </w:p>
        </w:tc>
        <w:tc>
          <w:tcPr>
            <w:tcW w:w="1980" w:type="dxa"/>
            <w:shd w:val="clear" w:color="auto" w:fill="1B2A4A"/>
            <w:tcMar>
              <w:top w:w="80" w:type="dxa"/>
              <w:left w:w="100" w:type="dxa"/>
              <w:bottom w:w="80" w:type="dxa"/>
              <w:right w:w="100" w:type="dxa"/>
            </w:tcMar>
          </w:tcPr>
          <w:p w14:paraId="447D684F" w14:textId="77777777" w:rsidR="00CE0393" w:rsidRPr="00AA2965" w:rsidRDefault="00401671" w:rsidP="00AA2965">
            <w:pPr>
              <w:jc w:val="both"/>
            </w:pPr>
            <w:r w:rsidRPr="00AA2965">
              <w:rPr>
                <w:rFonts w:eastAsia="Arial"/>
                <w:b/>
                <w:bCs/>
                <w:sz w:val="18"/>
                <w:szCs w:val="18"/>
              </w:rPr>
              <w:t>Explainability</w:t>
            </w:r>
          </w:p>
        </w:tc>
        <w:tc>
          <w:tcPr>
            <w:tcW w:w="3480" w:type="dxa"/>
            <w:shd w:val="clear" w:color="auto" w:fill="1B2A4A"/>
            <w:tcMar>
              <w:top w:w="80" w:type="dxa"/>
              <w:left w:w="100" w:type="dxa"/>
              <w:bottom w:w="80" w:type="dxa"/>
              <w:right w:w="100" w:type="dxa"/>
            </w:tcMar>
          </w:tcPr>
          <w:p w14:paraId="1A177146" w14:textId="77777777" w:rsidR="00CE0393" w:rsidRPr="00AA2965" w:rsidRDefault="00401671" w:rsidP="00AA2965">
            <w:pPr>
              <w:jc w:val="both"/>
            </w:pPr>
            <w:r w:rsidRPr="00AA2965">
              <w:rPr>
                <w:rFonts w:eastAsia="Arial"/>
                <w:b/>
                <w:bCs/>
                <w:sz w:val="18"/>
                <w:szCs w:val="18"/>
              </w:rPr>
              <w:t>Key Hyperparameters</w:t>
            </w:r>
          </w:p>
        </w:tc>
      </w:tr>
      <w:tr w:rsidR="00D32B36" w14:paraId="748C2E5B" w14:textId="77777777">
        <w:tc>
          <w:tcPr>
            <w:tcW w:w="2100" w:type="dxa"/>
            <w:shd w:val="clear" w:color="auto" w:fill="FFFFFF"/>
            <w:tcMar>
              <w:top w:w="80" w:type="dxa"/>
              <w:left w:w="100" w:type="dxa"/>
              <w:bottom w:w="80" w:type="dxa"/>
              <w:right w:w="100" w:type="dxa"/>
            </w:tcMar>
          </w:tcPr>
          <w:p w14:paraId="7E87F3D4" w14:textId="77777777" w:rsidR="00CE0393" w:rsidRPr="00AA2965" w:rsidRDefault="00401671" w:rsidP="00AA2965">
            <w:pPr>
              <w:jc w:val="both"/>
            </w:pPr>
            <w:r w:rsidRPr="00AA2965">
              <w:rPr>
                <w:sz w:val="18"/>
                <w:szCs w:val="18"/>
              </w:rPr>
              <w:t>XGBoost (Primary)</w:t>
            </w:r>
          </w:p>
        </w:tc>
        <w:tc>
          <w:tcPr>
            <w:tcW w:w="1800" w:type="dxa"/>
            <w:shd w:val="clear" w:color="auto" w:fill="FFFFFF"/>
            <w:tcMar>
              <w:top w:w="80" w:type="dxa"/>
              <w:left w:w="100" w:type="dxa"/>
              <w:bottom w:w="80" w:type="dxa"/>
              <w:right w:w="100" w:type="dxa"/>
            </w:tcMar>
          </w:tcPr>
          <w:p w14:paraId="40A202A1" w14:textId="77777777" w:rsidR="00CE0393" w:rsidRPr="00AA2965" w:rsidRDefault="00401671" w:rsidP="00AA2965">
            <w:pPr>
              <w:jc w:val="both"/>
            </w:pPr>
            <w:r w:rsidRPr="00AA2965">
              <w:rPr>
                <w:sz w:val="18"/>
                <w:szCs w:val="18"/>
              </w:rPr>
              <w:t>Gradient boosting</w:t>
            </w:r>
          </w:p>
        </w:tc>
        <w:tc>
          <w:tcPr>
            <w:tcW w:w="1980" w:type="dxa"/>
            <w:shd w:val="clear" w:color="auto" w:fill="FFFFFF"/>
            <w:tcMar>
              <w:top w:w="80" w:type="dxa"/>
              <w:left w:w="100" w:type="dxa"/>
              <w:bottom w:w="80" w:type="dxa"/>
              <w:right w:w="100" w:type="dxa"/>
            </w:tcMar>
          </w:tcPr>
          <w:p w14:paraId="224BA2A5" w14:textId="77777777" w:rsidR="00CE0393" w:rsidRPr="00AA2965" w:rsidRDefault="00401671" w:rsidP="00AA2965">
            <w:pPr>
              <w:jc w:val="both"/>
            </w:pPr>
            <w:r w:rsidRPr="00AA2965">
              <w:rPr>
                <w:sz w:val="18"/>
                <w:szCs w:val="18"/>
              </w:rPr>
              <w:t>SHAP (TreeSHAP)</w:t>
            </w:r>
          </w:p>
        </w:tc>
        <w:tc>
          <w:tcPr>
            <w:tcW w:w="3480" w:type="dxa"/>
            <w:shd w:val="clear" w:color="auto" w:fill="FFFFFF"/>
            <w:tcMar>
              <w:top w:w="80" w:type="dxa"/>
              <w:left w:w="100" w:type="dxa"/>
              <w:bottom w:w="80" w:type="dxa"/>
              <w:right w:w="100" w:type="dxa"/>
            </w:tcMar>
          </w:tcPr>
          <w:p w14:paraId="4AAB6AB5" w14:textId="77777777" w:rsidR="00CE0393" w:rsidRPr="00AA2965" w:rsidRDefault="00401671" w:rsidP="00AA2965">
            <w:pPr>
              <w:jc w:val="both"/>
            </w:pPr>
            <w:r w:rsidRPr="00AA2965">
              <w:rPr>
                <w:sz w:val="18"/>
                <w:szCs w:val="18"/>
              </w:rPr>
              <w:t>η, max_depth, n_estimators, subsample</w:t>
            </w:r>
          </w:p>
        </w:tc>
      </w:tr>
      <w:tr w:rsidR="00D32B36" w14:paraId="38CB7ECC" w14:textId="77777777">
        <w:tc>
          <w:tcPr>
            <w:tcW w:w="2100" w:type="dxa"/>
            <w:shd w:val="clear" w:color="auto" w:fill="F2F2F2"/>
            <w:tcMar>
              <w:top w:w="80" w:type="dxa"/>
              <w:left w:w="100" w:type="dxa"/>
              <w:bottom w:w="80" w:type="dxa"/>
              <w:right w:w="100" w:type="dxa"/>
            </w:tcMar>
          </w:tcPr>
          <w:p w14:paraId="2D6B7164" w14:textId="77777777" w:rsidR="00CE0393" w:rsidRPr="00AA2965" w:rsidRDefault="00401671" w:rsidP="00AA2965">
            <w:pPr>
              <w:jc w:val="both"/>
            </w:pPr>
            <w:r w:rsidRPr="00AA2965">
              <w:rPr>
                <w:sz w:val="18"/>
                <w:szCs w:val="18"/>
              </w:rPr>
              <w:t>Random Forest</w:t>
            </w:r>
          </w:p>
        </w:tc>
        <w:tc>
          <w:tcPr>
            <w:tcW w:w="1800" w:type="dxa"/>
            <w:shd w:val="clear" w:color="auto" w:fill="F2F2F2"/>
            <w:tcMar>
              <w:top w:w="80" w:type="dxa"/>
              <w:left w:w="100" w:type="dxa"/>
              <w:bottom w:w="80" w:type="dxa"/>
              <w:right w:w="100" w:type="dxa"/>
            </w:tcMar>
          </w:tcPr>
          <w:p w14:paraId="0DE9C832" w14:textId="77777777" w:rsidR="00CE0393" w:rsidRPr="00AA2965" w:rsidRDefault="00401671" w:rsidP="00AA2965">
            <w:pPr>
              <w:jc w:val="both"/>
            </w:pPr>
            <w:r w:rsidRPr="00AA2965">
              <w:rPr>
                <w:sz w:val="18"/>
                <w:szCs w:val="18"/>
              </w:rPr>
              <w:t>Ensemble bagging</w:t>
            </w:r>
          </w:p>
        </w:tc>
        <w:tc>
          <w:tcPr>
            <w:tcW w:w="1980" w:type="dxa"/>
            <w:shd w:val="clear" w:color="auto" w:fill="F2F2F2"/>
            <w:tcMar>
              <w:top w:w="80" w:type="dxa"/>
              <w:left w:w="100" w:type="dxa"/>
              <w:bottom w:w="80" w:type="dxa"/>
              <w:right w:w="100" w:type="dxa"/>
            </w:tcMar>
          </w:tcPr>
          <w:p w14:paraId="5CB1E8D9" w14:textId="77777777" w:rsidR="00CE0393" w:rsidRPr="00AA2965" w:rsidRDefault="00401671" w:rsidP="00AA2965">
            <w:pPr>
              <w:jc w:val="both"/>
            </w:pPr>
            <w:r w:rsidRPr="00AA2965">
              <w:rPr>
                <w:sz w:val="18"/>
                <w:szCs w:val="18"/>
              </w:rPr>
              <w:t>SHAP (TreeSHAP)</w:t>
            </w:r>
          </w:p>
        </w:tc>
        <w:tc>
          <w:tcPr>
            <w:tcW w:w="3480" w:type="dxa"/>
            <w:shd w:val="clear" w:color="auto" w:fill="F2F2F2"/>
            <w:tcMar>
              <w:top w:w="80" w:type="dxa"/>
              <w:left w:w="100" w:type="dxa"/>
              <w:bottom w:w="80" w:type="dxa"/>
              <w:right w:w="100" w:type="dxa"/>
            </w:tcMar>
          </w:tcPr>
          <w:p w14:paraId="303EC000" w14:textId="77777777" w:rsidR="00CE0393" w:rsidRPr="00AA2965" w:rsidRDefault="00401671" w:rsidP="00AA2965">
            <w:pPr>
              <w:jc w:val="both"/>
            </w:pPr>
            <w:r w:rsidRPr="00AA2965">
              <w:rPr>
                <w:sz w:val="18"/>
                <w:szCs w:val="18"/>
              </w:rPr>
              <w:t>n_estimators, max_depth, min_samples_split</w:t>
            </w:r>
          </w:p>
        </w:tc>
      </w:tr>
      <w:tr w:rsidR="00D32B36" w14:paraId="3F18864E" w14:textId="77777777">
        <w:tc>
          <w:tcPr>
            <w:tcW w:w="2100" w:type="dxa"/>
            <w:shd w:val="clear" w:color="auto" w:fill="FFFFFF"/>
            <w:tcMar>
              <w:top w:w="80" w:type="dxa"/>
              <w:left w:w="100" w:type="dxa"/>
              <w:bottom w:w="80" w:type="dxa"/>
              <w:right w:w="100" w:type="dxa"/>
            </w:tcMar>
          </w:tcPr>
          <w:p w14:paraId="475E34F7" w14:textId="77777777" w:rsidR="00CE0393" w:rsidRPr="00AA2965" w:rsidRDefault="00401671" w:rsidP="00AA2965">
            <w:pPr>
              <w:jc w:val="both"/>
            </w:pPr>
            <w:r w:rsidRPr="00AA2965">
              <w:rPr>
                <w:sz w:val="18"/>
                <w:szCs w:val="18"/>
              </w:rPr>
              <w:t>LightGBM</w:t>
            </w:r>
          </w:p>
        </w:tc>
        <w:tc>
          <w:tcPr>
            <w:tcW w:w="1800" w:type="dxa"/>
            <w:shd w:val="clear" w:color="auto" w:fill="FFFFFF"/>
            <w:tcMar>
              <w:top w:w="80" w:type="dxa"/>
              <w:left w:w="100" w:type="dxa"/>
              <w:bottom w:w="80" w:type="dxa"/>
              <w:right w:w="100" w:type="dxa"/>
            </w:tcMar>
          </w:tcPr>
          <w:p w14:paraId="0422C193" w14:textId="77777777" w:rsidR="00CE0393" w:rsidRPr="00AA2965" w:rsidRDefault="00401671" w:rsidP="00AA2965">
            <w:pPr>
              <w:jc w:val="both"/>
            </w:pPr>
            <w:r w:rsidRPr="00AA2965">
              <w:rPr>
                <w:sz w:val="18"/>
                <w:szCs w:val="18"/>
              </w:rPr>
              <w:t>Leaf-wise boosting</w:t>
            </w:r>
          </w:p>
        </w:tc>
        <w:tc>
          <w:tcPr>
            <w:tcW w:w="1980" w:type="dxa"/>
            <w:shd w:val="clear" w:color="auto" w:fill="FFFFFF"/>
            <w:tcMar>
              <w:top w:w="80" w:type="dxa"/>
              <w:left w:w="100" w:type="dxa"/>
              <w:bottom w:w="80" w:type="dxa"/>
              <w:right w:w="100" w:type="dxa"/>
            </w:tcMar>
          </w:tcPr>
          <w:p w14:paraId="4468CFB6" w14:textId="77777777" w:rsidR="00CE0393" w:rsidRPr="00AA2965" w:rsidRDefault="00401671" w:rsidP="00AA2965">
            <w:pPr>
              <w:jc w:val="both"/>
            </w:pPr>
            <w:r w:rsidRPr="00AA2965">
              <w:rPr>
                <w:sz w:val="18"/>
                <w:szCs w:val="18"/>
              </w:rPr>
              <w:t>SHAP (TreeSHAP)</w:t>
            </w:r>
          </w:p>
        </w:tc>
        <w:tc>
          <w:tcPr>
            <w:tcW w:w="3480" w:type="dxa"/>
            <w:shd w:val="clear" w:color="auto" w:fill="FFFFFF"/>
            <w:tcMar>
              <w:top w:w="80" w:type="dxa"/>
              <w:left w:w="100" w:type="dxa"/>
              <w:bottom w:w="80" w:type="dxa"/>
              <w:right w:w="100" w:type="dxa"/>
            </w:tcMar>
          </w:tcPr>
          <w:p w14:paraId="03F55283" w14:textId="77777777" w:rsidR="00CE0393" w:rsidRPr="00AA2965" w:rsidRDefault="00401671" w:rsidP="00AA2965">
            <w:pPr>
              <w:jc w:val="both"/>
            </w:pPr>
            <w:r w:rsidRPr="00AA2965">
              <w:rPr>
                <w:sz w:val="18"/>
                <w:szCs w:val="18"/>
              </w:rPr>
              <w:t>num_leaves, learning_rate, feature_fraction</w:t>
            </w:r>
          </w:p>
        </w:tc>
      </w:tr>
      <w:tr w:rsidR="00D32B36" w14:paraId="38D0CF31" w14:textId="77777777">
        <w:tc>
          <w:tcPr>
            <w:tcW w:w="2100" w:type="dxa"/>
            <w:shd w:val="clear" w:color="auto" w:fill="F2F2F2"/>
            <w:tcMar>
              <w:top w:w="80" w:type="dxa"/>
              <w:left w:w="100" w:type="dxa"/>
              <w:bottom w:w="80" w:type="dxa"/>
              <w:right w:w="100" w:type="dxa"/>
            </w:tcMar>
          </w:tcPr>
          <w:p w14:paraId="27D614E5" w14:textId="77777777" w:rsidR="00CE0393" w:rsidRPr="00AA2965" w:rsidRDefault="00401671" w:rsidP="00AA2965">
            <w:pPr>
              <w:jc w:val="both"/>
            </w:pPr>
            <w:r w:rsidRPr="00AA2965">
              <w:rPr>
                <w:sz w:val="18"/>
                <w:szCs w:val="18"/>
              </w:rPr>
              <w:t>Linear Regression</w:t>
            </w:r>
          </w:p>
        </w:tc>
        <w:tc>
          <w:tcPr>
            <w:tcW w:w="1800" w:type="dxa"/>
            <w:shd w:val="clear" w:color="auto" w:fill="F2F2F2"/>
            <w:tcMar>
              <w:top w:w="80" w:type="dxa"/>
              <w:left w:w="100" w:type="dxa"/>
              <w:bottom w:w="80" w:type="dxa"/>
              <w:right w:w="100" w:type="dxa"/>
            </w:tcMar>
          </w:tcPr>
          <w:p w14:paraId="5AEC613E" w14:textId="77777777" w:rsidR="00CE0393" w:rsidRPr="00AA2965" w:rsidRDefault="00401671" w:rsidP="00AA2965">
            <w:pPr>
              <w:jc w:val="both"/>
            </w:pPr>
            <w:r w:rsidRPr="00AA2965">
              <w:rPr>
                <w:sz w:val="18"/>
                <w:szCs w:val="18"/>
              </w:rPr>
              <w:t>Parametric baseline</w:t>
            </w:r>
          </w:p>
        </w:tc>
        <w:tc>
          <w:tcPr>
            <w:tcW w:w="1980" w:type="dxa"/>
            <w:shd w:val="clear" w:color="auto" w:fill="F2F2F2"/>
            <w:tcMar>
              <w:top w:w="80" w:type="dxa"/>
              <w:left w:w="100" w:type="dxa"/>
              <w:bottom w:w="80" w:type="dxa"/>
              <w:right w:w="100" w:type="dxa"/>
            </w:tcMar>
          </w:tcPr>
          <w:p w14:paraId="395B6F60" w14:textId="77777777" w:rsidR="00CE0393" w:rsidRPr="00AA2965" w:rsidRDefault="00401671" w:rsidP="00AA2965">
            <w:pPr>
              <w:jc w:val="both"/>
            </w:pPr>
            <w:r w:rsidRPr="00AA2965">
              <w:rPr>
                <w:sz w:val="18"/>
                <w:szCs w:val="18"/>
              </w:rPr>
              <w:t>Inherent coefficients</w:t>
            </w:r>
          </w:p>
        </w:tc>
        <w:tc>
          <w:tcPr>
            <w:tcW w:w="3480" w:type="dxa"/>
            <w:shd w:val="clear" w:color="auto" w:fill="F2F2F2"/>
            <w:tcMar>
              <w:top w:w="80" w:type="dxa"/>
              <w:left w:w="100" w:type="dxa"/>
              <w:bottom w:w="80" w:type="dxa"/>
              <w:right w:w="100" w:type="dxa"/>
            </w:tcMar>
          </w:tcPr>
          <w:p w14:paraId="03CC8647" w14:textId="77777777" w:rsidR="00CE0393" w:rsidRPr="00AA2965" w:rsidRDefault="00401671" w:rsidP="00AA2965">
            <w:pPr>
              <w:jc w:val="both"/>
            </w:pPr>
            <w:r w:rsidRPr="00AA2965">
              <w:rPr>
                <w:sz w:val="18"/>
                <w:szCs w:val="18"/>
              </w:rPr>
              <w:t>Regularisation λ (Ridge)</w:t>
            </w:r>
          </w:p>
        </w:tc>
      </w:tr>
    </w:tbl>
    <w:p w14:paraId="5D6C6055" w14:textId="77777777" w:rsidR="00CE0393" w:rsidRPr="00AA2965" w:rsidRDefault="00CE0393" w:rsidP="00AA2965">
      <w:pPr>
        <w:spacing w:before="80"/>
        <w:jc w:val="both"/>
      </w:pPr>
    </w:p>
    <w:p w14:paraId="21B888A1" w14:textId="77777777" w:rsidR="00CE0393" w:rsidRPr="00AA2965" w:rsidRDefault="00401671" w:rsidP="00AA2965">
      <w:pPr>
        <w:spacing w:before="60" w:after="200"/>
        <w:jc w:val="both"/>
      </w:pPr>
      <w:r w:rsidRPr="00AA2965">
        <w:rPr>
          <w:rFonts w:eastAsia="Arial"/>
          <w:sz w:val="18"/>
          <w:szCs w:val="18"/>
        </w:rPr>
        <w:t>Table 3. Machine learning model architecture summary.</w:t>
      </w:r>
    </w:p>
    <w:p w14:paraId="3F5E439B" w14:textId="77777777" w:rsidR="00CE0393" w:rsidRPr="00AA2965" w:rsidRDefault="00CE0393" w:rsidP="00AA2965">
      <w:pPr>
        <w:spacing w:before="160"/>
        <w:jc w:val="both"/>
      </w:pPr>
    </w:p>
    <w:p w14:paraId="324E8615" w14:textId="77777777" w:rsidR="00945067" w:rsidRDefault="00945067" w:rsidP="00AA2965">
      <w:pPr>
        <w:pStyle w:val="Heading2"/>
        <w:jc w:val="both"/>
        <w:rPr>
          <w:rFonts w:ascii="Times New Roman" w:hAnsi="Times New Roman" w:cs="Times New Roman"/>
          <w:color w:val="auto"/>
        </w:rPr>
      </w:pPr>
    </w:p>
    <w:p w14:paraId="3E755345" w14:textId="77777777" w:rsidR="00945067" w:rsidRDefault="00945067" w:rsidP="00AA2965">
      <w:pPr>
        <w:pStyle w:val="Heading2"/>
        <w:jc w:val="both"/>
        <w:rPr>
          <w:rFonts w:ascii="Times New Roman" w:hAnsi="Times New Roman" w:cs="Times New Roman"/>
          <w:color w:val="auto"/>
        </w:rPr>
      </w:pPr>
    </w:p>
    <w:p w14:paraId="1E547737" w14:textId="097A9366"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3.5 Two-Stage Economic Model</w:t>
      </w:r>
    </w:p>
    <w:p w14:paraId="296E2DA8" w14:textId="77777777" w:rsidR="00CE0393" w:rsidRPr="00AA2965" w:rsidRDefault="00401671" w:rsidP="00AA2965">
      <w:pPr>
        <w:spacing w:before="120" w:after="120" w:line="360" w:lineRule="auto"/>
        <w:jc w:val="both"/>
      </w:pPr>
      <w:r w:rsidRPr="00AA2965">
        <w:t>The key methodological innovation is the explicit two-stage decomposition of the cost prediction pathway. Figure 2 illustrates the full model flow from demographics through utilisation prediction to cost estimation and SHAP interpretation.</w:t>
      </w:r>
    </w:p>
    <w:p w14:paraId="02DA541C" w14:textId="77777777" w:rsidR="00CE0393" w:rsidRPr="00AA2965" w:rsidRDefault="00CE0393" w:rsidP="00AA2965">
      <w:pPr>
        <w:spacing w:before="160"/>
        <w:jc w:val="both"/>
      </w:pPr>
    </w:p>
    <w:p w14:paraId="0CD973FE" w14:textId="77777777" w:rsidR="00CE0393" w:rsidRPr="00AA2965" w:rsidRDefault="00401671" w:rsidP="00AA2965">
      <w:pPr>
        <w:spacing w:before="200" w:after="80"/>
        <w:jc w:val="both"/>
      </w:pPr>
      <w:r w:rsidRPr="00AA2965">
        <w:rPr>
          <w:noProof/>
        </w:rPr>
        <w:drawing>
          <wp:inline distT="0" distB="0" distL="0" distR="0" wp14:anchorId="12E8C88B" wp14:editId="07622C01">
            <wp:extent cx="4114800" cy="2743200"/>
            <wp:effectExtent l="0" t="0" r="0" b="0"/>
            <wp:docPr id="1646370413" name="Picture 164637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114800" cy="2743200"/>
                    </a:xfrm>
                    <a:prstGeom prst="rect">
                      <a:avLst/>
                    </a:prstGeom>
                  </pic:spPr>
                </pic:pic>
              </a:graphicData>
            </a:graphic>
          </wp:inline>
        </w:drawing>
      </w:r>
    </w:p>
    <w:p w14:paraId="0D438523" w14:textId="77777777" w:rsidR="00CE0393" w:rsidRPr="00AA2965" w:rsidRDefault="00401671" w:rsidP="00AA2965">
      <w:pPr>
        <w:spacing w:before="60" w:after="200"/>
        <w:jc w:val="both"/>
      </w:pPr>
      <w:r w:rsidRPr="00AA2965">
        <w:rPr>
          <w:rFonts w:eastAsia="Arial"/>
          <w:sz w:val="18"/>
          <w:szCs w:val="18"/>
        </w:rPr>
        <w:t>Figure 2. Two-stage economic model architecture: Stage 1 predicts utilisation; Stage 2 conditions cost on predicted utilisation.</w:t>
      </w:r>
    </w:p>
    <w:p w14:paraId="72573A1D" w14:textId="77777777" w:rsidR="00CE0393" w:rsidRPr="00AA2965" w:rsidRDefault="00CE0393" w:rsidP="00AA2965">
      <w:pPr>
        <w:spacing w:before="160"/>
        <w:jc w:val="both"/>
      </w:pPr>
    </w:p>
    <w:p w14:paraId="175D5424" w14:textId="461FAD30" w:rsidR="00CE0393" w:rsidRPr="00AA2965" w:rsidRDefault="00401671" w:rsidP="00AA2965">
      <w:pPr>
        <w:spacing w:before="120" w:after="120" w:line="360" w:lineRule="auto"/>
        <w:jc w:val="both"/>
      </w:pPr>
      <w:r w:rsidRPr="00AA2965">
        <w:t>Stage 1 generates utilisation predictions (U-hat); Stage 2 uses these predictions as features alongside original demographic and socioeconomic covariates to estimate individual-level healthcare expenditure:</w:t>
      </w:r>
    </w:p>
    <w:p w14:paraId="7271A159" w14:textId="77777777" w:rsidR="00CE0393" w:rsidRPr="00AA2965" w:rsidRDefault="00401671" w:rsidP="00AA2965">
      <w:pPr>
        <w:spacing w:before="120" w:after="120"/>
        <w:jc w:val="both"/>
      </w:pPr>
      <w:r w:rsidRPr="00AA2965">
        <w:rPr>
          <w:rFonts w:eastAsia="Courier New"/>
        </w:rPr>
        <w:t>Stage 1:  Ui_hat = f_XGB(Xi, theta*)</w:t>
      </w:r>
    </w:p>
    <w:p w14:paraId="0C47BCFC" w14:textId="77777777" w:rsidR="00CE0393" w:rsidRPr="00AA2965" w:rsidRDefault="00401671" w:rsidP="00AA2965">
      <w:pPr>
        <w:spacing w:before="120" w:after="120"/>
        <w:jc w:val="both"/>
      </w:pPr>
      <w:r w:rsidRPr="00AA2965">
        <w:rPr>
          <w:rFonts w:eastAsia="Courier New"/>
        </w:rPr>
        <w:t>Stage 2:  Ci_hat = alpha * Ui_hat + beta * Xi + epsilon</w:t>
      </w:r>
    </w:p>
    <w:p w14:paraId="3729C785" w14:textId="77777777" w:rsidR="00CE0393" w:rsidRPr="00AA2965" w:rsidRDefault="00401671" w:rsidP="00AA2965">
      <w:pPr>
        <w:spacing w:before="120" w:after="120" w:line="360" w:lineRule="auto"/>
        <w:jc w:val="both"/>
      </w:pPr>
      <w:r w:rsidRPr="00AA2965">
        <w:t>The coefficient vector alpha captures the marginal cost contribution of each utilisation channel (ED, inpatient, outpatient), while beta captures the residual direct effect of demographics conditional on utilisation. This decomposition enables policy-relevant attribution: whether cost growth is primarily driven by increasing utilisation rates or by rising per-unit service costs.</w:t>
      </w:r>
    </w:p>
    <w:p w14:paraId="58D80717"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3.6 SHAP Explainability Framework</w:t>
      </w:r>
    </w:p>
    <w:p w14:paraId="7294EC06" w14:textId="77777777" w:rsidR="00CE0393" w:rsidRPr="00AA2965" w:rsidRDefault="00401671" w:rsidP="00AA2965">
      <w:pPr>
        <w:spacing w:before="120" w:after="120" w:line="360" w:lineRule="auto"/>
        <w:jc w:val="both"/>
      </w:pPr>
      <w:r w:rsidRPr="00AA2965">
        <w:t>Post-hoc explainability is implemented via TreeSHAP. For each prediction, SHAP assigns a contribution score to each feature j such that contributions sum to the deviation from the population mean:</w:t>
      </w:r>
    </w:p>
    <w:p w14:paraId="562F86E2" w14:textId="77777777" w:rsidR="00CE0393" w:rsidRPr="00AA2965" w:rsidRDefault="00401671" w:rsidP="00AA2965">
      <w:pPr>
        <w:spacing w:before="120" w:after="120"/>
        <w:jc w:val="both"/>
      </w:pPr>
      <w:r w:rsidRPr="00AA2965">
        <w:rPr>
          <w:rFonts w:eastAsia="Courier New"/>
        </w:rPr>
        <w:lastRenderedPageBreak/>
        <w:t>f(xi) = E[f(x)] + sum_j phi_ij</w:t>
      </w:r>
    </w:p>
    <w:p w14:paraId="78566ABC" w14:textId="77777777" w:rsidR="00CE0393" w:rsidRPr="00AA2965" w:rsidRDefault="00401671" w:rsidP="00AA2965">
      <w:pPr>
        <w:spacing w:before="120" w:after="120"/>
        <w:jc w:val="both"/>
      </w:pPr>
      <w:r w:rsidRPr="00AA2965">
        <w:rPr>
          <w:rFonts w:eastAsia="Courier New"/>
        </w:rPr>
        <w:t xml:space="preserve">phi_j = sum_S [ |S|!(p-|S|-1)!/p! ] * [f(S </w:t>
      </w:r>
      <w:r w:rsidRPr="00AA2965">
        <w:rPr>
          <w:rFonts w:ascii="Cambria Math" w:eastAsia="Courier New" w:hAnsi="Cambria Math" w:cs="Cambria Math"/>
        </w:rPr>
        <w:t>∪</w:t>
      </w:r>
      <w:r w:rsidRPr="00AA2965">
        <w:rPr>
          <w:rFonts w:eastAsia="Courier New"/>
        </w:rPr>
        <w:t xml:space="preserve"> {j}) - f(S)]</w:t>
      </w:r>
    </w:p>
    <w:p w14:paraId="264997F3" w14:textId="77777777" w:rsidR="00CE0393" w:rsidRPr="00AA2965" w:rsidRDefault="00401671" w:rsidP="00AA2965">
      <w:pPr>
        <w:spacing w:before="120" w:after="120" w:line="360" w:lineRule="auto"/>
        <w:jc w:val="both"/>
      </w:pPr>
      <w:r w:rsidRPr="00AA2965">
        <w:t>Three SHAP output types are generated: global feature importance rankings, beeswarm plots showing directional effects, and individual prediction waterfalls for case studies. An equity audit layer stratifies SHAP explanations by race/ethnicity and income quintile to identify differential importance patterns potentially indicating proxy discrimination.</w:t>
      </w:r>
    </w:p>
    <w:p w14:paraId="7056FD3F"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3.7 Evaluation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D32B36" w14:paraId="22DDA36A" w14:textId="77777777">
        <w:trPr>
          <w:tblHeader/>
        </w:trPr>
        <w:tc>
          <w:tcPr>
            <w:tcW w:w="2880" w:type="dxa"/>
            <w:shd w:val="clear" w:color="auto" w:fill="1B2A4A"/>
            <w:tcMar>
              <w:top w:w="80" w:type="dxa"/>
              <w:left w:w="120" w:type="dxa"/>
              <w:bottom w:w="80" w:type="dxa"/>
              <w:right w:w="120" w:type="dxa"/>
            </w:tcMar>
          </w:tcPr>
          <w:p w14:paraId="543E4E06" w14:textId="77777777" w:rsidR="00CE0393" w:rsidRPr="00AA2965" w:rsidRDefault="00401671" w:rsidP="00AA2965">
            <w:pPr>
              <w:jc w:val="both"/>
            </w:pPr>
            <w:r w:rsidRPr="00AA2965">
              <w:rPr>
                <w:rFonts w:eastAsia="Arial"/>
                <w:b/>
                <w:bCs/>
                <w:sz w:val="20"/>
                <w:szCs w:val="20"/>
              </w:rPr>
              <w:t>Metric</w:t>
            </w:r>
          </w:p>
        </w:tc>
        <w:tc>
          <w:tcPr>
            <w:tcW w:w="6480" w:type="dxa"/>
            <w:shd w:val="clear" w:color="auto" w:fill="1B2A4A"/>
            <w:tcMar>
              <w:top w:w="80" w:type="dxa"/>
              <w:left w:w="120" w:type="dxa"/>
              <w:bottom w:w="80" w:type="dxa"/>
              <w:right w:w="120" w:type="dxa"/>
            </w:tcMar>
          </w:tcPr>
          <w:p w14:paraId="75442AFF" w14:textId="77777777" w:rsidR="00CE0393" w:rsidRPr="00AA2965" w:rsidRDefault="00401671" w:rsidP="00AA2965">
            <w:pPr>
              <w:jc w:val="both"/>
            </w:pPr>
            <w:r w:rsidRPr="00AA2965">
              <w:rPr>
                <w:rFonts w:eastAsia="Arial"/>
                <w:b/>
                <w:bCs/>
                <w:sz w:val="20"/>
                <w:szCs w:val="20"/>
              </w:rPr>
              <w:t>Rationale</w:t>
            </w:r>
          </w:p>
        </w:tc>
      </w:tr>
      <w:tr w:rsidR="00D32B36" w14:paraId="511A30B3" w14:textId="77777777">
        <w:tc>
          <w:tcPr>
            <w:tcW w:w="2880" w:type="dxa"/>
            <w:shd w:val="clear" w:color="auto" w:fill="FFFFFF"/>
            <w:tcMar>
              <w:top w:w="80" w:type="dxa"/>
              <w:left w:w="120" w:type="dxa"/>
              <w:bottom w:w="80" w:type="dxa"/>
              <w:right w:w="120" w:type="dxa"/>
            </w:tcMar>
          </w:tcPr>
          <w:p w14:paraId="504A5956" w14:textId="77777777" w:rsidR="00CE0393" w:rsidRPr="00AA2965" w:rsidRDefault="00401671" w:rsidP="00AA2965">
            <w:pPr>
              <w:jc w:val="both"/>
            </w:pPr>
            <w:r w:rsidRPr="00AA2965">
              <w:rPr>
                <w:sz w:val="20"/>
                <w:szCs w:val="20"/>
              </w:rPr>
              <w:t>RMSE</w:t>
            </w:r>
          </w:p>
        </w:tc>
        <w:tc>
          <w:tcPr>
            <w:tcW w:w="6480" w:type="dxa"/>
            <w:shd w:val="clear" w:color="auto" w:fill="FFFFFF"/>
            <w:tcMar>
              <w:top w:w="80" w:type="dxa"/>
              <w:left w:w="120" w:type="dxa"/>
              <w:bottom w:w="80" w:type="dxa"/>
              <w:right w:w="120" w:type="dxa"/>
            </w:tcMar>
          </w:tcPr>
          <w:p w14:paraId="4F520A37" w14:textId="77777777" w:rsidR="00CE0393" w:rsidRPr="00AA2965" w:rsidRDefault="00401671" w:rsidP="00AA2965">
            <w:pPr>
              <w:jc w:val="both"/>
            </w:pPr>
            <w:r w:rsidRPr="00AA2965">
              <w:rPr>
                <w:sz w:val="20"/>
                <w:szCs w:val="20"/>
              </w:rPr>
              <w:t>Primary regression metric; penalises large errors disproportionately</w:t>
            </w:r>
          </w:p>
        </w:tc>
      </w:tr>
      <w:tr w:rsidR="00D32B36" w14:paraId="32555D56" w14:textId="77777777">
        <w:tc>
          <w:tcPr>
            <w:tcW w:w="2880" w:type="dxa"/>
            <w:shd w:val="clear" w:color="auto" w:fill="F2F2F2"/>
            <w:tcMar>
              <w:top w:w="80" w:type="dxa"/>
              <w:left w:w="120" w:type="dxa"/>
              <w:bottom w:w="80" w:type="dxa"/>
              <w:right w:w="120" w:type="dxa"/>
            </w:tcMar>
          </w:tcPr>
          <w:p w14:paraId="6067D1D7" w14:textId="77777777" w:rsidR="00CE0393" w:rsidRPr="00AA2965" w:rsidRDefault="00401671" w:rsidP="00AA2965">
            <w:pPr>
              <w:jc w:val="both"/>
            </w:pPr>
            <w:r w:rsidRPr="00AA2965">
              <w:rPr>
                <w:sz w:val="20"/>
                <w:szCs w:val="20"/>
              </w:rPr>
              <w:t>MAE</w:t>
            </w:r>
          </w:p>
        </w:tc>
        <w:tc>
          <w:tcPr>
            <w:tcW w:w="6480" w:type="dxa"/>
            <w:shd w:val="clear" w:color="auto" w:fill="F2F2F2"/>
            <w:tcMar>
              <w:top w:w="80" w:type="dxa"/>
              <w:left w:w="120" w:type="dxa"/>
              <w:bottom w:w="80" w:type="dxa"/>
              <w:right w:w="120" w:type="dxa"/>
            </w:tcMar>
          </w:tcPr>
          <w:p w14:paraId="09EA18B9" w14:textId="77777777" w:rsidR="00CE0393" w:rsidRPr="00AA2965" w:rsidRDefault="00401671" w:rsidP="00AA2965">
            <w:pPr>
              <w:jc w:val="both"/>
            </w:pPr>
            <w:r w:rsidRPr="00AA2965">
              <w:rPr>
                <w:sz w:val="20"/>
                <w:szCs w:val="20"/>
              </w:rPr>
              <w:t>Robust to outliers; directly interpretable in unit scale</w:t>
            </w:r>
          </w:p>
        </w:tc>
      </w:tr>
      <w:tr w:rsidR="00D32B36" w14:paraId="2EEDD5EE" w14:textId="77777777">
        <w:tc>
          <w:tcPr>
            <w:tcW w:w="2880" w:type="dxa"/>
            <w:shd w:val="clear" w:color="auto" w:fill="FFFFFF"/>
            <w:tcMar>
              <w:top w:w="80" w:type="dxa"/>
              <w:left w:w="120" w:type="dxa"/>
              <w:bottom w:w="80" w:type="dxa"/>
              <w:right w:w="120" w:type="dxa"/>
            </w:tcMar>
          </w:tcPr>
          <w:p w14:paraId="7EF2AD44" w14:textId="77777777" w:rsidR="00CE0393" w:rsidRPr="00AA2965" w:rsidRDefault="00401671" w:rsidP="00AA2965">
            <w:pPr>
              <w:jc w:val="both"/>
            </w:pPr>
            <w:r w:rsidRPr="00AA2965">
              <w:rPr>
                <w:sz w:val="20"/>
                <w:szCs w:val="20"/>
              </w:rPr>
              <w:t>R² (Coefficient of Determination)</w:t>
            </w:r>
          </w:p>
        </w:tc>
        <w:tc>
          <w:tcPr>
            <w:tcW w:w="6480" w:type="dxa"/>
            <w:shd w:val="clear" w:color="auto" w:fill="FFFFFF"/>
            <w:tcMar>
              <w:top w:w="80" w:type="dxa"/>
              <w:left w:w="120" w:type="dxa"/>
              <w:bottom w:w="80" w:type="dxa"/>
              <w:right w:w="120" w:type="dxa"/>
            </w:tcMar>
          </w:tcPr>
          <w:p w14:paraId="3EEE0C27" w14:textId="77777777" w:rsidR="00CE0393" w:rsidRPr="00AA2965" w:rsidRDefault="00401671" w:rsidP="00AA2965">
            <w:pPr>
              <w:jc w:val="both"/>
            </w:pPr>
            <w:r w:rsidRPr="00AA2965">
              <w:rPr>
                <w:sz w:val="20"/>
                <w:szCs w:val="20"/>
              </w:rPr>
              <w:t>Proportion of variance explained by the model</w:t>
            </w:r>
          </w:p>
        </w:tc>
      </w:tr>
      <w:tr w:rsidR="00D32B36" w14:paraId="05BB75C6" w14:textId="77777777">
        <w:tc>
          <w:tcPr>
            <w:tcW w:w="2880" w:type="dxa"/>
            <w:shd w:val="clear" w:color="auto" w:fill="F2F2F2"/>
            <w:tcMar>
              <w:top w:w="80" w:type="dxa"/>
              <w:left w:w="120" w:type="dxa"/>
              <w:bottom w:w="80" w:type="dxa"/>
              <w:right w:w="120" w:type="dxa"/>
            </w:tcMar>
          </w:tcPr>
          <w:p w14:paraId="5465E49F" w14:textId="77777777" w:rsidR="00CE0393" w:rsidRPr="00AA2965" w:rsidRDefault="00401671" w:rsidP="00AA2965">
            <w:pPr>
              <w:jc w:val="both"/>
            </w:pPr>
            <w:r w:rsidRPr="00AA2965">
              <w:rPr>
                <w:sz w:val="20"/>
                <w:szCs w:val="20"/>
              </w:rPr>
              <w:t>MAPE</w:t>
            </w:r>
          </w:p>
        </w:tc>
        <w:tc>
          <w:tcPr>
            <w:tcW w:w="6480" w:type="dxa"/>
            <w:shd w:val="clear" w:color="auto" w:fill="F2F2F2"/>
            <w:tcMar>
              <w:top w:w="80" w:type="dxa"/>
              <w:left w:w="120" w:type="dxa"/>
              <w:bottom w:w="80" w:type="dxa"/>
              <w:right w:w="120" w:type="dxa"/>
            </w:tcMar>
          </w:tcPr>
          <w:p w14:paraId="64007D1A" w14:textId="77777777" w:rsidR="00CE0393" w:rsidRPr="00AA2965" w:rsidRDefault="00401671" w:rsidP="00AA2965">
            <w:pPr>
              <w:jc w:val="both"/>
            </w:pPr>
            <w:r w:rsidRPr="00AA2965">
              <w:rPr>
                <w:sz w:val="20"/>
                <w:szCs w:val="20"/>
              </w:rPr>
              <w:t>Scale-invariant relative error for cost comparisons</w:t>
            </w:r>
          </w:p>
        </w:tc>
      </w:tr>
      <w:tr w:rsidR="00D32B36" w14:paraId="75053D9F" w14:textId="77777777">
        <w:tc>
          <w:tcPr>
            <w:tcW w:w="2880" w:type="dxa"/>
            <w:shd w:val="clear" w:color="auto" w:fill="FFFFFF"/>
            <w:tcMar>
              <w:top w:w="80" w:type="dxa"/>
              <w:left w:w="120" w:type="dxa"/>
              <w:bottom w:w="80" w:type="dxa"/>
              <w:right w:w="120" w:type="dxa"/>
            </w:tcMar>
          </w:tcPr>
          <w:p w14:paraId="154E2F5A" w14:textId="77777777" w:rsidR="00CE0393" w:rsidRPr="00AA2965" w:rsidRDefault="00401671" w:rsidP="00AA2965">
            <w:pPr>
              <w:jc w:val="both"/>
            </w:pPr>
            <w:r w:rsidRPr="00AA2965">
              <w:rPr>
                <w:sz w:val="20"/>
                <w:szCs w:val="20"/>
              </w:rPr>
              <w:t>AUC-ROC</w:t>
            </w:r>
          </w:p>
        </w:tc>
        <w:tc>
          <w:tcPr>
            <w:tcW w:w="6480" w:type="dxa"/>
            <w:shd w:val="clear" w:color="auto" w:fill="FFFFFF"/>
            <w:tcMar>
              <w:top w:w="80" w:type="dxa"/>
              <w:left w:w="120" w:type="dxa"/>
              <w:bottom w:w="80" w:type="dxa"/>
              <w:right w:w="120" w:type="dxa"/>
            </w:tcMar>
          </w:tcPr>
          <w:p w14:paraId="737B4771" w14:textId="77777777" w:rsidR="00CE0393" w:rsidRPr="00AA2965" w:rsidRDefault="00401671" w:rsidP="00AA2965">
            <w:pPr>
              <w:jc w:val="both"/>
            </w:pPr>
            <w:r w:rsidRPr="00AA2965">
              <w:rPr>
                <w:sz w:val="20"/>
                <w:szCs w:val="20"/>
              </w:rPr>
              <w:t>Discrimination metric for high-utiliser classification (top 20%)</w:t>
            </w:r>
          </w:p>
        </w:tc>
      </w:tr>
      <w:tr w:rsidR="00D32B36" w14:paraId="3007AD1E" w14:textId="77777777">
        <w:tc>
          <w:tcPr>
            <w:tcW w:w="2880" w:type="dxa"/>
            <w:shd w:val="clear" w:color="auto" w:fill="F2F2F2"/>
            <w:tcMar>
              <w:top w:w="80" w:type="dxa"/>
              <w:left w:w="120" w:type="dxa"/>
              <w:bottom w:w="80" w:type="dxa"/>
              <w:right w:w="120" w:type="dxa"/>
            </w:tcMar>
          </w:tcPr>
          <w:p w14:paraId="0D27D2A4" w14:textId="77777777" w:rsidR="00CE0393" w:rsidRPr="00AA2965" w:rsidRDefault="00401671" w:rsidP="00AA2965">
            <w:pPr>
              <w:jc w:val="both"/>
            </w:pPr>
            <w:r w:rsidRPr="00AA2965">
              <w:rPr>
                <w:sz w:val="20"/>
                <w:szCs w:val="20"/>
              </w:rPr>
              <w:t>Precision / Recall / F1</w:t>
            </w:r>
          </w:p>
        </w:tc>
        <w:tc>
          <w:tcPr>
            <w:tcW w:w="6480" w:type="dxa"/>
            <w:shd w:val="clear" w:color="auto" w:fill="F2F2F2"/>
            <w:tcMar>
              <w:top w:w="80" w:type="dxa"/>
              <w:left w:w="120" w:type="dxa"/>
              <w:bottom w:w="80" w:type="dxa"/>
              <w:right w:w="120" w:type="dxa"/>
            </w:tcMar>
          </w:tcPr>
          <w:p w14:paraId="4BC88331" w14:textId="77777777" w:rsidR="00CE0393" w:rsidRPr="00AA2965" w:rsidRDefault="00401671" w:rsidP="00AA2965">
            <w:pPr>
              <w:jc w:val="both"/>
            </w:pPr>
            <w:r w:rsidRPr="00AA2965">
              <w:rPr>
                <w:sz w:val="20"/>
                <w:szCs w:val="20"/>
              </w:rPr>
              <w:t>Classification performance for high-cost patient identification</w:t>
            </w:r>
          </w:p>
        </w:tc>
      </w:tr>
    </w:tbl>
    <w:p w14:paraId="37F54118" w14:textId="77777777" w:rsidR="00CE0393" w:rsidRPr="00AA2965" w:rsidRDefault="00CE0393" w:rsidP="00AA2965">
      <w:pPr>
        <w:spacing w:before="80"/>
        <w:jc w:val="both"/>
      </w:pPr>
    </w:p>
    <w:p w14:paraId="56CF0B5C" w14:textId="77777777" w:rsidR="00CE0393" w:rsidRPr="00AA2965" w:rsidRDefault="00401671" w:rsidP="00AA2965">
      <w:pPr>
        <w:spacing w:before="60" w:after="200"/>
        <w:jc w:val="both"/>
      </w:pPr>
      <w:r w:rsidRPr="00AA2965">
        <w:rPr>
          <w:rFonts w:eastAsia="Arial"/>
          <w:sz w:val="18"/>
          <w:szCs w:val="18"/>
        </w:rPr>
        <w:t>Table 4. Evaluation metrics applied across regression and classification tasks.</w:t>
      </w:r>
    </w:p>
    <w:p w14:paraId="5FF3B9DD" w14:textId="77777777" w:rsidR="00CE0393" w:rsidRPr="00AA2965" w:rsidRDefault="00CE0393" w:rsidP="00AA2965">
      <w:pPr>
        <w:spacing w:before="240"/>
        <w:jc w:val="both"/>
      </w:pPr>
    </w:p>
    <w:p w14:paraId="242E2D47"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4. Results</w:t>
      </w:r>
    </w:p>
    <w:p w14:paraId="1A8BB60A"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4.1 Dataset Characteristics</w:t>
      </w:r>
    </w:p>
    <w:p w14:paraId="7CD36EC7" w14:textId="77777777" w:rsidR="00CE0393" w:rsidRPr="00AA2965" w:rsidRDefault="00401671" w:rsidP="00AA2965">
      <w:pPr>
        <w:spacing w:before="120" w:after="120" w:line="360" w:lineRule="auto"/>
        <w:jc w:val="both"/>
      </w:pPr>
      <w:r w:rsidRPr="00AA2965">
        <w:t>The final analytic dataset comprised 93,412 person-year observations across the 2016–2021 MEPS panel waves. After preprocessing and imputation, the dataset contained 47 predictive features including 4 engineered composite indices. Mean total healthcare expenditure was $5,842 per person-year (median $1,240; 90th percentile $14,780), consistent with known right-skewed expenditure distributions.</w:t>
      </w:r>
    </w:p>
    <w:p w14:paraId="564DBDA1"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960"/>
        <w:gridCol w:w="1960"/>
        <w:gridCol w:w="2640"/>
      </w:tblGrid>
      <w:tr w:rsidR="00D32B36" w14:paraId="76575C10" w14:textId="77777777">
        <w:trPr>
          <w:tblHeader/>
        </w:trPr>
        <w:tc>
          <w:tcPr>
            <w:tcW w:w="2800" w:type="dxa"/>
            <w:shd w:val="clear" w:color="auto" w:fill="1B2A4A"/>
            <w:tcMar>
              <w:top w:w="80" w:type="dxa"/>
              <w:left w:w="100" w:type="dxa"/>
              <w:bottom w:w="80" w:type="dxa"/>
              <w:right w:w="100" w:type="dxa"/>
            </w:tcMar>
          </w:tcPr>
          <w:p w14:paraId="7F70B4B5" w14:textId="77777777" w:rsidR="00CE0393" w:rsidRPr="00AA2965" w:rsidRDefault="00401671" w:rsidP="00AA2965">
            <w:pPr>
              <w:jc w:val="both"/>
            </w:pPr>
            <w:r w:rsidRPr="00AA2965">
              <w:rPr>
                <w:rFonts w:eastAsia="Arial"/>
                <w:b/>
                <w:bCs/>
                <w:sz w:val="18"/>
                <w:szCs w:val="18"/>
              </w:rPr>
              <w:t>Variable</w:t>
            </w:r>
          </w:p>
        </w:tc>
        <w:tc>
          <w:tcPr>
            <w:tcW w:w="1960" w:type="dxa"/>
            <w:shd w:val="clear" w:color="auto" w:fill="1B2A4A"/>
            <w:tcMar>
              <w:top w:w="80" w:type="dxa"/>
              <w:left w:w="100" w:type="dxa"/>
              <w:bottom w:w="80" w:type="dxa"/>
              <w:right w:w="100" w:type="dxa"/>
            </w:tcMar>
          </w:tcPr>
          <w:p w14:paraId="21D18130" w14:textId="77777777" w:rsidR="00CE0393" w:rsidRPr="00AA2965" w:rsidRDefault="00401671" w:rsidP="00AA2965">
            <w:pPr>
              <w:jc w:val="both"/>
            </w:pPr>
            <w:r w:rsidRPr="00AA2965">
              <w:rPr>
                <w:rFonts w:eastAsia="Arial"/>
                <w:b/>
                <w:bCs/>
                <w:sz w:val="18"/>
                <w:szCs w:val="18"/>
              </w:rPr>
              <w:t>Mean ± SD or %</w:t>
            </w:r>
          </w:p>
        </w:tc>
        <w:tc>
          <w:tcPr>
            <w:tcW w:w="1960" w:type="dxa"/>
            <w:shd w:val="clear" w:color="auto" w:fill="1B2A4A"/>
            <w:tcMar>
              <w:top w:w="80" w:type="dxa"/>
              <w:left w:w="100" w:type="dxa"/>
              <w:bottom w:w="80" w:type="dxa"/>
              <w:right w:w="100" w:type="dxa"/>
            </w:tcMar>
          </w:tcPr>
          <w:p w14:paraId="7D55C49B" w14:textId="77777777" w:rsidR="00CE0393" w:rsidRPr="00AA2965" w:rsidRDefault="00401671" w:rsidP="00AA2965">
            <w:pPr>
              <w:jc w:val="both"/>
            </w:pPr>
            <w:r w:rsidRPr="00AA2965">
              <w:rPr>
                <w:rFonts w:eastAsia="Arial"/>
                <w:b/>
                <w:bCs/>
                <w:sz w:val="18"/>
                <w:szCs w:val="18"/>
              </w:rPr>
              <w:t>Range</w:t>
            </w:r>
          </w:p>
        </w:tc>
        <w:tc>
          <w:tcPr>
            <w:tcW w:w="2640" w:type="dxa"/>
            <w:shd w:val="clear" w:color="auto" w:fill="1B2A4A"/>
            <w:tcMar>
              <w:top w:w="80" w:type="dxa"/>
              <w:left w:w="100" w:type="dxa"/>
              <w:bottom w:w="80" w:type="dxa"/>
              <w:right w:w="100" w:type="dxa"/>
            </w:tcMar>
          </w:tcPr>
          <w:p w14:paraId="5E647B06" w14:textId="77777777" w:rsidR="00CE0393" w:rsidRPr="00AA2965" w:rsidRDefault="00401671" w:rsidP="00AA2965">
            <w:pPr>
              <w:jc w:val="both"/>
            </w:pPr>
            <w:r w:rsidRPr="00AA2965">
              <w:rPr>
                <w:rFonts w:eastAsia="Arial"/>
                <w:b/>
                <w:bCs/>
                <w:sz w:val="18"/>
                <w:szCs w:val="18"/>
              </w:rPr>
              <w:t>Notes</w:t>
            </w:r>
          </w:p>
        </w:tc>
      </w:tr>
      <w:tr w:rsidR="00D32B36" w14:paraId="45BFDB9D" w14:textId="77777777">
        <w:tc>
          <w:tcPr>
            <w:tcW w:w="2800" w:type="dxa"/>
            <w:shd w:val="clear" w:color="auto" w:fill="FFFFFF"/>
            <w:tcMar>
              <w:top w:w="80" w:type="dxa"/>
              <w:left w:w="100" w:type="dxa"/>
              <w:bottom w:w="80" w:type="dxa"/>
              <w:right w:w="100" w:type="dxa"/>
            </w:tcMar>
          </w:tcPr>
          <w:p w14:paraId="0AF7DC37" w14:textId="77777777" w:rsidR="00CE0393" w:rsidRPr="00AA2965" w:rsidRDefault="00401671" w:rsidP="00AA2965">
            <w:pPr>
              <w:jc w:val="both"/>
            </w:pPr>
            <w:r w:rsidRPr="00AA2965">
              <w:rPr>
                <w:sz w:val="18"/>
                <w:szCs w:val="18"/>
              </w:rPr>
              <w:t>Age (years)</w:t>
            </w:r>
          </w:p>
        </w:tc>
        <w:tc>
          <w:tcPr>
            <w:tcW w:w="1960" w:type="dxa"/>
            <w:shd w:val="clear" w:color="auto" w:fill="FFFFFF"/>
            <w:tcMar>
              <w:top w:w="80" w:type="dxa"/>
              <w:left w:w="100" w:type="dxa"/>
              <w:bottom w:w="80" w:type="dxa"/>
              <w:right w:w="100" w:type="dxa"/>
            </w:tcMar>
          </w:tcPr>
          <w:p w14:paraId="61C7E1CD" w14:textId="77777777" w:rsidR="00CE0393" w:rsidRPr="00AA2965" w:rsidRDefault="00401671" w:rsidP="00AA2965">
            <w:pPr>
              <w:jc w:val="both"/>
            </w:pPr>
            <w:r w:rsidRPr="00AA2965">
              <w:rPr>
                <w:sz w:val="18"/>
                <w:szCs w:val="18"/>
              </w:rPr>
              <w:t>42.3 ± 22.7</w:t>
            </w:r>
          </w:p>
        </w:tc>
        <w:tc>
          <w:tcPr>
            <w:tcW w:w="1960" w:type="dxa"/>
            <w:shd w:val="clear" w:color="auto" w:fill="FFFFFF"/>
            <w:tcMar>
              <w:top w:w="80" w:type="dxa"/>
              <w:left w:w="100" w:type="dxa"/>
              <w:bottom w:w="80" w:type="dxa"/>
              <w:right w:w="100" w:type="dxa"/>
            </w:tcMar>
          </w:tcPr>
          <w:p w14:paraId="4C2E5BAD" w14:textId="77777777" w:rsidR="00CE0393" w:rsidRPr="00AA2965" w:rsidRDefault="00401671" w:rsidP="00AA2965">
            <w:pPr>
              <w:jc w:val="both"/>
            </w:pPr>
            <w:r w:rsidRPr="00AA2965">
              <w:rPr>
                <w:sz w:val="18"/>
                <w:szCs w:val="18"/>
              </w:rPr>
              <w:t>18–96</w:t>
            </w:r>
          </w:p>
        </w:tc>
        <w:tc>
          <w:tcPr>
            <w:tcW w:w="2640" w:type="dxa"/>
            <w:shd w:val="clear" w:color="auto" w:fill="FFFFFF"/>
            <w:tcMar>
              <w:top w:w="80" w:type="dxa"/>
              <w:left w:w="100" w:type="dxa"/>
              <w:bottom w:w="80" w:type="dxa"/>
              <w:right w:w="100" w:type="dxa"/>
            </w:tcMar>
          </w:tcPr>
          <w:p w14:paraId="297FCC66" w14:textId="77777777" w:rsidR="00CE0393" w:rsidRPr="00AA2965" w:rsidRDefault="00401671" w:rsidP="00AA2965">
            <w:pPr>
              <w:jc w:val="both"/>
            </w:pPr>
            <w:r w:rsidRPr="00AA2965">
              <w:rPr>
                <w:sz w:val="18"/>
                <w:szCs w:val="18"/>
              </w:rPr>
              <w:t>—</w:t>
            </w:r>
          </w:p>
        </w:tc>
      </w:tr>
      <w:tr w:rsidR="00D32B36" w14:paraId="28C0EF87" w14:textId="77777777">
        <w:tc>
          <w:tcPr>
            <w:tcW w:w="2800" w:type="dxa"/>
            <w:shd w:val="clear" w:color="auto" w:fill="F2F2F2"/>
            <w:tcMar>
              <w:top w:w="80" w:type="dxa"/>
              <w:left w:w="100" w:type="dxa"/>
              <w:bottom w:w="80" w:type="dxa"/>
              <w:right w:w="100" w:type="dxa"/>
            </w:tcMar>
          </w:tcPr>
          <w:p w14:paraId="402AF99F" w14:textId="77777777" w:rsidR="00CE0393" w:rsidRPr="00AA2965" w:rsidRDefault="00401671" w:rsidP="00AA2965">
            <w:pPr>
              <w:jc w:val="both"/>
            </w:pPr>
            <w:r w:rsidRPr="00AA2965">
              <w:rPr>
                <w:sz w:val="18"/>
                <w:szCs w:val="18"/>
              </w:rPr>
              <w:t>Female (%)</w:t>
            </w:r>
          </w:p>
        </w:tc>
        <w:tc>
          <w:tcPr>
            <w:tcW w:w="1960" w:type="dxa"/>
            <w:shd w:val="clear" w:color="auto" w:fill="F2F2F2"/>
            <w:tcMar>
              <w:top w:w="80" w:type="dxa"/>
              <w:left w:w="100" w:type="dxa"/>
              <w:bottom w:w="80" w:type="dxa"/>
              <w:right w:w="100" w:type="dxa"/>
            </w:tcMar>
          </w:tcPr>
          <w:p w14:paraId="4BB70EE5" w14:textId="77777777" w:rsidR="00CE0393" w:rsidRPr="00AA2965" w:rsidRDefault="00401671" w:rsidP="00AA2965">
            <w:pPr>
              <w:jc w:val="both"/>
            </w:pPr>
            <w:r w:rsidRPr="00AA2965">
              <w:rPr>
                <w:sz w:val="18"/>
                <w:szCs w:val="18"/>
              </w:rPr>
              <w:t>51.8%</w:t>
            </w:r>
          </w:p>
        </w:tc>
        <w:tc>
          <w:tcPr>
            <w:tcW w:w="1960" w:type="dxa"/>
            <w:shd w:val="clear" w:color="auto" w:fill="F2F2F2"/>
            <w:tcMar>
              <w:top w:w="80" w:type="dxa"/>
              <w:left w:w="100" w:type="dxa"/>
              <w:bottom w:w="80" w:type="dxa"/>
              <w:right w:w="100" w:type="dxa"/>
            </w:tcMar>
          </w:tcPr>
          <w:p w14:paraId="48C341A1" w14:textId="77777777" w:rsidR="00CE0393" w:rsidRPr="00AA2965" w:rsidRDefault="00401671" w:rsidP="00AA2965">
            <w:pPr>
              <w:jc w:val="both"/>
            </w:pPr>
            <w:r w:rsidRPr="00AA2965">
              <w:rPr>
                <w:sz w:val="18"/>
                <w:szCs w:val="18"/>
              </w:rPr>
              <w:t>—</w:t>
            </w:r>
          </w:p>
        </w:tc>
        <w:tc>
          <w:tcPr>
            <w:tcW w:w="2640" w:type="dxa"/>
            <w:shd w:val="clear" w:color="auto" w:fill="F2F2F2"/>
            <w:tcMar>
              <w:top w:w="80" w:type="dxa"/>
              <w:left w:w="100" w:type="dxa"/>
              <w:bottom w:w="80" w:type="dxa"/>
              <w:right w:w="100" w:type="dxa"/>
            </w:tcMar>
          </w:tcPr>
          <w:p w14:paraId="05B9A08C" w14:textId="77777777" w:rsidR="00CE0393" w:rsidRPr="00AA2965" w:rsidRDefault="00401671" w:rsidP="00AA2965">
            <w:pPr>
              <w:jc w:val="both"/>
            </w:pPr>
            <w:r w:rsidRPr="00AA2965">
              <w:rPr>
                <w:sz w:val="18"/>
                <w:szCs w:val="18"/>
              </w:rPr>
              <w:t>—</w:t>
            </w:r>
          </w:p>
        </w:tc>
      </w:tr>
      <w:tr w:rsidR="00D32B36" w14:paraId="1B3A12E7" w14:textId="77777777">
        <w:tc>
          <w:tcPr>
            <w:tcW w:w="2800" w:type="dxa"/>
            <w:shd w:val="clear" w:color="auto" w:fill="FFFFFF"/>
            <w:tcMar>
              <w:top w:w="80" w:type="dxa"/>
              <w:left w:w="100" w:type="dxa"/>
              <w:bottom w:w="80" w:type="dxa"/>
              <w:right w:w="100" w:type="dxa"/>
            </w:tcMar>
          </w:tcPr>
          <w:p w14:paraId="60C64260" w14:textId="77777777" w:rsidR="00CE0393" w:rsidRPr="00AA2965" w:rsidRDefault="00401671" w:rsidP="00AA2965">
            <w:pPr>
              <w:jc w:val="both"/>
            </w:pPr>
            <w:r w:rsidRPr="00AA2965">
              <w:rPr>
                <w:sz w:val="18"/>
                <w:szCs w:val="18"/>
              </w:rPr>
              <w:t>Private insurance (%)</w:t>
            </w:r>
          </w:p>
        </w:tc>
        <w:tc>
          <w:tcPr>
            <w:tcW w:w="1960" w:type="dxa"/>
            <w:shd w:val="clear" w:color="auto" w:fill="FFFFFF"/>
            <w:tcMar>
              <w:top w:w="80" w:type="dxa"/>
              <w:left w:w="100" w:type="dxa"/>
              <w:bottom w:w="80" w:type="dxa"/>
              <w:right w:w="100" w:type="dxa"/>
            </w:tcMar>
          </w:tcPr>
          <w:p w14:paraId="30ED592F" w14:textId="77777777" w:rsidR="00CE0393" w:rsidRPr="00AA2965" w:rsidRDefault="00401671" w:rsidP="00AA2965">
            <w:pPr>
              <w:jc w:val="both"/>
            </w:pPr>
            <w:r w:rsidRPr="00AA2965">
              <w:rPr>
                <w:sz w:val="18"/>
                <w:szCs w:val="18"/>
              </w:rPr>
              <w:t>68.2%</w:t>
            </w:r>
          </w:p>
        </w:tc>
        <w:tc>
          <w:tcPr>
            <w:tcW w:w="1960" w:type="dxa"/>
            <w:shd w:val="clear" w:color="auto" w:fill="FFFFFF"/>
            <w:tcMar>
              <w:top w:w="80" w:type="dxa"/>
              <w:left w:w="100" w:type="dxa"/>
              <w:bottom w:w="80" w:type="dxa"/>
              <w:right w:w="100" w:type="dxa"/>
            </w:tcMar>
          </w:tcPr>
          <w:p w14:paraId="1C8320AA" w14:textId="77777777" w:rsidR="00CE0393" w:rsidRPr="00AA2965" w:rsidRDefault="00401671" w:rsidP="00AA2965">
            <w:pPr>
              <w:jc w:val="both"/>
            </w:pPr>
            <w:r w:rsidRPr="00AA2965">
              <w:rPr>
                <w:sz w:val="18"/>
                <w:szCs w:val="18"/>
              </w:rPr>
              <w:t>—</w:t>
            </w:r>
          </w:p>
        </w:tc>
        <w:tc>
          <w:tcPr>
            <w:tcW w:w="2640" w:type="dxa"/>
            <w:shd w:val="clear" w:color="auto" w:fill="FFFFFF"/>
            <w:tcMar>
              <w:top w:w="80" w:type="dxa"/>
              <w:left w:w="100" w:type="dxa"/>
              <w:bottom w:w="80" w:type="dxa"/>
              <w:right w:w="100" w:type="dxa"/>
            </w:tcMar>
          </w:tcPr>
          <w:p w14:paraId="6D88E343" w14:textId="77777777" w:rsidR="00CE0393" w:rsidRPr="00AA2965" w:rsidRDefault="00401671" w:rsidP="00AA2965">
            <w:pPr>
              <w:jc w:val="both"/>
            </w:pPr>
            <w:r w:rsidRPr="00AA2965">
              <w:rPr>
                <w:sz w:val="18"/>
                <w:szCs w:val="18"/>
              </w:rPr>
              <w:t>—</w:t>
            </w:r>
          </w:p>
        </w:tc>
      </w:tr>
      <w:tr w:rsidR="00D32B36" w14:paraId="32B55B04" w14:textId="77777777">
        <w:tc>
          <w:tcPr>
            <w:tcW w:w="2800" w:type="dxa"/>
            <w:shd w:val="clear" w:color="auto" w:fill="F2F2F2"/>
            <w:tcMar>
              <w:top w:w="80" w:type="dxa"/>
              <w:left w:w="100" w:type="dxa"/>
              <w:bottom w:w="80" w:type="dxa"/>
              <w:right w:w="100" w:type="dxa"/>
            </w:tcMar>
          </w:tcPr>
          <w:p w14:paraId="466498D7" w14:textId="77777777" w:rsidR="00CE0393" w:rsidRPr="00AA2965" w:rsidRDefault="00401671" w:rsidP="00AA2965">
            <w:pPr>
              <w:jc w:val="both"/>
            </w:pPr>
            <w:r w:rsidRPr="00AA2965">
              <w:rPr>
                <w:sz w:val="18"/>
                <w:szCs w:val="18"/>
              </w:rPr>
              <w:t>Public insurance only (%)</w:t>
            </w:r>
          </w:p>
        </w:tc>
        <w:tc>
          <w:tcPr>
            <w:tcW w:w="1960" w:type="dxa"/>
            <w:shd w:val="clear" w:color="auto" w:fill="F2F2F2"/>
            <w:tcMar>
              <w:top w:w="80" w:type="dxa"/>
              <w:left w:w="100" w:type="dxa"/>
              <w:bottom w:w="80" w:type="dxa"/>
              <w:right w:w="100" w:type="dxa"/>
            </w:tcMar>
          </w:tcPr>
          <w:p w14:paraId="1C483963" w14:textId="77777777" w:rsidR="00CE0393" w:rsidRPr="00AA2965" w:rsidRDefault="00401671" w:rsidP="00AA2965">
            <w:pPr>
              <w:jc w:val="both"/>
            </w:pPr>
            <w:r w:rsidRPr="00AA2965">
              <w:rPr>
                <w:sz w:val="18"/>
                <w:szCs w:val="18"/>
              </w:rPr>
              <w:t>19.6%</w:t>
            </w:r>
          </w:p>
        </w:tc>
        <w:tc>
          <w:tcPr>
            <w:tcW w:w="1960" w:type="dxa"/>
            <w:shd w:val="clear" w:color="auto" w:fill="F2F2F2"/>
            <w:tcMar>
              <w:top w:w="80" w:type="dxa"/>
              <w:left w:w="100" w:type="dxa"/>
              <w:bottom w:w="80" w:type="dxa"/>
              <w:right w:w="100" w:type="dxa"/>
            </w:tcMar>
          </w:tcPr>
          <w:p w14:paraId="19CE572B" w14:textId="77777777" w:rsidR="00CE0393" w:rsidRPr="00AA2965" w:rsidRDefault="00401671" w:rsidP="00AA2965">
            <w:pPr>
              <w:jc w:val="both"/>
            </w:pPr>
            <w:r w:rsidRPr="00AA2965">
              <w:rPr>
                <w:sz w:val="18"/>
                <w:szCs w:val="18"/>
              </w:rPr>
              <w:t>—</w:t>
            </w:r>
          </w:p>
        </w:tc>
        <w:tc>
          <w:tcPr>
            <w:tcW w:w="2640" w:type="dxa"/>
            <w:shd w:val="clear" w:color="auto" w:fill="F2F2F2"/>
            <w:tcMar>
              <w:top w:w="80" w:type="dxa"/>
              <w:left w:w="100" w:type="dxa"/>
              <w:bottom w:w="80" w:type="dxa"/>
              <w:right w:w="100" w:type="dxa"/>
            </w:tcMar>
          </w:tcPr>
          <w:p w14:paraId="1BF2DC0C" w14:textId="77777777" w:rsidR="00CE0393" w:rsidRPr="00AA2965" w:rsidRDefault="00401671" w:rsidP="00AA2965">
            <w:pPr>
              <w:jc w:val="both"/>
            </w:pPr>
            <w:r w:rsidRPr="00AA2965">
              <w:rPr>
                <w:sz w:val="18"/>
                <w:szCs w:val="18"/>
              </w:rPr>
              <w:t>—</w:t>
            </w:r>
          </w:p>
        </w:tc>
      </w:tr>
      <w:tr w:rsidR="00D32B36" w14:paraId="04982BD7" w14:textId="77777777">
        <w:tc>
          <w:tcPr>
            <w:tcW w:w="2800" w:type="dxa"/>
            <w:shd w:val="clear" w:color="auto" w:fill="FFFFFF"/>
            <w:tcMar>
              <w:top w:w="80" w:type="dxa"/>
              <w:left w:w="100" w:type="dxa"/>
              <w:bottom w:w="80" w:type="dxa"/>
              <w:right w:w="100" w:type="dxa"/>
            </w:tcMar>
          </w:tcPr>
          <w:p w14:paraId="7B7F1EB7" w14:textId="77777777" w:rsidR="00CE0393" w:rsidRPr="00AA2965" w:rsidRDefault="00401671" w:rsidP="00AA2965">
            <w:pPr>
              <w:jc w:val="both"/>
            </w:pPr>
            <w:r w:rsidRPr="00AA2965">
              <w:rPr>
                <w:sz w:val="18"/>
                <w:szCs w:val="18"/>
              </w:rPr>
              <w:t>Uninsured (%)</w:t>
            </w:r>
          </w:p>
        </w:tc>
        <w:tc>
          <w:tcPr>
            <w:tcW w:w="1960" w:type="dxa"/>
            <w:shd w:val="clear" w:color="auto" w:fill="FFFFFF"/>
            <w:tcMar>
              <w:top w:w="80" w:type="dxa"/>
              <w:left w:w="100" w:type="dxa"/>
              <w:bottom w:w="80" w:type="dxa"/>
              <w:right w:w="100" w:type="dxa"/>
            </w:tcMar>
          </w:tcPr>
          <w:p w14:paraId="56CA5FB8" w14:textId="77777777" w:rsidR="00CE0393" w:rsidRPr="00AA2965" w:rsidRDefault="00401671" w:rsidP="00AA2965">
            <w:pPr>
              <w:jc w:val="both"/>
            </w:pPr>
            <w:r w:rsidRPr="00AA2965">
              <w:rPr>
                <w:sz w:val="18"/>
                <w:szCs w:val="18"/>
              </w:rPr>
              <w:t>12.2%</w:t>
            </w:r>
          </w:p>
        </w:tc>
        <w:tc>
          <w:tcPr>
            <w:tcW w:w="1960" w:type="dxa"/>
            <w:shd w:val="clear" w:color="auto" w:fill="FFFFFF"/>
            <w:tcMar>
              <w:top w:w="80" w:type="dxa"/>
              <w:left w:w="100" w:type="dxa"/>
              <w:bottom w:w="80" w:type="dxa"/>
              <w:right w:w="100" w:type="dxa"/>
            </w:tcMar>
          </w:tcPr>
          <w:p w14:paraId="2CC6FED2" w14:textId="77777777" w:rsidR="00CE0393" w:rsidRPr="00AA2965" w:rsidRDefault="00401671" w:rsidP="00AA2965">
            <w:pPr>
              <w:jc w:val="both"/>
            </w:pPr>
            <w:r w:rsidRPr="00AA2965">
              <w:rPr>
                <w:sz w:val="18"/>
                <w:szCs w:val="18"/>
              </w:rPr>
              <w:t>—</w:t>
            </w:r>
          </w:p>
        </w:tc>
        <w:tc>
          <w:tcPr>
            <w:tcW w:w="2640" w:type="dxa"/>
            <w:shd w:val="clear" w:color="auto" w:fill="FFFFFF"/>
            <w:tcMar>
              <w:top w:w="80" w:type="dxa"/>
              <w:left w:w="100" w:type="dxa"/>
              <w:bottom w:w="80" w:type="dxa"/>
              <w:right w:w="100" w:type="dxa"/>
            </w:tcMar>
          </w:tcPr>
          <w:p w14:paraId="692A841F" w14:textId="77777777" w:rsidR="00CE0393" w:rsidRPr="00AA2965" w:rsidRDefault="00401671" w:rsidP="00AA2965">
            <w:pPr>
              <w:jc w:val="both"/>
            </w:pPr>
            <w:r w:rsidRPr="00AA2965">
              <w:rPr>
                <w:sz w:val="18"/>
                <w:szCs w:val="18"/>
              </w:rPr>
              <w:t>—</w:t>
            </w:r>
          </w:p>
        </w:tc>
      </w:tr>
      <w:tr w:rsidR="00D32B36" w14:paraId="2D83C852" w14:textId="77777777">
        <w:tc>
          <w:tcPr>
            <w:tcW w:w="2800" w:type="dxa"/>
            <w:shd w:val="clear" w:color="auto" w:fill="F2F2F2"/>
            <w:tcMar>
              <w:top w:w="80" w:type="dxa"/>
              <w:left w:w="100" w:type="dxa"/>
              <w:bottom w:w="80" w:type="dxa"/>
              <w:right w:w="100" w:type="dxa"/>
            </w:tcMar>
          </w:tcPr>
          <w:p w14:paraId="7CC4EAF9" w14:textId="77777777" w:rsidR="00CE0393" w:rsidRPr="00AA2965" w:rsidRDefault="00401671" w:rsidP="00AA2965">
            <w:pPr>
              <w:jc w:val="both"/>
            </w:pPr>
            <w:r w:rsidRPr="00AA2965">
              <w:rPr>
                <w:sz w:val="18"/>
                <w:szCs w:val="18"/>
              </w:rPr>
              <w:t>Chronic Disease Index</w:t>
            </w:r>
          </w:p>
        </w:tc>
        <w:tc>
          <w:tcPr>
            <w:tcW w:w="1960" w:type="dxa"/>
            <w:shd w:val="clear" w:color="auto" w:fill="F2F2F2"/>
            <w:tcMar>
              <w:top w:w="80" w:type="dxa"/>
              <w:left w:w="100" w:type="dxa"/>
              <w:bottom w:w="80" w:type="dxa"/>
              <w:right w:w="100" w:type="dxa"/>
            </w:tcMar>
          </w:tcPr>
          <w:p w14:paraId="2977561C" w14:textId="77777777" w:rsidR="00CE0393" w:rsidRPr="00AA2965" w:rsidRDefault="00401671" w:rsidP="00AA2965">
            <w:pPr>
              <w:jc w:val="both"/>
            </w:pPr>
            <w:r w:rsidRPr="00AA2965">
              <w:rPr>
                <w:sz w:val="18"/>
                <w:szCs w:val="18"/>
              </w:rPr>
              <w:t>2.14 ± 1.89</w:t>
            </w:r>
          </w:p>
        </w:tc>
        <w:tc>
          <w:tcPr>
            <w:tcW w:w="1960" w:type="dxa"/>
            <w:shd w:val="clear" w:color="auto" w:fill="F2F2F2"/>
            <w:tcMar>
              <w:top w:w="80" w:type="dxa"/>
              <w:left w:w="100" w:type="dxa"/>
              <w:bottom w:w="80" w:type="dxa"/>
              <w:right w:w="100" w:type="dxa"/>
            </w:tcMar>
          </w:tcPr>
          <w:p w14:paraId="622F2931" w14:textId="77777777" w:rsidR="00CE0393" w:rsidRPr="00AA2965" w:rsidRDefault="00401671" w:rsidP="00AA2965">
            <w:pPr>
              <w:jc w:val="both"/>
            </w:pPr>
            <w:r w:rsidRPr="00AA2965">
              <w:rPr>
                <w:sz w:val="18"/>
                <w:szCs w:val="18"/>
              </w:rPr>
              <w:t>0–9</w:t>
            </w:r>
          </w:p>
        </w:tc>
        <w:tc>
          <w:tcPr>
            <w:tcW w:w="2640" w:type="dxa"/>
            <w:shd w:val="clear" w:color="auto" w:fill="F2F2F2"/>
            <w:tcMar>
              <w:top w:w="80" w:type="dxa"/>
              <w:left w:w="100" w:type="dxa"/>
              <w:bottom w:w="80" w:type="dxa"/>
              <w:right w:w="100" w:type="dxa"/>
            </w:tcMar>
          </w:tcPr>
          <w:p w14:paraId="464C1F68" w14:textId="77777777" w:rsidR="00CE0393" w:rsidRPr="00AA2965" w:rsidRDefault="00401671" w:rsidP="00AA2965">
            <w:pPr>
              <w:jc w:val="both"/>
            </w:pPr>
            <w:r w:rsidRPr="00AA2965">
              <w:rPr>
                <w:sz w:val="18"/>
                <w:szCs w:val="18"/>
              </w:rPr>
              <w:t>Composite</w:t>
            </w:r>
          </w:p>
        </w:tc>
      </w:tr>
      <w:tr w:rsidR="00D32B36" w14:paraId="6A4017B2" w14:textId="77777777">
        <w:tc>
          <w:tcPr>
            <w:tcW w:w="2800" w:type="dxa"/>
            <w:shd w:val="clear" w:color="auto" w:fill="FFFFFF"/>
            <w:tcMar>
              <w:top w:w="80" w:type="dxa"/>
              <w:left w:w="100" w:type="dxa"/>
              <w:bottom w:w="80" w:type="dxa"/>
              <w:right w:w="100" w:type="dxa"/>
            </w:tcMar>
          </w:tcPr>
          <w:p w14:paraId="32D3CCD9" w14:textId="77777777" w:rsidR="00CE0393" w:rsidRPr="00AA2965" w:rsidRDefault="00401671" w:rsidP="00AA2965">
            <w:pPr>
              <w:jc w:val="both"/>
            </w:pPr>
            <w:r w:rsidRPr="00AA2965">
              <w:rPr>
                <w:sz w:val="18"/>
                <w:szCs w:val="18"/>
              </w:rPr>
              <w:lastRenderedPageBreak/>
              <w:t>ED visits per year</w:t>
            </w:r>
          </w:p>
        </w:tc>
        <w:tc>
          <w:tcPr>
            <w:tcW w:w="1960" w:type="dxa"/>
            <w:shd w:val="clear" w:color="auto" w:fill="FFFFFF"/>
            <w:tcMar>
              <w:top w:w="80" w:type="dxa"/>
              <w:left w:w="100" w:type="dxa"/>
              <w:bottom w:w="80" w:type="dxa"/>
              <w:right w:w="100" w:type="dxa"/>
            </w:tcMar>
          </w:tcPr>
          <w:p w14:paraId="026674AE" w14:textId="77777777" w:rsidR="00CE0393" w:rsidRPr="00AA2965" w:rsidRDefault="00401671" w:rsidP="00AA2965">
            <w:pPr>
              <w:jc w:val="both"/>
            </w:pPr>
            <w:r w:rsidRPr="00AA2965">
              <w:rPr>
                <w:sz w:val="18"/>
                <w:szCs w:val="18"/>
              </w:rPr>
              <w:t>0.31 ± 0.72</w:t>
            </w:r>
          </w:p>
        </w:tc>
        <w:tc>
          <w:tcPr>
            <w:tcW w:w="1960" w:type="dxa"/>
            <w:shd w:val="clear" w:color="auto" w:fill="FFFFFF"/>
            <w:tcMar>
              <w:top w:w="80" w:type="dxa"/>
              <w:left w:w="100" w:type="dxa"/>
              <w:bottom w:w="80" w:type="dxa"/>
              <w:right w:w="100" w:type="dxa"/>
            </w:tcMar>
          </w:tcPr>
          <w:p w14:paraId="2F96F481" w14:textId="77777777" w:rsidR="00CE0393" w:rsidRPr="00AA2965" w:rsidRDefault="00401671" w:rsidP="00AA2965">
            <w:pPr>
              <w:jc w:val="both"/>
            </w:pPr>
            <w:r w:rsidRPr="00AA2965">
              <w:rPr>
                <w:sz w:val="18"/>
                <w:szCs w:val="18"/>
              </w:rPr>
              <w:t>0–8</w:t>
            </w:r>
          </w:p>
        </w:tc>
        <w:tc>
          <w:tcPr>
            <w:tcW w:w="2640" w:type="dxa"/>
            <w:shd w:val="clear" w:color="auto" w:fill="FFFFFF"/>
            <w:tcMar>
              <w:top w:w="80" w:type="dxa"/>
              <w:left w:w="100" w:type="dxa"/>
              <w:bottom w:w="80" w:type="dxa"/>
              <w:right w:w="100" w:type="dxa"/>
            </w:tcMar>
          </w:tcPr>
          <w:p w14:paraId="4D2EC2AB" w14:textId="77777777" w:rsidR="00CE0393" w:rsidRPr="00AA2965" w:rsidRDefault="00401671" w:rsidP="00AA2965">
            <w:pPr>
              <w:jc w:val="both"/>
            </w:pPr>
            <w:r w:rsidRPr="00AA2965">
              <w:rPr>
                <w:sz w:val="18"/>
                <w:szCs w:val="18"/>
              </w:rPr>
              <w:t>Count</w:t>
            </w:r>
          </w:p>
        </w:tc>
      </w:tr>
      <w:tr w:rsidR="00D32B36" w14:paraId="426CA152" w14:textId="77777777">
        <w:tc>
          <w:tcPr>
            <w:tcW w:w="2800" w:type="dxa"/>
            <w:shd w:val="clear" w:color="auto" w:fill="F2F2F2"/>
            <w:tcMar>
              <w:top w:w="80" w:type="dxa"/>
              <w:left w:w="100" w:type="dxa"/>
              <w:bottom w:w="80" w:type="dxa"/>
              <w:right w:w="100" w:type="dxa"/>
            </w:tcMar>
          </w:tcPr>
          <w:p w14:paraId="0E08D3E6" w14:textId="77777777" w:rsidR="00CE0393" w:rsidRPr="00AA2965" w:rsidRDefault="00401671" w:rsidP="00AA2965">
            <w:pPr>
              <w:jc w:val="both"/>
            </w:pPr>
            <w:r w:rsidRPr="00AA2965">
              <w:rPr>
                <w:sz w:val="18"/>
                <w:szCs w:val="18"/>
              </w:rPr>
              <w:t>Inpatient admissions/yr</w:t>
            </w:r>
          </w:p>
        </w:tc>
        <w:tc>
          <w:tcPr>
            <w:tcW w:w="1960" w:type="dxa"/>
            <w:shd w:val="clear" w:color="auto" w:fill="F2F2F2"/>
            <w:tcMar>
              <w:top w:w="80" w:type="dxa"/>
              <w:left w:w="100" w:type="dxa"/>
              <w:bottom w:w="80" w:type="dxa"/>
              <w:right w:w="100" w:type="dxa"/>
            </w:tcMar>
          </w:tcPr>
          <w:p w14:paraId="03B5EA29" w14:textId="77777777" w:rsidR="00CE0393" w:rsidRPr="00AA2965" w:rsidRDefault="00401671" w:rsidP="00AA2965">
            <w:pPr>
              <w:jc w:val="both"/>
            </w:pPr>
            <w:r w:rsidRPr="00AA2965">
              <w:rPr>
                <w:sz w:val="18"/>
                <w:szCs w:val="18"/>
              </w:rPr>
              <w:t>0.14 ± 0.41</w:t>
            </w:r>
          </w:p>
        </w:tc>
        <w:tc>
          <w:tcPr>
            <w:tcW w:w="1960" w:type="dxa"/>
            <w:shd w:val="clear" w:color="auto" w:fill="F2F2F2"/>
            <w:tcMar>
              <w:top w:w="80" w:type="dxa"/>
              <w:left w:w="100" w:type="dxa"/>
              <w:bottom w:w="80" w:type="dxa"/>
              <w:right w:w="100" w:type="dxa"/>
            </w:tcMar>
          </w:tcPr>
          <w:p w14:paraId="74E4E4EF" w14:textId="77777777" w:rsidR="00CE0393" w:rsidRPr="00AA2965" w:rsidRDefault="00401671" w:rsidP="00AA2965">
            <w:pPr>
              <w:jc w:val="both"/>
            </w:pPr>
            <w:r w:rsidRPr="00AA2965">
              <w:rPr>
                <w:sz w:val="18"/>
                <w:szCs w:val="18"/>
              </w:rPr>
              <w:t>0–6</w:t>
            </w:r>
          </w:p>
        </w:tc>
        <w:tc>
          <w:tcPr>
            <w:tcW w:w="2640" w:type="dxa"/>
            <w:shd w:val="clear" w:color="auto" w:fill="F2F2F2"/>
            <w:tcMar>
              <w:top w:w="80" w:type="dxa"/>
              <w:left w:w="100" w:type="dxa"/>
              <w:bottom w:w="80" w:type="dxa"/>
              <w:right w:w="100" w:type="dxa"/>
            </w:tcMar>
          </w:tcPr>
          <w:p w14:paraId="0C2F8DF4" w14:textId="77777777" w:rsidR="00CE0393" w:rsidRPr="00AA2965" w:rsidRDefault="00401671" w:rsidP="00AA2965">
            <w:pPr>
              <w:jc w:val="both"/>
            </w:pPr>
            <w:r w:rsidRPr="00AA2965">
              <w:rPr>
                <w:sz w:val="18"/>
                <w:szCs w:val="18"/>
              </w:rPr>
              <w:t>Count</w:t>
            </w:r>
          </w:p>
        </w:tc>
      </w:tr>
      <w:tr w:rsidR="00D32B36" w14:paraId="278ED2F0" w14:textId="77777777">
        <w:tc>
          <w:tcPr>
            <w:tcW w:w="2800" w:type="dxa"/>
            <w:shd w:val="clear" w:color="auto" w:fill="FFFFFF"/>
            <w:tcMar>
              <w:top w:w="80" w:type="dxa"/>
              <w:left w:w="100" w:type="dxa"/>
              <w:bottom w:w="80" w:type="dxa"/>
              <w:right w:w="100" w:type="dxa"/>
            </w:tcMar>
          </w:tcPr>
          <w:p w14:paraId="2A97C3EB" w14:textId="77777777" w:rsidR="00CE0393" w:rsidRPr="00AA2965" w:rsidRDefault="00401671" w:rsidP="00AA2965">
            <w:pPr>
              <w:jc w:val="both"/>
            </w:pPr>
            <w:r w:rsidRPr="00AA2965">
              <w:rPr>
                <w:sz w:val="18"/>
                <w:szCs w:val="18"/>
              </w:rPr>
              <w:t>Outpatient visits/yr</w:t>
            </w:r>
          </w:p>
        </w:tc>
        <w:tc>
          <w:tcPr>
            <w:tcW w:w="1960" w:type="dxa"/>
            <w:shd w:val="clear" w:color="auto" w:fill="FFFFFF"/>
            <w:tcMar>
              <w:top w:w="80" w:type="dxa"/>
              <w:left w:w="100" w:type="dxa"/>
              <w:bottom w:w="80" w:type="dxa"/>
              <w:right w:w="100" w:type="dxa"/>
            </w:tcMar>
          </w:tcPr>
          <w:p w14:paraId="1B43D82E" w14:textId="77777777" w:rsidR="00CE0393" w:rsidRPr="00AA2965" w:rsidRDefault="00401671" w:rsidP="00AA2965">
            <w:pPr>
              <w:jc w:val="both"/>
            </w:pPr>
            <w:r w:rsidRPr="00AA2965">
              <w:rPr>
                <w:sz w:val="18"/>
                <w:szCs w:val="18"/>
              </w:rPr>
              <w:t>4.82 ± 6.14</w:t>
            </w:r>
          </w:p>
        </w:tc>
        <w:tc>
          <w:tcPr>
            <w:tcW w:w="1960" w:type="dxa"/>
            <w:shd w:val="clear" w:color="auto" w:fill="FFFFFF"/>
            <w:tcMar>
              <w:top w:w="80" w:type="dxa"/>
              <w:left w:w="100" w:type="dxa"/>
              <w:bottom w:w="80" w:type="dxa"/>
              <w:right w:w="100" w:type="dxa"/>
            </w:tcMar>
          </w:tcPr>
          <w:p w14:paraId="14C90CF8" w14:textId="77777777" w:rsidR="00CE0393" w:rsidRPr="00AA2965" w:rsidRDefault="00401671" w:rsidP="00AA2965">
            <w:pPr>
              <w:jc w:val="both"/>
            </w:pPr>
            <w:r w:rsidRPr="00AA2965">
              <w:rPr>
                <w:sz w:val="18"/>
                <w:szCs w:val="18"/>
              </w:rPr>
              <w:t>0–64</w:t>
            </w:r>
          </w:p>
        </w:tc>
        <w:tc>
          <w:tcPr>
            <w:tcW w:w="2640" w:type="dxa"/>
            <w:shd w:val="clear" w:color="auto" w:fill="FFFFFF"/>
            <w:tcMar>
              <w:top w:w="80" w:type="dxa"/>
              <w:left w:w="100" w:type="dxa"/>
              <w:bottom w:w="80" w:type="dxa"/>
              <w:right w:w="100" w:type="dxa"/>
            </w:tcMar>
          </w:tcPr>
          <w:p w14:paraId="000338AD" w14:textId="77777777" w:rsidR="00CE0393" w:rsidRPr="00AA2965" w:rsidRDefault="00401671" w:rsidP="00AA2965">
            <w:pPr>
              <w:jc w:val="both"/>
            </w:pPr>
            <w:r w:rsidRPr="00AA2965">
              <w:rPr>
                <w:sz w:val="18"/>
                <w:szCs w:val="18"/>
              </w:rPr>
              <w:t>Count</w:t>
            </w:r>
          </w:p>
        </w:tc>
      </w:tr>
      <w:tr w:rsidR="00D32B36" w14:paraId="66E04587" w14:textId="77777777">
        <w:tc>
          <w:tcPr>
            <w:tcW w:w="2800" w:type="dxa"/>
            <w:shd w:val="clear" w:color="auto" w:fill="F2F2F2"/>
            <w:tcMar>
              <w:top w:w="80" w:type="dxa"/>
              <w:left w:w="100" w:type="dxa"/>
              <w:bottom w:w="80" w:type="dxa"/>
              <w:right w:w="100" w:type="dxa"/>
            </w:tcMar>
          </w:tcPr>
          <w:p w14:paraId="5C7E93D2" w14:textId="77777777" w:rsidR="00CE0393" w:rsidRPr="00AA2965" w:rsidRDefault="00401671" w:rsidP="00AA2965">
            <w:pPr>
              <w:jc w:val="both"/>
            </w:pPr>
            <w:r w:rsidRPr="00AA2965">
              <w:rPr>
                <w:sz w:val="18"/>
                <w:szCs w:val="18"/>
              </w:rPr>
              <w:t>Total expenditure (USD)</w:t>
            </w:r>
          </w:p>
        </w:tc>
        <w:tc>
          <w:tcPr>
            <w:tcW w:w="1960" w:type="dxa"/>
            <w:shd w:val="clear" w:color="auto" w:fill="F2F2F2"/>
            <w:tcMar>
              <w:top w:w="80" w:type="dxa"/>
              <w:left w:w="100" w:type="dxa"/>
              <w:bottom w:w="80" w:type="dxa"/>
              <w:right w:w="100" w:type="dxa"/>
            </w:tcMar>
          </w:tcPr>
          <w:p w14:paraId="7EF9B6D7" w14:textId="77777777" w:rsidR="00CE0393" w:rsidRPr="00AA2965" w:rsidRDefault="00401671" w:rsidP="00AA2965">
            <w:pPr>
              <w:jc w:val="both"/>
            </w:pPr>
            <w:r w:rsidRPr="00AA2965">
              <w:rPr>
                <w:sz w:val="18"/>
                <w:szCs w:val="18"/>
              </w:rPr>
              <w:t>$5,842 ± $12,340</w:t>
            </w:r>
          </w:p>
        </w:tc>
        <w:tc>
          <w:tcPr>
            <w:tcW w:w="1960" w:type="dxa"/>
            <w:shd w:val="clear" w:color="auto" w:fill="F2F2F2"/>
            <w:tcMar>
              <w:top w:w="80" w:type="dxa"/>
              <w:left w:w="100" w:type="dxa"/>
              <w:bottom w:w="80" w:type="dxa"/>
              <w:right w:w="100" w:type="dxa"/>
            </w:tcMar>
          </w:tcPr>
          <w:p w14:paraId="4CE84CA4" w14:textId="77777777" w:rsidR="00CE0393" w:rsidRPr="00AA2965" w:rsidRDefault="00401671" w:rsidP="00AA2965">
            <w:pPr>
              <w:jc w:val="both"/>
            </w:pPr>
            <w:r w:rsidRPr="00AA2965">
              <w:rPr>
                <w:sz w:val="18"/>
                <w:szCs w:val="18"/>
              </w:rPr>
              <w:t>$0–$187,400</w:t>
            </w:r>
          </w:p>
        </w:tc>
        <w:tc>
          <w:tcPr>
            <w:tcW w:w="2640" w:type="dxa"/>
            <w:shd w:val="clear" w:color="auto" w:fill="F2F2F2"/>
            <w:tcMar>
              <w:top w:w="80" w:type="dxa"/>
              <w:left w:w="100" w:type="dxa"/>
              <w:bottom w:w="80" w:type="dxa"/>
              <w:right w:w="100" w:type="dxa"/>
            </w:tcMar>
          </w:tcPr>
          <w:p w14:paraId="06D11735" w14:textId="77777777" w:rsidR="00CE0393" w:rsidRPr="00AA2965" w:rsidRDefault="00401671" w:rsidP="00AA2965">
            <w:pPr>
              <w:jc w:val="both"/>
            </w:pPr>
            <w:r w:rsidRPr="00AA2965">
              <w:rPr>
                <w:sz w:val="18"/>
                <w:szCs w:val="18"/>
              </w:rPr>
              <w:t>Right-skewed</w:t>
            </w:r>
          </w:p>
        </w:tc>
      </w:tr>
    </w:tbl>
    <w:p w14:paraId="645A0CC4" w14:textId="77777777" w:rsidR="00CE0393" w:rsidRPr="00AA2965" w:rsidRDefault="00CE0393" w:rsidP="00AA2965">
      <w:pPr>
        <w:spacing w:before="80"/>
        <w:jc w:val="both"/>
      </w:pPr>
    </w:p>
    <w:p w14:paraId="6DA8A7FF" w14:textId="77777777" w:rsidR="00CE0393" w:rsidRPr="00AA2965" w:rsidRDefault="00401671" w:rsidP="00AA2965">
      <w:pPr>
        <w:spacing w:before="60" w:after="200"/>
        <w:jc w:val="both"/>
      </w:pPr>
      <w:r w:rsidRPr="00AA2965">
        <w:rPr>
          <w:rFonts w:eastAsia="Arial"/>
          <w:sz w:val="18"/>
          <w:szCs w:val="18"/>
        </w:rPr>
        <w:t>Table 5. Descriptive statistics of the analytic sample (n = 93,412).</w:t>
      </w:r>
    </w:p>
    <w:p w14:paraId="7A41D7F2" w14:textId="77777777" w:rsidR="00CE0393" w:rsidRPr="00AA2965" w:rsidRDefault="00CE0393" w:rsidP="00AA2965">
      <w:pPr>
        <w:spacing w:before="160"/>
        <w:jc w:val="both"/>
      </w:pPr>
    </w:p>
    <w:p w14:paraId="4B0657EC"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4.2 Model Performance: Utilisation Prediction</w:t>
      </w:r>
    </w:p>
    <w:p w14:paraId="4D67E00F" w14:textId="77777777" w:rsidR="00CE0393" w:rsidRPr="00AA2965" w:rsidRDefault="00401671" w:rsidP="00AA2965">
      <w:pPr>
        <w:spacing w:before="120" w:after="120" w:line="360" w:lineRule="auto"/>
        <w:jc w:val="both"/>
      </w:pPr>
      <w:r w:rsidRPr="00AA2965">
        <w:t>XGBoost demonstrated the strongest performance across all utilisation targets. The baseline linear regression model was outperformed by all tree-based approaches across all targets, confirming the presence of non-linear predictor interactions in the MEPS dataset.</w:t>
      </w:r>
    </w:p>
    <w:p w14:paraId="250B8BCC"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1680"/>
        <w:gridCol w:w="1680"/>
        <w:gridCol w:w="1680"/>
        <w:gridCol w:w="1680"/>
      </w:tblGrid>
      <w:tr w:rsidR="00D32B36" w14:paraId="3440549E" w14:textId="77777777">
        <w:trPr>
          <w:tblHeader/>
        </w:trPr>
        <w:tc>
          <w:tcPr>
            <w:tcW w:w="2640" w:type="dxa"/>
            <w:shd w:val="clear" w:color="auto" w:fill="1B2A4A"/>
            <w:tcMar>
              <w:top w:w="80" w:type="dxa"/>
              <w:left w:w="100" w:type="dxa"/>
              <w:bottom w:w="80" w:type="dxa"/>
              <w:right w:w="100" w:type="dxa"/>
            </w:tcMar>
          </w:tcPr>
          <w:p w14:paraId="46FEDD9C" w14:textId="77777777" w:rsidR="00CE0393" w:rsidRPr="00AA2965" w:rsidRDefault="00401671" w:rsidP="00AA2965">
            <w:pPr>
              <w:jc w:val="both"/>
            </w:pPr>
            <w:r w:rsidRPr="00AA2965">
              <w:rPr>
                <w:rFonts w:eastAsia="Arial"/>
                <w:b/>
                <w:bCs/>
                <w:sz w:val="18"/>
                <w:szCs w:val="18"/>
              </w:rPr>
              <w:t>Model</w:t>
            </w:r>
          </w:p>
        </w:tc>
        <w:tc>
          <w:tcPr>
            <w:tcW w:w="1680" w:type="dxa"/>
            <w:shd w:val="clear" w:color="auto" w:fill="1B2A4A"/>
            <w:tcMar>
              <w:top w:w="80" w:type="dxa"/>
              <w:left w:w="100" w:type="dxa"/>
              <w:bottom w:w="80" w:type="dxa"/>
              <w:right w:w="100" w:type="dxa"/>
            </w:tcMar>
          </w:tcPr>
          <w:p w14:paraId="3A8894F8" w14:textId="77777777" w:rsidR="00CE0393" w:rsidRPr="00AA2965" w:rsidRDefault="00401671" w:rsidP="00AA2965">
            <w:pPr>
              <w:jc w:val="both"/>
            </w:pPr>
            <w:r w:rsidRPr="00AA2965">
              <w:rPr>
                <w:rFonts w:eastAsia="Arial"/>
                <w:b/>
                <w:bCs/>
                <w:sz w:val="18"/>
                <w:szCs w:val="18"/>
              </w:rPr>
              <w:t>RMSE (ED)</w:t>
            </w:r>
          </w:p>
        </w:tc>
        <w:tc>
          <w:tcPr>
            <w:tcW w:w="1680" w:type="dxa"/>
            <w:shd w:val="clear" w:color="auto" w:fill="1B2A4A"/>
            <w:tcMar>
              <w:top w:w="80" w:type="dxa"/>
              <w:left w:w="100" w:type="dxa"/>
              <w:bottom w:w="80" w:type="dxa"/>
              <w:right w:w="100" w:type="dxa"/>
            </w:tcMar>
          </w:tcPr>
          <w:p w14:paraId="24C7CC21" w14:textId="77777777" w:rsidR="00CE0393" w:rsidRPr="00AA2965" w:rsidRDefault="00401671" w:rsidP="00AA2965">
            <w:pPr>
              <w:jc w:val="both"/>
            </w:pPr>
            <w:r w:rsidRPr="00AA2965">
              <w:rPr>
                <w:rFonts w:eastAsia="Arial"/>
                <w:b/>
                <w:bCs/>
                <w:sz w:val="18"/>
                <w:szCs w:val="18"/>
              </w:rPr>
              <w:t>R² (Inpatient)</w:t>
            </w:r>
          </w:p>
        </w:tc>
        <w:tc>
          <w:tcPr>
            <w:tcW w:w="1680" w:type="dxa"/>
            <w:shd w:val="clear" w:color="auto" w:fill="1B2A4A"/>
            <w:tcMar>
              <w:top w:w="80" w:type="dxa"/>
              <w:left w:w="100" w:type="dxa"/>
              <w:bottom w:w="80" w:type="dxa"/>
              <w:right w:w="100" w:type="dxa"/>
            </w:tcMar>
          </w:tcPr>
          <w:p w14:paraId="1FEEE642" w14:textId="77777777" w:rsidR="00CE0393" w:rsidRPr="00AA2965" w:rsidRDefault="00401671" w:rsidP="00AA2965">
            <w:pPr>
              <w:jc w:val="both"/>
            </w:pPr>
            <w:r w:rsidRPr="00AA2965">
              <w:rPr>
                <w:rFonts w:eastAsia="Arial"/>
                <w:b/>
                <w:bCs/>
                <w:sz w:val="18"/>
                <w:szCs w:val="18"/>
              </w:rPr>
              <w:t>MAE (Outpatient)</w:t>
            </w:r>
          </w:p>
        </w:tc>
        <w:tc>
          <w:tcPr>
            <w:tcW w:w="1680" w:type="dxa"/>
            <w:shd w:val="clear" w:color="auto" w:fill="1B2A4A"/>
            <w:tcMar>
              <w:top w:w="80" w:type="dxa"/>
              <w:left w:w="100" w:type="dxa"/>
              <w:bottom w:w="80" w:type="dxa"/>
              <w:right w:w="100" w:type="dxa"/>
            </w:tcMar>
          </w:tcPr>
          <w:p w14:paraId="2B042468" w14:textId="77777777" w:rsidR="00CE0393" w:rsidRPr="00AA2965" w:rsidRDefault="00401671" w:rsidP="00AA2965">
            <w:pPr>
              <w:jc w:val="both"/>
            </w:pPr>
            <w:r w:rsidRPr="00AA2965">
              <w:rPr>
                <w:rFonts w:eastAsia="Arial"/>
                <w:b/>
                <w:bCs/>
                <w:sz w:val="18"/>
                <w:szCs w:val="18"/>
              </w:rPr>
              <w:t>AUC-ROC (High Users)</w:t>
            </w:r>
          </w:p>
        </w:tc>
      </w:tr>
      <w:tr w:rsidR="00D32B36" w14:paraId="1349FC14" w14:textId="77777777">
        <w:tc>
          <w:tcPr>
            <w:tcW w:w="2640" w:type="dxa"/>
            <w:shd w:val="clear" w:color="auto" w:fill="FFFFFF"/>
            <w:tcMar>
              <w:top w:w="80" w:type="dxa"/>
              <w:left w:w="100" w:type="dxa"/>
              <w:bottom w:w="80" w:type="dxa"/>
              <w:right w:w="100" w:type="dxa"/>
            </w:tcMar>
          </w:tcPr>
          <w:p w14:paraId="596ECE7B" w14:textId="77777777" w:rsidR="00CE0393" w:rsidRPr="00AA2965" w:rsidRDefault="00401671" w:rsidP="00AA2965">
            <w:pPr>
              <w:jc w:val="both"/>
            </w:pPr>
            <w:r w:rsidRPr="00AA2965">
              <w:rPr>
                <w:sz w:val="18"/>
                <w:szCs w:val="18"/>
              </w:rPr>
              <w:t>XGBoost</w:t>
            </w:r>
          </w:p>
        </w:tc>
        <w:tc>
          <w:tcPr>
            <w:tcW w:w="1680" w:type="dxa"/>
            <w:shd w:val="clear" w:color="auto" w:fill="FFFFFF"/>
            <w:tcMar>
              <w:top w:w="80" w:type="dxa"/>
              <w:left w:w="100" w:type="dxa"/>
              <w:bottom w:w="80" w:type="dxa"/>
              <w:right w:w="100" w:type="dxa"/>
            </w:tcMar>
          </w:tcPr>
          <w:p w14:paraId="0AF43408" w14:textId="77777777" w:rsidR="00CE0393" w:rsidRPr="00AA2965" w:rsidRDefault="00401671" w:rsidP="00AA2965">
            <w:pPr>
              <w:jc w:val="both"/>
            </w:pPr>
            <w:r w:rsidRPr="00AA2965">
              <w:rPr>
                <w:sz w:val="18"/>
                <w:szCs w:val="18"/>
              </w:rPr>
              <w:t>1.24</w:t>
            </w:r>
          </w:p>
        </w:tc>
        <w:tc>
          <w:tcPr>
            <w:tcW w:w="1680" w:type="dxa"/>
            <w:shd w:val="clear" w:color="auto" w:fill="FFFFFF"/>
            <w:tcMar>
              <w:top w:w="80" w:type="dxa"/>
              <w:left w:w="100" w:type="dxa"/>
              <w:bottom w:w="80" w:type="dxa"/>
              <w:right w:w="100" w:type="dxa"/>
            </w:tcMar>
          </w:tcPr>
          <w:p w14:paraId="557CC73C" w14:textId="77777777" w:rsidR="00CE0393" w:rsidRPr="00AA2965" w:rsidRDefault="00401671" w:rsidP="00AA2965">
            <w:pPr>
              <w:jc w:val="both"/>
            </w:pPr>
            <w:r w:rsidRPr="00AA2965">
              <w:rPr>
                <w:sz w:val="18"/>
                <w:szCs w:val="18"/>
              </w:rPr>
              <w:t>0.847</w:t>
            </w:r>
          </w:p>
        </w:tc>
        <w:tc>
          <w:tcPr>
            <w:tcW w:w="1680" w:type="dxa"/>
            <w:shd w:val="clear" w:color="auto" w:fill="FFFFFF"/>
            <w:tcMar>
              <w:top w:w="80" w:type="dxa"/>
              <w:left w:w="100" w:type="dxa"/>
              <w:bottom w:w="80" w:type="dxa"/>
              <w:right w:w="100" w:type="dxa"/>
            </w:tcMar>
          </w:tcPr>
          <w:p w14:paraId="2EF428B5" w14:textId="77777777" w:rsidR="00CE0393" w:rsidRPr="00AA2965" w:rsidRDefault="00401671" w:rsidP="00AA2965">
            <w:pPr>
              <w:jc w:val="both"/>
            </w:pPr>
            <w:r w:rsidRPr="00AA2965">
              <w:rPr>
                <w:sz w:val="18"/>
                <w:szCs w:val="18"/>
              </w:rPr>
              <w:t>0.68</w:t>
            </w:r>
          </w:p>
        </w:tc>
        <w:tc>
          <w:tcPr>
            <w:tcW w:w="1680" w:type="dxa"/>
            <w:shd w:val="clear" w:color="auto" w:fill="FFFFFF"/>
            <w:tcMar>
              <w:top w:w="80" w:type="dxa"/>
              <w:left w:w="100" w:type="dxa"/>
              <w:bottom w:w="80" w:type="dxa"/>
              <w:right w:w="100" w:type="dxa"/>
            </w:tcMar>
          </w:tcPr>
          <w:p w14:paraId="67CA6E69" w14:textId="77777777" w:rsidR="00CE0393" w:rsidRPr="00AA2965" w:rsidRDefault="00401671" w:rsidP="00AA2965">
            <w:pPr>
              <w:jc w:val="both"/>
            </w:pPr>
            <w:r w:rsidRPr="00AA2965">
              <w:rPr>
                <w:sz w:val="18"/>
                <w:szCs w:val="18"/>
              </w:rPr>
              <w:t>87.3%</w:t>
            </w:r>
          </w:p>
        </w:tc>
      </w:tr>
      <w:tr w:rsidR="00D32B36" w14:paraId="0C719071" w14:textId="77777777">
        <w:tc>
          <w:tcPr>
            <w:tcW w:w="2640" w:type="dxa"/>
            <w:shd w:val="clear" w:color="auto" w:fill="F2F2F2"/>
            <w:tcMar>
              <w:top w:w="80" w:type="dxa"/>
              <w:left w:w="100" w:type="dxa"/>
              <w:bottom w:w="80" w:type="dxa"/>
              <w:right w:w="100" w:type="dxa"/>
            </w:tcMar>
          </w:tcPr>
          <w:p w14:paraId="377FA135" w14:textId="77777777" w:rsidR="00CE0393" w:rsidRPr="00AA2965" w:rsidRDefault="00401671" w:rsidP="00AA2965">
            <w:pPr>
              <w:jc w:val="both"/>
            </w:pPr>
            <w:r w:rsidRPr="00AA2965">
              <w:rPr>
                <w:sz w:val="18"/>
                <w:szCs w:val="18"/>
              </w:rPr>
              <w:t>LightGBM</w:t>
            </w:r>
          </w:p>
        </w:tc>
        <w:tc>
          <w:tcPr>
            <w:tcW w:w="1680" w:type="dxa"/>
            <w:shd w:val="clear" w:color="auto" w:fill="F2F2F2"/>
            <w:tcMar>
              <w:top w:w="80" w:type="dxa"/>
              <w:left w:w="100" w:type="dxa"/>
              <w:bottom w:w="80" w:type="dxa"/>
              <w:right w:w="100" w:type="dxa"/>
            </w:tcMar>
          </w:tcPr>
          <w:p w14:paraId="36584FA9" w14:textId="77777777" w:rsidR="00CE0393" w:rsidRPr="00AA2965" w:rsidRDefault="00401671" w:rsidP="00AA2965">
            <w:pPr>
              <w:jc w:val="both"/>
            </w:pPr>
            <w:r w:rsidRPr="00AA2965">
              <w:rPr>
                <w:sz w:val="18"/>
                <w:szCs w:val="18"/>
              </w:rPr>
              <w:t>1.31</w:t>
            </w:r>
          </w:p>
        </w:tc>
        <w:tc>
          <w:tcPr>
            <w:tcW w:w="1680" w:type="dxa"/>
            <w:shd w:val="clear" w:color="auto" w:fill="F2F2F2"/>
            <w:tcMar>
              <w:top w:w="80" w:type="dxa"/>
              <w:left w:w="100" w:type="dxa"/>
              <w:bottom w:w="80" w:type="dxa"/>
              <w:right w:w="100" w:type="dxa"/>
            </w:tcMar>
          </w:tcPr>
          <w:p w14:paraId="74F4E553" w14:textId="77777777" w:rsidR="00CE0393" w:rsidRPr="00AA2965" w:rsidRDefault="00401671" w:rsidP="00AA2965">
            <w:pPr>
              <w:jc w:val="both"/>
            </w:pPr>
            <w:r w:rsidRPr="00AA2965">
              <w:rPr>
                <w:sz w:val="18"/>
                <w:szCs w:val="18"/>
              </w:rPr>
              <w:t>0.829</w:t>
            </w:r>
          </w:p>
        </w:tc>
        <w:tc>
          <w:tcPr>
            <w:tcW w:w="1680" w:type="dxa"/>
            <w:shd w:val="clear" w:color="auto" w:fill="F2F2F2"/>
            <w:tcMar>
              <w:top w:w="80" w:type="dxa"/>
              <w:left w:w="100" w:type="dxa"/>
              <w:bottom w:w="80" w:type="dxa"/>
              <w:right w:w="100" w:type="dxa"/>
            </w:tcMar>
          </w:tcPr>
          <w:p w14:paraId="720EA6AC" w14:textId="77777777" w:rsidR="00CE0393" w:rsidRPr="00AA2965" w:rsidRDefault="00401671" w:rsidP="00AA2965">
            <w:pPr>
              <w:jc w:val="both"/>
            </w:pPr>
            <w:r w:rsidRPr="00AA2965">
              <w:rPr>
                <w:sz w:val="18"/>
                <w:szCs w:val="18"/>
              </w:rPr>
              <w:t>0.71</w:t>
            </w:r>
          </w:p>
        </w:tc>
        <w:tc>
          <w:tcPr>
            <w:tcW w:w="1680" w:type="dxa"/>
            <w:shd w:val="clear" w:color="auto" w:fill="F2F2F2"/>
            <w:tcMar>
              <w:top w:w="80" w:type="dxa"/>
              <w:left w:w="100" w:type="dxa"/>
              <w:bottom w:w="80" w:type="dxa"/>
              <w:right w:w="100" w:type="dxa"/>
            </w:tcMar>
          </w:tcPr>
          <w:p w14:paraId="371D08B3" w14:textId="77777777" w:rsidR="00CE0393" w:rsidRPr="00AA2965" w:rsidRDefault="00401671" w:rsidP="00AA2965">
            <w:pPr>
              <w:jc w:val="both"/>
            </w:pPr>
            <w:r w:rsidRPr="00AA2965">
              <w:rPr>
                <w:sz w:val="18"/>
                <w:szCs w:val="18"/>
              </w:rPr>
              <w:t>85.8%</w:t>
            </w:r>
          </w:p>
        </w:tc>
      </w:tr>
      <w:tr w:rsidR="00D32B36" w14:paraId="661D85B7" w14:textId="77777777">
        <w:tc>
          <w:tcPr>
            <w:tcW w:w="2640" w:type="dxa"/>
            <w:shd w:val="clear" w:color="auto" w:fill="FFFFFF"/>
            <w:tcMar>
              <w:top w:w="80" w:type="dxa"/>
              <w:left w:w="100" w:type="dxa"/>
              <w:bottom w:w="80" w:type="dxa"/>
              <w:right w:w="100" w:type="dxa"/>
            </w:tcMar>
          </w:tcPr>
          <w:p w14:paraId="07406C6E" w14:textId="77777777" w:rsidR="00CE0393" w:rsidRPr="00AA2965" w:rsidRDefault="00401671" w:rsidP="00AA2965">
            <w:pPr>
              <w:jc w:val="both"/>
            </w:pPr>
            <w:r w:rsidRPr="00AA2965">
              <w:rPr>
                <w:sz w:val="18"/>
                <w:szCs w:val="18"/>
              </w:rPr>
              <w:t>Random Forest</w:t>
            </w:r>
          </w:p>
        </w:tc>
        <w:tc>
          <w:tcPr>
            <w:tcW w:w="1680" w:type="dxa"/>
            <w:shd w:val="clear" w:color="auto" w:fill="FFFFFF"/>
            <w:tcMar>
              <w:top w:w="80" w:type="dxa"/>
              <w:left w:w="100" w:type="dxa"/>
              <w:bottom w:w="80" w:type="dxa"/>
              <w:right w:w="100" w:type="dxa"/>
            </w:tcMar>
          </w:tcPr>
          <w:p w14:paraId="4D8C6CA3" w14:textId="77777777" w:rsidR="00CE0393" w:rsidRPr="00AA2965" w:rsidRDefault="00401671" w:rsidP="00AA2965">
            <w:pPr>
              <w:jc w:val="both"/>
            </w:pPr>
            <w:r w:rsidRPr="00AA2965">
              <w:rPr>
                <w:sz w:val="18"/>
                <w:szCs w:val="18"/>
              </w:rPr>
              <w:t>1.38</w:t>
            </w:r>
          </w:p>
        </w:tc>
        <w:tc>
          <w:tcPr>
            <w:tcW w:w="1680" w:type="dxa"/>
            <w:shd w:val="clear" w:color="auto" w:fill="FFFFFF"/>
            <w:tcMar>
              <w:top w:w="80" w:type="dxa"/>
              <w:left w:w="100" w:type="dxa"/>
              <w:bottom w:w="80" w:type="dxa"/>
              <w:right w:w="100" w:type="dxa"/>
            </w:tcMar>
          </w:tcPr>
          <w:p w14:paraId="1F30774B" w14:textId="77777777" w:rsidR="00CE0393" w:rsidRPr="00AA2965" w:rsidRDefault="00401671" w:rsidP="00AA2965">
            <w:pPr>
              <w:jc w:val="both"/>
            </w:pPr>
            <w:r w:rsidRPr="00AA2965">
              <w:rPr>
                <w:sz w:val="18"/>
                <w:szCs w:val="18"/>
              </w:rPr>
              <w:t>0.812</w:t>
            </w:r>
          </w:p>
        </w:tc>
        <w:tc>
          <w:tcPr>
            <w:tcW w:w="1680" w:type="dxa"/>
            <w:shd w:val="clear" w:color="auto" w:fill="FFFFFF"/>
            <w:tcMar>
              <w:top w:w="80" w:type="dxa"/>
              <w:left w:w="100" w:type="dxa"/>
              <w:bottom w:w="80" w:type="dxa"/>
              <w:right w:w="100" w:type="dxa"/>
            </w:tcMar>
          </w:tcPr>
          <w:p w14:paraId="215D3610" w14:textId="77777777" w:rsidR="00CE0393" w:rsidRPr="00AA2965" w:rsidRDefault="00401671" w:rsidP="00AA2965">
            <w:pPr>
              <w:jc w:val="both"/>
            </w:pPr>
            <w:r w:rsidRPr="00AA2965">
              <w:rPr>
                <w:sz w:val="18"/>
                <w:szCs w:val="18"/>
              </w:rPr>
              <w:t>0.74</w:t>
            </w:r>
          </w:p>
        </w:tc>
        <w:tc>
          <w:tcPr>
            <w:tcW w:w="1680" w:type="dxa"/>
            <w:shd w:val="clear" w:color="auto" w:fill="FFFFFF"/>
            <w:tcMar>
              <w:top w:w="80" w:type="dxa"/>
              <w:left w:w="100" w:type="dxa"/>
              <w:bottom w:w="80" w:type="dxa"/>
              <w:right w:w="100" w:type="dxa"/>
            </w:tcMar>
          </w:tcPr>
          <w:p w14:paraId="0FEFD809" w14:textId="77777777" w:rsidR="00CE0393" w:rsidRPr="00AA2965" w:rsidRDefault="00401671" w:rsidP="00AA2965">
            <w:pPr>
              <w:jc w:val="both"/>
            </w:pPr>
            <w:r w:rsidRPr="00AA2965">
              <w:rPr>
                <w:sz w:val="18"/>
                <w:szCs w:val="18"/>
              </w:rPr>
              <w:t>84.1%</w:t>
            </w:r>
          </w:p>
        </w:tc>
      </w:tr>
      <w:tr w:rsidR="00D32B36" w14:paraId="2917D876" w14:textId="77777777">
        <w:tc>
          <w:tcPr>
            <w:tcW w:w="2640" w:type="dxa"/>
            <w:shd w:val="clear" w:color="auto" w:fill="F2F2F2"/>
            <w:tcMar>
              <w:top w:w="80" w:type="dxa"/>
              <w:left w:w="100" w:type="dxa"/>
              <w:bottom w:w="80" w:type="dxa"/>
              <w:right w:w="100" w:type="dxa"/>
            </w:tcMar>
          </w:tcPr>
          <w:p w14:paraId="43C5DA32" w14:textId="77777777" w:rsidR="00CE0393" w:rsidRPr="00AA2965" w:rsidRDefault="00401671" w:rsidP="00AA2965">
            <w:pPr>
              <w:jc w:val="both"/>
            </w:pPr>
            <w:r w:rsidRPr="00AA2965">
              <w:rPr>
                <w:sz w:val="18"/>
                <w:szCs w:val="18"/>
              </w:rPr>
              <w:t>Linear Regression</w:t>
            </w:r>
          </w:p>
        </w:tc>
        <w:tc>
          <w:tcPr>
            <w:tcW w:w="1680" w:type="dxa"/>
            <w:shd w:val="clear" w:color="auto" w:fill="F2F2F2"/>
            <w:tcMar>
              <w:top w:w="80" w:type="dxa"/>
              <w:left w:w="100" w:type="dxa"/>
              <w:bottom w:w="80" w:type="dxa"/>
              <w:right w:w="100" w:type="dxa"/>
            </w:tcMar>
          </w:tcPr>
          <w:p w14:paraId="185088CF" w14:textId="77777777" w:rsidR="00CE0393" w:rsidRPr="00AA2965" w:rsidRDefault="00401671" w:rsidP="00AA2965">
            <w:pPr>
              <w:jc w:val="both"/>
            </w:pPr>
            <w:r w:rsidRPr="00AA2965">
              <w:rPr>
                <w:sz w:val="18"/>
                <w:szCs w:val="18"/>
              </w:rPr>
              <w:t>1.97</w:t>
            </w:r>
          </w:p>
        </w:tc>
        <w:tc>
          <w:tcPr>
            <w:tcW w:w="1680" w:type="dxa"/>
            <w:shd w:val="clear" w:color="auto" w:fill="F2F2F2"/>
            <w:tcMar>
              <w:top w:w="80" w:type="dxa"/>
              <w:left w:w="100" w:type="dxa"/>
              <w:bottom w:w="80" w:type="dxa"/>
              <w:right w:w="100" w:type="dxa"/>
            </w:tcMar>
          </w:tcPr>
          <w:p w14:paraId="649D1C1A" w14:textId="77777777" w:rsidR="00CE0393" w:rsidRPr="00AA2965" w:rsidRDefault="00401671" w:rsidP="00AA2965">
            <w:pPr>
              <w:jc w:val="both"/>
            </w:pPr>
            <w:r w:rsidRPr="00AA2965">
              <w:rPr>
                <w:sz w:val="18"/>
                <w:szCs w:val="18"/>
              </w:rPr>
              <w:t>0.641</w:t>
            </w:r>
          </w:p>
        </w:tc>
        <w:tc>
          <w:tcPr>
            <w:tcW w:w="1680" w:type="dxa"/>
            <w:shd w:val="clear" w:color="auto" w:fill="F2F2F2"/>
            <w:tcMar>
              <w:top w:w="80" w:type="dxa"/>
              <w:left w:w="100" w:type="dxa"/>
              <w:bottom w:w="80" w:type="dxa"/>
              <w:right w:w="100" w:type="dxa"/>
            </w:tcMar>
          </w:tcPr>
          <w:p w14:paraId="7A4C0668" w14:textId="77777777" w:rsidR="00CE0393" w:rsidRPr="00AA2965" w:rsidRDefault="00401671" w:rsidP="00AA2965">
            <w:pPr>
              <w:jc w:val="both"/>
            </w:pPr>
            <w:r w:rsidRPr="00AA2965">
              <w:rPr>
                <w:sz w:val="18"/>
                <w:szCs w:val="18"/>
              </w:rPr>
              <w:t>1.12</w:t>
            </w:r>
          </w:p>
        </w:tc>
        <w:tc>
          <w:tcPr>
            <w:tcW w:w="1680" w:type="dxa"/>
            <w:shd w:val="clear" w:color="auto" w:fill="F2F2F2"/>
            <w:tcMar>
              <w:top w:w="80" w:type="dxa"/>
              <w:left w:w="100" w:type="dxa"/>
              <w:bottom w:w="80" w:type="dxa"/>
              <w:right w:w="100" w:type="dxa"/>
            </w:tcMar>
          </w:tcPr>
          <w:p w14:paraId="519EB260" w14:textId="77777777" w:rsidR="00CE0393" w:rsidRPr="00AA2965" w:rsidRDefault="00401671" w:rsidP="00AA2965">
            <w:pPr>
              <w:jc w:val="both"/>
            </w:pPr>
            <w:r w:rsidRPr="00AA2965">
              <w:rPr>
                <w:sz w:val="18"/>
                <w:szCs w:val="18"/>
              </w:rPr>
              <w:t>71.2%</w:t>
            </w:r>
          </w:p>
        </w:tc>
      </w:tr>
    </w:tbl>
    <w:p w14:paraId="0C8E456E" w14:textId="77777777" w:rsidR="00CE0393" w:rsidRPr="00AA2965" w:rsidRDefault="00CE0393" w:rsidP="00AA2965">
      <w:pPr>
        <w:spacing w:before="80"/>
        <w:jc w:val="both"/>
      </w:pPr>
    </w:p>
    <w:p w14:paraId="490A4FDF" w14:textId="77777777" w:rsidR="00CE0393" w:rsidRPr="00AA2965" w:rsidRDefault="00401671" w:rsidP="00AA2965">
      <w:pPr>
        <w:spacing w:before="60" w:after="200"/>
        <w:jc w:val="both"/>
      </w:pPr>
      <w:r w:rsidRPr="00AA2965">
        <w:rPr>
          <w:rFonts w:eastAsia="Arial"/>
          <w:sz w:val="18"/>
          <w:szCs w:val="18"/>
        </w:rPr>
        <w:t>Table 6. Model performance comparison across utilisation prediction targets.</w:t>
      </w:r>
    </w:p>
    <w:p w14:paraId="2BA6FFB8" w14:textId="77777777" w:rsidR="00CE0393" w:rsidRPr="00AA2965" w:rsidRDefault="00CE0393" w:rsidP="00AA2965">
      <w:pPr>
        <w:spacing w:before="160"/>
        <w:jc w:val="both"/>
      </w:pPr>
    </w:p>
    <w:p w14:paraId="40AD0A4A"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4.3 Model Performance: Cost Prediction</w:t>
      </w:r>
    </w:p>
    <w:p w14:paraId="4970878F" w14:textId="77777777" w:rsidR="00CE0393" w:rsidRPr="00AA2965" w:rsidRDefault="00401671" w:rsidP="00AA2965">
      <w:pPr>
        <w:spacing w:before="120" w:after="120" w:line="360" w:lineRule="auto"/>
        <w:jc w:val="both"/>
      </w:pPr>
      <w:r w:rsidRPr="00AA2965">
        <w:t>In the Stage 2 cost prediction task, the two-stage XGBoost framework achieved a mean absolute error of $1,847 per patient and explained 79.3% of variance in total healthcare expenditure. This represents a 23.4% improvement in R² over the direct single-stage approach (R² = 0.642) and a 41.2% improvement over the Ridge regression baseline.</w:t>
      </w:r>
    </w:p>
    <w:p w14:paraId="7D0D4825"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1680"/>
        <w:gridCol w:w="1680"/>
        <w:gridCol w:w="1680"/>
        <w:gridCol w:w="1680"/>
      </w:tblGrid>
      <w:tr w:rsidR="00D32B36" w14:paraId="7E41EF3D" w14:textId="77777777">
        <w:trPr>
          <w:tblHeader/>
        </w:trPr>
        <w:tc>
          <w:tcPr>
            <w:tcW w:w="2640" w:type="dxa"/>
            <w:shd w:val="clear" w:color="auto" w:fill="1B2A4A"/>
            <w:tcMar>
              <w:top w:w="80" w:type="dxa"/>
              <w:left w:w="100" w:type="dxa"/>
              <w:bottom w:w="80" w:type="dxa"/>
              <w:right w:w="100" w:type="dxa"/>
            </w:tcMar>
          </w:tcPr>
          <w:p w14:paraId="0195B36C" w14:textId="77777777" w:rsidR="00CE0393" w:rsidRPr="00AA2965" w:rsidRDefault="00401671" w:rsidP="00AA2965">
            <w:pPr>
              <w:jc w:val="both"/>
            </w:pPr>
            <w:r w:rsidRPr="00AA2965">
              <w:rPr>
                <w:rFonts w:eastAsia="Arial"/>
                <w:b/>
                <w:bCs/>
                <w:sz w:val="18"/>
                <w:szCs w:val="18"/>
              </w:rPr>
              <w:t>Model</w:t>
            </w:r>
          </w:p>
        </w:tc>
        <w:tc>
          <w:tcPr>
            <w:tcW w:w="1680" w:type="dxa"/>
            <w:shd w:val="clear" w:color="auto" w:fill="1B2A4A"/>
            <w:tcMar>
              <w:top w:w="80" w:type="dxa"/>
              <w:left w:w="100" w:type="dxa"/>
              <w:bottom w:w="80" w:type="dxa"/>
              <w:right w:w="100" w:type="dxa"/>
            </w:tcMar>
          </w:tcPr>
          <w:p w14:paraId="6710F300" w14:textId="77777777" w:rsidR="00CE0393" w:rsidRPr="00AA2965" w:rsidRDefault="00401671" w:rsidP="00AA2965">
            <w:pPr>
              <w:jc w:val="both"/>
            </w:pPr>
            <w:r w:rsidRPr="00AA2965">
              <w:rPr>
                <w:rFonts w:eastAsia="Arial"/>
                <w:b/>
                <w:bCs/>
                <w:sz w:val="18"/>
                <w:szCs w:val="18"/>
              </w:rPr>
              <w:t>MAE (USD)</w:t>
            </w:r>
          </w:p>
        </w:tc>
        <w:tc>
          <w:tcPr>
            <w:tcW w:w="1680" w:type="dxa"/>
            <w:shd w:val="clear" w:color="auto" w:fill="1B2A4A"/>
            <w:tcMar>
              <w:top w:w="80" w:type="dxa"/>
              <w:left w:w="100" w:type="dxa"/>
              <w:bottom w:w="80" w:type="dxa"/>
              <w:right w:w="100" w:type="dxa"/>
            </w:tcMar>
          </w:tcPr>
          <w:p w14:paraId="10472CC2" w14:textId="77777777" w:rsidR="00CE0393" w:rsidRPr="00AA2965" w:rsidRDefault="00401671" w:rsidP="00AA2965">
            <w:pPr>
              <w:jc w:val="both"/>
            </w:pPr>
            <w:r w:rsidRPr="00AA2965">
              <w:rPr>
                <w:rFonts w:eastAsia="Arial"/>
                <w:b/>
                <w:bCs/>
                <w:sz w:val="18"/>
                <w:szCs w:val="18"/>
              </w:rPr>
              <w:t>R²</w:t>
            </w:r>
          </w:p>
        </w:tc>
        <w:tc>
          <w:tcPr>
            <w:tcW w:w="1680" w:type="dxa"/>
            <w:shd w:val="clear" w:color="auto" w:fill="1B2A4A"/>
            <w:tcMar>
              <w:top w:w="80" w:type="dxa"/>
              <w:left w:w="100" w:type="dxa"/>
              <w:bottom w:w="80" w:type="dxa"/>
              <w:right w:w="100" w:type="dxa"/>
            </w:tcMar>
          </w:tcPr>
          <w:p w14:paraId="158CC0AE" w14:textId="77777777" w:rsidR="00CE0393" w:rsidRPr="00AA2965" w:rsidRDefault="00401671" w:rsidP="00AA2965">
            <w:pPr>
              <w:jc w:val="both"/>
            </w:pPr>
            <w:r w:rsidRPr="00AA2965">
              <w:rPr>
                <w:rFonts w:eastAsia="Arial"/>
                <w:b/>
                <w:bCs/>
                <w:sz w:val="18"/>
                <w:szCs w:val="18"/>
              </w:rPr>
              <w:t>System-Level Error</w:t>
            </w:r>
          </w:p>
        </w:tc>
        <w:tc>
          <w:tcPr>
            <w:tcW w:w="1680" w:type="dxa"/>
            <w:shd w:val="clear" w:color="auto" w:fill="1B2A4A"/>
            <w:tcMar>
              <w:top w:w="80" w:type="dxa"/>
              <w:left w:w="100" w:type="dxa"/>
              <w:bottom w:w="80" w:type="dxa"/>
              <w:right w:w="100" w:type="dxa"/>
            </w:tcMar>
          </w:tcPr>
          <w:p w14:paraId="53C8A183" w14:textId="77777777" w:rsidR="00CE0393" w:rsidRPr="00AA2965" w:rsidRDefault="00401671" w:rsidP="00AA2965">
            <w:pPr>
              <w:jc w:val="both"/>
            </w:pPr>
            <w:r w:rsidRPr="00AA2965">
              <w:rPr>
                <w:rFonts w:eastAsia="Arial"/>
                <w:b/>
                <w:bCs/>
                <w:sz w:val="18"/>
                <w:szCs w:val="18"/>
              </w:rPr>
              <w:t>MAPE</w:t>
            </w:r>
          </w:p>
        </w:tc>
      </w:tr>
      <w:tr w:rsidR="00D32B36" w14:paraId="5DA3E649" w14:textId="77777777">
        <w:tc>
          <w:tcPr>
            <w:tcW w:w="2640" w:type="dxa"/>
            <w:shd w:val="clear" w:color="auto" w:fill="FFFFFF"/>
            <w:tcMar>
              <w:top w:w="80" w:type="dxa"/>
              <w:left w:w="100" w:type="dxa"/>
              <w:bottom w:w="80" w:type="dxa"/>
              <w:right w:w="100" w:type="dxa"/>
            </w:tcMar>
          </w:tcPr>
          <w:p w14:paraId="4D7E51EB" w14:textId="77777777" w:rsidR="00CE0393" w:rsidRPr="00AA2965" w:rsidRDefault="00401671" w:rsidP="00AA2965">
            <w:pPr>
              <w:jc w:val="both"/>
            </w:pPr>
            <w:r w:rsidRPr="00AA2965">
              <w:rPr>
                <w:sz w:val="18"/>
                <w:szCs w:val="18"/>
              </w:rPr>
              <w:t>Two-Stage XGBoost (proposed)</w:t>
            </w:r>
          </w:p>
        </w:tc>
        <w:tc>
          <w:tcPr>
            <w:tcW w:w="1680" w:type="dxa"/>
            <w:shd w:val="clear" w:color="auto" w:fill="FFFFFF"/>
            <w:tcMar>
              <w:top w:w="80" w:type="dxa"/>
              <w:left w:w="100" w:type="dxa"/>
              <w:bottom w:w="80" w:type="dxa"/>
              <w:right w:w="100" w:type="dxa"/>
            </w:tcMar>
          </w:tcPr>
          <w:p w14:paraId="021985A2" w14:textId="77777777" w:rsidR="00CE0393" w:rsidRPr="00AA2965" w:rsidRDefault="00401671" w:rsidP="00AA2965">
            <w:pPr>
              <w:jc w:val="both"/>
            </w:pPr>
            <w:r w:rsidRPr="00AA2965">
              <w:rPr>
                <w:sz w:val="18"/>
                <w:szCs w:val="18"/>
              </w:rPr>
              <w:t>$1,847</w:t>
            </w:r>
          </w:p>
        </w:tc>
        <w:tc>
          <w:tcPr>
            <w:tcW w:w="1680" w:type="dxa"/>
            <w:shd w:val="clear" w:color="auto" w:fill="FFFFFF"/>
            <w:tcMar>
              <w:top w:w="80" w:type="dxa"/>
              <w:left w:w="100" w:type="dxa"/>
              <w:bottom w:w="80" w:type="dxa"/>
              <w:right w:w="100" w:type="dxa"/>
            </w:tcMar>
          </w:tcPr>
          <w:p w14:paraId="2828427D" w14:textId="77777777" w:rsidR="00CE0393" w:rsidRPr="00AA2965" w:rsidRDefault="00401671" w:rsidP="00AA2965">
            <w:pPr>
              <w:jc w:val="both"/>
            </w:pPr>
            <w:r w:rsidRPr="00AA2965">
              <w:rPr>
                <w:sz w:val="18"/>
                <w:szCs w:val="18"/>
              </w:rPr>
              <w:t>0.793</w:t>
            </w:r>
          </w:p>
        </w:tc>
        <w:tc>
          <w:tcPr>
            <w:tcW w:w="1680" w:type="dxa"/>
            <w:shd w:val="clear" w:color="auto" w:fill="FFFFFF"/>
            <w:tcMar>
              <w:top w:w="80" w:type="dxa"/>
              <w:left w:w="100" w:type="dxa"/>
              <w:bottom w:w="80" w:type="dxa"/>
              <w:right w:w="100" w:type="dxa"/>
            </w:tcMar>
          </w:tcPr>
          <w:p w14:paraId="2B8B7674" w14:textId="77777777" w:rsidR="00CE0393" w:rsidRPr="00AA2965" w:rsidRDefault="00401671" w:rsidP="00AA2965">
            <w:pPr>
              <w:jc w:val="both"/>
            </w:pPr>
            <w:r w:rsidRPr="00AA2965">
              <w:rPr>
                <w:sz w:val="18"/>
                <w:szCs w:val="18"/>
              </w:rPr>
              <w:t>3.2%</w:t>
            </w:r>
          </w:p>
        </w:tc>
        <w:tc>
          <w:tcPr>
            <w:tcW w:w="1680" w:type="dxa"/>
            <w:shd w:val="clear" w:color="auto" w:fill="FFFFFF"/>
            <w:tcMar>
              <w:top w:w="80" w:type="dxa"/>
              <w:left w:w="100" w:type="dxa"/>
              <w:bottom w:w="80" w:type="dxa"/>
              <w:right w:w="100" w:type="dxa"/>
            </w:tcMar>
          </w:tcPr>
          <w:p w14:paraId="204BFDBC" w14:textId="77777777" w:rsidR="00CE0393" w:rsidRPr="00AA2965" w:rsidRDefault="00401671" w:rsidP="00AA2965">
            <w:pPr>
              <w:jc w:val="both"/>
            </w:pPr>
            <w:r w:rsidRPr="00AA2965">
              <w:rPr>
                <w:sz w:val="18"/>
                <w:szCs w:val="18"/>
              </w:rPr>
              <w:t>8.4%</w:t>
            </w:r>
          </w:p>
        </w:tc>
      </w:tr>
      <w:tr w:rsidR="00D32B36" w14:paraId="1F35052F" w14:textId="77777777">
        <w:tc>
          <w:tcPr>
            <w:tcW w:w="2640" w:type="dxa"/>
            <w:shd w:val="clear" w:color="auto" w:fill="F2F2F2"/>
            <w:tcMar>
              <w:top w:w="80" w:type="dxa"/>
              <w:left w:w="100" w:type="dxa"/>
              <w:bottom w:w="80" w:type="dxa"/>
              <w:right w:w="100" w:type="dxa"/>
            </w:tcMar>
          </w:tcPr>
          <w:p w14:paraId="4456512B" w14:textId="77777777" w:rsidR="00CE0393" w:rsidRPr="00AA2965" w:rsidRDefault="00401671" w:rsidP="00AA2965">
            <w:pPr>
              <w:jc w:val="both"/>
            </w:pPr>
            <w:r w:rsidRPr="00AA2965">
              <w:rPr>
                <w:sz w:val="18"/>
                <w:szCs w:val="18"/>
              </w:rPr>
              <w:t>Direct XGBoost (single-stage)</w:t>
            </w:r>
          </w:p>
        </w:tc>
        <w:tc>
          <w:tcPr>
            <w:tcW w:w="1680" w:type="dxa"/>
            <w:shd w:val="clear" w:color="auto" w:fill="F2F2F2"/>
            <w:tcMar>
              <w:top w:w="80" w:type="dxa"/>
              <w:left w:w="100" w:type="dxa"/>
              <w:bottom w:w="80" w:type="dxa"/>
              <w:right w:w="100" w:type="dxa"/>
            </w:tcMar>
          </w:tcPr>
          <w:p w14:paraId="3E74B90F" w14:textId="77777777" w:rsidR="00CE0393" w:rsidRPr="00AA2965" w:rsidRDefault="00401671" w:rsidP="00AA2965">
            <w:pPr>
              <w:jc w:val="both"/>
            </w:pPr>
            <w:r w:rsidRPr="00AA2965">
              <w:rPr>
                <w:sz w:val="18"/>
                <w:szCs w:val="18"/>
              </w:rPr>
              <w:t>$2,314</w:t>
            </w:r>
          </w:p>
        </w:tc>
        <w:tc>
          <w:tcPr>
            <w:tcW w:w="1680" w:type="dxa"/>
            <w:shd w:val="clear" w:color="auto" w:fill="F2F2F2"/>
            <w:tcMar>
              <w:top w:w="80" w:type="dxa"/>
              <w:left w:w="100" w:type="dxa"/>
              <w:bottom w:w="80" w:type="dxa"/>
              <w:right w:w="100" w:type="dxa"/>
            </w:tcMar>
          </w:tcPr>
          <w:p w14:paraId="1EEC5782" w14:textId="77777777" w:rsidR="00CE0393" w:rsidRPr="00AA2965" w:rsidRDefault="00401671" w:rsidP="00AA2965">
            <w:pPr>
              <w:jc w:val="both"/>
            </w:pPr>
            <w:r w:rsidRPr="00AA2965">
              <w:rPr>
                <w:sz w:val="18"/>
                <w:szCs w:val="18"/>
              </w:rPr>
              <w:t>0.642</w:t>
            </w:r>
          </w:p>
        </w:tc>
        <w:tc>
          <w:tcPr>
            <w:tcW w:w="1680" w:type="dxa"/>
            <w:shd w:val="clear" w:color="auto" w:fill="F2F2F2"/>
            <w:tcMar>
              <w:top w:w="80" w:type="dxa"/>
              <w:left w:w="100" w:type="dxa"/>
              <w:bottom w:w="80" w:type="dxa"/>
              <w:right w:w="100" w:type="dxa"/>
            </w:tcMar>
          </w:tcPr>
          <w:p w14:paraId="6BE5CEA5" w14:textId="77777777" w:rsidR="00CE0393" w:rsidRPr="00AA2965" w:rsidRDefault="00401671" w:rsidP="00AA2965">
            <w:pPr>
              <w:jc w:val="both"/>
            </w:pPr>
            <w:r w:rsidRPr="00AA2965">
              <w:rPr>
                <w:sz w:val="18"/>
                <w:szCs w:val="18"/>
              </w:rPr>
              <w:t>7.8%</w:t>
            </w:r>
          </w:p>
        </w:tc>
        <w:tc>
          <w:tcPr>
            <w:tcW w:w="1680" w:type="dxa"/>
            <w:shd w:val="clear" w:color="auto" w:fill="F2F2F2"/>
            <w:tcMar>
              <w:top w:w="80" w:type="dxa"/>
              <w:left w:w="100" w:type="dxa"/>
              <w:bottom w:w="80" w:type="dxa"/>
              <w:right w:w="100" w:type="dxa"/>
            </w:tcMar>
          </w:tcPr>
          <w:p w14:paraId="6A358786" w14:textId="77777777" w:rsidR="00CE0393" w:rsidRPr="00AA2965" w:rsidRDefault="00401671" w:rsidP="00AA2965">
            <w:pPr>
              <w:jc w:val="both"/>
            </w:pPr>
            <w:r w:rsidRPr="00AA2965">
              <w:rPr>
                <w:sz w:val="18"/>
                <w:szCs w:val="18"/>
              </w:rPr>
              <w:t>11.2%</w:t>
            </w:r>
          </w:p>
        </w:tc>
      </w:tr>
      <w:tr w:rsidR="00D32B36" w14:paraId="44BEED40" w14:textId="77777777">
        <w:tc>
          <w:tcPr>
            <w:tcW w:w="2640" w:type="dxa"/>
            <w:shd w:val="clear" w:color="auto" w:fill="FFFFFF"/>
            <w:tcMar>
              <w:top w:w="80" w:type="dxa"/>
              <w:left w:w="100" w:type="dxa"/>
              <w:bottom w:w="80" w:type="dxa"/>
              <w:right w:w="100" w:type="dxa"/>
            </w:tcMar>
          </w:tcPr>
          <w:p w14:paraId="00477981" w14:textId="77777777" w:rsidR="00CE0393" w:rsidRPr="00AA2965" w:rsidRDefault="00401671" w:rsidP="00AA2965">
            <w:pPr>
              <w:jc w:val="both"/>
            </w:pPr>
            <w:r w:rsidRPr="00AA2965">
              <w:rPr>
                <w:sz w:val="18"/>
                <w:szCs w:val="18"/>
              </w:rPr>
              <w:t>Two-Stage LightGBM</w:t>
            </w:r>
          </w:p>
        </w:tc>
        <w:tc>
          <w:tcPr>
            <w:tcW w:w="1680" w:type="dxa"/>
            <w:shd w:val="clear" w:color="auto" w:fill="FFFFFF"/>
            <w:tcMar>
              <w:top w:w="80" w:type="dxa"/>
              <w:left w:w="100" w:type="dxa"/>
              <w:bottom w:w="80" w:type="dxa"/>
              <w:right w:w="100" w:type="dxa"/>
            </w:tcMar>
          </w:tcPr>
          <w:p w14:paraId="510CED01" w14:textId="77777777" w:rsidR="00CE0393" w:rsidRPr="00AA2965" w:rsidRDefault="00401671" w:rsidP="00AA2965">
            <w:pPr>
              <w:jc w:val="both"/>
            </w:pPr>
            <w:r w:rsidRPr="00AA2965">
              <w:rPr>
                <w:sz w:val="18"/>
                <w:szCs w:val="18"/>
              </w:rPr>
              <w:t>$1,923</w:t>
            </w:r>
          </w:p>
        </w:tc>
        <w:tc>
          <w:tcPr>
            <w:tcW w:w="1680" w:type="dxa"/>
            <w:shd w:val="clear" w:color="auto" w:fill="FFFFFF"/>
            <w:tcMar>
              <w:top w:w="80" w:type="dxa"/>
              <w:left w:w="100" w:type="dxa"/>
              <w:bottom w:w="80" w:type="dxa"/>
              <w:right w:w="100" w:type="dxa"/>
            </w:tcMar>
          </w:tcPr>
          <w:p w14:paraId="77ED2078" w14:textId="77777777" w:rsidR="00CE0393" w:rsidRPr="00AA2965" w:rsidRDefault="00401671" w:rsidP="00AA2965">
            <w:pPr>
              <w:jc w:val="both"/>
            </w:pPr>
            <w:r w:rsidRPr="00AA2965">
              <w:rPr>
                <w:sz w:val="18"/>
                <w:szCs w:val="18"/>
              </w:rPr>
              <w:t>0.781</w:t>
            </w:r>
          </w:p>
        </w:tc>
        <w:tc>
          <w:tcPr>
            <w:tcW w:w="1680" w:type="dxa"/>
            <w:shd w:val="clear" w:color="auto" w:fill="FFFFFF"/>
            <w:tcMar>
              <w:top w:w="80" w:type="dxa"/>
              <w:left w:w="100" w:type="dxa"/>
              <w:bottom w:w="80" w:type="dxa"/>
              <w:right w:w="100" w:type="dxa"/>
            </w:tcMar>
          </w:tcPr>
          <w:p w14:paraId="5F039367" w14:textId="77777777" w:rsidR="00CE0393" w:rsidRPr="00AA2965" w:rsidRDefault="00401671" w:rsidP="00AA2965">
            <w:pPr>
              <w:jc w:val="both"/>
            </w:pPr>
            <w:r w:rsidRPr="00AA2965">
              <w:rPr>
                <w:sz w:val="18"/>
                <w:szCs w:val="18"/>
              </w:rPr>
              <w:t>3.7%</w:t>
            </w:r>
          </w:p>
        </w:tc>
        <w:tc>
          <w:tcPr>
            <w:tcW w:w="1680" w:type="dxa"/>
            <w:shd w:val="clear" w:color="auto" w:fill="FFFFFF"/>
            <w:tcMar>
              <w:top w:w="80" w:type="dxa"/>
              <w:left w:w="100" w:type="dxa"/>
              <w:bottom w:w="80" w:type="dxa"/>
              <w:right w:w="100" w:type="dxa"/>
            </w:tcMar>
          </w:tcPr>
          <w:p w14:paraId="273AC158" w14:textId="77777777" w:rsidR="00CE0393" w:rsidRPr="00AA2965" w:rsidRDefault="00401671" w:rsidP="00AA2965">
            <w:pPr>
              <w:jc w:val="both"/>
            </w:pPr>
            <w:r w:rsidRPr="00AA2965">
              <w:rPr>
                <w:sz w:val="18"/>
                <w:szCs w:val="18"/>
              </w:rPr>
              <w:t>9.1%</w:t>
            </w:r>
          </w:p>
        </w:tc>
      </w:tr>
      <w:tr w:rsidR="00D32B36" w14:paraId="08826A2B" w14:textId="77777777">
        <w:tc>
          <w:tcPr>
            <w:tcW w:w="2640" w:type="dxa"/>
            <w:shd w:val="clear" w:color="auto" w:fill="F2F2F2"/>
            <w:tcMar>
              <w:top w:w="80" w:type="dxa"/>
              <w:left w:w="100" w:type="dxa"/>
              <w:bottom w:w="80" w:type="dxa"/>
              <w:right w:w="100" w:type="dxa"/>
            </w:tcMar>
          </w:tcPr>
          <w:p w14:paraId="78FDF9C3" w14:textId="77777777" w:rsidR="00CE0393" w:rsidRPr="00AA2965" w:rsidRDefault="00401671" w:rsidP="00AA2965">
            <w:pPr>
              <w:jc w:val="both"/>
            </w:pPr>
            <w:r w:rsidRPr="00AA2965">
              <w:rPr>
                <w:sz w:val="18"/>
                <w:szCs w:val="18"/>
              </w:rPr>
              <w:t>Ridge Regression (baseline)</w:t>
            </w:r>
          </w:p>
        </w:tc>
        <w:tc>
          <w:tcPr>
            <w:tcW w:w="1680" w:type="dxa"/>
            <w:shd w:val="clear" w:color="auto" w:fill="F2F2F2"/>
            <w:tcMar>
              <w:top w:w="80" w:type="dxa"/>
              <w:left w:w="100" w:type="dxa"/>
              <w:bottom w:w="80" w:type="dxa"/>
              <w:right w:w="100" w:type="dxa"/>
            </w:tcMar>
          </w:tcPr>
          <w:p w14:paraId="4263AB1F" w14:textId="77777777" w:rsidR="00CE0393" w:rsidRPr="00AA2965" w:rsidRDefault="00401671" w:rsidP="00AA2965">
            <w:pPr>
              <w:jc w:val="both"/>
            </w:pPr>
            <w:r w:rsidRPr="00AA2965">
              <w:rPr>
                <w:sz w:val="18"/>
                <w:szCs w:val="18"/>
              </w:rPr>
              <w:t>$3,876</w:t>
            </w:r>
          </w:p>
        </w:tc>
        <w:tc>
          <w:tcPr>
            <w:tcW w:w="1680" w:type="dxa"/>
            <w:shd w:val="clear" w:color="auto" w:fill="F2F2F2"/>
            <w:tcMar>
              <w:top w:w="80" w:type="dxa"/>
              <w:left w:w="100" w:type="dxa"/>
              <w:bottom w:w="80" w:type="dxa"/>
              <w:right w:w="100" w:type="dxa"/>
            </w:tcMar>
          </w:tcPr>
          <w:p w14:paraId="04A892B7" w14:textId="77777777" w:rsidR="00CE0393" w:rsidRPr="00AA2965" w:rsidRDefault="00401671" w:rsidP="00AA2965">
            <w:pPr>
              <w:jc w:val="both"/>
            </w:pPr>
            <w:r w:rsidRPr="00AA2965">
              <w:rPr>
                <w:sz w:val="18"/>
                <w:szCs w:val="18"/>
              </w:rPr>
              <w:t>0.561</w:t>
            </w:r>
          </w:p>
        </w:tc>
        <w:tc>
          <w:tcPr>
            <w:tcW w:w="1680" w:type="dxa"/>
            <w:shd w:val="clear" w:color="auto" w:fill="F2F2F2"/>
            <w:tcMar>
              <w:top w:w="80" w:type="dxa"/>
              <w:left w:w="100" w:type="dxa"/>
              <w:bottom w:w="80" w:type="dxa"/>
              <w:right w:w="100" w:type="dxa"/>
            </w:tcMar>
          </w:tcPr>
          <w:p w14:paraId="521130C6" w14:textId="77777777" w:rsidR="00CE0393" w:rsidRPr="00AA2965" w:rsidRDefault="00401671" w:rsidP="00AA2965">
            <w:pPr>
              <w:jc w:val="both"/>
            </w:pPr>
            <w:r w:rsidRPr="00AA2965">
              <w:rPr>
                <w:sz w:val="18"/>
                <w:szCs w:val="18"/>
              </w:rPr>
              <w:t>12.4%</w:t>
            </w:r>
          </w:p>
        </w:tc>
        <w:tc>
          <w:tcPr>
            <w:tcW w:w="1680" w:type="dxa"/>
            <w:shd w:val="clear" w:color="auto" w:fill="F2F2F2"/>
            <w:tcMar>
              <w:top w:w="80" w:type="dxa"/>
              <w:left w:w="100" w:type="dxa"/>
              <w:bottom w:w="80" w:type="dxa"/>
              <w:right w:w="100" w:type="dxa"/>
            </w:tcMar>
          </w:tcPr>
          <w:p w14:paraId="788901E7" w14:textId="77777777" w:rsidR="00CE0393" w:rsidRPr="00AA2965" w:rsidRDefault="00401671" w:rsidP="00AA2965">
            <w:pPr>
              <w:jc w:val="both"/>
            </w:pPr>
            <w:r w:rsidRPr="00AA2965">
              <w:rPr>
                <w:sz w:val="18"/>
                <w:szCs w:val="18"/>
              </w:rPr>
              <w:t>19.7%</w:t>
            </w:r>
          </w:p>
        </w:tc>
      </w:tr>
    </w:tbl>
    <w:p w14:paraId="1659F7D7" w14:textId="77777777" w:rsidR="00CE0393" w:rsidRPr="00AA2965" w:rsidRDefault="00CE0393" w:rsidP="00AA2965">
      <w:pPr>
        <w:spacing w:before="80"/>
        <w:jc w:val="both"/>
      </w:pPr>
    </w:p>
    <w:p w14:paraId="1485B14D" w14:textId="77777777" w:rsidR="00CE0393" w:rsidRPr="00AA2965" w:rsidRDefault="00401671" w:rsidP="00AA2965">
      <w:pPr>
        <w:spacing w:before="60" w:after="200"/>
        <w:jc w:val="both"/>
      </w:pPr>
      <w:r w:rsidRPr="00AA2965">
        <w:rPr>
          <w:rFonts w:eastAsia="Arial"/>
          <w:sz w:val="18"/>
          <w:szCs w:val="18"/>
        </w:rPr>
        <w:t>Table 7. Cost prediction performance comparison.</w:t>
      </w:r>
    </w:p>
    <w:p w14:paraId="67EF814E" w14:textId="77777777" w:rsidR="00CE0393" w:rsidRPr="00AA2965" w:rsidRDefault="00CE0393" w:rsidP="00AA2965">
      <w:pPr>
        <w:spacing w:before="160"/>
        <w:jc w:val="both"/>
      </w:pPr>
    </w:p>
    <w:p w14:paraId="6A407F3A"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4.4 SHAP Feature Importance Analysis</w:t>
      </w:r>
    </w:p>
    <w:p w14:paraId="475DB181"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4.4.1 Global Feature Importance</w:t>
      </w:r>
    </w:p>
    <w:p w14:paraId="706F8F1B" w14:textId="77777777" w:rsidR="00CE0393" w:rsidRPr="00AA2965" w:rsidRDefault="00401671" w:rsidP="00AA2965">
      <w:pPr>
        <w:spacing w:before="120" w:after="120" w:line="360" w:lineRule="auto"/>
        <w:jc w:val="both"/>
      </w:pPr>
      <w:r w:rsidRPr="00AA2965">
        <w:t>Figure 3 presents the global SHAP feature importance ranking for the XGBoost cost model. The Chronic Disease Index emerged as the dominant predictor (mean |SHAP| = $1,842), reflecting the well-established dose-response relationship between multi-morbidity and healthcare spending. Predicted inpatient utilisation from Stage 1 contributed the second largest SHAP attribution (mean |SHAP| = $1,614), validating the causal importance of the two-stage architecture.</w:t>
      </w:r>
    </w:p>
    <w:p w14:paraId="02D1F892" w14:textId="77777777" w:rsidR="00CE0393" w:rsidRPr="00AA2965" w:rsidRDefault="00CE0393" w:rsidP="00AA2965">
      <w:pPr>
        <w:spacing w:before="160"/>
        <w:jc w:val="both"/>
      </w:pPr>
    </w:p>
    <w:p w14:paraId="4C39B2F5" w14:textId="77777777" w:rsidR="00CE0393" w:rsidRPr="00AA2965" w:rsidRDefault="00401671" w:rsidP="00AA2965">
      <w:pPr>
        <w:spacing w:before="200" w:after="80"/>
        <w:jc w:val="both"/>
      </w:pPr>
      <w:r w:rsidRPr="00AA2965">
        <w:rPr>
          <w:noProof/>
        </w:rPr>
        <w:drawing>
          <wp:inline distT="0" distB="0" distL="0" distR="0" wp14:anchorId="5C3EDBFB" wp14:editId="728A202B">
            <wp:extent cx="5762625" cy="2828925"/>
            <wp:effectExtent l="0" t="0" r="0" b="0"/>
            <wp:docPr id="220307419" name="Picture 22030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762625" cy="2828925"/>
                    </a:xfrm>
                    <a:prstGeom prst="rect">
                      <a:avLst/>
                    </a:prstGeom>
                  </pic:spPr>
                </pic:pic>
              </a:graphicData>
            </a:graphic>
          </wp:inline>
        </w:drawing>
      </w:r>
    </w:p>
    <w:p w14:paraId="5C934A81" w14:textId="77777777" w:rsidR="00CE0393" w:rsidRPr="00AA2965" w:rsidRDefault="00401671" w:rsidP="00AA2965">
      <w:pPr>
        <w:spacing w:before="60" w:after="200"/>
        <w:jc w:val="both"/>
      </w:pPr>
      <w:r w:rsidRPr="00AA2965">
        <w:rPr>
          <w:rFonts w:eastAsia="Arial"/>
          <w:sz w:val="18"/>
          <w:szCs w:val="18"/>
        </w:rPr>
        <w:t>Figure 3. SHAP global feature importance: top 10 drivers of predicted healthcare expenditure. Bars represent mean absolute SHAP value (USD contribution) across the test set.</w:t>
      </w:r>
    </w:p>
    <w:p w14:paraId="199E1E1E" w14:textId="77777777" w:rsidR="00CE0393" w:rsidRPr="00AA2965" w:rsidRDefault="00CE0393" w:rsidP="00AA2965">
      <w:pPr>
        <w:spacing w:before="16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D32B36" w14:paraId="57A29F4D" w14:textId="77777777">
        <w:trPr>
          <w:tblHeader/>
        </w:trPr>
        <w:tc>
          <w:tcPr>
            <w:tcW w:w="3600" w:type="dxa"/>
            <w:shd w:val="clear" w:color="auto" w:fill="1B2A4A"/>
            <w:tcMar>
              <w:top w:w="80" w:type="dxa"/>
              <w:left w:w="120" w:type="dxa"/>
              <w:bottom w:w="80" w:type="dxa"/>
              <w:right w:w="120" w:type="dxa"/>
            </w:tcMar>
          </w:tcPr>
          <w:p w14:paraId="61F623E9" w14:textId="77777777" w:rsidR="00CE0393" w:rsidRPr="00AA2965" w:rsidRDefault="00401671" w:rsidP="00AA2965">
            <w:pPr>
              <w:jc w:val="both"/>
            </w:pPr>
            <w:r w:rsidRPr="00AA2965">
              <w:rPr>
                <w:rFonts w:eastAsia="Arial"/>
                <w:b/>
                <w:bCs/>
                <w:sz w:val="20"/>
                <w:szCs w:val="20"/>
              </w:rPr>
              <w:t>Feature (Rank)</w:t>
            </w:r>
          </w:p>
        </w:tc>
        <w:tc>
          <w:tcPr>
            <w:tcW w:w="5760" w:type="dxa"/>
            <w:shd w:val="clear" w:color="auto" w:fill="1B2A4A"/>
            <w:tcMar>
              <w:top w:w="80" w:type="dxa"/>
              <w:left w:w="120" w:type="dxa"/>
              <w:bottom w:w="80" w:type="dxa"/>
              <w:right w:w="120" w:type="dxa"/>
            </w:tcMar>
          </w:tcPr>
          <w:p w14:paraId="3ACC98A2" w14:textId="77777777" w:rsidR="00CE0393" w:rsidRPr="00AA2965" w:rsidRDefault="00401671" w:rsidP="00AA2965">
            <w:pPr>
              <w:jc w:val="both"/>
            </w:pPr>
            <w:r w:rsidRPr="00AA2965">
              <w:rPr>
                <w:rFonts w:eastAsia="Arial"/>
                <w:b/>
                <w:bCs/>
                <w:sz w:val="20"/>
                <w:szCs w:val="20"/>
              </w:rPr>
              <w:t>Mean |SHAP Value| (USD)</w:t>
            </w:r>
          </w:p>
        </w:tc>
      </w:tr>
      <w:tr w:rsidR="00D32B36" w14:paraId="12D6F3B3" w14:textId="77777777">
        <w:tc>
          <w:tcPr>
            <w:tcW w:w="3600" w:type="dxa"/>
            <w:shd w:val="clear" w:color="auto" w:fill="FFFFFF"/>
            <w:tcMar>
              <w:top w:w="80" w:type="dxa"/>
              <w:left w:w="120" w:type="dxa"/>
              <w:bottom w:w="80" w:type="dxa"/>
              <w:right w:w="120" w:type="dxa"/>
            </w:tcMar>
          </w:tcPr>
          <w:p w14:paraId="160EF4B4" w14:textId="77777777" w:rsidR="00CE0393" w:rsidRPr="00AA2965" w:rsidRDefault="00401671" w:rsidP="00AA2965">
            <w:pPr>
              <w:jc w:val="both"/>
            </w:pPr>
            <w:r w:rsidRPr="00AA2965">
              <w:rPr>
                <w:sz w:val="20"/>
                <w:szCs w:val="20"/>
              </w:rPr>
              <w:t>1. Chronic Disease Index (CDI)</w:t>
            </w:r>
          </w:p>
        </w:tc>
        <w:tc>
          <w:tcPr>
            <w:tcW w:w="5760" w:type="dxa"/>
            <w:shd w:val="clear" w:color="auto" w:fill="FFFFFF"/>
            <w:tcMar>
              <w:top w:w="80" w:type="dxa"/>
              <w:left w:w="120" w:type="dxa"/>
              <w:bottom w:w="80" w:type="dxa"/>
              <w:right w:w="120" w:type="dxa"/>
            </w:tcMar>
          </w:tcPr>
          <w:p w14:paraId="56CE63E6" w14:textId="77777777" w:rsidR="00CE0393" w:rsidRPr="00AA2965" w:rsidRDefault="00401671" w:rsidP="00AA2965">
            <w:pPr>
              <w:jc w:val="both"/>
            </w:pPr>
            <w:r w:rsidRPr="00AA2965">
              <w:rPr>
                <w:sz w:val="20"/>
                <w:szCs w:val="20"/>
              </w:rPr>
              <w:t>$1,842  (22.4% of variance)</w:t>
            </w:r>
          </w:p>
        </w:tc>
      </w:tr>
      <w:tr w:rsidR="00D32B36" w14:paraId="220F8291" w14:textId="77777777">
        <w:tc>
          <w:tcPr>
            <w:tcW w:w="3600" w:type="dxa"/>
            <w:shd w:val="clear" w:color="auto" w:fill="F2F2F2"/>
            <w:tcMar>
              <w:top w:w="80" w:type="dxa"/>
              <w:left w:w="120" w:type="dxa"/>
              <w:bottom w:w="80" w:type="dxa"/>
              <w:right w:w="120" w:type="dxa"/>
            </w:tcMar>
          </w:tcPr>
          <w:p w14:paraId="65050168" w14:textId="77777777" w:rsidR="00CE0393" w:rsidRPr="00AA2965" w:rsidRDefault="00401671" w:rsidP="00AA2965">
            <w:pPr>
              <w:jc w:val="both"/>
            </w:pPr>
            <w:r w:rsidRPr="00AA2965">
              <w:rPr>
                <w:sz w:val="20"/>
                <w:szCs w:val="20"/>
              </w:rPr>
              <w:t>2. Predicted Inpatient Admissions</w:t>
            </w:r>
          </w:p>
        </w:tc>
        <w:tc>
          <w:tcPr>
            <w:tcW w:w="5760" w:type="dxa"/>
            <w:shd w:val="clear" w:color="auto" w:fill="F2F2F2"/>
            <w:tcMar>
              <w:top w:w="80" w:type="dxa"/>
              <w:left w:w="120" w:type="dxa"/>
              <w:bottom w:w="80" w:type="dxa"/>
              <w:right w:w="120" w:type="dxa"/>
            </w:tcMar>
          </w:tcPr>
          <w:p w14:paraId="0C13D371" w14:textId="77777777" w:rsidR="00CE0393" w:rsidRPr="00AA2965" w:rsidRDefault="00401671" w:rsidP="00AA2965">
            <w:pPr>
              <w:jc w:val="both"/>
            </w:pPr>
            <w:r w:rsidRPr="00AA2965">
              <w:rPr>
                <w:sz w:val="20"/>
                <w:szCs w:val="20"/>
              </w:rPr>
              <w:t>$1,614  (19.6%)</w:t>
            </w:r>
          </w:p>
        </w:tc>
      </w:tr>
      <w:tr w:rsidR="00D32B36" w14:paraId="4762348A" w14:textId="77777777">
        <w:tc>
          <w:tcPr>
            <w:tcW w:w="3600" w:type="dxa"/>
            <w:shd w:val="clear" w:color="auto" w:fill="FFFFFF"/>
            <w:tcMar>
              <w:top w:w="80" w:type="dxa"/>
              <w:left w:w="120" w:type="dxa"/>
              <w:bottom w:w="80" w:type="dxa"/>
              <w:right w:w="120" w:type="dxa"/>
            </w:tcMar>
          </w:tcPr>
          <w:p w14:paraId="681A3CC3" w14:textId="77777777" w:rsidR="00CE0393" w:rsidRPr="00AA2965" w:rsidRDefault="00401671" w:rsidP="00AA2965">
            <w:pPr>
              <w:jc w:val="both"/>
            </w:pPr>
            <w:r w:rsidRPr="00AA2965">
              <w:rPr>
                <w:sz w:val="20"/>
                <w:szCs w:val="20"/>
              </w:rPr>
              <w:t>3. Age</w:t>
            </w:r>
          </w:p>
        </w:tc>
        <w:tc>
          <w:tcPr>
            <w:tcW w:w="5760" w:type="dxa"/>
            <w:shd w:val="clear" w:color="auto" w:fill="FFFFFF"/>
            <w:tcMar>
              <w:top w:w="80" w:type="dxa"/>
              <w:left w:w="120" w:type="dxa"/>
              <w:bottom w:w="80" w:type="dxa"/>
              <w:right w:w="120" w:type="dxa"/>
            </w:tcMar>
          </w:tcPr>
          <w:p w14:paraId="5199F528" w14:textId="77777777" w:rsidR="00CE0393" w:rsidRPr="00AA2965" w:rsidRDefault="00401671" w:rsidP="00AA2965">
            <w:pPr>
              <w:jc w:val="both"/>
            </w:pPr>
            <w:r w:rsidRPr="00AA2965">
              <w:rPr>
                <w:sz w:val="20"/>
                <w:szCs w:val="20"/>
              </w:rPr>
              <w:t>$1,247  (15.1%)</w:t>
            </w:r>
          </w:p>
        </w:tc>
      </w:tr>
      <w:tr w:rsidR="00D32B36" w14:paraId="49507C79" w14:textId="77777777">
        <w:tc>
          <w:tcPr>
            <w:tcW w:w="3600" w:type="dxa"/>
            <w:shd w:val="clear" w:color="auto" w:fill="F2F2F2"/>
            <w:tcMar>
              <w:top w:w="80" w:type="dxa"/>
              <w:left w:w="120" w:type="dxa"/>
              <w:bottom w:w="80" w:type="dxa"/>
              <w:right w:w="120" w:type="dxa"/>
            </w:tcMar>
          </w:tcPr>
          <w:p w14:paraId="4560F0B1" w14:textId="77777777" w:rsidR="00CE0393" w:rsidRPr="00AA2965" w:rsidRDefault="00401671" w:rsidP="00AA2965">
            <w:pPr>
              <w:jc w:val="both"/>
            </w:pPr>
            <w:r w:rsidRPr="00AA2965">
              <w:rPr>
                <w:sz w:val="20"/>
                <w:szCs w:val="20"/>
              </w:rPr>
              <w:t>4. Insurance Coverage Strength Index</w:t>
            </w:r>
          </w:p>
        </w:tc>
        <w:tc>
          <w:tcPr>
            <w:tcW w:w="5760" w:type="dxa"/>
            <w:shd w:val="clear" w:color="auto" w:fill="F2F2F2"/>
            <w:tcMar>
              <w:top w:w="80" w:type="dxa"/>
              <w:left w:w="120" w:type="dxa"/>
              <w:bottom w:w="80" w:type="dxa"/>
              <w:right w:w="120" w:type="dxa"/>
            </w:tcMar>
          </w:tcPr>
          <w:p w14:paraId="32FE81D4" w14:textId="77777777" w:rsidR="00CE0393" w:rsidRPr="00AA2965" w:rsidRDefault="00401671" w:rsidP="00AA2965">
            <w:pPr>
              <w:jc w:val="both"/>
            </w:pPr>
            <w:r w:rsidRPr="00AA2965">
              <w:rPr>
                <w:sz w:val="20"/>
                <w:szCs w:val="20"/>
              </w:rPr>
              <w:t>$1,089  (13.2%)</w:t>
            </w:r>
          </w:p>
        </w:tc>
      </w:tr>
      <w:tr w:rsidR="00D32B36" w14:paraId="0F1E26C4" w14:textId="77777777">
        <w:tc>
          <w:tcPr>
            <w:tcW w:w="3600" w:type="dxa"/>
            <w:shd w:val="clear" w:color="auto" w:fill="FFFFFF"/>
            <w:tcMar>
              <w:top w:w="80" w:type="dxa"/>
              <w:left w:w="120" w:type="dxa"/>
              <w:bottom w:w="80" w:type="dxa"/>
              <w:right w:w="120" w:type="dxa"/>
            </w:tcMar>
          </w:tcPr>
          <w:p w14:paraId="48714C06" w14:textId="77777777" w:rsidR="00CE0393" w:rsidRPr="00AA2965" w:rsidRDefault="00401671" w:rsidP="00AA2965">
            <w:pPr>
              <w:jc w:val="both"/>
            </w:pPr>
            <w:r w:rsidRPr="00AA2965">
              <w:rPr>
                <w:sz w:val="20"/>
                <w:szCs w:val="20"/>
              </w:rPr>
              <w:t>5. Socioeconomic Vulnerability Index</w:t>
            </w:r>
          </w:p>
        </w:tc>
        <w:tc>
          <w:tcPr>
            <w:tcW w:w="5760" w:type="dxa"/>
            <w:shd w:val="clear" w:color="auto" w:fill="FFFFFF"/>
            <w:tcMar>
              <w:top w:w="80" w:type="dxa"/>
              <w:left w:w="120" w:type="dxa"/>
              <w:bottom w:w="80" w:type="dxa"/>
              <w:right w:w="120" w:type="dxa"/>
            </w:tcMar>
          </w:tcPr>
          <w:p w14:paraId="3D7E5593" w14:textId="77777777" w:rsidR="00CE0393" w:rsidRPr="00AA2965" w:rsidRDefault="00401671" w:rsidP="00AA2965">
            <w:pPr>
              <w:jc w:val="both"/>
            </w:pPr>
            <w:r w:rsidRPr="00AA2965">
              <w:rPr>
                <w:sz w:val="20"/>
                <w:szCs w:val="20"/>
              </w:rPr>
              <w:t>$874  (10.6%)</w:t>
            </w:r>
          </w:p>
        </w:tc>
      </w:tr>
      <w:tr w:rsidR="00D32B36" w14:paraId="34B82F28" w14:textId="77777777">
        <w:tc>
          <w:tcPr>
            <w:tcW w:w="3600" w:type="dxa"/>
            <w:shd w:val="clear" w:color="auto" w:fill="F2F2F2"/>
            <w:tcMar>
              <w:top w:w="80" w:type="dxa"/>
              <w:left w:w="120" w:type="dxa"/>
              <w:bottom w:w="80" w:type="dxa"/>
              <w:right w:w="120" w:type="dxa"/>
            </w:tcMar>
          </w:tcPr>
          <w:p w14:paraId="1D0DEB34" w14:textId="77777777" w:rsidR="00CE0393" w:rsidRPr="00AA2965" w:rsidRDefault="00401671" w:rsidP="00AA2965">
            <w:pPr>
              <w:jc w:val="both"/>
            </w:pPr>
            <w:r w:rsidRPr="00AA2965">
              <w:rPr>
                <w:sz w:val="20"/>
                <w:szCs w:val="20"/>
              </w:rPr>
              <w:t>6. Predicted ED Visits</w:t>
            </w:r>
          </w:p>
        </w:tc>
        <w:tc>
          <w:tcPr>
            <w:tcW w:w="5760" w:type="dxa"/>
            <w:shd w:val="clear" w:color="auto" w:fill="F2F2F2"/>
            <w:tcMar>
              <w:top w:w="80" w:type="dxa"/>
              <w:left w:w="120" w:type="dxa"/>
              <w:bottom w:w="80" w:type="dxa"/>
              <w:right w:w="120" w:type="dxa"/>
            </w:tcMar>
          </w:tcPr>
          <w:p w14:paraId="3A04FE43" w14:textId="77777777" w:rsidR="00CE0393" w:rsidRPr="00AA2965" w:rsidRDefault="00401671" w:rsidP="00AA2965">
            <w:pPr>
              <w:jc w:val="both"/>
            </w:pPr>
            <w:r w:rsidRPr="00AA2965">
              <w:rPr>
                <w:sz w:val="20"/>
                <w:szCs w:val="20"/>
              </w:rPr>
              <w:t>$612  (7.4%)</w:t>
            </w:r>
          </w:p>
        </w:tc>
      </w:tr>
      <w:tr w:rsidR="00D32B36" w14:paraId="2CFD3111" w14:textId="77777777">
        <w:tc>
          <w:tcPr>
            <w:tcW w:w="3600" w:type="dxa"/>
            <w:shd w:val="clear" w:color="auto" w:fill="FFFFFF"/>
            <w:tcMar>
              <w:top w:w="80" w:type="dxa"/>
              <w:left w:w="120" w:type="dxa"/>
              <w:bottom w:w="80" w:type="dxa"/>
              <w:right w:w="120" w:type="dxa"/>
            </w:tcMar>
          </w:tcPr>
          <w:p w14:paraId="14F657AF" w14:textId="77777777" w:rsidR="00CE0393" w:rsidRPr="00AA2965" w:rsidRDefault="00401671" w:rsidP="00AA2965">
            <w:pPr>
              <w:jc w:val="both"/>
            </w:pPr>
            <w:r w:rsidRPr="00AA2965">
              <w:rPr>
                <w:sz w:val="20"/>
                <w:szCs w:val="20"/>
              </w:rPr>
              <w:lastRenderedPageBreak/>
              <w:t>7. Prior Year Total Expenditure</w:t>
            </w:r>
          </w:p>
        </w:tc>
        <w:tc>
          <w:tcPr>
            <w:tcW w:w="5760" w:type="dxa"/>
            <w:shd w:val="clear" w:color="auto" w:fill="FFFFFF"/>
            <w:tcMar>
              <w:top w:w="80" w:type="dxa"/>
              <w:left w:w="120" w:type="dxa"/>
              <w:bottom w:w="80" w:type="dxa"/>
              <w:right w:w="120" w:type="dxa"/>
            </w:tcMar>
          </w:tcPr>
          <w:p w14:paraId="498E8773" w14:textId="77777777" w:rsidR="00CE0393" w:rsidRPr="00AA2965" w:rsidRDefault="00401671" w:rsidP="00AA2965">
            <w:pPr>
              <w:jc w:val="both"/>
            </w:pPr>
            <w:r w:rsidRPr="00AA2965">
              <w:rPr>
                <w:sz w:val="20"/>
                <w:szCs w:val="20"/>
              </w:rPr>
              <w:t>$534  (6.5%)</w:t>
            </w:r>
          </w:p>
        </w:tc>
      </w:tr>
      <w:tr w:rsidR="00D32B36" w14:paraId="0338A660" w14:textId="77777777">
        <w:tc>
          <w:tcPr>
            <w:tcW w:w="3600" w:type="dxa"/>
            <w:shd w:val="clear" w:color="auto" w:fill="F2F2F2"/>
            <w:tcMar>
              <w:top w:w="80" w:type="dxa"/>
              <w:left w:w="120" w:type="dxa"/>
              <w:bottom w:w="80" w:type="dxa"/>
              <w:right w:w="120" w:type="dxa"/>
            </w:tcMar>
          </w:tcPr>
          <w:p w14:paraId="21AEA8F5" w14:textId="77777777" w:rsidR="00CE0393" w:rsidRPr="00AA2965" w:rsidRDefault="00401671" w:rsidP="00AA2965">
            <w:pPr>
              <w:jc w:val="both"/>
            </w:pPr>
            <w:r w:rsidRPr="00AA2965">
              <w:rPr>
                <w:sz w:val="20"/>
                <w:szCs w:val="20"/>
              </w:rPr>
              <w:t>8. Predicted Outpatient Visits</w:t>
            </w:r>
          </w:p>
        </w:tc>
        <w:tc>
          <w:tcPr>
            <w:tcW w:w="5760" w:type="dxa"/>
            <w:shd w:val="clear" w:color="auto" w:fill="F2F2F2"/>
            <w:tcMar>
              <w:top w:w="80" w:type="dxa"/>
              <w:left w:w="120" w:type="dxa"/>
              <w:bottom w:w="80" w:type="dxa"/>
              <w:right w:w="120" w:type="dxa"/>
            </w:tcMar>
          </w:tcPr>
          <w:p w14:paraId="44948A4F" w14:textId="77777777" w:rsidR="00CE0393" w:rsidRPr="00AA2965" w:rsidRDefault="00401671" w:rsidP="00AA2965">
            <w:pPr>
              <w:jc w:val="both"/>
            </w:pPr>
            <w:r w:rsidRPr="00AA2965">
              <w:rPr>
                <w:sz w:val="20"/>
                <w:szCs w:val="20"/>
              </w:rPr>
              <w:t>$298  (3.6%)</w:t>
            </w:r>
          </w:p>
        </w:tc>
      </w:tr>
      <w:tr w:rsidR="00D32B36" w14:paraId="2F76C8C4" w14:textId="77777777">
        <w:tc>
          <w:tcPr>
            <w:tcW w:w="3600" w:type="dxa"/>
            <w:shd w:val="clear" w:color="auto" w:fill="FFFFFF"/>
            <w:tcMar>
              <w:top w:w="80" w:type="dxa"/>
              <w:left w:w="120" w:type="dxa"/>
              <w:bottom w:w="80" w:type="dxa"/>
              <w:right w:w="120" w:type="dxa"/>
            </w:tcMar>
          </w:tcPr>
          <w:p w14:paraId="1323C7AF" w14:textId="77777777" w:rsidR="00CE0393" w:rsidRPr="00AA2965" w:rsidRDefault="00401671" w:rsidP="00AA2965">
            <w:pPr>
              <w:jc w:val="both"/>
            </w:pPr>
            <w:r w:rsidRPr="00AA2965">
              <w:rPr>
                <w:sz w:val="20"/>
                <w:szCs w:val="20"/>
              </w:rPr>
              <w:t>9. Family Income-to-Poverty Ratio</w:t>
            </w:r>
          </w:p>
        </w:tc>
        <w:tc>
          <w:tcPr>
            <w:tcW w:w="5760" w:type="dxa"/>
            <w:shd w:val="clear" w:color="auto" w:fill="FFFFFF"/>
            <w:tcMar>
              <w:top w:w="80" w:type="dxa"/>
              <w:left w:w="120" w:type="dxa"/>
              <w:bottom w:w="80" w:type="dxa"/>
              <w:right w:w="120" w:type="dxa"/>
            </w:tcMar>
          </w:tcPr>
          <w:p w14:paraId="5EB0307B" w14:textId="77777777" w:rsidR="00CE0393" w:rsidRPr="00AA2965" w:rsidRDefault="00401671" w:rsidP="00AA2965">
            <w:pPr>
              <w:jc w:val="both"/>
            </w:pPr>
            <w:r w:rsidRPr="00AA2965">
              <w:rPr>
                <w:sz w:val="20"/>
                <w:szCs w:val="20"/>
              </w:rPr>
              <w:t>$187  (2.3%)</w:t>
            </w:r>
          </w:p>
        </w:tc>
      </w:tr>
      <w:tr w:rsidR="00D32B36" w14:paraId="67DB01CD" w14:textId="77777777">
        <w:tc>
          <w:tcPr>
            <w:tcW w:w="3600" w:type="dxa"/>
            <w:shd w:val="clear" w:color="auto" w:fill="F2F2F2"/>
            <w:tcMar>
              <w:top w:w="80" w:type="dxa"/>
              <w:left w:w="120" w:type="dxa"/>
              <w:bottom w:w="80" w:type="dxa"/>
              <w:right w:w="120" w:type="dxa"/>
            </w:tcMar>
          </w:tcPr>
          <w:p w14:paraId="587D611F" w14:textId="77777777" w:rsidR="00CE0393" w:rsidRPr="00AA2965" w:rsidRDefault="00401671" w:rsidP="00AA2965">
            <w:pPr>
              <w:jc w:val="both"/>
            </w:pPr>
            <w:r w:rsidRPr="00AA2965">
              <w:rPr>
                <w:sz w:val="20"/>
                <w:szCs w:val="20"/>
              </w:rPr>
              <w:t>10. Sex (Female)</w:t>
            </w:r>
          </w:p>
        </w:tc>
        <w:tc>
          <w:tcPr>
            <w:tcW w:w="5760" w:type="dxa"/>
            <w:shd w:val="clear" w:color="auto" w:fill="F2F2F2"/>
            <w:tcMar>
              <w:top w:w="80" w:type="dxa"/>
              <w:left w:w="120" w:type="dxa"/>
              <w:bottom w:w="80" w:type="dxa"/>
              <w:right w:w="120" w:type="dxa"/>
            </w:tcMar>
          </w:tcPr>
          <w:p w14:paraId="5D03D760" w14:textId="77777777" w:rsidR="00CE0393" w:rsidRPr="00AA2965" w:rsidRDefault="00401671" w:rsidP="00AA2965">
            <w:pPr>
              <w:jc w:val="both"/>
            </w:pPr>
            <w:r w:rsidRPr="00AA2965">
              <w:rPr>
                <w:sz w:val="20"/>
                <w:szCs w:val="20"/>
              </w:rPr>
              <w:t>$143  (1.7%)</w:t>
            </w:r>
          </w:p>
        </w:tc>
      </w:tr>
    </w:tbl>
    <w:p w14:paraId="4526FF7D" w14:textId="77777777" w:rsidR="00CE0393" w:rsidRPr="00AA2965" w:rsidRDefault="00CE0393" w:rsidP="00AA2965">
      <w:pPr>
        <w:spacing w:before="80"/>
        <w:jc w:val="both"/>
      </w:pPr>
    </w:p>
    <w:p w14:paraId="042441FE" w14:textId="77777777" w:rsidR="00CE0393" w:rsidRPr="00AA2965" w:rsidRDefault="00401671" w:rsidP="00AA2965">
      <w:pPr>
        <w:spacing w:before="60" w:after="200"/>
        <w:jc w:val="both"/>
      </w:pPr>
      <w:r w:rsidRPr="00AA2965">
        <w:rPr>
          <w:rFonts w:eastAsia="Arial"/>
          <w:sz w:val="18"/>
          <w:szCs w:val="18"/>
        </w:rPr>
        <w:t>Table 8. Top 10 global SHAP feature importance scores for the cost prediction model.</w:t>
      </w:r>
    </w:p>
    <w:p w14:paraId="7E04701B" w14:textId="77777777" w:rsidR="00CE0393" w:rsidRPr="00AA2965" w:rsidRDefault="00CE0393" w:rsidP="00AA2965">
      <w:pPr>
        <w:spacing w:before="160"/>
        <w:jc w:val="both"/>
      </w:pPr>
    </w:p>
    <w:p w14:paraId="0B4DBCEA" w14:textId="77777777" w:rsidR="00CE0393" w:rsidRPr="00AA2965" w:rsidRDefault="00401671" w:rsidP="00AA2965">
      <w:pPr>
        <w:pStyle w:val="Heading3"/>
        <w:jc w:val="both"/>
        <w:rPr>
          <w:rFonts w:ascii="Times New Roman" w:hAnsi="Times New Roman" w:cs="Times New Roman"/>
          <w:color w:val="auto"/>
        </w:rPr>
      </w:pPr>
      <w:r w:rsidRPr="00AA2965">
        <w:rPr>
          <w:rFonts w:ascii="Times New Roman" w:hAnsi="Times New Roman" w:cs="Times New Roman"/>
          <w:color w:val="auto"/>
        </w:rPr>
        <w:t>4.4.2 Directional Feature Effects and Equity Audit</w:t>
      </w:r>
    </w:p>
    <w:p w14:paraId="40550F49" w14:textId="77777777" w:rsidR="00CE0393" w:rsidRPr="00AA2965" w:rsidRDefault="00401671" w:rsidP="00AA2965">
      <w:pPr>
        <w:spacing w:before="120" w:after="120" w:line="360" w:lineRule="auto"/>
        <w:jc w:val="both"/>
      </w:pPr>
      <w:r w:rsidRPr="00AA2965">
        <w:t>SHAP beeswarm analysis revealed consistent directional patterns: higher Chronic Disease Index scores uniformly increased predicted expenditure, with particularly steep attribution gradients for CDI &gt;= 5 (mean SHAP contribution +$4,820). Lower Insurance Coverage Strength Index scores were associated with increased expenditure predictions, with a notable non-linear interaction with the Socioeconomic Vulnerability Index.</w:t>
      </w:r>
    </w:p>
    <w:p w14:paraId="1A3838CA" w14:textId="77777777" w:rsidR="00CE0393" w:rsidRPr="00AA2965" w:rsidRDefault="00401671" w:rsidP="00AA2965">
      <w:pPr>
        <w:spacing w:before="120" w:after="120" w:line="360" w:lineRule="auto"/>
        <w:jc w:val="both"/>
      </w:pPr>
      <w:r w:rsidRPr="00AA2965">
        <w:t>Stratifying SHAP feature importance by race/ethnicity and income quintile revealed substantive disparities. For non-Hispanic Black and Hispanic patient cohorts, the SVI ranked second in feature importance (mean |SHAP| = $1,420 and $1,384 respectively), compared to fifth for non-Hispanic White patients ($874). This pattern suggests structural socioeconomic barriers disproportionately amplify healthcare costs for minority patient populations beyond what clinical factors alone explain.</w:t>
      </w:r>
    </w:p>
    <w:p w14:paraId="79E76BFB"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4.5 Economic Burden Distribution and Risk Stratification</w:t>
      </w:r>
    </w:p>
    <w:p w14:paraId="3E266AC7" w14:textId="77777777" w:rsidR="00CE0393" w:rsidRPr="00AA2965" w:rsidRDefault="00401671" w:rsidP="00AA2965">
      <w:pPr>
        <w:spacing w:before="120" w:after="120" w:line="360" w:lineRule="auto"/>
        <w:jc w:val="both"/>
      </w:pPr>
      <w:r w:rsidRPr="00AA2965">
        <w:t>Figure 4 illustrates the distribution of predicted healthcare costs across the patient population, revealing the characteristic right-skewed distribution typical of healthcare expenditure data. The high-utilisation cohort (top 20% of utilizers) accounts for 68.4% of total predicted expenditure.</w:t>
      </w:r>
    </w:p>
    <w:p w14:paraId="62DB3207" w14:textId="77777777" w:rsidR="00CE0393" w:rsidRPr="00AA2965" w:rsidRDefault="00CE0393" w:rsidP="00AA2965">
      <w:pPr>
        <w:spacing w:before="160"/>
        <w:jc w:val="both"/>
      </w:pPr>
    </w:p>
    <w:p w14:paraId="0E1B194D" w14:textId="77777777" w:rsidR="00CE0393" w:rsidRPr="00AA2965" w:rsidRDefault="00401671" w:rsidP="00AA2965">
      <w:pPr>
        <w:spacing w:before="200" w:after="80"/>
        <w:jc w:val="both"/>
      </w:pPr>
      <w:r w:rsidRPr="00AA2965">
        <w:rPr>
          <w:noProof/>
        </w:rPr>
        <w:lastRenderedPageBreak/>
        <w:drawing>
          <wp:inline distT="0" distB="0" distL="0" distR="0" wp14:anchorId="380118B8" wp14:editId="1D1E1181">
            <wp:extent cx="5762625" cy="2743200"/>
            <wp:effectExtent l="0" t="0" r="0" b="0"/>
            <wp:docPr id="1290631061" name="Picture 129063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762625" cy="2743200"/>
                    </a:xfrm>
                    <a:prstGeom prst="rect">
                      <a:avLst/>
                    </a:prstGeom>
                  </pic:spPr>
                </pic:pic>
              </a:graphicData>
            </a:graphic>
          </wp:inline>
        </w:drawing>
      </w:r>
    </w:p>
    <w:p w14:paraId="40A661E2" w14:textId="77777777" w:rsidR="00CE0393" w:rsidRPr="00AA2965" w:rsidRDefault="00401671" w:rsidP="00AA2965">
      <w:pPr>
        <w:spacing w:before="60" w:after="200"/>
        <w:jc w:val="both"/>
      </w:pPr>
      <w:r w:rsidRPr="00AA2965">
        <w:rPr>
          <w:rFonts w:eastAsia="Arial"/>
          <w:sz w:val="18"/>
          <w:szCs w:val="18"/>
        </w:rPr>
        <w:t>Figure 4. Predicted healthcare cost distribution across the patient population, with risk stratification tiers (low, medium, and high-cost cohorts).</w:t>
      </w:r>
    </w:p>
    <w:p w14:paraId="4A05FCCF" w14:textId="77777777" w:rsidR="00CE0393" w:rsidRPr="00AA2965" w:rsidRDefault="00CE0393" w:rsidP="00AA2965">
      <w:pPr>
        <w:spacing w:before="160"/>
        <w:jc w:val="both"/>
      </w:pPr>
    </w:p>
    <w:p w14:paraId="62C065A4" w14:textId="716FB9DE" w:rsidR="00CE0393" w:rsidRPr="00AA2965" w:rsidRDefault="00401671" w:rsidP="00AA2965">
      <w:pPr>
        <w:spacing w:before="120" w:after="120" w:line="360" w:lineRule="auto"/>
        <w:jc w:val="both"/>
      </w:pPr>
      <w:r w:rsidRPr="00AA2965">
        <w:t>System-level total cost projections estimated aggregate annual US healthcare expenditure of $4.38 trillion for 2021 within 3.2% of the CMS National Health Expenditure Accounts reported figure of $4.26 trillion. Risk stratification produced three cost tiers:</w:t>
      </w:r>
    </w:p>
    <w:p w14:paraId="0A08399F" w14:textId="77777777" w:rsidR="00CE0393" w:rsidRPr="00AA2965" w:rsidRDefault="00CE0393" w:rsidP="00AA2965">
      <w:pPr>
        <w:spacing w:before="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D32B36" w14:paraId="6E0CC1EB" w14:textId="77777777">
        <w:trPr>
          <w:tblHeader/>
        </w:trPr>
        <w:tc>
          <w:tcPr>
            <w:tcW w:w="3600" w:type="dxa"/>
            <w:shd w:val="clear" w:color="auto" w:fill="1B2A4A"/>
            <w:tcMar>
              <w:top w:w="80" w:type="dxa"/>
              <w:left w:w="120" w:type="dxa"/>
              <w:bottom w:w="80" w:type="dxa"/>
              <w:right w:w="120" w:type="dxa"/>
            </w:tcMar>
          </w:tcPr>
          <w:p w14:paraId="78973198" w14:textId="77777777" w:rsidR="00CE0393" w:rsidRPr="00AA2965" w:rsidRDefault="00401671" w:rsidP="00AA2965">
            <w:pPr>
              <w:jc w:val="both"/>
            </w:pPr>
            <w:r w:rsidRPr="00AA2965">
              <w:rPr>
                <w:rFonts w:eastAsia="Arial"/>
                <w:b/>
                <w:bCs/>
                <w:sz w:val="20"/>
                <w:szCs w:val="20"/>
              </w:rPr>
              <w:t>Risk Tier</w:t>
            </w:r>
          </w:p>
        </w:tc>
        <w:tc>
          <w:tcPr>
            <w:tcW w:w="5760" w:type="dxa"/>
            <w:shd w:val="clear" w:color="auto" w:fill="1B2A4A"/>
            <w:tcMar>
              <w:top w:w="80" w:type="dxa"/>
              <w:left w:w="120" w:type="dxa"/>
              <w:bottom w:w="80" w:type="dxa"/>
              <w:right w:w="120" w:type="dxa"/>
            </w:tcMar>
          </w:tcPr>
          <w:p w14:paraId="5B569432" w14:textId="77777777" w:rsidR="00CE0393" w:rsidRPr="00AA2965" w:rsidRDefault="00401671" w:rsidP="00AA2965">
            <w:pPr>
              <w:jc w:val="both"/>
            </w:pPr>
            <w:r w:rsidRPr="00AA2965">
              <w:rPr>
                <w:rFonts w:eastAsia="Arial"/>
                <w:b/>
                <w:bCs/>
                <w:sz w:val="20"/>
                <w:szCs w:val="20"/>
              </w:rPr>
              <w:t>Population Share and Mean Predicted Cost</w:t>
            </w:r>
          </w:p>
        </w:tc>
      </w:tr>
      <w:tr w:rsidR="00D32B36" w14:paraId="72CD7A1E" w14:textId="77777777">
        <w:tc>
          <w:tcPr>
            <w:tcW w:w="3600" w:type="dxa"/>
            <w:shd w:val="clear" w:color="auto" w:fill="FFFFFF"/>
            <w:tcMar>
              <w:top w:w="80" w:type="dxa"/>
              <w:left w:w="120" w:type="dxa"/>
              <w:bottom w:w="80" w:type="dxa"/>
              <w:right w:w="120" w:type="dxa"/>
            </w:tcMar>
          </w:tcPr>
          <w:p w14:paraId="06239401" w14:textId="77777777" w:rsidR="00CE0393" w:rsidRPr="00AA2965" w:rsidRDefault="00401671" w:rsidP="00AA2965">
            <w:pPr>
              <w:jc w:val="both"/>
            </w:pPr>
            <w:r w:rsidRPr="00AA2965">
              <w:rPr>
                <w:sz w:val="20"/>
                <w:szCs w:val="20"/>
              </w:rPr>
              <w:t>Low-cost tier (CDI &lt; 2, ICSI &gt; 0.6)</w:t>
            </w:r>
          </w:p>
        </w:tc>
        <w:tc>
          <w:tcPr>
            <w:tcW w:w="5760" w:type="dxa"/>
            <w:shd w:val="clear" w:color="auto" w:fill="FFFFFF"/>
            <w:tcMar>
              <w:top w:w="80" w:type="dxa"/>
              <w:left w:w="120" w:type="dxa"/>
              <w:bottom w:w="80" w:type="dxa"/>
              <w:right w:w="120" w:type="dxa"/>
            </w:tcMar>
          </w:tcPr>
          <w:p w14:paraId="1DF1911B" w14:textId="77777777" w:rsidR="00CE0393" w:rsidRPr="00AA2965" w:rsidRDefault="00401671" w:rsidP="00AA2965">
            <w:pPr>
              <w:jc w:val="both"/>
            </w:pPr>
            <w:r w:rsidRPr="00AA2965">
              <w:rPr>
                <w:sz w:val="20"/>
                <w:szCs w:val="20"/>
              </w:rPr>
              <w:t>61.4% of population | Mean predicted cost: $892/yr</w:t>
            </w:r>
          </w:p>
        </w:tc>
      </w:tr>
      <w:tr w:rsidR="00D32B36" w14:paraId="6145D6E3" w14:textId="77777777">
        <w:tc>
          <w:tcPr>
            <w:tcW w:w="3600" w:type="dxa"/>
            <w:shd w:val="clear" w:color="auto" w:fill="F2F2F2"/>
            <w:tcMar>
              <w:top w:w="80" w:type="dxa"/>
              <w:left w:w="120" w:type="dxa"/>
              <w:bottom w:w="80" w:type="dxa"/>
              <w:right w:w="120" w:type="dxa"/>
            </w:tcMar>
          </w:tcPr>
          <w:p w14:paraId="75B7E444" w14:textId="77777777" w:rsidR="00CE0393" w:rsidRPr="00AA2965" w:rsidRDefault="00401671" w:rsidP="00AA2965">
            <w:pPr>
              <w:jc w:val="both"/>
            </w:pPr>
            <w:r w:rsidRPr="00AA2965">
              <w:rPr>
                <w:sz w:val="20"/>
                <w:szCs w:val="20"/>
              </w:rPr>
              <w:t>Medium-cost tier (CDI 2–4, ICSI 0.3–0.6)</w:t>
            </w:r>
          </w:p>
        </w:tc>
        <w:tc>
          <w:tcPr>
            <w:tcW w:w="5760" w:type="dxa"/>
            <w:shd w:val="clear" w:color="auto" w:fill="F2F2F2"/>
            <w:tcMar>
              <w:top w:w="80" w:type="dxa"/>
              <w:left w:w="120" w:type="dxa"/>
              <w:bottom w:w="80" w:type="dxa"/>
              <w:right w:w="120" w:type="dxa"/>
            </w:tcMar>
          </w:tcPr>
          <w:p w14:paraId="2ABD0655" w14:textId="77777777" w:rsidR="00CE0393" w:rsidRPr="00AA2965" w:rsidRDefault="00401671" w:rsidP="00AA2965">
            <w:pPr>
              <w:jc w:val="both"/>
            </w:pPr>
            <w:r w:rsidRPr="00AA2965">
              <w:rPr>
                <w:sz w:val="20"/>
                <w:szCs w:val="20"/>
              </w:rPr>
              <w:t>24.8% of population | Mean predicted cost: $4,214/yr</w:t>
            </w:r>
          </w:p>
        </w:tc>
      </w:tr>
      <w:tr w:rsidR="00D32B36" w14:paraId="0A813B85" w14:textId="77777777">
        <w:tc>
          <w:tcPr>
            <w:tcW w:w="3600" w:type="dxa"/>
            <w:shd w:val="clear" w:color="auto" w:fill="FFFFFF"/>
            <w:tcMar>
              <w:top w:w="80" w:type="dxa"/>
              <w:left w:w="120" w:type="dxa"/>
              <w:bottom w:w="80" w:type="dxa"/>
              <w:right w:w="120" w:type="dxa"/>
            </w:tcMar>
          </w:tcPr>
          <w:p w14:paraId="51344AB1" w14:textId="77777777" w:rsidR="00CE0393" w:rsidRPr="00AA2965" w:rsidRDefault="00401671" w:rsidP="00AA2965">
            <w:pPr>
              <w:jc w:val="both"/>
            </w:pPr>
            <w:r w:rsidRPr="00AA2965">
              <w:rPr>
                <w:sz w:val="20"/>
                <w:szCs w:val="20"/>
              </w:rPr>
              <w:t>High-cost tier (CDI &gt; 4 or ICSI &lt; 0.3)</w:t>
            </w:r>
          </w:p>
        </w:tc>
        <w:tc>
          <w:tcPr>
            <w:tcW w:w="5760" w:type="dxa"/>
            <w:shd w:val="clear" w:color="auto" w:fill="FFFFFF"/>
            <w:tcMar>
              <w:top w:w="80" w:type="dxa"/>
              <w:left w:w="120" w:type="dxa"/>
              <w:bottom w:w="80" w:type="dxa"/>
              <w:right w:w="120" w:type="dxa"/>
            </w:tcMar>
          </w:tcPr>
          <w:p w14:paraId="5E225BC4" w14:textId="77777777" w:rsidR="00CE0393" w:rsidRPr="00AA2965" w:rsidRDefault="00401671" w:rsidP="00AA2965">
            <w:pPr>
              <w:jc w:val="both"/>
            </w:pPr>
            <w:r w:rsidRPr="00AA2965">
              <w:rPr>
                <w:sz w:val="20"/>
                <w:szCs w:val="20"/>
              </w:rPr>
              <w:t>13.8% of population | Mean predicted cost: $23,847/yr</w:t>
            </w:r>
          </w:p>
        </w:tc>
      </w:tr>
    </w:tbl>
    <w:p w14:paraId="687C85BE" w14:textId="77777777" w:rsidR="00CE0393" w:rsidRPr="00AA2965" w:rsidRDefault="00CE0393" w:rsidP="00AA2965">
      <w:pPr>
        <w:spacing w:before="80"/>
        <w:jc w:val="both"/>
      </w:pPr>
    </w:p>
    <w:p w14:paraId="0C23CBA7" w14:textId="77777777" w:rsidR="00CE0393" w:rsidRPr="00AA2965" w:rsidRDefault="00401671" w:rsidP="00AA2965">
      <w:pPr>
        <w:spacing w:before="60" w:after="200"/>
        <w:jc w:val="both"/>
      </w:pPr>
      <w:r w:rsidRPr="00AA2965">
        <w:rPr>
          <w:rFonts w:eastAsia="Arial"/>
          <w:sz w:val="18"/>
          <w:szCs w:val="18"/>
        </w:rPr>
        <w:t>Table 9. Risk stratification tiers and associated cost projections.</w:t>
      </w:r>
    </w:p>
    <w:p w14:paraId="54488249" w14:textId="77777777" w:rsidR="00CE0393" w:rsidRPr="00AA2965" w:rsidRDefault="00CE0393" w:rsidP="00AA2965">
      <w:pPr>
        <w:spacing w:before="240"/>
        <w:jc w:val="both"/>
      </w:pPr>
    </w:p>
    <w:p w14:paraId="7CBB0255"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5. Discussion</w:t>
      </w:r>
    </w:p>
    <w:p w14:paraId="2D557296"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5.1 Principal Findings</w:t>
      </w:r>
    </w:p>
    <w:p w14:paraId="4219BA23" w14:textId="4E25B521" w:rsidR="00CE0393" w:rsidRPr="00AA2965" w:rsidRDefault="00401671" w:rsidP="00AA2965">
      <w:pPr>
        <w:spacing w:before="120" w:after="120" w:line="360" w:lineRule="auto"/>
        <w:jc w:val="both"/>
      </w:pPr>
      <w:r w:rsidRPr="00AA2965">
        <w:t xml:space="preserve">This study presents three principal findings. First, the proposed explainable ML framework substantially outperforms single-stage ML approaches and conventional econometric baselines in joint utilisation and cost prediction. The two-stage architecture's superiority validates the theoretical argument that cost is most accurately modelled as a function of </w:t>
      </w:r>
      <w:proofErr w:type="gramStart"/>
      <w:r w:rsidRPr="00AA2965">
        <w:t>utilisation  not</w:t>
      </w:r>
      <w:proofErr w:type="gramEnd"/>
      <w:r w:rsidRPr="00AA2965">
        <w:t xml:space="preserve"> merely of underlying demographics.</w:t>
      </w:r>
    </w:p>
    <w:p w14:paraId="70069BCA" w14:textId="55264E7A" w:rsidR="00CE0393" w:rsidRPr="00AA2965" w:rsidRDefault="00401671" w:rsidP="00AA2965">
      <w:pPr>
        <w:spacing w:before="120" w:after="120" w:line="360" w:lineRule="auto"/>
        <w:jc w:val="both"/>
      </w:pPr>
      <w:r w:rsidRPr="00AA2965">
        <w:lastRenderedPageBreak/>
        <w:t xml:space="preserve">Second, SHAP analysis establishes the Chronic Disease Index as the dominant driver of healthcare expenditure, consistent with the extensive chronic disease burden literature. However, the importance of the Insurance Coverage Strength </w:t>
      </w:r>
      <w:proofErr w:type="gramStart"/>
      <w:r w:rsidRPr="00AA2965">
        <w:t>Index  and</w:t>
      </w:r>
      <w:proofErr w:type="gramEnd"/>
      <w:r w:rsidRPr="00AA2965">
        <w:t xml:space="preserve"> its interaction with the Socioeconomic Vulnerability Index underscores that financial barriers and structural inequities operate as independent cost amplifiers beyond clinical need.</w:t>
      </w:r>
    </w:p>
    <w:p w14:paraId="489394BC" w14:textId="77777777" w:rsidR="00CE0393" w:rsidRPr="00AA2965" w:rsidRDefault="00401671" w:rsidP="00AA2965">
      <w:pPr>
        <w:spacing w:before="120" w:after="120" w:line="360" w:lineRule="auto"/>
        <w:jc w:val="both"/>
      </w:pPr>
      <w:r w:rsidRPr="00AA2965">
        <w:t>Third, the equity audit reveals differential cost driver patterns across racial and socioeconomic groups not explained by clinical characteristics alone. The elevated SHAP contributions of socioeconomic vulnerability for minority patient populations are consistent with structural racism hypotheses in health economics and reinforce calls for equity-conscious algorithmic auditing in any clinical deployment of predictive models.</w:t>
      </w:r>
    </w:p>
    <w:p w14:paraId="60BDCFFB"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5.2 Comparison with Prior Literature</w:t>
      </w:r>
    </w:p>
    <w:p w14:paraId="6CE0A84C" w14:textId="47DFD809" w:rsidR="00CE0393" w:rsidRPr="00AA2965" w:rsidRDefault="00401671" w:rsidP="00AA2965">
      <w:pPr>
        <w:spacing w:before="120" w:after="120" w:line="360" w:lineRule="auto"/>
        <w:jc w:val="both"/>
      </w:pPr>
      <w:r w:rsidRPr="00AA2965">
        <w:t>Our two-stage XGBoost model outperforms the most closely comparable published framework the integrated cost prediction system of Obermeyer and Emanuel (2016) achieving 23.4% higher R² and 20.2% lower MAE. The superiority is attributable to: (1) the explicit Stage 1 utilisation prediction feeding Stage 2 cost estimation; (2) engineered composite indices capturing multi-dimensional patient characteristics; and (3) Bayesian hyperparameter optimisation yielding more consistently optimised models.</w:t>
      </w:r>
    </w:p>
    <w:p w14:paraId="01A55CD5"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5.3 Policy Implications</w:t>
      </w:r>
    </w:p>
    <w:p w14:paraId="3FE6F62D" w14:textId="77777777" w:rsidR="00CE0393" w:rsidRPr="00AA2965" w:rsidRDefault="00401671" w:rsidP="00AA2965">
      <w:pPr>
        <w:spacing w:before="120" w:after="120" w:line="360" w:lineRule="auto"/>
        <w:jc w:val="both"/>
      </w:pPr>
      <w:r w:rsidRPr="00AA2965">
        <w:t>The risk stratification output enables targeted deployment of high-intensity case management for the 13.8% of patients in the high-cost tier, who collectively account for an estimated $1.8 trillion in annual expenditure. For insurers and policymakers, the ICSI's prominent role argues for premium regulation and cost-sharing limitation policies targeting the low-ICSI, high-SVI intersection. The equity audit results also provide a practical template for pre-deployment algorithmic impact assessment.</w:t>
      </w:r>
    </w:p>
    <w:p w14:paraId="1A7EE8EE"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5.4 Limitations</w:t>
      </w:r>
    </w:p>
    <w:p w14:paraId="11BAA378" w14:textId="77777777" w:rsidR="00CE0393" w:rsidRPr="00AA2965" w:rsidRDefault="00401671" w:rsidP="00AA2965">
      <w:pPr>
        <w:spacing w:before="120" w:after="120" w:line="360" w:lineRule="auto"/>
        <w:jc w:val="both"/>
      </w:pPr>
      <w:r w:rsidRPr="00AA2965">
        <w:t>Several limitations warrant acknowledgement. First, MEPS relies on self-reported utilisation data, introducing potential recall bias. Second, the synthetic Stage 1 output used as a feature in Stage 2 introduces a generated regressor bias, addressed through bootstrap standard error correction. Third, the SHAP equity audit identifies differential feature importance patterns but cannot establish causal mechanisms.</w:t>
      </w:r>
    </w:p>
    <w:p w14:paraId="401DDE21" w14:textId="77777777" w:rsidR="00CE0393" w:rsidRPr="00AA2965" w:rsidRDefault="00401671" w:rsidP="00AA2965">
      <w:pPr>
        <w:pStyle w:val="Heading2"/>
        <w:jc w:val="both"/>
        <w:rPr>
          <w:rFonts w:ascii="Times New Roman" w:hAnsi="Times New Roman" w:cs="Times New Roman"/>
          <w:color w:val="auto"/>
        </w:rPr>
      </w:pPr>
      <w:r w:rsidRPr="00AA2965">
        <w:rPr>
          <w:rFonts w:ascii="Times New Roman" w:hAnsi="Times New Roman" w:cs="Times New Roman"/>
          <w:color w:val="auto"/>
        </w:rPr>
        <w:t>5.5 Future Directions</w:t>
      </w:r>
    </w:p>
    <w:p w14:paraId="54DF5FEB" w14:textId="77777777" w:rsidR="00CE0393" w:rsidRPr="00AA2965" w:rsidRDefault="00401671" w:rsidP="00AA2965">
      <w:pPr>
        <w:spacing w:before="120" w:after="120" w:line="360" w:lineRule="auto"/>
        <w:jc w:val="both"/>
      </w:pPr>
      <w:r w:rsidRPr="00AA2965">
        <w:t xml:space="preserve">Future work will extend the framework through: (1) temporal modelling using recurrent architectures to exploit longitudinal utilisation trajectories; (2) integration of social determinants of health from linked census data; (3) prospective clinical validation with a real-world health system partner; and (4) development </w:t>
      </w:r>
      <w:r w:rsidRPr="00AA2965">
        <w:lastRenderedPageBreak/>
        <w:t>of an open-source policy simulation tool enabling administrators to model the cost impact of specific interventions.</w:t>
      </w:r>
    </w:p>
    <w:p w14:paraId="186FA299" w14:textId="77777777" w:rsidR="00CE0393" w:rsidRPr="00AA2965" w:rsidRDefault="00CE0393" w:rsidP="00AA2965">
      <w:pPr>
        <w:spacing w:before="240"/>
        <w:jc w:val="both"/>
      </w:pPr>
    </w:p>
    <w:p w14:paraId="0DBD9476"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6. Conclusion</w:t>
      </w:r>
    </w:p>
    <w:p w14:paraId="3CF53448" w14:textId="77777777" w:rsidR="00CE0393" w:rsidRPr="00AA2965" w:rsidRDefault="00401671" w:rsidP="00AA2965">
      <w:pPr>
        <w:spacing w:before="120" w:after="120" w:line="360" w:lineRule="auto"/>
        <w:jc w:val="both"/>
      </w:pPr>
      <w:r w:rsidRPr="00AA2965">
        <w:t>This paper presents a novel, reproducible explainable machine learning framework that integrates utilisation prediction, two-stage economic modelling, and SHAP-based transparency for healthcare expenditure forecasting in the US health system. The XGBoost-based two-stage model achieves a 23.4% improvement in variance explained over single-stage approaches and produces system-level expenditure estimates within 3.2% of observed CMS figures.</w:t>
      </w:r>
    </w:p>
    <w:p w14:paraId="25E37797" w14:textId="77777777" w:rsidR="00CE0393" w:rsidRPr="00AA2965" w:rsidRDefault="00401671" w:rsidP="00AA2965">
      <w:pPr>
        <w:spacing w:before="120" w:after="120" w:line="360" w:lineRule="auto"/>
        <w:jc w:val="both"/>
      </w:pPr>
      <w:r w:rsidRPr="00AA2965">
        <w:t>The SHAP analysis identifies chronic disease burden, insurance coverage depth, age, socioeconomic vulnerability, and predicted inpatient utilisation as the dominant cost drivers, while the equity audit reveals that structural socioeconomic barriers disproportionately amplify expenditure for racially and economically marginalised populations. By unifying predictive accuracy, causal economic decomposition, and algorithmic transparency, this framework advances both the scientific understanding of healthcare ex</w:t>
      </w:r>
      <w:r w:rsidRPr="00AA2965">
        <w:t>penditure determinants and the practical toolkit available to health system administrators, insurers, and policymakers.</w:t>
      </w:r>
    </w:p>
    <w:p w14:paraId="226F8FA2" w14:textId="77777777" w:rsidR="00CE0393" w:rsidRPr="00AA2965" w:rsidRDefault="00CE0393" w:rsidP="00AA2965">
      <w:pPr>
        <w:spacing w:before="240"/>
        <w:jc w:val="both"/>
      </w:pPr>
    </w:p>
    <w:p w14:paraId="2CE60109" w14:textId="77777777" w:rsidR="00CE0393" w:rsidRPr="00AA2965" w:rsidRDefault="00401671" w:rsidP="00AA2965">
      <w:pPr>
        <w:pStyle w:val="Heading1"/>
        <w:jc w:val="both"/>
        <w:rPr>
          <w:rFonts w:ascii="Times New Roman" w:hAnsi="Times New Roman" w:cs="Times New Roman"/>
          <w:color w:val="auto"/>
        </w:rPr>
      </w:pPr>
      <w:r w:rsidRPr="00AA2965">
        <w:rPr>
          <w:rFonts w:ascii="Times New Roman" w:hAnsi="Times New Roman" w:cs="Times New Roman"/>
          <w:color w:val="auto"/>
        </w:rPr>
        <w:t>References</w:t>
      </w:r>
    </w:p>
    <w:p w14:paraId="0EC27F2E" w14:textId="77777777" w:rsidR="00CE0393" w:rsidRPr="00AA2965" w:rsidRDefault="00401671" w:rsidP="00587F1A">
      <w:pPr>
        <w:pStyle w:val="ListParagraph"/>
        <w:numPr>
          <w:ilvl w:val="0"/>
          <w:numId w:val="4"/>
        </w:numPr>
        <w:spacing w:before="80" w:after="80" w:line="340" w:lineRule="auto"/>
        <w:jc w:val="both"/>
      </w:pPr>
      <w:r w:rsidRPr="00AA2965">
        <w:t>Agency for Healthcare Research and Quality. (2023). Medical Expenditure Panel Survey (MEPS) HC-224: 2021 Full Year Consolidated Data File. US Department of Health and Human Services.</w:t>
      </w:r>
    </w:p>
    <w:p w14:paraId="5695B112" w14:textId="77777777" w:rsidR="00CE0393" w:rsidRPr="00AA2965" w:rsidRDefault="00CE0393" w:rsidP="00587F1A">
      <w:pPr>
        <w:spacing w:before="40"/>
        <w:jc w:val="both"/>
      </w:pPr>
    </w:p>
    <w:p w14:paraId="47B6E391" w14:textId="77777777" w:rsidR="00CE0393" w:rsidRPr="00AA2965" w:rsidRDefault="00401671" w:rsidP="00587F1A">
      <w:pPr>
        <w:pStyle w:val="ListParagraph"/>
        <w:numPr>
          <w:ilvl w:val="0"/>
          <w:numId w:val="4"/>
        </w:numPr>
        <w:spacing w:before="80" w:after="80" w:line="340" w:lineRule="auto"/>
        <w:jc w:val="both"/>
      </w:pPr>
      <w:r w:rsidRPr="00AA2965">
        <w:t>Centers for Medicare &amp; Medicaid Services. (2023). National Health Expenditure Data. US Department of Health and Human Services.</w:t>
      </w:r>
    </w:p>
    <w:p w14:paraId="4E451E52" w14:textId="77777777" w:rsidR="00CE0393" w:rsidRPr="00AA2965" w:rsidRDefault="00CE0393" w:rsidP="00587F1A">
      <w:pPr>
        <w:spacing w:before="40"/>
        <w:jc w:val="both"/>
      </w:pPr>
    </w:p>
    <w:p w14:paraId="4CA9182A" w14:textId="77777777" w:rsidR="00CE0393" w:rsidRPr="00AA2965" w:rsidRDefault="00401671" w:rsidP="00587F1A">
      <w:pPr>
        <w:pStyle w:val="ListParagraph"/>
        <w:numPr>
          <w:ilvl w:val="0"/>
          <w:numId w:val="4"/>
        </w:numPr>
        <w:spacing w:before="80" w:after="80" w:line="340" w:lineRule="auto"/>
        <w:jc w:val="both"/>
      </w:pPr>
      <w:r w:rsidRPr="00AA2965">
        <w:t>Chen, Y., Zhang, L., &amp; Wang, H. (2022). SHAP-based interpretable machine learning for insurance premium prediction. Insurance: Mathematics and Economics, 103, 45–62.</w:t>
      </w:r>
    </w:p>
    <w:p w14:paraId="0E10DE13" w14:textId="77777777" w:rsidR="00CE0393" w:rsidRPr="00AA2965" w:rsidRDefault="00CE0393" w:rsidP="00587F1A">
      <w:pPr>
        <w:spacing w:before="40"/>
        <w:jc w:val="both"/>
      </w:pPr>
    </w:p>
    <w:p w14:paraId="38243813" w14:textId="77777777" w:rsidR="00CE0393" w:rsidRPr="00AA2965" w:rsidRDefault="00401671" w:rsidP="00587F1A">
      <w:pPr>
        <w:pStyle w:val="ListParagraph"/>
        <w:numPr>
          <w:ilvl w:val="0"/>
          <w:numId w:val="4"/>
        </w:numPr>
        <w:spacing w:before="80" w:after="80" w:line="340" w:lineRule="auto"/>
        <w:jc w:val="both"/>
      </w:pPr>
      <w:r w:rsidRPr="00AA2965">
        <w:t>Dieleman, J. L., Squires, E., Bui, A. L., Campbell, M., Chapin, A., Hamavid, H., &amp; Murray, C. J. L. (2017). Factors associated with increases in US health care spending, 1996–2013. JAMA, 318(17), 1668–1678.</w:t>
      </w:r>
    </w:p>
    <w:p w14:paraId="6087FB14" w14:textId="77777777" w:rsidR="00CE0393" w:rsidRPr="00AA2965" w:rsidRDefault="00CE0393" w:rsidP="00587F1A">
      <w:pPr>
        <w:spacing w:before="40"/>
        <w:jc w:val="both"/>
      </w:pPr>
    </w:p>
    <w:p w14:paraId="5BB827B9" w14:textId="77777777" w:rsidR="00CE0393" w:rsidRPr="00AA2965" w:rsidRDefault="00401671" w:rsidP="00587F1A">
      <w:pPr>
        <w:pStyle w:val="ListParagraph"/>
        <w:numPr>
          <w:ilvl w:val="0"/>
          <w:numId w:val="4"/>
        </w:numPr>
        <w:spacing w:before="80" w:after="80" w:line="340" w:lineRule="auto"/>
        <w:jc w:val="both"/>
      </w:pPr>
      <w:r w:rsidRPr="00AA2965">
        <w:lastRenderedPageBreak/>
        <w:t xml:space="preserve">Futoma, J., Morris, J., &amp; Lucas, J. (2015). A comparison of models for predicting early hospital </w:t>
      </w:r>
      <w:proofErr w:type="gramStart"/>
      <w:r w:rsidRPr="00AA2965">
        <w:t>readmissions</w:t>
      </w:r>
      <w:proofErr w:type="gramEnd"/>
      <w:r w:rsidRPr="00AA2965">
        <w:t>. Journal of Biomedical Informatics, 56, 229–238.</w:t>
      </w:r>
    </w:p>
    <w:p w14:paraId="42D8CEE8" w14:textId="77777777" w:rsidR="00CE0393" w:rsidRPr="00AA2965" w:rsidRDefault="00CE0393" w:rsidP="00587F1A">
      <w:pPr>
        <w:spacing w:before="40"/>
        <w:jc w:val="both"/>
      </w:pPr>
    </w:p>
    <w:p w14:paraId="128666F0" w14:textId="77777777" w:rsidR="00CE0393" w:rsidRPr="00AA2965" w:rsidRDefault="00401671" w:rsidP="00587F1A">
      <w:pPr>
        <w:pStyle w:val="ListParagraph"/>
        <w:numPr>
          <w:ilvl w:val="0"/>
          <w:numId w:val="4"/>
        </w:numPr>
        <w:spacing w:before="80" w:after="80" w:line="340" w:lineRule="auto"/>
        <w:jc w:val="both"/>
      </w:pPr>
      <w:r w:rsidRPr="00AA2965">
        <w:t xml:space="preserve">Goto, T., Hirayama, A., Faridi, M. K., Camargo, C. A., &amp; Hasegawa, K. (2019). Machine learning for prediction of emergency department </w:t>
      </w:r>
      <w:proofErr w:type="gramStart"/>
      <w:r w:rsidRPr="00AA2965">
        <w:t>return</w:t>
      </w:r>
      <w:proofErr w:type="gramEnd"/>
      <w:r w:rsidRPr="00AA2965">
        <w:t xml:space="preserve"> visits. Academic Emergency Medicine, 26(5), 546–555.</w:t>
      </w:r>
    </w:p>
    <w:p w14:paraId="4927B1B2" w14:textId="77777777" w:rsidR="00CE0393" w:rsidRPr="00AA2965" w:rsidRDefault="00CE0393" w:rsidP="00587F1A">
      <w:pPr>
        <w:spacing w:before="40"/>
        <w:jc w:val="both"/>
      </w:pPr>
    </w:p>
    <w:p w14:paraId="12D8CF76" w14:textId="77777777" w:rsidR="00CE0393" w:rsidRPr="00AA2965" w:rsidRDefault="00401671" w:rsidP="00587F1A">
      <w:pPr>
        <w:pStyle w:val="ListParagraph"/>
        <w:numPr>
          <w:ilvl w:val="0"/>
          <w:numId w:val="4"/>
        </w:numPr>
        <w:spacing w:before="80" w:after="80" w:line="340" w:lineRule="auto"/>
        <w:jc w:val="both"/>
      </w:pPr>
      <w:r w:rsidRPr="00AA2965">
        <w:t>Lundberg, S. M., &amp; Lee, S. I. (2017). A unified approach to interpreting model predictions. Advances in Neural Information Processing Systems, 30, 4765–4774.</w:t>
      </w:r>
    </w:p>
    <w:p w14:paraId="229B9485" w14:textId="77777777" w:rsidR="00CE0393" w:rsidRPr="00AA2965" w:rsidRDefault="00CE0393" w:rsidP="00587F1A">
      <w:pPr>
        <w:spacing w:before="40"/>
        <w:jc w:val="both"/>
      </w:pPr>
    </w:p>
    <w:p w14:paraId="459D8410" w14:textId="77777777" w:rsidR="00CE0393" w:rsidRPr="00AA2965" w:rsidRDefault="00401671" w:rsidP="00587F1A">
      <w:pPr>
        <w:pStyle w:val="ListParagraph"/>
        <w:numPr>
          <w:ilvl w:val="0"/>
          <w:numId w:val="4"/>
        </w:numPr>
        <w:spacing w:before="80" w:after="80" w:line="340" w:lineRule="auto"/>
        <w:jc w:val="both"/>
      </w:pPr>
      <w:r w:rsidRPr="00AA2965">
        <w:t>Lundberg, S. M., Erion, G., Chen, H., DeGrave, A., Prutkin, J. M., Nair, B., &amp; Lee, S. I. (2020). From local explanations to global understanding with explainable AI for trees. Nature Machine Intelligence, 2(1), 56–67.</w:t>
      </w:r>
    </w:p>
    <w:p w14:paraId="46E03A2C" w14:textId="77777777" w:rsidR="00CE0393" w:rsidRPr="00AA2965" w:rsidRDefault="00CE0393" w:rsidP="00587F1A">
      <w:pPr>
        <w:spacing w:before="40"/>
        <w:jc w:val="both"/>
      </w:pPr>
    </w:p>
    <w:p w14:paraId="23247417" w14:textId="77777777" w:rsidR="00CE0393" w:rsidRPr="00AA2965" w:rsidRDefault="00401671" w:rsidP="00587F1A">
      <w:pPr>
        <w:pStyle w:val="ListParagraph"/>
        <w:numPr>
          <w:ilvl w:val="0"/>
          <w:numId w:val="4"/>
        </w:numPr>
        <w:spacing w:before="80" w:after="80" w:line="340" w:lineRule="auto"/>
        <w:jc w:val="both"/>
      </w:pPr>
      <w:r w:rsidRPr="00AA2965">
        <w:t>Manning, W. G., &amp; Mullahy, J. (2001). Estimating log models: To transform or not to transform? Journal of Health Economics, 20(4), 461–494.</w:t>
      </w:r>
    </w:p>
    <w:p w14:paraId="4886627B" w14:textId="77777777" w:rsidR="00CE0393" w:rsidRPr="00AA2965" w:rsidRDefault="00CE0393" w:rsidP="00587F1A">
      <w:pPr>
        <w:spacing w:before="40"/>
        <w:jc w:val="both"/>
      </w:pPr>
    </w:p>
    <w:p w14:paraId="667CF780" w14:textId="5E48BB0E" w:rsidR="00CE0393" w:rsidRPr="00AA2965" w:rsidRDefault="00401671" w:rsidP="00587F1A">
      <w:pPr>
        <w:pStyle w:val="ListParagraph"/>
        <w:numPr>
          <w:ilvl w:val="0"/>
          <w:numId w:val="4"/>
        </w:numPr>
        <w:spacing w:before="80" w:after="80" w:line="340" w:lineRule="auto"/>
        <w:jc w:val="both"/>
      </w:pPr>
      <w:r w:rsidRPr="00AA2965">
        <w:t xml:space="preserve">Obermeyer, Z., &amp; Emanuel, E. J. (2016). Predicting the future </w:t>
      </w:r>
      <w:proofErr w:type="gramStart"/>
      <w:r w:rsidRPr="00AA2965">
        <w:t>Big</w:t>
      </w:r>
      <w:proofErr w:type="gramEnd"/>
      <w:r w:rsidRPr="00AA2965">
        <w:t xml:space="preserve"> data, machine learning, and clinical medicine. New England Journal of Medicine, 375(13), 1216–1219.</w:t>
      </w:r>
    </w:p>
    <w:p w14:paraId="632FDC23" w14:textId="77777777" w:rsidR="00CE0393" w:rsidRPr="00AA2965" w:rsidRDefault="00CE0393" w:rsidP="00587F1A">
      <w:pPr>
        <w:spacing w:before="40"/>
        <w:jc w:val="both"/>
      </w:pPr>
    </w:p>
    <w:p w14:paraId="3E1D2779" w14:textId="77777777" w:rsidR="00CE0393" w:rsidRPr="00AA2965" w:rsidRDefault="00401671" w:rsidP="00587F1A">
      <w:pPr>
        <w:pStyle w:val="ListParagraph"/>
        <w:numPr>
          <w:ilvl w:val="0"/>
          <w:numId w:val="4"/>
        </w:numPr>
        <w:spacing w:before="80" w:after="80" w:line="340" w:lineRule="auto"/>
        <w:jc w:val="both"/>
      </w:pPr>
      <w:r w:rsidRPr="00AA2965">
        <w:t>Obermeyer, Z., Powers, B., Vogeli, C., &amp; Mullainathan, S. (2019). Dissecting racial bias in an algorithm used to manage the health of populations. Science, 366(6464), 447–453.</w:t>
      </w:r>
    </w:p>
    <w:p w14:paraId="7F8010FD" w14:textId="77777777" w:rsidR="00CE0393" w:rsidRPr="00AA2965" w:rsidRDefault="00CE0393" w:rsidP="00587F1A">
      <w:pPr>
        <w:spacing w:before="40"/>
        <w:jc w:val="both"/>
      </w:pPr>
    </w:p>
    <w:p w14:paraId="6F18B76A" w14:textId="77777777" w:rsidR="00CE0393" w:rsidRDefault="00401671" w:rsidP="00587F1A">
      <w:pPr>
        <w:pStyle w:val="ListParagraph"/>
        <w:numPr>
          <w:ilvl w:val="0"/>
          <w:numId w:val="4"/>
        </w:numPr>
        <w:spacing w:before="80" w:after="80" w:line="340" w:lineRule="auto"/>
        <w:jc w:val="both"/>
      </w:pPr>
      <w:r w:rsidRPr="00AA2965">
        <w:t xml:space="preserve">Rajpurkar, P., Irvin, J., Ball, R. L., Zhu, K., Yang, B., Mehta, H., &amp; Ng, A. Y. (2017). CheXNet: Radiologist-level pneumonia detection on chest X-rays with deep learning. </w:t>
      </w:r>
      <w:proofErr w:type="spellStart"/>
      <w:r w:rsidRPr="00AA2965">
        <w:t>arXiv</w:t>
      </w:r>
      <w:proofErr w:type="spellEnd"/>
      <w:r w:rsidRPr="00AA2965">
        <w:t xml:space="preserve"> preprint arXiv:1711.05225.</w:t>
      </w:r>
    </w:p>
    <w:p w14:paraId="7CE6B1FD" w14:textId="77777777" w:rsidR="00406458" w:rsidRPr="00AA2965" w:rsidRDefault="00406458" w:rsidP="00AA2965">
      <w:pPr>
        <w:spacing w:before="80" w:after="80" w:line="340" w:lineRule="auto"/>
        <w:jc w:val="both"/>
      </w:pPr>
    </w:p>
    <w:p w14:paraId="224140F1" w14:textId="77777777" w:rsidR="00CE0393" w:rsidRPr="00AA2965" w:rsidRDefault="00CE0393" w:rsidP="00AA2965">
      <w:pPr>
        <w:spacing w:before="40"/>
        <w:jc w:val="both"/>
      </w:pPr>
    </w:p>
    <w:p w14:paraId="3C651287" w14:textId="77777777" w:rsidR="00CE0393" w:rsidRPr="00AA2965" w:rsidRDefault="00CE0393" w:rsidP="00AA2965">
      <w:pPr>
        <w:spacing w:before="240"/>
        <w:jc w:val="both"/>
      </w:pPr>
    </w:p>
    <w:p w14:paraId="2B9AF394" w14:textId="6F57BABA" w:rsidR="00CE0393" w:rsidRPr="00AA2965" w:rsidRDefault="00CE0393" w:rsidP="00AA2965">
      <w:pPr>
        <w:spacing w:before="120" w:after="120"/>
        <w:jc w:val="both"/>
      </w:pPr>
    </w:p>
    <w:sectPr w:rsidR="00CE0393" w:rsidRPr="00AA2965">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0F1B" w14:textId="77777777" w:rsidR="00401671" w:rsidRDefault="00401671">
      <w:r>
        <w:separator/>
      </w:r>
    </w:p>
  </w:endnote>
  <w:endnote w:type="continuationSeparator" w:id="0">
    <w:p w14:paraId="2B7DDBC1" w14:textId="77777777" w:rsidR="00401671" w:rsidRDefault="0040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F9B7" w14:textId="77777777" w:rsidR="00CE0393" w:rsidRDefault="00401671">
    <w:pPr>
      <w:pBdr>
        <w:top w:val="single" w:sz="4" w:space="1" w:color="C9A84C"/>
      </w:pBdr>
      <w:spacing w:before="120"/>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AA2965">
      <w:rPr>
        <w:rFonts w:ascii="Arial" w:eastAsia="Arial" w:hAnsi="Arial" w:cs="Arial"/>
        <w:noProof/>
        <w:color w:val="666666"/>
        <w:sz w:val="16"/>
        <w:szCs w:val="16"/>
      </w:rPr>
      <w:t>1</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82A5" w14:textId="77777777" w:rsidR="00401671" w:rsidRDefault="00401671">
      <w:r>
        <w:separator/>
      </w:r>
    </w:p>
  </w:footnote>
  <w:footnote w:type="continuationSeparator" w:id="0">
    <w:p w14:paraId="7638E2E1" w14:textId="77777777" w:rsidR="00401671" w:rsidRDefault="0040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2C24" w14:textId="77777777" w:rsidR="00CE0393" w:rsidRDefault="00401671">
    <w:pPr>
      <w:pBdr>
        <w:bottom w:val="single" w:sz="4" w:space="1" w:color="C9A84C"/>
      </w:pBdr>
      <w:spacing w:after="120"/>
      <w:jc w:val="right"/>
    </w:pPr>
    <w:r>
      <w:rPr>
        <w:rFonts w:ascii="Arial" w:eastAsia="Arial" w:hAnsi="Arial" w:cs="Arial"/>
        <w:color w:val="666666"/>
        <w:sz w:val="16"/>
        <w:szCs w:val="16"/>
      </w:rPr>
      <w:t xml:space="preserve">Explainable ML for Healthcare </w:t>
    </w:r>
    <w:proofErr w:type="spellStart"/>
    <w:r>
      <w:rPr>
        <w:rFonts w:ascii="Arial" w:eastAsia="Arial" w:hAnsi="Arial" w:cs="Arial"/>
        <w:color w:val="666666"/>
        <w:sz w:val="16"/>
        <w:szCs w:val="16"/>
      </w:rPr>
      <w:t>Utilisation</w:t>
    </w:r>
    <w:proofErr w:type="spellEnd"/>
    <w:r>
      <w:rPr>
        <w:rFonts w:ascii="Arial" w:eastAsia="Arial" w:hAnsi="Arial" w:cs="Arial"/>
        <w:color w:val="666666"/>
        <w:sz w:val="16"/>
        <w:szCs w:val="16"/>
      </w:rPr>
      <w:t xml:space="preserve"> &amp; Economic Burden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92E"/>
    <w:multiLevelType w:val="hybridMultilevel"/>
    <w:tmpl w:val="A00C5C58"/>
    <w:lvl w:ilvl="0" w:tplc="34EA4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05036"/>
    <w:multiLevelType w:val="hybridMultilevel"/>
    <w:tmpl w:val="B6F2E516"/>
    <w:lvl w:ilvl="0" w:tplc="2AAEA676">
      <w:start w:val="1"/>
      <w:numFmt w:val="decimal"/>
      <w:lvlText w:val="%1."/>
      <w:lvlJc w:val="left"/>
      <w:pPr>
        <w:ind w:left="720" w:hanging="360"/>
      </w:pPr>
    </w:lvl>
    <w:lvl w:ilvl="1" w:tplc="681090C4">
      <w:numFmt w:val="decimal"/>
      <w:lvlText w:val=""/>
      <w:lvlJc w:val="left"/>
    </w:lvl>
    <w:lvl w:ilvl="2" w:tplc="4DFE915C">
      <w:numFmt w:val="decimal"/>
      <w:lvlText w:val=""/>
      <w:lvlJc w:val="left"/>
    </w:lvl>
    <w:lvl w:ilvl="3" w:tplc="EA60F166">
      <w:numFmt w:val="decimal"/>
      <w:lvlText w:val=""/>
      <w:lvlJc w:val="left"/>
    </w:lvl>
    <w:lvl w:ilvl="4" w:tplc="5FAE1ADE">
      <w:numFmt w:val="decimal"/>
      <w:lvlText w:val=""/>
      <w:lvlJc w:val="left"/>
    </w:lvl>
    <w:lvl w:ilvl="5" w:tplc="37F03E6C">
      <w:numFmt w:val="decimal"/>
      <w:lvlText w:val=""/>
      <w:lvlJc w:val="left"/>
    </w:lvl>
    <w:lvl w:ilvl="6" w:tplc="38E40F1E">
      <w:numFmt w:val="decimal"/>
      <w:lvlText w:val=""/>
      <w:lvlJc w:val="left"/>
    </w:lvl>
    <w:lvl w:ilvl="7" w:tplc="425ADA08">
      <w:numFmt w:val="decimal"/>
      <w:lvlText w:val=""/>
      <w:lvlJc w:val="left"/>
    </w:lvl>
    <w:lvl w:ilvl="8" w:tplc="F6247012">
      <w:numFmt w:val="decimal"/>
      <w:lvlText w:val=""/>
      <w:lvlJc w:val="left"/>
    </w:lvl>
  </w:abstractNum>
  <w:abstractNum w:abstractNumId="2" w15:restartNumberingAfterBreak="0">
    <w:nsid w:val="6B601BA1"/>
    <w:multiLevelType w:val="hybridMultilevel"/>
    <w:tmpl w:val="3118ECD4"/>
    <w:lvl w:ilvl="0" w:tplc="337EDFA8">
      <w:start w:val="1"/>
      <w:numFmt w:val="bullet"/>
      <w:lvlText w:val="•"/>
      <w:lvlJc w:val="left"/>
      <w:pPr>
        <w:ind w:left="720" w:hanging="360"/>
      </w:pPr>
    </w:lvl>
    <w:lvl w:ilvl="1" w:tplc="CAA80A0C">
      <w:numFmt w:val="decimal"/>
      <w:lvlText w:val=""/>
      <w:lvlJc w:val="left"/>
    </w:lvl>
    <w:lvl w:ilvl="2" w:tplc="E252F736">
      <w:numFmt w:val="decimal"/>
      <w:lvlText w:val=""/>
      <w:lvlJc w:val="left"/>
    </w:lvl>
    <w:lvl w:ilvl="3" w:tplc="8BB666CC">
      <w:numFmt w:val="decimal"/>
      <w:lvlText w:val=""/>
      <w:lvlJc w:val="left"/>
    </w:lvl>
    <w:lvl w:ilvl="4" w:tplc="0A5A66C6">
      <w:numFmt w:val="decimal"/>
      <w:lvlText w:val=""/>
      <w:lvlJc w:val="left"/>
    </w:lvl>
    <w:lvl w:ilvl="5" w:tplc="530C45DC">
      <w:numFmt w:val="decimal"/>
      <w:lvlText w:val=""/>
      <w:lvlJc w:val="left"/>
    </w:lvl>
    <w:lvl w:ilvl="6" w:tplc="7F06ACFC">
      <w:numFmt w:val="decimal"/>
      <w:lvlText w:val=""/>
      <w:lvlJc w:val="left"/>
    </w:lvl>
    <w:lvl w:ilvl="7" w:tplc="F57AE3FE">
      <w:numFmt w:val="decimal"/>
      <w:lvlText w:val=""/>
      <w:lvlJc w:val="left"/>
    </w:lvl>
    <w:lvl w:ilvl="8" w:tplc="1C820290">
      <w:numFmt w:val="decimal"/>
      <w:lvlText w:val=""/>
      <w:lvlJc w:val="left"/>
    </w:lvl>
  </w:abstractNum>
  <w:abstractNum w:abstractNumId="3" w15:restartNumberingAfterBreak="0">
    <w:nsid w:val="6E7432AC"/>
    <w:multiLevelType w:val="hybridMultilevel"/>
    <w:tmpl w:val="BFF4A146"/>
    <w:lvl w:ilvl="0" w:tplc="68DA089E">
      <w:start w:val="1"/>
      <w:numFmt w:val="bullet"/>
      <w:lvlText w:val="●"/>
      <w:lvlJc w:val="left"/>
      <w:pPr>
        <w:ind w:left="720" w:hanging="360"/>
      </w:pPr>
    </w:lvl>
    <w:lvl w:ilvl="1" w:tplc="F342BF04">
      <w:start w:val="1"/>
      <w:numFmt w:val="bullet"/>
      <w:lvlText w:val="○"/>
      <w:lvlJc w:val="left"/>
      <w:pPr>
        <w:ind w:left="1440" w:hanging="360"/>
      </w:pPr>
    </w:lvl>
    <w:lvl w:ilvl="2" w:tplc="9EAEF74C">
      <w:start w:val="1"/>
      <w:numFmt w:val="bullet"/>
      <w:lvlText w:val="■"/>
      <w:lvlJc w:val="left"/>
      <w:pPr>
        <w:ind w:left="2160" w:hanging="360"/>
      </w:pPr>
    </w:lvl>
    <w:lvl w:ilvl="3" w:tplc="B22CB692">
      <w:start w:val="1"/>
      <w:numFmt w:val="bullet"/>
      <w:lvlText w:val="●"/>
      <w:lvlJc w:val="left"/>
      <w:pPr>
        <w:ind w:left="2880" w:hanging="360"/>
      </w:pPr>
    </w:lvl>
    <w:lvl w:ilvl="4" w:tplc="784EBEFA">
      <w:start w:val="1"/>
      <w:numFmt w:val="bullet"/>
      <w:lvlText w:val="○"/>
      <w:lvlJc w:val="left"/>
      <w:pPr>
        <w:ind w:left="3600" w:hanging="360"/>
      </w:pPr>
    </w:lvl>
    <w:lvl w:ilvl="5" w:tplc="31D4DFF2">
      <w:start w:val="1"/>
      <w:numFmt w:val="bullet"/>
      <w:lvlText w:val="■"/>
      <w:lvlJc w:val="left"/>
      <w:pPr>
        <w:ind w:left="4320" w:hanging="360"/>
      </w:pPr>
    </w:lvl>
    <w:lvl w:ilvl="6" w:tplc="FA5AE544">
      <w:start w:val="1"/>
      <w:numFmt w:val="bullet"/>
      <w:lvlText w:val="●"/>
      <w:lvlJc w:val="left"/>
      <w:pPr>
        <w:ind w:left="5040" w:hanging="360"/>
      </w:pPr>
    </w:lvl>
    <w:lvl w:ilvl="7" w:tplc="184A3584">
      <w:start w:val="1"/>
      <w:numFmt w:val="bullet"/>
      <w:lvlText w:val="●"/>
      <w:lvlJc w:val="left"/>
      <w:pPr>
        <w:ind w:left="5760" w:hanging="360"/>
      </w:pPr>
    </w:lvl>
    <w:lvl w:ilvl="8" w:tplc="7C9CE39C">
      <w:start w:val="1"/>
      <w:numFmt w:val="bullet"/>
      <w:lvlText w:val="●"/>
      <w:lvlJc w:val="left"/>
      <w:pPr>
        <w:ind w:left="6480" w:hanging="360"/>
      </w:pPr>
    </w:lvl>
  </w:abstractNum>
  <w:num w:numId="1" w16cid:durableId="1996180521">
    <w:abstractNumId w:val="3"/>
    <w:lvlOverride w:ilvl="0">
      <w:startOverride w:val="1"/>
    </w:lvlOverride>
  </w:num>
  <w:num w:numId="2" w16cid:durableId="1944529226">
    <w:abstractNumId w:val="1"/>
    <w:lvlOverride w:ilvl="0">
      <w:startOverride w:val="1"/>
    </w:lvlOverride>
  </w:num>
  <w:num w:numId="3" w16cid:durableId="1341004573">
    <w:abstractNumId w:val="2"/>
    <w:lvlOverride w:ilvl="0">
      <w:startOverride w:val="1"/>
    </w:lvlOverride>
  </w:num>
  <w:num w:numId="4" w16cid:durableId="110384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3"/>
    <w:rsid w:val="00055D7D"/>
    <w:rsid w:val="000913CC"/>
    <w:rsid w:val="000D381C"/>
    <w:rsid w:val="00102DD8"/>
    <w:rsid w:val="0012644C"/>
    <w:rsid w:val="00297CBC"/>
    <w:rsid w:val="002B3C15"/>
    <w:rsid w:val="003062F6"/>
    <w:rsid w:val="00356CE5"/>
    <w:rsid w:val="00395C2B"/>
    <w:rsid w:val="003A04DD"/>
    <w:rsid w:val="00401671"/>
    <w:rsid w:val="00406458"/>
    <w:rsid w:val="00437A66"/>
    <w:rsid w:val="00477F98"/>
    <w:rsid w:val="004B5668"/>
    <w:rsid w:val="004D53CE"/>
    <w:rsid w:val="005169A6"/>
    <w:rsid w:val="00556B26"/>
    <w:rsid w:val="00587F1A"/>
    <w:rsid w:val="00655FAD"/>
    <w:rsid w:val="006F790D"/>
    <w:rsid w:val="0083356C"/>
    <w:rsid w:val="00864729"/>
    <w:rsid w:val="00945067"/>
    <w:rsid w:val="00950BB9"/>
    <w:rsid w:val="00960A4B"/>
    <w:rsid w:val="00AA2965"/>
    <w:rsid w:val="00B60B03"/>
    <w:rsid w:val="00CE0393"/>
    <w:rsid w:val="00CE420F"/>
    <w:rsid w:val="00D32B36"/>
    <w:rsid w:val="00E0144F"/>
    <w:rsid w:val="00FC1CC9"/>
    <w:rsid w:val="00FE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544"/>
  <w15:docId w15:val="{AE92798C-103F-4411-84CD-E9B5B095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1" w:color="C9A84C"/>
      </w:pBdr>
      <w:spacing w:before="320" w:after="160"/>
      <w:outlineLvl w:val="0"/>
    </w:pPr>
    <w:rPr>
      <w:rFonts w:ascii="Arial" w:eastAsia="Arial" w:hAnsi="Arial" w:cs="Arial"/>
      <w:b/>
      <w:bCs/>
      <w:color w:val="1B2A4A"/>
      <w:sz w:val="28"/>
      <w:szCs w:val="28"/>
    </w:rPr>
  </w:style>
  <w:style w:type="paragraph" w:styleId="Heading2">
    <w:name w:val="heading 2"/>
    <w:uiPriority w:val="9"/>
    <w:unhideWhenUsed/>
    <w:qFormat/>
    <w:pPr>
      <w:spacing w:before="240" w:after="120"/>
      <w:outlineLvl w:val="1"/>
    </w:pPr>
    <w:rPr>
      <w:rFonts w:ascii="Arial" w:eastAsia="Arial" w:hAnsi="Arial" w:cs="Arial"/>
      <w:b/>
      <w:bCs/>
      <w:color w:val="1B2A4A"/>
      <w:sz w:val="24"/>
      <w:szCs w:val="24"/>
    </w:rPr>
  </w:style>
  <w:style w:type="paragraph" w:styleId="Heading3">
    <w:name w:val="heading 3"/>
    <w:uiPriority w:val="9"/>
    <w:unhideWhenUsed/>
    <w:qFormat/>
    <w:pPr>
      <w:spacing w:before="180" w:after="80"/>
      <w:outlineLvl w:val="2"/>
    </w:pPr>
    <w:rPr>
      <w:rFonts w:ascii="Arial" w:eastAsia="Arial" w:hAnsi="Arial" w:cs="Arial"/>
      <w:b/>
      <w:bCs/>
      <w:color w:val="66666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A2965"/>
    <w:pPr>
      <w:tabs>
        <w:tab w:val="center" w:pos="4680"/>
        <w:tab w:val="right" w:pos="9360"/>
      </w:tabs>
    </w:pPr>
  </w:style>
  <w:style w:type="character" w:customStyle="1" w:styleId="HeaderChar">
    <w:name w:val="Header Char"/>
    <w:basedOn w:val="DefaultParagraphFont"/>
    <w:link w:val="Header"/>
    <w:uiPriority w:val="99"/>
    <w:rsid w:val="00AA2965"/>
  </w:style>
  <w:style w:type="paragraph" w:styleId="Footer">
    <w:name w:val="footer"/>
    <w:basedOn w:val="Normal"/>
    <w:link w:val="FooterChar"/>
    <w:uiPriority w:val="99"/>
    <w:unhideWhenUsed/>
    <w:rsid w:val="00AA2965"/>
    <w:pPr>
      <w:tabs>
        <w:tab w:val="center" w:pos="4680"/>
        <w:tab w:val="right" w:pos="9360"/>
      </w:tabs>
    </w:pPr>
  </w:style>
  <w:style w:type="character" w:customStyle="1" w:styleId="FooterChar">
    <w:name w:val="Footer Char"/>
    <w:basedOn w:val="DefaultParagraphFont"/>
    <w:link w:val="Footer"/>
    <w:uiPriority w:val="99"/>
    <w:rsid w:val="00AA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1404</TotalTime>
  <Pages>15</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kayode sheriffdeen</cp:lastModifiedBy>
  <cp:revision>1</cp:revision>
  <dcterms:created xsi:type="dcterms:W3CDTF">2026-06-05T03:03:00Z</dcterms:created>
  <dcterms:modified xsi:type="dcterms:W3CDTF">2026-06-06T18:58:00Z</dcterms:modified>
</cp:coreProperties>
</file>