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433D9" w14:textId="77777777" w:rsidR="003A3415" w:rsidRDefault="00043A51">
      <w:pPr>
        <w:spacing w:after="160"/>
        <w:jc w:val="center"/>
      </w:pPr>
      <w:r>
        <w:rPr>
          <w:b/>
          <w:bCs/>
          <w:sz w:val="32"/>
          <w:szCs w:val="32"/>
        </w:rPr>
        <w:t>E-Procurement and Value for Money in the Ghanaian Public Sector: A Conceptual Framework of the Moderating Roles of Staff and Supplier Competencies</w:t>
      </w:r>
    </w:p>
    <w:p w14:paraId="04D5D4AB" w14:textId="4C1A2D95" w:rsidR="003A3415" w:rsidRPr="004C19F1" w:rsidRDefault="00043A51">
      <w:pPr>
        <w:spacing w:after="40"/>
        <w:jc w:val="center"/>
        <w:rPr>
          <w:lang w:val="de-CH"/>
        </w:rPr>
      </w:pPr>
      <w:r w:rsidRPr="004C19F1">
        <w:rPr>
          <w:b/>
          <w:bCs/>
          <w:lang w:val="de-CH"/>
        </w:rPr>
        <w:t/>
      </w:r>
      <w:r w:rsidR="00B4479F">
        <w:rPr>
          <w:b/>
          <w:bCs/>
          <w:lang w:val="de-CH"/>
        </w:rPr>
        <w:t xml:space="preserve"/>
      </w:r>
      <w:r w:rsidRPr="004C19F1">
        <w:rPr>
          <w:b/>
          <w:bCs/>
          <w:lang w:val="de-CH"/>
        </w:rPr>
        <w:t/>
      </w:r>
      <w:r w:rsidR="00B4479F">
        <w:rPr>
          <w:b/>
          <w:bCs/>
          <w:lang w:val="de-CH"/>
        </w:rPr>
        <w:t xml:space="preserve"/>
      </w:r>
      <w:bookmarkStart w:id="0" w:name="_GoBack"/>
      <w:bookmarkEnd w:id="0"/>
      <w:r w:rsidRPr="004C19F1">
        <w:rPr>
          <w:b/>
          <w:bCs/>
          <w:lang w:val="de-CH"/>
        </w:rPr>
        <w:t/>
      </w:r>
      <w:r w:rsidRPr="004C19F1">
        <w:rPr>
          <w:lang w:val="de-CH"/>
        </w:rPr>
        <w:t xml:space="preserve"/>
      </w:r>
      <w:r w:rsidRPr="004C19F1">
        <w:rPr>
          <w:b/>
          <w:bCs/>
          <w:lang w:val="de-CH"/>
        </w:rPr>
        <w:t/>
      </w:r>
    </w:p>
    <w:p w14:paraId="1A4C4684" w14:textId="604A937C" w:rsidR="003A3415" w:rsidRDefault="00043A51">
      <w:pPr>
        <w:spacing w:after="20"/>
        <w:jc w:val="center"/>
      </w:pPr>
      <w:r w:rsidRPr="0062376E">
        <w:rPr>
          <w:i/>
          <w:iCs/>
          <w:sz w:val="22"/>
          <w:szCs w:val="22"/>
        </w:rPr>
        <w:t/>
      </w:r>
      <w:r w:rsidR="00675538" w:rsidRPr="0062376E">
        <w:rPr>
          <w:i/>
          <w:iCs/>
          <w:sz w:val="22"/>
          <w:szCs w:val="22"/>
        </w:rPr>
        <w:t xml:space="preserve"/>
      </w:r>
      <w:r w:rsidR="0062376E">
        <w:rPr>
          <w:i/>
          <w:iCs/>
          <w:sz w:val="22"/>
          <w:szCs w:val="22"/>
        </w:rPr>
        <w:t xml:space="preserve"/>
      </w:r>
      <w:r>
        <w:rPr>
          <w:i/>
          <w:iCs/>
          <w:sz w:val="22"/>
          <w:szCs w:val="22"/>
        </w:rPr>
        <w:t/>
      </w:r>
    </w:p>
    <w:p w14:paraId="7B39F7BD" w14:textId="77777777" w:rsidR="003A3415" w:rsidRDefault="00043A51">
      <w:pPr>
        <w:spacing w:after="200"/>
        <w:jc w:val="center"/>
      </w:pPr>
      <w:r>
        <w:rPr>
          <w:i/>
          <w:iCs/>
          <w:sz w:val="22"/>
          <w:szCs w:val="22"/>
        </w:rPr>
        <w:t/>
      </w:r>
    </w:p>
    <w:p w14:paraId="79E1F9EE" w14:textId="77777777" w:rsidR="003A3415" w:rsidRDefault="00043A51">
      <w:pPr>
        <w:spacing w:before="80" w:after="100"/>
      </w:pPr>
      <w:r>
        <w:rPr>
          <w:b/>
          <w:bCs/>
          <w:sz w:val="26"/>
          <w:szCs w:val="26"/>
        </w:rPr>
        <w:t>Abstract</w:t>
      </w:r>
    </w:p>
    <w:p w14:paraId="6D3E0B6E" w14:textId="694FA064" w:rsidR="003A3415" w:rsidRDefault="00043A51">
      <w:pPr>
        <w:spacing w:after="160" w:line="300" w:lineRule="auto"/>
        <w:jc w:val="both"/>
      </w:pPr>
      <w:r>
        <w:rPr>
          <w:sz w:val="22"/>
          <w:szCs w:val="22"/>
        </w:rPr>
        <w:t>Public procurement accounts for a substantial share of government expenditure in developing economies, and electronic procurement (e-procurement) has been widely promoted as a strategic instrument for delivering value for money (VfM) through greater transparency, competition</w:t>
      </w:r>
      <w:r w:rsidR="004C19F1">
        <w:rPr>
          <w:sz w:val="22"/>
          <w:szCs w:val="22"/>
        </w:rPr>
        <w:t>,</w:t>
      </w:r>
      <w:r>
        <w:rPr>
          <w:sz w:val="22"/>
          <w:szCs w:val="22"/>
        </w:rPr>
        <w:t xml:space="preserve"> and efficiency. In Ghana, however, the adoption of digital procurement platforms—most notably the Ghana Electronic Procurement System (GHANEPS)</w:t>
      </w:r>
      <w:r w:rsidR="004C19F1">
        <w:rPr>
          <w:sz w:val="22"/>
          <w:szCs w:val="22"/>
        </w:rPr>
        <w:t xml:space="preserve"> - </w:t>
      </w:r>
      <w:r>
        <w:rPr>
          <w:sz w:val="22"/>
          <w:szCs w:val="22"/>
        </w:rPr>
        <w:t xml:space="preserve">has not consistently translated into the anticipated VfM gains. This paper argues that the e-procurement–VfM relationship is contingent rather than automatic, and that the competencies of the human actors operating the system are decisive yet under-theorised. The purpose of the paper is to develop an integrated conceptual framework that positions staff competence and supplier competence as moderators of the relationship between e-procurement and value for money in the Ghanaian public sector. Adopting a structured narrative-review approach, the study </w:t>
      </w:r>
      <w:r w:rsidR="0046133B">
        <w:rPr>
          <w:sz w:val="22"/>
          <w:szCs w:val="22"/>
        </w:rPr>
        <w:t>synthesizes</w:t>
      </w:r>
      <w:r>
        <w:rPr>
          <w:sz w:val="22"/>
          <w:szCs w:val="22"/>
        </w:rPr>
        <w:t xml:space="preserve"> four complementary theories—Transaction Cost Theory, Agency Theory, the Resource-Based View and the Technology Acceptance Model</w:t>
      </w:r>
      <w:r w:rsidR="004C19F1">
        <w:rPr>
          <w:sz w:val="22"/>
          <w:szCs w:val="22"/>
        </w:rPr>
        <w:t xml:space="preserve"> - </w:t>
      </w:r>
      <w:r>
        <w:rPr>
          <w:sz w:val="22"/>
          <w:szCs w:val="22"/>
        </w:rPr>
        <w:t xml:space="preserve">to explain why digital procurement reform reduces transaction and agency costs only when activated by capable users and suppliers. From this synthesis the paper advances three testable propositions: that e-procurement is positively associated with value for money (P1); that staff competence strengthens this relationship (P2); and that supplier competence strengthens this relationship (P3). The framework </w:t>
      </w:r>
      <w:r w:rsidR="0046133B">
        <w:rPr>
          <w:sz w:val="22"/>
          <w:szCs w:val="22"/>
        </w:rPr>
        <w:t>reconceptualizes</w:t>
      </w:r>
      <w:r>
        <w:rPr>
          <w:sz w:val="22"/>
          <w:szCs w:val="22"/>
        </w:rPr>
        <w:t xml:space="preserve"> e-procurement technology as a latent </w:t>
      </w:r>
      <w:r w:rsidR="0046133B">
        <w:rPr>
          <w:sz w:val="22"/>
          <w:szCs w:val="22"/>
        </w:rPr>
        <w:t>organizational</w:t>
      </w:r>
      <w:r>
        <w:rPr>
          <w:sz w:val="22"/>
          <w:szCs w:val="22"/>
        </w:rPr>
        <w:t xml:space="preserve"> resource whose VfM dividend is conditional on valuable, rare and inimitable human capital. The paper contributes a parsimonious, theory-grounded model that integrates technological, behavioural and capability perspectives, and offers a methodological agenda for its empirical validation. It carries direct implications for procurement policy, capacity-building and supplier-development strategy in Ghana and comparable developing-country contexts.</w:t>
      </w:r>
    </w:p>
    <w:p w14:paraId="0049716D" w14:textId="77777777" w:rsidR="003A3415" w:rsidRDefault="00043A51">
      <w:pPr>
        <w:spacing w:after="220" w:line="300" w:lineRule="auto"/>
        <w:jc w:val="both"/>
      </w:pPr>
      <w:r>
        <w:rPr>
          <w:b/>
          <w:bCs/>
          <w:sz w:val="22"/>
          <w:szCs w:val="22"/>
        </w:rPr>
        <w:t xml:space="preserve">Keywords: </w:t>
      </w:r>
      <w:r>
        <w:rPr>
          <w:i/>
          <w:iCs/>
          <w:sz w:val="22"/>
          <w:szCs w:val="22"/>
        </w:rPr>
        <w:t>e-procurement; value for money; staff competence; supplier competence; public procurement; GHANEPS; Ghana</w:t>
      </w:r>
    </w:p>
    <w:p w14:paraId="1C911CD2" w14:textId="77777777" w:rsidR="003A3415" w:rsidRDefault="00043A51">
      <w:pPr>
        <w:pStyle w:val="Heading1"/>
      </w:pPr>
      <w:r>
        <w:t>I.  Introduction</w:t>
      </w:r>
    </w:p>
    <w:p w14:paraId="060B5CF1" w14:textId="77777777" w:rsidR="003A3415" w:rsidRDefault="00043A51">
      <w:pPr>
        <w:spacing w:after="160" w:line="312" w:lineRule="auto"/>
        <w:jc w:val="both"/>
      </w:pPr>
      <w:r>
        <w:t xml:space="preserve">Procurement is central to the functioning of the state. In most developing economies it absorbs a large proportion of public expenditure, frequently estimated at between a fifth and a third of national budgets, and it is the principal channel through which governments translate fiscal resources into infrastructure, goods and services (Mlinga, 2009; World Bank, 2013). Because so much public money flows through procurement, the efficiency and integrity of the procurement </w:t>
      </w:r>
      <w:r>
        <w:lastRenderedPageBreak/>
        <w:t>function have a direct bearing on national development outcomes and on citizens’ confidence in the state. Against this backdrop, governments worldwide have turned to electronic procurement (e-procurement) as a strategic lever for improving procurement performance, reducing cost and curbing the discretion that enables corruption (Davila, Gupta, &amp; Palmer, 2003; Croom &amp; Brandon-Jones, 2007).</w:t>
      </w:r>
    </w:p>
    <w:p w14:paraId="7CF93156" w14:textId="77777777" w:rsidR="003A3415" w:rsidRDefault="00043A51">
      <w:pPr>
        <w:spacing w:after="160" w:line="312" w:lineRule="auto"/>
        <w:jc w:val="both"/>
      </w:pPr>
      <w:r>
        <w:t>E-procurement refers to the use of internet-based systems to conduct and integrate the procurement cycle—from sourcing and tendering through ordering, receipting and payment (Croom &amp; Brandon-Jones, 2007; European Commission, 2015). A consistent body of evidence associates its adoption with lower transaction costs, faster cycle times, improved compliance and wider supplier participation (Davila et al., 2003; Adebanjo, 2010; Asif et al., 2021). For developing countries in particular, e-procurement promises to widen access to procurement information, intensify competition and create auditable digital records that make collusion and document tampering more difficult (Tanner et al., 2008; Sava &amp; Dragoș, 2022).</w:t>
      </w:r>
    </w:p>
    <w:p w14:paraId="7EE69B63" w14:textId="77777777" w:rsidR="003A3415" w:rsidRDefault="00043A51">
      <w:pPr>
        <w:spacing w:after="160" w:line="312" w:lineRule="auto"/>
        <w:jc w:val="both"/>
      </w:pPr>
      <w:r>
        <w:t xml:space="preserve">Ghana has pursued this agenda actively. The Public Procurement Act, 2003 (Act 663), as amended by Act 914 of 2016, established the legal and institutional architecture for transparent, competitive and accountable procurement, and the amendment created the statutory basis for electronic transactions that culminated in the rollout of the Ghana Electronic Procurement System (GHANEPS) (Anane, </w:t>
      </w:r>
      <w:proofErr w:type="spellStart"/>
      <w:r>
        <w:t>Adoma</w:t>
      </w:r>
      <w:proofErr w:type="spellEnd"/>
      <w:r>
        <w:t xml:space="preserve">, &amp; </w:t>
      </w:r>
      <w:proofErr w:type="spellStart"/>
      <w:r>
        <w:t>Kuranchie</w:t>
      </w:r>
      <w:proofErr w:type="spellEnd"/>
      <w:r>
        <w:t xml:space="preserve">-Mensah, 2019; Boafo, Ahudey, &amp; Akuffo, 2020). Yet despite these reforms, concerns persist that the intended value-for-money (VfM) gains have not been fully </w:t>
      </w:r>
      <w:proofErr w:type="spellStart"/>
      <w:r>
        <w:t>realised</w:t>
      </w:r>
      <w:proofErr w:type="spellEnd"/>
      <w:r>
        <w:t>. Studies continue to report inconsistent platform uptake, weak publication of procurement notices, poor record-keeping and recurring allegations of inefficiency and corruption (Tutu et al., 2019; Addo, 2019; Boafo &amp; Ahudey, 2020; Dadzie &amp; Yornu, 2025).</w:t>
      </w:r>
    </w:p>
    <w:p w14:paraId="6FE41B93" w14:textId="77777777" w:rsidR="003A3415" w:rsidRDefault="00043A51">
      <w:pPr>
        <w:spacing w:after="160" w:line="312" w:lineRule="auto"/>
        <w:jc w:val="both"/>
      </w:pPr>
      <w:r>
        <w:t xml:space="preserve">A plausible explanation for this gap is that the existing literature has framed e-procurement largely as a technological and procedural intervention, </w:t>
      </w:r>
      <w:proofErr w:type="spellStart"/>
      <w:r>
        <w:t>emphasising</w:t>
      </w:r>
      <w:proofErr w:type="spellEnd"/>
      <w:r>
        <w:t xml:space="preserve"> system design, cost savings and process re-engineering, while paying comparatively little attention to the human factors that determine whether a digital system actually performs (Addo, 2019; Boateng, 2021). E-procurement does not deliver value on its own. Its outcomes depend on the people who operate it—the procurement staff inside public entities—and on the suppliers who must transact through it. Where staff lack the technical and digital competence to use the platform, and where suppliers lack the readiness to bid electronically, the system is likely to be circumvented, under-used or used poorly, eroding the very efficiencies it was meant to create. This human dimension remains under-theorised in the Ghanaian context.</w:t>
      </w:r>
    </w:p>
    <w:p w14:paraId="1D02C4ED" w14:textId="2BB868F4" w:rsidR="003A3415" w:rsidRDefault="00043A51">
      <w:pPr>
        <w:spacing w:after="160" w:line="312" w:lineRule="auto"/>
        <w:jc w:val="both"/>
      </w:pPr>
      <w:r>
        <w:t xml:space="preserve">This paper addresses that gap conceptually. Its purpose is to develop an integrated framework that explains the e-procurement–VfM relationship and positions staff competence and supplier </w:t>
      </w:r>
      <w:r>
        <w:lastRenderedPageBreak/>
        <w:t xml:space="preserve">competence as moderators of that relationship in the Ghanaian public sector. The framework is built by </w:t>
      </w:r>
      <w:r w:rsidR="0046133B">
        <w:t>synthesizing</w:t>
      </w:r>
      <w:r>
        <w:t xml:space="preserve"> four complementary theories—Transaction Cost Theory (TCT), Agency Theory, the Resource-Based View (RBV) and the Technology Acceptance Model (TAM)—each of which illuminates a distinct layer of the phenomenon. The paper makes three contributions. First, it consolidates a fragmented literature into a parsimonious model </w:t>
      </w:r>
      <w:r w:rsidR="0046133B">
        <w:t>centered</w:t>
      </w:r>
      <w:r>
        <w:t xml:space="preserve"> on the moderating role of competence. Second, it advances three testable propositions that can guide subsequent empirical work. Third, it draws out implications for procurement policy, capacity-building and supplier development in Ghana and in comparable developing-country settings.</w:t>
      </w:r>
    </w:p>
    <w:p w14:paraId="0E496894" w14:textId="77777777" w:rsidR="003A3415" w:rsidRDefault="00043A51">
      <w:pPr>
        <w:spacing w:after="160" w:line="312" w:lineRule="auto"/>
        <w:jc w:val="both"/>
      </w:pPr>
      <w:r>
        <w:t>The remainder of the paper is organised as follows. Section II outlines the conceptual-review approach. Section III situates the study within Ghana’s public procurement reform trajectory. Section IV clarifies the core constructs. Section V develops the theoretical framework and its synthesis. Section VI derives the propositions and presents the conceptual model. Section VII discusses theoretical, policy and methodological implications, and Section VIII concludes.</w:t>
      </w:r>
    </w:p>
    <w:p w14:paraId="313DBD40" w14:textId="77777777" w:rsidR="003A3415" w:rsidRDefault="00043A51">
      <w:pPr>
        <w:pStyle w:val="Heading1"/>
      </w:pPr>
      <w:r>
        <w:t>II.  Conceptual and Methodological Approach</w:t>
      </w:r>
    </w:p>
    <w:p w14:paraId="2891FEAB" w14:textId="62D3652E" w:rsidR="003A3415" w:rsidRDefault="00043A51">
      <w:pPr>
        <w:spacing w:after="160" w:line="312" w:lineRule="auto"/>
        <w:jc w:val="both"/>
      </w:pPr>
      <w:r>
        <w:t xml:space="preserve">This is a conceptual paper. Rather than reporting primary data, it develops theory by integrating and </w:t>
      </w:r>
      <w:r w:rsidR="0046133B">
        <w:t>reorganizing</w:t>
      </w:r>
      <w:r>
        <w:t xml:space="preserve"> existing scholarship into a coherent explanatory framework (Jaakkola, 2020). Conceptual papers of this type are well established in management and procurement research, where they serve to bridge fragmented literatures, surface implicit assumptions and generate propositions for later empirical testing.</w:t>
      </w:r>
    </w:p>
    <w:p w14:paraId="03E3A55D" w14:textId="6806D81C" w:rsidR="003A3415" w:rsidRDefault="00043A51">
      <w:pPr>
        <w:spacing w:after="160" w:line="312" w:lineRule="auto"/>
        <w:jc w:val="both"/>
      </w:pPr>
      <w:r>
        <w:t xml:space="preserve">The paper adopts a structured narrative-review strategy. Relevant peer-reviewed journal articles, books, official reports and policy instruments were identified through academic databases and scholarly search engines using combinations of the terms “e-procurement”, “electronic procurement”, “value for money”, “public procurement”, “staff competence”, “supplier competence”, “GHANEPS” and “Ghana”. Priority was given to sources published within the most recent five-year window to capture the current state of knowledge, supplemented by seminal works that establish the theoretical foundations of the field. Sources were screened for relevance to the e-procurement–VfM relationship and to the competence constructs, and were then </w:t>
      </w:r>
      <w:r w:rsidR="0046133B">
        <w:t>synthesized</w:t>
      </w:r>
      <w:r>
        <w:t xml:space="preserve"> thematically around the four theoretical lenses and the three relationships specified in the framework.</w:t>
      </w:r>
    </w:p>
    <w:p w14:paraId="4F4B9FF3" w14:textId="77777777" w:rsidR="003A3415" w:rsidRDefault="00043A51">
      <w:pPr>
        <w:spacing w:after="160" w:line="312" w:lineRule="auto"/>
        <w:jc w:val="both"/>
      </w:pPr>
      <w:r>
        <w:t xml:space="preserve">Because the aim is theory development rather than hypothesis testing, the propositions advanced in Section VI are presented as logically derived, empirically refutable statements rather than as findings. A methodological agenda for testing them is set out in Section VII, providing a bridge </w:t>
      </w:r>
      <w:r>
        <w:lastRenderedPageBreak/>
        <w:t>between this conceptual contribution and the empirical phase of the wider research programme from which it is drawn.</w:t>
      </w:r>
    </w:p>
    <w:p w14:paraId="23440BD7" w14:textId="77777777" w:rsidR="003A3415" w:rsidRDefault="00043A51">
      <w:pPr>
        <w:pStyle w:val="Heading1"/>
      </w:pPr>
      <w:r>
        <w:t>III.  Public Procurement Reform and E-Procurement in Ghana</w:t>
      </w:r>
    </w:p>
    <w:p w14:paraId="0486F36D" w14:textId="60647922" w:rsidR="003A3415" w:rsidRDefault="00043A51">
      <w:pPr>
        <w:spacing w:after="160" w:line="312" w:lineRule="auto"/>
        <w:jc w:val="both"/>
      </w:pPr>
      <w:r>
        <w:t xml:space="preserve">Ghana’s contemporary procurement system is the product of a sustained reform programme. Before 2003, procurement was governed by a patchwork of instruments—including the Ghana National Procurement Agency Decree (SMCD 55, 1976) and earlier commission arrangements—that proved unable to contain corruption, inefficiency and opacity (World Bank, 2003). Diagnostic work under the Public Financial Management Reform Programme (PUFMARP) and the Country Procurement Assessment Report (CPAR) recommended comprehensive legal and institutional reform, which </w:t>
      </w:r>
      <w:r w:rsidR="0046133B">
        <w:t>materialized</w:t>
      </w:r>
      <w:r>
        <w:t xml:space="preserve"> in the Public Procurement Act, 2003 (Act 663).</w:t>
      </w:r>
    </w:p>
    <w:p w14:paraId="4835588A" w14:textId="77777777" w:rsidR="003A3415" w:rsidRDefault="00043A51">
      <w:pPr>
        <w:spacing w:after="160" w:line="312" w:lineRule="auto"/>
        <w:jc w:val="both"/>
      </w:pPr>
      <w:r>
        <w:t>Act 663 applies to all procurement financed wholly or partly from public funds and established a tiered architecture of procurement entities, tender committees and review boards designed to enforce competition, transparency and accountability (Asare &amp; Prempeh, 2017; Anane et al., 2019). Competitive tendering is the default method, with restricted tendering, request for quotations, sole sourcing and two-stage tendering permitted only under defined conditions (Boafo et al., 2020). The Act enshrines a set of guiding principles—professionalism, transparency, value for money, competitiveness, accountability, fairness, efficiency, ethics and separation of duties—that together constitute the normative standard against which procurement performance is judged.</w:t>
      </w:r>
    </w:p>
    <w:p w14:paraId="41928BF6" w14:textId="72B3F5C0" w:rsidR="003A3415" w:rsidRDefault="00043A51">
      <w:pPr>
        <w:spacing w:after="160" w:line="312" w:lineRule="auto"/>
        <w:jc w:val="both"/>
      </w:pPr>
      <w:r>
        <w:t xml:space="preserve">Despite this framework, persistent concerns about manual, paper-based processes—slow cycle times, document manipulation and the concealment of single-source awards—sustained pressure for </w:t>
      </w:r>
      <w:r w:rsidR="0046133B">
        <w:t>digitalization</w:t>
      </w:r>
      <w:r>
        <w:t xml:space="preserve"> (Godfred, Mohammed, &amp; Tannor, 2015; Asare &amp; Prempeh, 2017). A national e-government initiative from 2009 encouraged ministries, departments and agencies to </w:t>
      </w:r>
      <w:r w:rsidR="0046133B">
        <w:t>digitize</w:t>
      </w:r>
      <w:r>
        <w:t xml:space="preserve"> procurement planning, and by the end of 2010 more than 160 entities were submitting plans electronically to the Public Procurement Authority (PPA, 2010). Because Act 663 had not contemplated electronic transactions, the 2016 amendment (Act 914) supplied the statutory basis for them, paving the way for the Ghana Electronic Procurement System (GHANEPS), which allows entities to publish tenders online, suppliers to submit bids electronically and awards to be processed digitally (Anane et al., 2019).</w:t>
      </w:r>
    </w:p>
    <w:p w14:paraId="2E103070" w14:textId="5E3944E4" w:rsidR="003A3415" w:rsidRDefault="00043A51">
      <w:pPr>
        <w:spacing w:after="160" w:line="312" w:lineRule="auto"/>
        <w:jc w:val="both"/>
      </w:pPr>
      <w:r>
        <w:t xml:space="preserve">GHANEPS thus represents the institutional </w:t>
      </w:r>
      <w:r w:rsidR="0046133B">
        <w:t>realization</w:t>
      </w:r>
      <w:r>
        <w:t xml:space="preserve"> of Ghana’s e-procurement ambition. Recent scholarship, however, suggests that its deployment has strengthened accountability more reliably than it has delivered optimal efficiency, with outcomes mediated by uneven transparency practices, limited technological integration and variable user capacity (Dadzie &amp; Yornu, 2025; </w:t>
      </w:r>
      <w:r>
        <w:lastRenderedPageBreak/>
        <w:t>Addy, Owusu-Manu, &amp; Edwards, 2024). This pattern—reform on paper outrunning performance in practice—motivates the central argument of this paper: that the missing variable is competence.</w:t>
      </w:r>
    </w:p>
    <w:p w14:paraId="3E1F0AE2" w14:textId="77777777" w:rsidR="003A3415" w:rsidRDefault="00043A51">
      <w:pPr>
        <w:pStyle w:val="Heading1"/>
      </w:pPr>
      <w:r>
        <w:t>IV.  Conceptual Foundations</w:t>
      </w:r>
    </w:p>
    <w:p w14:paraId="47F163E8" w14:textId="77777777" w:rsidR="003A3415" w:rsidRDefault="00043A51">
      <w:pPr>
        <w:pStyle w:val="Heading2"/>
      </w:pPr>
      <w:r>
        <w:t>A.  E-Procurement</w:t>
      </w:r>
    </w:p>
    <w:p w14:paraId="12929306" w14:textId="77777777" w:rsidR="003A3415" w:rsidRDefault="00043A51">
      <w:pPr>
        <w:spacing w:after="160" w:line="312" w:lineRule="auto"/>
        <w:jc w:val="both"/>
      </w:pPr>
      <w:r>
        <w:t xml:space="preserve">E-procurement is the integration of the procurement process through internet technologies, encompassing requisition, sourcing, tendering, ordering, receipting, invoicing and payment (Öhgren et al., 2019; European Commission, 2015). It is best understood not as a single tool but as a family of practices—e-sourcing, e-tendering, e-purchasing, e-invoicing and e-payment—each automating a stage of the cycle and each capable of reducing cost, accelerating throughput and improving compliance (Madzimure, </w:t>
      </w:r>
      <w:proofErr w:type="spellStart"/>
      <w:r>
        <w:t>Mafini</w:t>
      </w:r>
      <w:proofErr w:type="spellEnd"/>
      <w:r>
        <w:t xml:space="preserve">, &amp; </w:t>
      </w:r>
      <w:proofErr w:type="spellStart"/>
      <w:r>
        <w:t>Dhurup</w:t>
      </w:r>
      <w:proofErr w:type="spellEnd"/>
      <w:r>
        <w:t>, 2020; Ibem, 2020). In the public sector, e-procurement is additionally a governance technology: by creating transparent, auditable digital trails it constrains the discretion through which procurement is captured for private gain (Putri, Syamsu, &amp; Triono, 2024).</w:t>
      </w:r>
    </w:p>
    <w:p w14:paraId="1C1F1B8F" w14:textId="77777777" w:rsidR="003A3415" w:rsidRDefault="00043A51">
      <w:pPr>
        <w:pStyle w:val="Heading2"/>
      </w:pPr>
      <w:r>
        <w:t>B.  Value for Money</w:t>
      </w:r>
    </w:p>
    <w:p w14:paraId="7070F046" w14:textId="77777777" w:rsidR="003A3415" w:rsidRDefault="00043A51">
      <w:pPr>
        <w:spacing w:after="160" w:line="312" w:lineRule="auto"/>
        <w:jc w:val="both"/>
      </w:pPr>
      <w:r>
        <w:t xml:space="preserve">Value for money is the achievement of procurement objectives at the best combination of cost and quality—not necessarily the lowest price—assessed across the whole life of the good or service (Adi &amp; Dutil, 2018). It is conventionally </w:t>
      </w:r>
      <w:proofErr w:type="spellStart"/>
      <w:r>
        <w:t>operationalised</w:t>
      </w:r>
      <w:proofErr w:type="spellEnd"/>
      <w:r>
        <w:t xml:space="preserve"> through the “three Es”: economy (</w:t>
      </w:r>
      <w:proofErr w:type="spellStart"/>
      <w:r>
        <w:t>minimising</w:t>
      </w:r>
      <w:proofErr w:type="spellEnd"/>
      <w:r>
        <w:t xml:space="preserve"> the cost of inputs), efficiency (</w:t>
      </w:r>
      <w:proofErr w:type="spellStart"/>
      <w:r>
        <w:t>maximising</w:t>
      </w:r>
      <w:proofErr w:type="spellEnd"/>
      <w:r>
        <w:t xml:space="preserve"> the ratio of outputs to inputs) and effectiveness (the extent to which outputs achieve intended outcomes). In Ghana, VfM is both a statutory principle under Act 663 and the ultimate justification for procurement reform; it is therefore treated here as the dependent construct that e-procurement is intended to advance.</w:t>
      </w:r>
    </w:p>
    <w:p w14:paraId="37BE9787" w14:textId="77777777" w:rsidR="003A3415" w:rsidRDefault="00043A51">
      <w:pPr>
        <w:pStyle w:val="Heading2"/>
      </w:pPr>
      <w:r>
        <w:t>C.  Staff Competence</w:t>
      </w:r>
    </w:p>
    <w:p w14:paraId="25C7F7AD" w14:textId="1900F184" w:rsidR="003A3415" w:rsidRDefault="00043A51">
      <w:pPr>
        <w:spacing w:after="160" w:line="312" w:lineRule="auto"/>
        <w:jc w:val="both"/>
      </w:pPr>
      <w:r>
        <w:t xml:space="preserve">Staff competence denotes the observable and measurable knowledge, skills, abilities and attributes that enable procurement personnel to perform effectively (Hutchinson et al., 2023). In an e-procurement setting it spans technical and digital competence (the ability to operate platforms such as GHANEPS, manage electronic bids and maintain digital records), procedural competence (mastery of the legal and regulatory framework) and behavioural competence (judgement, integrity and collaboration). Competence is widely linked to </w:t>
      </w:r>
      <w:r w:rsidR="0046133B">
        <w:t>organizational</w:t>
      </w:r>
      <w:r>
        <w:t xml:space="preserve"> efficiency, service quality and innovation, and the digital dimension has become increasingly decisive as procurement functions are automated (Boyatzis, 2019; van Laar et al., 2020). Because procurement officers are the buyers who ultimately secure—or fail to secure—value for money, their competence is a plausible determinant of whether the system performs (Bosio et al., 2022).</w:t>
      </w:r>
    </w:p>
    <w:p w14:paraId="03757554" w14:textId="77777777" w:rsidR="003A3415" w:rsidRDefault="00043A51">
      <w:pPr>
        <w:pStyle w:val="Heading2"/>
      </w:pPr>
      <w:r>
        <w:t>D.  Supplier Competence</w:t>
      </w:r>
    </w:p>
    <w:p w14:paraId="4C22C3F3" w14:textId="01971230" w:rsidR="003A3415" w:rsidRDefault="00043A51">
      <w:pPr>
        <w:spacing w:after="160" w:line="312" w:lineRule="auto"/>
        <w:jc w:val="both"/>
      </w:pPr>
      <w:r>
        <w:lastRenderedPageBreak/>
        <w:t xml:space="preserve">Supplier competence refers to the qualities, skills and knowledge that allow a supplier to meet a buyer’s requirements for quality, performance, quantity and reliability (Hutchinson et al., 2023; Vrbová et al., 2018). In digital procurement it is expressed as technological readiness (access to reliable ICT infrastructure), ICT literacy (the ability to navigate platforms, prepare compliant electronic bids and use instruments such as digital signatures) and system integration (the capacity to align internal processes with the buyer’s e-procurement system). Where suppliers possess these competencies, electronic tendering becomes more genuinely competitive; where they do not, the pool of effective </w:t>
      </w:r>
      <w:r w:rsidR="0046133B">
        <w:t>bidders’</w:t>
      </w:r>
      <w:r>
        <w:t xml:space="preserve"> contracts and the competition on which VfM depends is weakened (Agyekum et al., 2025).</w:t>
      </w:r>
    </w:p>
    <w:p w14:paraId="6CC41019" w14:textId="77777777" w:rsidR="003A3415" w:rsidRDefault="00043A51">
      <w:pPr>
        <w:pStyle w:val="Heading1"/>
      </w:pPr>
      <w:r>
        <w:t>V.  Theoretical Framework</w:t>
      </w:r>
    </w:p>
    <w:p w14:paraId="38AA9295" w14:textId="77777777" w:rsidR="003A3415" w:rsidRDefault="00043A51">
      <w:pPr>
        <w:spacing w:after="160" w:line="312" w:lineRule="auto"/>
        <w:jc w:val="both"/>
      </w:pPr>
      <w:r>
        <w:t xml:space="preserve">No single theory captures the full phenomenon. The framework therefore draws on four established theories, each addressing a different layer of the e-procurement–VfM relationship: Transaction Cost Theory and Agency Theory explain why e-procurement is needed; the Resource-Based View explains why the same technology yields different results across organisations; and the Technology Acceptance Model explains the behavioural conditions under which the technology is actually used. The four are treated in turn and then </w:t>
      </w:r>
      <w:proofErr w:type="spellStart"/>
      <w:r>
        <w:t>synthesised</w:t>
      </w:r>
      <w:proofErr w:type="spellEnd"/>
      <w:r>
        <w:t>.</w:t>
      </w:r>
    </w:p>
    <w:p w14:paraId="02C62F94" w14:textId="77777777" w:rsidR="003A3415" w:rsidRDefault="00043A51">
      <w:pPr>
        <w:pStyle w:val="Heading2"/>
      </w:pPr>
      <w:r>
        <w:t>A.  Transaction Cost Theory</w:t>
      </w:r>
    </w:p>
    <w:p w14:paraId="081C0541" w14:textId="77777777" w:rsidR="003A3415" w:rsidRDefault="00043A51">
      <w:pPr>
        <w:spacing w:after="160" w:line="312" w:lineRule="auto"/>
        <w:jc w:val="both"/>
      </w:pPr>
      <w:r>
        <w:t xml:space="preserve">Transaction Cost Theory holds that economic exchange carries costs—of search and information, negotiation and decision, and monitoring and enforcement—over and above the intrinsic price of the good or service (Williamson, 1981; Dahlman, 1979). In manual public procurement these frictions are large: tender processing is slow, information is fragmented across paper records, and opportunities for error and manipulation are abundant (Dedrick, Xu, &amp; Zhu, 2008). TCT predicts that digital platforms </w:t>
      </w:r>
      <w:proofErr w:type="spellStart"/>
      <w:r>
        <w:t>economise</w:t>
      </w:r>
      <w:proofErr w:type="spellEnd"/>
      <w:r>
        <w:t xml:space="preserve"> on these costs by </w:t>
      </w:r>
      <w:proofErr w:type="spellStart"/>
      <w:r>
        <w:t>standardising</w:t>
      </w:r>
      <w:proofErr w:type="spellEnd"/>
      <w:r>
        <w:t xml:space="preserve"> contracts, </w:t>
      </w:r>
      <w:proofErr w:type="spellStart"/>
      <w:r>
        <w:t>centralising</w:t>
      </w:r>
      <w:proofErr w:type="spellEnd"/>
      <w:r>
        <w:t xml:space="preserve"> information and automating routine steps, thereby lowering the overall cost of transacting (Williamson, 1981; Bausà Peris et al., 2023).</w:t>
      </w:r>
    </w:p>
    <w:p w14:paraId="360242D7" w14:textId="77777777" w:rsidR="003A3415" w:rsidRDefault="00043A51">
      <w:pPr>
        <w:spacing w:after="160" w:line="312" w:lineRule="auto"/>
        <w:jc w:val="both"/>
      </w:pPr>
      <w:r>
        <w:t xml:space="preserve">Applied to Ghana, TCT frames e-procurement as a mechanism for reducing the transaction costs that erode value for money. By shifting tendering, evaluation and payment onto GHANEPS, the state replaces high-friction manual workflows with auditable digital ones, in principle freeing resources and shortening cycle times (Dadzie &amp; Yornu, 2025). Crucially, however, TCT also implies a boundary condition: the cost savings are </w:t>
      </w:r>
      <w:proofErr w:type="spellStart"/>
      <w:r>
        <w:t>realised</w:t>
      </w:r>
      <w:proofErr w:type="spellEnd"/>
      <w:r>
        <w:t xml:space="preserve"> only if the digital process is used as intended. Where users revert to manual “work-arounds”, the friction—and its cost—returns. This is the point at which competence enters the theory.</w:t>
      </w:r>
    </w:p>
    <w:p w14:paraId="0FCB13BB" w14:textId="77777777" w:rsidR="003A3415" w:rsidRDefault="00043A51">
      <w:pPr>
        <w:pStyle w:val="Heading2"/>
      </w:pPr>
      <w:r>
        <w:t>B.  Agency Theory</w:t>
      </w:r>
    </w:p>
    <w:p w14:paraId="7CC0AB1F" w14:textId="77777777" w:rsidR="003A3415" w:rsidRDefault="00043A51">
      <w:pPr>
        <w:spacing w:after="160" w:line="312" w:lineRule="auto"/>
        <w:jc w:val="both"/>
      </w:pPr>
      <w:r>
        <w:lastRenderedPageBreak/>
        <w:t>Agency Theory analyses the relationship between principals, who delegate authority, and agents, who act on their behalf, and the conflicts that arise when their interests, information and risk preferences diverge (Jensen &amp; Meckling, 1976; Panda &amp; Leepsa, 2017). Such divergence generates agency costs—monitoring costs, bonding costs and residual losses—as agents pursue private rather than principal interests (Berle &amp; Means, 1932; Eisenhardt, 1989). The theory prescribes contracts, incentives and monitoring to align behaviour and contain these costs.</w:t>
      </w:r>
    </w:p>
    <w:p w14:paraId="0671BB54" w14:textId="77777777" w:rsidR="003A3415" w:rsidRDefault="00043A51">
      <w:pPr>
        <w:spacing w:after="160" w:line="312" w:lineRule="auto"/>
        <w:jc w:val="both"/>
      </w:pPr>
      <w:r>
        <w:t xml:space="preserve">In public procurement the state is the principal and procurement officers and suppliers are agents; the persistent risks of corruption, collusion and information asymmetry are classic manifestations of the principal–agent problem (Putri et al., 2024). E-procurement attacks this problem by improving monitoring—through transparent, time-stamped bidding processes—and by aligning incentives through </w:t>
      </w:r>
      <w:proofErr w:type="spellStart"/>
      <w:r>
        <w:t>standardised</w:t>
      </w:r>
      <w:proofErr w:type="spellEnd"/>
      <w:r>
        <w:t>, performance-linked supplier engagement. By forcing a digital audit trail, GHANEPS narrows the discretion through which agents can act opportunistically, reducing agency costs and protecting value for money. Together, TCT and Agency Theory therefore explain the functional necessity of e-procurement: it is the instrument through which the state seeks to compress both the friction of transacting and the costs of misaligned agents.</w:t>
      </w:r>
    </w:p>
    <w:p w14:paraId="542C2AC1" w14:textId="77777777" w:rsidR="003A3415" w:rsidRDefault="00043A51">
      <w:pPr>
        <w:pStyle w:val="Heading2"/>
      </w:pPr>
      <w:r>
        <w:t>C.  Resource-Based View</w:t>
      </w:r>
    </w:p>
    <w:p w14:paraId="3D711285" w14:textId="77777777" w:rsidR="003A3415" w:rsidRDefault="00043A51">
      <w:pPr>
        <w:spacing w:after="160" w:line="312" w:lineRule="auto"/>
        <w:jc w:val="both"/>
      </w:pPr>
      <w:r>
        <w:t>Where TCT and Agency Theory explain why e-procurement is adopted, the Resource-Based View explains why its results vary. The RBV holds that sustained competitive advantage flows from resources that are valuable, rare, inimitable and non-substitutable—the VRIN attributes (Wernerfelt, 1984; Barney, 1991). Resources may be tangible or intangible, and intangible capabilities such as skills, knowledge and experience are often the most strategically significant because they are the hardest for rivals to copy (Kamasak, 2017; Purba et al., 2023).</w:t>
      </w:r>
    </w:p>
    <w:p w14:paraId="35E03B14" w14:textId="77777777" w:rsidR="003A3415" w:rsidRDefault="00043A51">
      <w:pPr>
        <w:spacing w:after="160" w:line="312" w:lineRule="auto"/>
        <w:jc w:val="both"/>
      </w:pPr>
      <w:r>
        <w:t xml:space="preserve">From an RBV perspective, an e-procurement platform such as GHANEPS is an </w:t>
      </w:r>
      <w:proofErr w:type="spellStart"/>
      <w:r>
        <w:t>organisational</w:t>
      </w:r>
      <w:proofErr w:type="spellEnd"/>
      <w:r>
        <w:t xml:space="preserve"> resource, but it is a latent one: technology that is widely available and readily imitable cannot, by itself, confer advantage. What activates it is the human capital that operates it. Staff competence—the ability to manage digital bids and enforce procedure—and supplier competence—the ability to submit compliant, competitive electronic tenders—are the VRIN resources that convert a generic digital tool into superior procurement performance (Kubwimana &amp; Nimpano, 2025; Li et al., 2024). The RBV therefore supplies the theoretical rationale for treating competence as a moderator: it is the capability that determines how much value the technology actually releases.</w:t>
      </w:r>
    </w:p>
    <w:p w14:paraId="76474208" w14:textId="77777777" w:rsidR="003A3415" w:rsidRDefault="00043A51">
      <w:pPr>
        <w:pStyle w:val="Heading2"/>
      </w:pPr>
      <w:r>
        <w:t>D.  Technology Acceptance Model</w:t>
      </w:r>
    </w:p>
    <w:p w14:paraId="26BD2FF5" w14:textId="77777777" w:rsidR="003A3415" w:rsidRDefault="00043A51">
      <w:pPr>
        <w:spacing w:after="160" w:line="312" w:lineRule="auto"/>
        <w:jc w:val="both"/>
      </w:pPr>
      <w:r>
        <w:t xml:space="preserve">The Technology Acceptance Model explains the behavioural micro-foundations of system use. Davis (1989) argued that a user’s intention to use a technology, and ultimately their actual use of it, is driven by two beliefs: perceived usefulness (the degree to which the technology is expected </w:t>
      </w:r>
      <w:r>
        <w:lastRenderedPageBreak/>
        <w:t>to improve performance) and perceived ease of use (the degree to which it is expected to be effort-free). The model has been extended and applied across many domains, including procurement and e-commerce, and remains a robust predictor of technology adoption (Venkatesh &amp; Davis, 2000; Marikyan &amp; Papagiannidis, 2024).</w:t>
      </w:r>
    </w:p>
    <w:p w14:paraId="42E59801" w14:textId="77777777" w:rsidR="003A3415" w:rsidRDefault="00043A51">
      <w:pPr>
        <w:spacing w:after="160" w:line="312" w:lineRule="auto"/>
        <w:jc w:val="both"/>
      </w:pPr>
      <w:r>
        <w:t xml:space="preserve">TAM is the bridge between competence and use. Competent staff and suppliers are more likely to perceive an e-procurement system as both easy to use and useful, and therefore to adopt it fully; users who lack competence experience the platform as difficult and of doubtful benefit, and tend to resist it—reverting to manual processes that resurrect the very transaction and agency costs the system was meant to remove (Addy et al., 2024). In this way TAM links the capability identified by the RBV to the cost reductions predicted by TCT and Agency Theory: competence raises perceived usefulness and ease of use, which raises genuine adoption, which in turn allows the system to deliver value for money. Although TAM has been </w:t>
      </w:r>
      <w:proofErr w:type="spellStart"/>
      <w:r>
        <w:t>criticised</w:t>
      </w:r>
      <w:proofErr w:type="spellEnd"/>
      <w:r>
        <w:t xml:space="preserve"> for its parsimony—omitting social, cultural and </w:t>
      </w:r>
      <w:proofErr w:type="spellStart"/>
      <w:r>
        <w:t>organisational</w:t>
      </w:r>
      <w:proofErr w:type="spellEnd"/>
      <w:r>
        <w:t xml:space="preserve"> influences and assuming a largely linear path from belief to behaviour (Ndeti &amp; Mutuku, 2021)—its core constructs remain directly relevant to the competence–adoption nexus at the heart of this framework.</w:t>
      </w:r>
    </w:p>
    <w:p w14:paraId="7D053B92" w14:textId="77777777" w:rsidR="003A3415" w:rsidRDefault="00043A51">
      <w:pPr>
        <w:pStyle w:val="Heading2"/>
      </w:pPr>
      <w:r>
        <w:t>E.  Theoretical Synthesis</w:t>
      </w:r>
    </w:p>
    <w:p w14:paraId="4CCB4EBE" w14:textId="77777777" w:rsidR="003A3415" w:rsidRDefault="00043A51">
      <w:pPr>
        <w:spacing w:after="160" w:line="312" w:lineRule="auto"/>
        <w:jc w:val="both"/>
      </w:pPr>
      <w:r>
        <w:t>The four theories combine into a single, layered account of e-procurement in the public sector. At the problem layer, Transaction Cost Theory and Agency Theory establish the rationale for reform: value for money is eroded by agency costs such as corruption and self-interest and by transaction costs arising from manual inefficiency and information asymmetry, and e-procurement is the structural response that narrows the information gap between the state and its agents (Putri et al., 2024; Dadzie &amp; Yornu, 2025). At the strategic layer, the Resource-Based View qualifies this promise: GHANEPS supplies the infrastructure, but the technology remains a latent resource until it is activated by the rare and valuable competencies of staff and suppliers (Kubwimana &amp; Nimpano, 2025; Li et al., 2024). At the adoption layer, the Technology Acceptance Model specifies the behavioural condition for activation: unless users perceive the system as useful and easy to use, they will not adopt it, and the transparency dividend will be lost (Addy et al., 2024).</w:t>
      </w:r>
    </w:p>
    <w:p w14:paraId="2E98AEDC" w14:textId="77777777" w:rsidR="003A3415" w:rsidRDefault="00043A51">
      <w:pPr>
        <w:spacing w:after="160" w:line="312" w:lineRule="auto"/>
        <w:jc w:val="both"/>
      </w:pPr>
      <w:r>
        <w:t>The synthesis yields the paper’s central proposition in compact form: e-procurement reduces transaction and agency costs, and thereby advances value for money, but only to the extent that competent staff and suppliers make the system usable and used. Competence is thus not a peripheral input but the hinge on which the entire relationship turns—which is precisely why it is modelled as a moderator rather than a control variable. Table 1 maps each theory to its role in the framework.</w:t>
      </w:r>
    </w:p>
    <w:p w14:paraId="3278ED9D" w14:textId="77777777" w:rsidR="003A3415" w:rsidRDefault="00043A51">
      <w:pPr>
        <w:spacing w:before="120" w:after="80"/>
      </w:pPr>
      <w:r>
        <w:rPr>
          <w:b/>
          <w:bCs/>
          <w:sz w:val="22"/>
          <w:szCs w:val="22"/>
        </w:rPr>
        <w:t xml:space="preserve">Table 1. </w:t>
      </w:r>
      <w:r>
        <w:rPr>
          <w:i/>
          <w:iCs/>
          <w:sz w:val="22"/>
          <w:szCs w:val="22"/>
        </w:rPr>
        <w:t>Mapping of theories to constructs in the proposed framework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0"/>
        <w:gridCol w:w="2100"/>
        <w:gridCol w:w="3360"/>
        <w:gridCol w:w="2000"/>
      </w:tblGrid>
      <w:tr w:rsidR="003A3415" w14:paraId="0F3C2256" w14:textId="77777777">
        <w:trPr>
          <w:tblHeader/>
        </w:trPr>
        <w:tc>
          <w:tcPr>
            <w:tcW w:w="1900" w:type="dxa"/>
            <w:tcBorders>
              <w:top w:val="single" w:sz="4" w:space="0" w:color="9AA7B8"/>
              <w:left w:val="single" w:sz="4" w:space="0" w:color="9AA7B8"/>
              <w:bottom w:val="single" w:sz="4" w:space="0" w:color="9AA7B8"/>
              <w:right w:val="single" w:sz="4" w:space="0" w:color="9AA7B8"/>
            </w:tcBorders>
            <w:shd w:val="clear" w:color="auto" w:fill="1F3864"/>
            <w:tcMar>
              <w:top w:w="70" w:type="dxa"/>
              <w:left w:w="110" w:type="dxa"/>
              <w:bottom w:w="70" w:type="dxa"/>
              <w:right w:w="110" w:type="dxa"/>
            </w:tcMar>
            <w:vAlign w:val="center"/>
          </w:tcPr>
          <w:p w14:paraId="644062A5" w14:textId="77777777" w:rsidR="003A3415" w:rsidRDefault="00043A51">
            <w:pPr>
              <w:spacing w:line="264" w:lineRule="auto"/>
            </w:pPr>
            <w:r>
              <w:rPr>
                <w:b/>
                <w:bCs/>
                <w:color w:val="FFFFFF"/>
                <w:sz w:val="21"/>
                <w:szCs w:val="21"/>
              </w:rPr>
              <w:lastRenderedPageBreak/>
              <w:t>Theory</w:t>
            </w:r>
          </w:p>
        </w:tc>
        <w:tc>
          <w:tcPr>
            <w:tcW w:w="2100" w:type="dxa"/>
            <w:tcBorders>
              <w:top w:val="single" w:sz="4" w:space="0" w:color="9AA7B8"/>
              <w:left w:val="single" w:sz="4" w:space="0" w:color="9AA7B8"/>
              <w:bottom w:val="single" w:sz="4" w:space="0" w:color="9AA7B8"/>
              <w:right w:val="single" w:sz="4" w:space="0" w:color="9AA7B8"/>
            </w:tcBorders>
            <w:shd w:val="clear" w:color="auto" w:fill="1F3864"/>
            <w:tcMar>
              <w:top w:w="70" w:type="dxa"/>
              <w:left w:w="110" w:type="dxa"/>
              <w:bottom w:w="70" w:type="dxa"/>
              <w:right w:w="110" w:type="dxa"/>
            </w:tcMar>
            <w:vAlign w:val="center"/>
          </w:tcPr>
          <w:p w14:paraId="15154024" w14:textId="77777777" w:rsidR="003A3415" w:rsidRDefault="00043A51">
            <w:pPr>
              <w:spacing w:line="264" w:lineRule="auto"/>
            </w:pPr>
            <w:r>
              <w:rPr>
                <w:b/>
                <w:bCs/>
                <w:color w:val="FFFFFF"/>
                <w:sz w:val="21"/>
                <w:szCs w:val="21"/>
              </w:rPr>
              <w:t>Role in framework</w:t>
            </w:r>
          </w:p>
        </w:tc>
        <w:tc>
          <w:tcPr>
            <w:tcW w:w="3360" w:type="dxa"/>
            <w:tcBorders>
              <w:top w:val="single" w:sz="4" w:space="0" w:color="9AA7B8"/>
              <w:left w:val="single" w:sz="4" w:space="0" w:color="9AA7B8"/>
              <w:bottom w:val="single" w:sz="4" w:space="0" w:color="9AA7B8"/>
              <w:right w:val="single" w:sz="4" w:space="0" w:color="9AA7B8"/>
            </w:tcBorders>
            <w:shd w:val="clear" w:color="auto" w:fill="1F3864"/>
            <w:tcMar>
              <w:top w:w="70" w:type="dxa"/>
              <w:left w:w="110" w:type="dxa"/>
              <w:bottom w:w="70" w:type="dxa"/>
              <w:right w:w="110" w:type="dxa"/>
            </w:tcMar>
            <w:vAlign w:val="center"/>
          </w:tcPr>
          <w:p w14:paraId="6B4A63A4" w14:textId="77777777" w:rsidR="003A3415" w:rsidRDefault="00043A51">
            <w:pPr>
              <w:spacing w:line="264" w:lineRule="auto"/>
            </w:pPr>
            <w:r>
              <w:rPr>
                <w:b/>
                <w:bCs/>
                <w:color w:val="FFFFFF"/>
                <w:sz w:val="21"/>
                <w:szCs w:val="21"/>
              </w:rPr>
              <w:t>Primary explanatory function</w:t>
            </w:r>
          </w:p>
        </w:tc>
        <w:tc>
          <w:tcPr>
            <w:tcW w:w="2000" w:type="dxa"/>
            <w:tcBorders>
              <w:top w:val="single" w:sz="4" w:space="0" w:color="9AA7B8"/>
              <w:left w:val="single" w:sz="4" w:space="0" w:color="9AA7B8"/>
              <w:bottom w:val="single" w:sz="4" w:space="0" w:color="9AA7B8"/>
              <w:right w:val="single" w:sz="4" w:space="0" w:color="9AA7B8"/>
            </w:tcBorders>
            <w:shd w:val="clear" w:color="auto" w:fill="1F3864"/>
            <w:tcMar>
              <w:top w:w="70" w:type="dxa"/>
              <w:left w:w="110" w:type="dxa"/>
              <w:bottom w:w="70" w:type="dxa"/>
              <w:right w:w="110" w:type="dxa"/>
            </w:tcMar>
            <w:vAlign w:val="center"/>
          </w:tcPr>
          <w:p w14:paraId="1FDD7E1F" w14:textId="77777777" w:rsidR="003A3415" w:rsidRDefault="00043A51">
            <w:pPr>
              <w:spacing w:line="264" w:lineRule="auto"/>
            </w:pPr>
            <w:r>
              <w:rPr>
                <w:b/>
                <w:bCs/>
                <w:color w:val="FFFFFF"/>
                <w:sz w:val="21"/>
                <w:szCs w:val="21"/>
              </w:rPr>
              <w:t>Representative recent source</w:t>
            </w:r>
          </w:p>
        </w:tc>
      </w:tr>
      <w:tr w:rsidR="003A3415" w14:paraId="1339C17D" w14:textId="77777777">
        <w:tc>
          <w:tcPr>
            <w:tcW w:w="1900" w:type="dxa"/>
            <w:tcBorders>
              <w:top w:val="single" w:sz="4" w:space="0" w:color="9AA7B8"/>
              <w:left w:val="single" w:sz="4" w:space="0" w:color="9AA7B8"/>
              <w:bottom w:val="single" w:sz="4" w:space="0" w:color="9AA7B8"/>
              <w:right w:val="single" w:sz="4" w:space="0" w:color="9AA7B8"/>
            </w:tcBorders>
            <w:shd w:val="clear" w:color="auto" w:fill="FFFFFF"/>
            <w:tcMar>
              <w:top w:w="70" w:type="dxa"/>
              <w:left w:w="110" w:type="dxa"/>
              <w:bottom w:w="70" w:type="dxa"/>
              <w:right w:w="110" w:type="dxa"/>
            </w:tcMar>
            <w:vAlign w:val="center"/>
          </w:tcPr>
          <w:p w14:paraId="10FE0421" w14:textId="77777777" w:rsidR="003A3415" w:rsidRDefault="00043A51">
            <w:pPr>
              <w:spacing w:line="264" w:lineRule="auto"/>
            </w:pPr>
            <w:r>
              <w:rPr>
                <w:color w:val="000000"/>
                <w:sz w:val="21"/>
                <w:szCs w:val="21"/>
              </w:rPr>
              <w:t>Transaction Cost Theory / Agency Theory</w:t>
            </w:r>
          </w:p>
        </w:tc>
        <w:tc>
          <w:tcPr>
            <w:tcW w:w="2100" w:type="dxa"/>
            <w:tcBorders>
              <w:top w:val="single" w:sz="4" w:space="0" w:color="9AA7B8"/>
              <w:left w:val="single" w:sz="4" w:space="0" w:color="9AA7B8"/>
              <w:bottom w:val="single" w:sz="4" w:space="0" w:color="9AA7B8"/>
              <w:right w:val="single" w:sz="4" w:space="0" w:color="9AA7B8"/>
            </w:tcBorders>
            <w:shd w:val="clear" w:color="auto" w:fill="FFFFFF"/>
            <w:tcMar>
              <w:top w:w="70" w:type="dxa"/>
              <w:left w:w="110" w:type="dxa"/>
              <w:bottom w:w="70" w:type="dxa"/>
              <w:right w:w="110" w:type="dxa"/>
            </w:tcMar>
            <w:vAlign w:val="center"/>
          </w:tcPr>
          <w:p w14:paraId="7BF11304" w14:textId="77777777" w:rsidR="003A3415" w:rsidRDefault="00043A51">
            <w:pPr>
              <w:spacing w:line="264" w:lineRule="auto"/>
            </w:pPr>
            <w:r>
              <w:rPr>
                <w:color w:val="000000"/>
                <w:sz w:val="21"/>
                <w:szCs w:val="21"/>
              </w:rPr>
              <w:t>Explains the IV–DV link</w:t>
            </w:r>
          </w:p>
        </w:tc>
        <w:tc>
          <w:tcPr>
            <w:tcW w:w="3360" w:type="dxa"/>
            <w:tcBorders>
              <w:top w:val="single" w:sz="4" w:space="0" w:color="9AA7B8"/>
              <w:left w:val="single" w:sz="4" w:space="0" w:color="9AA7B8"/>
              <w:bottom w:val="single" w:sz="4" w:space="0" w:color="9AA7B8"/>
              <w:right w:val="single" w:sz="4" w:space="0" w:color="9AA7B8"/>
            </w:tcBorders>
            <w:shd w:val="clear" w:color="auto" w:fill="FFFFFF"/>
            <w:tcMar>
              <w:top w:w="70" w:type="dxa"/>
              <w:left w:w="110" w:type="dxa"/>
              <w:bottom w:w="70" w:type="dxa"/>
              <w:right w:w="110" w:type="dxa"/>
            </w:tcMar>
            <w:vAlign w:val="center"/>
          </w:tcPr>
          <w:p w14:paraId="6A738706" w14:textId="77777777" w:rsidR="003A3415" w:rsidRDefault="00043A51">
            <w:pPr>
              <w:spacing w:line="264" w:lineRule="auto"/>
            </w:pPr>
            <w:r>
              <w:rPr>
                <w:color w:val="000000"/>
                <w:sz w:val="21"/>
                <w:szCs w:val="21"/>
              </w:rPr>
              <w:t>E-procurement reduces transaction and agency costs (corruption, friction, information asymmetry) to yield VfM</w:t>
            </w:r>
          </w:p>
        </w:tc>
        <w:tc>
          <w:tcPr>
            <w:tcW w:w="2000" w:type="dxa"/>
            <w:tcBorders>
              <w:top w:val="single" w:sz="4" w:space="0" w:color="9AA7B8"/>
              <w:left w:val="single" w:sz="4" w:space="0" w:color="9AA7B8"/>
              <w:bottom w:val="single" w:sz="4" w:space="0" w:color="9AA7B8"/>
              <w:right w:val="single" w:sz="4" w:space="0" w:color="9AA7B8"/>
            </w:tcBorders>
            <w:shd w:val="clear" w:color="auto" w:fill="FFFFFF"/>
            <w:tcMar>
              <w:top w:w="70" w:type="dxa"/>
              <w:left w:w="110" w:type="dxa"/>
              <w:bottom w:w="70" w:type="dxa"/>
              <w:right w:w="110" w:type="dxa"/>
            </w:tcMar>
            <w:vAlign w:val="center"/>
          </w:tcPr>
          <w:p w14:paraId="6D0FD3B5" w14:textId="77777777" w:rsidR="003A3415" w:rsidRDefault="00043A51">
            <w:pPr>
              <w:spacing w:line="264" w:lineRule="auto"/>
            </w:pPr>
            <w:r>
              <w:rPr>
                <w:color w:val="000000"/>
                <w:sz w:val="21"/>
                <w:szCs w:val="21"/>
              </w:rPr>
              <w:t>Dadzie &amp; Yornu (2025)</w:t>
            </w:r>
          </w:p>
        </w:tc>
      </w:tr>
      <w:tr w:rsidR="003A3415" w14:paraId="6F93AC63" w14:textId="77777777">
        <w:tc>
          <w:tcPr>
            <w:tcW w:w="1900" w:type="dxa"/>
            <w:tcBorders>
              <w:top w:val="single" w:sz="4" w:space="0" w:color="9AA7B8"/>
              <w:left w:val="single" w:sz="4" w:space="0" w:color="9AA7B8"/>
              <w:bottom w:val="single" w:sz="4" w:space="0" w:color="9AA7B8"/>
              <w:right w:val="single" w:sz="4" w:space="0" w:color="9AA7B8"/>
            </w:tcBorders>
            <w:shd w:val="clear" w:color="auto" w:fill="FFFFFF"/>
            <w:tcMar>
              <w:top w:w="70" w:type="dxa"/>
              <w:left w:w="110" w:type="dxa"/>
              <w:bottom w:w="70" w:type="dxa"/>
              <w:right w:w="110" w:type="dxa"/>
            </w:tcMar>
            <w:vAlign w:val="center"/>
          </w:tcPr>
          <w:p w14:paraId="29C0A045" w14:textId="77777777" w:rsidR="003A3415" w:rsidRDefault="00043A51">
            <w:pPr>
              <w:spacing w:line="264" w:lineRule="auto"/>
            </w:pPr>
            <w:r>
              <w:rPr>
                <w:color w:val="000000"/>
                <w:sz w:val="21"/>
                <w:szCs w:val="21"/>
              </w:rPr>
              <w:t>Resource-Based View</w:t>
            </w:r>
          </w:p>
        </w:tc>
        <w:tc>
          <w:tcPr>
            <w:tcW w:w="2100" w:type="dxa"/>
            <w:tcBorders>
              <w:top w:val="single" w:sz="4" w:space="0" w:color="9AA7B8"/>
              <w:left w:val="single" w:sz="4" w:space="0" w:color="9AA7B8"/>
              <w:bottom w:val="single" w:sz="4" w:space="0" w:color="9AA7B8"/>
              <w:right w:val="single" w:sz="4" w:space="0" w:color="9AA7B8"/>
            </w:tcBorders>
            <w:shd w:val="clear" w:color="auto" w:fill="FFFFFF"/>
            <w:tcMar>
              <w:top w:w="70" w:type="dxa"/>
              <w:left w:w="110" w:type="dxa"/>
              <w:bottom w:w="70" w:type="dxa"/>
              <w:right w:w="110" w:type="dxa"/>
            </w:tcMar>
            <w:vAlign w:val="center"/>
          </w:tcPr>
          <w:p w14:paraId="5DD131F5" w14:textId="77777777" w:rsidR="003A3415" w:rsidRDefault="00043A51">
            <w:pPr>
              <w:spacing w:line="264" w:lineRule="auto"/>
            </w:pPr>
            <w:r>
              <w:rPr>
                <w:color w:val="000000"/>
                <w:sz w:val="21"/>
                <w:szCs w:val="21"/>
              </w:rPr>
              <w:t>Positions the moderators</w:t>
            </w:r>
          </w:p>
        </w:tc>
        <w:tc>
          <w:tcPr>
            <w:tcW w:w="3360" w:type="dxa"/>
            <w:tcBorders>
              <w:top w:val="single" w:sz="4" w:space="0" w:color="9AA7B8"/>
              <w:left w:val="single" w:sz="4" w:space="0" w:color="9AA7B8"/>
              <w:bottom w:val="single" w:sz="4" w:space="0" w:color="9AA7B8"/>
              <w:right w:val="single" w:sz="4" w:space="0" w:color="9AA7B8"/>
            </w:tcBorders>
            <w:shd w:val="clear" w:color="auto" w:fill="FFFFFF"/>
            <w:tcMar>
              <w:top w:w="70" w:type="dxa"/>
              <w:left w:w="110" w:type="dxa"/>
              <w:bottom w:w="70" w:type="dxa"/>
              <w:right w:w="110" w:type="dxa"/>
            </w:tcMar>
            <w:vAlign w:val="center"/>
          </w:tcPr>
          <w:p w14:paraId="3D767B5D" w14:textId="77777777" w:rsidR="003A3415" w:rsidRDefault="00043A51">
            <w:pPr>
              <w:spacing w:line="264" w:lineRule="auto"/>
            </w:pPr>
            <w:r>
              <w:rPr>
                <w:color w:val="000000"/>
                <w:sz w:val="21"/>
                <w:szCs w:val="21"/>
              </w:rPr>
              <w:t>Staff and supplier competence are the VRIN human capital that activate the technology</w:t>
            </w:r>
          </w:p>
        </w:tc>
        <w:tc>
          <w:tcPr>
            <w:tcW w:w="2000" w:type="dxa"/>
            <w:tcBorders>
              <w:top w:val="single" w:sz="4" w:space="0" w:color="9AA7B8"/>
              <w:left w:val="single" w:sz="4" w:space="0" w:color="9AA7B8"/>
              <w:bottom w:val="single" w:sz="4" w:space="0" w:color="9AA7B8"/>
              <w:right w:val="single" w:sz="4" w:space="0" w:color="9AA7B8"/>
            </w:tcBorders>
            <w:shd w:val="clear" w:color="auto" w:fill="FFFFFF"/>
            <w:tcMar>
              <w:top w:w="70" w:type="dxa"/>
              <w:left w:w="110" w:type="dxa"/>
              <w:bottom w:w="70" w:type="dxa"/>
              <w:right w:w="110" w:type="dxa"/>
            </w:tcMar>
            <w:vAlign w:val="center"/>
          </w:tcPr>
          <w:p w14:paraId="05678631" w14:textId="77777777" w:rsidR="003A3415" w:rsidRDefault="00043A51">
            <w:pPr>
              <w:spacing w:line="264" w:lineRule="auto"/>
            </w:pPr>
            <w:r>
              <w:rPr>
                <w:color w:val="000000"/>
                <w:sz w:val="21"/>
                <w:szCs w:val="21"/>
              </w:rPr>
              <w:t>Kubwimana &amp; Nimpano (2025)</w:t>
            </w:r>
          </w:p>
        </w:tc>
      </w:tr>
      <w:tr w:rsidR="003A3415" w14:paraId="7C544C3B" w14:textId="77777777">
        <w:tc>
          <w:tcPr>
            <w:tcW w:w="1900" w:type="dxa"/>
            <w:tcBorders>
              <w:top w:val="single" w:sz="4" w:space="0" w:color="9AA7B8"/>
              <w:left w:val="single" w:sz="4" w:space="0" w:color="9AA7B8"/>
              <w:bottom w:val="single" w:sz="4" w:space="0" w:color="9AA7B8"/>
              <w:right w:val="single" w:sz="4" w:space="0" w:color="9AA7B8"/>
            </w:tcBorders>
            <w:shd w:val="clear" w:color="auto" w:fill="FFFFFF"/>
            <w:tcMar>
              <w:top w:w="70" w:type="dxa"/>
              <w:left w:w="110" w:type="dxa"/>
              <w:bottom w:w="70" w:type="dxa"/>
              <w:right w:w="110" w:type="dxa"/>
            </w:tcMar>
            <w:vAlign w:val="center"/>
          </w:tcPr>
          <w:p w14:paraId="0F4940B6" w14:textId="77777777" w:rsidR="003A3415" w:rsidRDefault="00043A51">
            <w:pPr>
              <w:spacing w:line="264" w:lineRule="auto"/>
            </w:pPr>
            <w:r>
              <w:rPr>
                <w:color w:val="000000"/>
                <w:sz w:val="21"/>
                <w:szCs w:val="21"/>
              </w:rPr>
              <w:t>Technology Acceptance Model</w:t>
            </w:r>
          </w:p>
        </w:tc>
        <w:tc>
          <w:tcPr>
            <w:tcW w:w="2100" w:type="dxa"/>
            <w:tcBorders>
              <w:top w:val="single" w:sz="4" w:space="0" w:color="9AA7B8"/>
              <w:left w:val="single" w:sz="4" w:space="0" w:color="9AA7B8"/>
              <w:bottom w:val="single" w:sz="4" w:space="0" w:color="9AA7B8"/>
              <w:right w:val="single" w:sz="4" w:space="0" w:color="9AA7B8"/>
            </w:tcBorders>
            <w:shd w:val="clear" w:color="auto" w:fill="FFFFFF"/>
            <w:tcMar>
              <w:top w:w="70" w:type="dxa"/>
              <w:left w:w="110" w:type="dxa"/>
              <w:bottom w:w="70" w:type="dxa"/>
              <w:right w:w="110" w:type="dxa"/>
            </w:tcMar>
            <w:vAlign w:val="center"/>
          </w:tcPr>
          <w:p w14:paraId="08444B94" w14:textId="77777777" w:rsidR="003A3415" w:rsidRDefault="00043A51">
            <w:pPr>
              <w:spacing w:line="264" w:lineRule="auto"/>
            </w:pPr>
            <w:r>
              <w:rPr>
                <w:color w:val="000000"/>
                <w:sz w:val="21"/>
                <w:szCs w:val="21"/>
              </w:rPr>
              <w:t>Behavioural link</w:t>
            </w:r>
          </w:p>
        </w:tc>
        <w:tc>
          <w:tcPr>
            <w:tcW w:w="3360" w:type="dxa"/>
            <w:tcBorders>
              <w:top w:val="single" w:sz="4" w:space="0" w:color="9AA7B8"/>
              <w:left w:val="single" w:sz="4" w:space="0" w:color="9AA7B8"/>
              <w:bottom w:val="single" w:sz="4" w:space="0" w:color="9AA7B8"/>
              <w:right w:val="single" w:sz="4" w:space="0" w:color="9AA7B8"/>
            </w:tcBorders>
            <w:shd w:val="clear" w:color="auto" w:fill="FFFFFF"/>
            <w:tcMar>
              <w:top w:w="70" w:type="dxa"/>
              <w:left w:w="110" w:type="dxa"/>
              <w:bottom w:w="70" w:type="dxa"/>
              <w:right w:w="110" w:type="dxa"/>
            </w:tcMar>
            <w:vAlign w:val="center"/>
          </w:tcPr>
          <w:p w14:paraId="3F142EDA" w14:textId="77777777" w:rsidR="003A3415" w:rsidRDefault="00043A51">
            <w:pPr>
              <w:spacing w:line="264" w:lineRule="auto"/>
            </w:pPr>
            <w:r>
              <w:rPr>
                <w:color w:val="000000"/>
                <w:sz w:val="21"/>
                <w:szCs w:val="21"/>
              </w:rPr>
              <w:t>Competence raises perceived usefulness and ease of use, enabling genuine adoption and system success</w:t>
            </w:r>
          </w:p>
        </w:tc>
        <w:tc>
          <w:tcPr>
            <w:tcW w:w="2000" w:type="dxa"/>
            <w:tcBorders>
              <w:top w:val="single" w:sz="4" w:space="0" w:color="9AA7B8"/>
              <w:left w:val="single" w:sz="4" w:space="0" w:color="9AA7B8"/>
              <w:bottom w:val="single" w:sz="4" w:space="0" w:color="9AA7B8"/>
              <w:right w:val="single" w:sz="4" w:space="0" w:color="9AA7B8"/>
            </w:tcBorders>
            <w:shd w:val="clear" w:color="auto" w:fill="FFFFFF"/>
            <w:tcMar>
              <w:top w:w="70" w:type="dxa"/>
              <w:left w:w="110" w:type="dxa"/>
              <w:bottom w:w="70" w:type="dxa"/>
              <w:right w:w="110" w:type="dxa"/>
            </w:tcMar>
            <w:vAlign w:val="center"/>
          </w:tcPr>
          <w:p w14:paraId="045642FB" w14:textId="77777777" w:rsidR="003A3415" w:rsidRDefault="00043A51">
            <w:pPr>
              <w:spacing w:line="264" w:lineRule="auto"/>
            </w:pPr>
            <w:r>
              <w:rPr>
                <w:color w:val="000000"/>
                <w:sz w:val="21"/>
                <w:szCs w:val="21"/>
              </w:rPr>
              <w:t>Addy et al. (2024)</w:t>
            </w:r>
          </w:p>
        </w:tc>
      </w:tr>
    </w:tbl>
    <w:p w14:paraId="48FD645A" w14:textId="77777777" w:rsidR="003A3415" w:rsidRDefault="00043A51">
      <w:pPr>
        <w:spacing w:before="60" w:after="160"/>
      </w:pPr>
      <w:r>
        <w:rPr>
          <w:i/>
          <w:iCs/>
          <w:sz w:val="20"/>
          <w:szCs w:val="20"/>
        </w:rPr>
        <w:t>Source: Authors’ construction (2026).</w:t>
      </w:r>
    </w:p>
    <w:p w14:paraId="3BFFA058" w14:textId="77777777" w:rsidR="003A3415" w:rsidRDefault="00043A51">
      <w:pPr>
        <w:pStyle w:val="Heading1"/>
      </w:pPr>
      <w:r>
        <w:t>VI.  Proposition Development and the Conceptual Framework</w:t>
      </w:r>
    </w:p>
    <w:p w14:paraId="58B72D07" w14:textId="77777777" w:rsidR="003A3415" w:rsidRDefault="00043A51">
      <w:pPr>
        <w:spacing w:after="160" w:line="312" w:lineRule="auto"/>
        <w:jc w:val="both"/>
      </w:pPr>
      <w:r>
        <w:t>From the theoretical synthesis, three relationships are specified. Each is stated as a proposition—a logically derived, empirically refutable claim that the subsequent empirical phase of the research can test.</w:t>
      </w:r>
    </w:p>
    <w:p w14:paraId="06475650" w14:textId="77777777" w:rsidR="003A3415" w:rsidRDefault="00043A51">
      <w:pPr>
        <w:pStyle w:val="Heading2"/>
      </w:pPr>
      <w:r>
        <w:t>A.  E-Procurement and Value for Money</w:t>
      </w:r>
    </w:p>
    <w:p w14:paraId="79C6FCB2" w14:textId="77777777" w:rsidR="003A3415" w:rsidRDefault="00043A51">
      <w:pPr>
        <w:spacing w:after="160" w:line="312" w:lineRule="auto"/>
        <w:jc w:val="both"/>
      </w:pPr>
      <w:r>
        <w:t xml:space="preserve">The first relationship is the direct effect of e-procurement on value for money. Drawing on TCT and Agency Theory, e-procurement should improve VfM by lowering transaction costs (through </w:t>
      </w:r>
      <w:proofErr w:type="spellStart"/>
      <w:r>
        <w:t>standardisation</w:t>
      </w:r>
      <w:proofErr w:type="spellEnd"/>
      <w:r>
        <w:t>, automation and faster cycle times) and agency costs (through transparency and improved monitoring). Empirical work broadly supports a positive association between e-procurement adoption and procurement performance, including cost savings and improved compliance (Krisanthi et al., 2014; Asif et al., 2021), although evidence from Ghana suggests the effect is real but attenuated where reforms strengthen accountability without fully securing efficiency (Dadzie &amp; Yornu, 2025).</w:t>
      </w:r>
    </w:p>
    <w:p w14:paraId="61D93D5C" w14:textId="77777777" w:rsidR="003A3415" w:rsidRDefault="00043A51">
      <w:pPr>
        <w:spacing w:after="160" w:line="312" w:lineRule="auto"/>
        <w:ind w:left="360"/>
        <w:jc w:val="both"/>
      </w:pPr>
      <w:r>
        <w:rPr>
          <w:b/>
          <w:bCs/>
        </w:rPr>
        <w:t xml:space="preserve">Proposition 1 (P1): </w:t>
      </w:r>
      <w:r>
        <w:rPr>
          <w:i/>
          <w:iCs/>
        </w:rPr>
        <w:t>E-procurement is positively associated with value for money in the Ghanaian public sector.</w:t>
      </w:r>
    </w:p>
    <w:p w14:paraId="6613E6A2" w14:textId="77777777" w:rsidR="003A3415" w:rsidRDefault="00043A51">
      <w:pPr>
        <w:pStyle w:val="Heading2"/>
      </w:pPr>
      <w:r>
        <w:t>B.  Staff Competence as a Moderator</w:t>
      </w:r>
    </w:p>
    <w:p w14:paraId="2483CA7E" w14:textId="77777777" w:rsidR="003A3415" w:rsidRDefault="00043A51">
      <w:pPr>
        <w:spacing w:after="160" w:line="312" w:lineRule="auto"/>
        <w:jc w:val="both"/>
      </w:pPr>
      <w:r>
        <w:t xml:space="preserve">The RBV and TAM jointly imply that the strength of the e-procurement–VfM relationship depends on the competence of the staff who operate the system. Where procurement officers possess strong technical, digital and procedural competence, they perceive the platform as easy to use and useful (TAM), use it fully and correctly, and so </w:t>
      </w:r>
      <w:proofErr w:type="spellStart"/>
      <w:r>
        <w:t>realise</w:t>
      </w:r>
      <w:proofErr w:type="spellEnd"/>
      <w:r>
        <w:t xml:space="preserve"> its potential to compress transaction and agency costs (RBV). Where competence is low, the system is under-used or circumvented, and the relationship weakens. Evidence from Ghana and the wider region consistently identifies staff </w:t>
      </w:r>
      <w:r>
        <w:lastRenderedPageBreak/>
        <w:t>capability and training as decisive conditions for e-procurement success (Asare &amp; Prempeh, 2017; Tutu et al., 2019; Mwangi, 2020).</w:t>
      </w:r>
    </w:p>
    <w:p w14:paraId="6EFBFDFD" w14:textId="77777777" w:rsidR="003A3415" w:rsidRDefault="00043A51">
      <w:pPr>
        <w:spacing w:after="160" w:line="312" w:lineRule="auto"/>
        <w:ind w:left="360"/>
        <w:jc w:val="both"/>
      </w:pPr>
      <w:r>
        <w:rPr>
          <w:b/>
          <w:bCs/>
        </w:rPr>
        <w:t xml:space="preserve">Proposition 2 (P2): </w:t>
      </w:r>
      <w:r>
        <w:rPr>
          <w:i/>
          <w:iCs/>
        </w:rPr>
        <w:t>Staff competence positively moderates the relationship between e-procurement and value for money, such that the relationship is stronger when staff competence is higher.</w:t>
      </w:r>
    </w:p>
    <w:p w14:paraId="544BD848" w14:textId="77777777" w:rsidR="003A3415" w:rsidRDefault="00043A51">
      <w:pPr>
        <w:pStyle w:val="Heading2"/>
      </w:pPr>
      <w:r>
        <w:t>C.  Supplier Competence as a Moderator</w:t>
      </w:r>
    </w:p>
    <w:p w14:paraId="7CB52848" w14:textId="77777777" w:rsidR="003A3415" w:rsidRDefault="00043A51">
      <w:pPr>
        <w:spacing w:after="160" w:line="312" w:lineRule="auto"/>
        <w:jc w:val="both"/>
      </w:pPr>
      <w:r>
        <w:t>The same logic applies on the supply side. Value for money in a competitive tendering system depends on a sufficient pool of capable suppliers able to submit compliant, competitive electronic bids. Technologically ready, ICT-literate suppliers whose systems integrate with GHANEPS intensify competition and reduce the cost of transacting; suppliers who cannot bid electronically are effectively excluded, thinning competition and weakening the VfM dividend (Agyekum et al., 2025; Kubwimana &amp; Nimpano, 2025). Supplier competence therefore conditions how much value e-procurement can extract from the market.</w:t>
      </w:r>
    </w:p>
    <w:p w14:paraId="4CD74219" w14:textId="77777777" w:rsidR="003A3415" w:rsidRDefault="00043A51">
      <w:pPr>
        <w:spacing w:after="160" w:line="312" w:lineRule="auto"/>
        <w:ind w:left="360"/>
        <w:jc w:val="both"/>
      </w:pPr>
      <w:r>
        <w:rPr>
          <w:b/>
          <w:bCs/>
        </w:rPr>
        <w:t xml:space="preserve">Proposition 3 (P3): </w:t>
      </w:r>
      <w:r>
        <w:rPr>
          <w:i/>
          <w:iCs/>
        </w:rPr>
        <w:t>Supplier competence positively moderates the relationship between e-procurement and value for money, such that the relationship is stronger when supplier competence is higher.</w:t>
      </w:r>
    </w:p>
    <w:p w14:paraId="790FA14E" w14:textId="77777777" w:rsidR="003A3415" w:rsidRDefault="00043A51">
      <w:pPr>
        <w:pStyle w:val="Heading2"/>
      </w:pPr>
      <w:r>
        <w:t>D.  The Proposed Conceptual Framework</w:t>
      </w:r>
    </w:p>
    <w:p w14:paraId="67AC2093" w14:textId="77777777" w:rsidR="003A3415" w:rsidRDefault="00043A51">
      <w:pPr>
        <w:spacing w:after="160" w:line="312" w:lineRule="auto"/>
        <w:jc w:val="both"/>
      </w:pPr>
      <w:r>
        <w:t xml:space="preserve">Figure 1 integrates the three propositions into a single moderated model. E-procurement is the independent variable and value for money the dependent variable, linked by a </w:t>
      </w:r>
      <w:proofErr w:type="spellStart"/>
      <w:r>
        <w:t>hypothesised</w:t>
      </w:r>
      <w:proofErr w:type="spellEnd"/>
      <w:r>
        <w:t xml:space="preserve"> direct effect (P1). Staff competence and supplier competence are positioned as moderators (M1 and M2) that condition the strength of this relationship (P2 and P3). The moderators are deliberately specified as moderators rather than mediators: the framework does not claim that competence lies on the causal path between technology and value, but that it determines how strongly the technology translates into value—consistent with the RBV proposition that capability activates a latent resource and the TAM proposition that acceptance governs use. The model is parsimonious by design, isolating the human-capability dimension that prior, technology-</w:t>
      </w:r>
      <w:proofErr w:type="spellStart"/>
      <w:r>
        <w:t>centred</w:t>
      </w:r>
      <w:proofErr w:type="spellEnd"/>
      <w:r>
        <w:t xml:space="preserve"> accounts have tended to overlook.</w:t>
      </w:r>
    </w:p>
    <w:p w14:paraId="516A8F54" w14:textId="77777777" w:rsidR="003A3415" w:rsidRDefault="00043A51">
      <w:pPr>
        <w:spacing w:before="80" w:after="40"/>
        <w:jc w:val="center"/>
      </w:pPr>
      <w:r>
        <w:rPr>
          <w:noProof/>
        </w:rPr>
        <w:lastRenderedPageBreak/>
        <w:drawing>
          <wp:inline distT="0" distB="0" distL="0" distR="0" wp14:anchorId="1054C9AA" wp14:editId="03F0428B">
            <wp:extent cx="5934200" cy="33070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936694" cy="3308470"/>
                    </a:xfrm>
                    <a:prstGeom prst="rect">
                      <a:avLst/>
                    </a:prstGeom>
                  </pic:spPr>
                </pic:pic>
              </a:graphicData>
            </a:graphic>
          </wp:inline>
        </w:drawing>
      </w:r>
    </w:p>
    <w:p w14:paraId="147BB051" w14:textId="77777777" w:rsidR="004C19F1" w:rsidRDefault="004C19F1">
      <w:pPr>
        <w:spacing w:after="40"/>
        <w:jc w:val="center"/>
        <w:rPr>
          <w:b/>
          <w:bCs/>
          <w:sz w:val="21"/>
          <w:szCs w:val="21"/>
        </w:rPr>
      </w:pPr>
    </w:p>
    <w:p w14:paraId="5B9E5FB7" w14:textId="77777777" w:rsidR="004C19F1" w:rsidRDefault="004C19F1">
      <w:pPr>
        <w:spacing w:after="40"/>
        <w:jc w:val="center"/>
        <w:rPr>
          <w:b/>
          <w:bCs/>
          <w:sz w:val="21"/>
          <w:szCs w:val="21"/>
        </w:rPr>
      </w:pPr>
    </w:p>
    <w:p w14:paraId="000960E3" w14:textId="6827D835" w:rsidR="003A3415" w:rsidRDefault="00043A51">
      <w:pPr>
        <w:spacing w:after="40"/>
        <w:jc w:val="center"/>
      </w:pPr>
      <w:r>
        <w:rPr>
          <w:b/>
          <w:bCs/>
          <w:sz w:val="21"/>
          <w:szCs w:val="21"/>
        </w:rPr>
        <w:t xml:space="preserve">Figure 1. </w:t>
      </w:r>
      <w:r>
        <w:rPr>
          <w:i/>
          <w:iCs/>
          <w:sz w:val="21"/>
          <w:szCs w:val="21"/>
        </w:rPr>
        <w:t>Proposed conceptual framework: the moderating roles of staff and supplier competencies in the e-procurement–value for money relationship.</w:t>
      </w:r>
    </w:p>
    <w:p w14:paraId="02D69001" w14:textId="77777777" w:rsidR="003A3415" w:rsidRDefault="00043A51">
      <w:pPr>
        <w:spacing w:after="180"/>
        <w:jc w:val="center"/>
      </w:pPr>
      <w:r>
        <w:rPr>
          <w:i/>
          <w:iCs/>
          <w:sz w:val="20"/>
          <w:szCs w:val="20"/>
        </w:rPr>
        <w:t>Source: Authors’ construction (2026).</w:t>
      </w:r>
    </w:p>
    <w:p w14:paraId="7C5F17EE" w14:textId="77777777" w:rsidR="003A3415" w:rsidRDefault="00043A51">
      <w:pPr>
        <w:pStyle w:val="Heading1"/>
      </w:pPr>
      <w:r>
        <w:t>VII.  Discussion and Implications</w:t>
      </w:r>
    </w:p>
    <w:p w14:paraId="6725FB57" w14:textId="77777777" w:rsidR="003A3415" w:rsidRDefault="00043A51">
      <w:pPr>
        <w:pStyle w:val="Heading2"/>
      </w:pPr>
      <w:r>
        <w:t>A.  Theoretical Implications</w:t>
      </w:r>
    </w:p>
    <w:p w14:paraId="37282660" w14:textId="77777777" w:rsidR="003A3415" w:rsidRDefault="00043A51">
      <w:pPr>
        <w:spacing w:after="160" w:line="312" w:lineRule="auto"/>
        <w:jc w:val="both"/>
      </w:pPr>
      <w:r>
        <w:t xml:space="preserve">The framework’s principal theoretical contribution is to </w:t>
      </w:r>
      <w:proofErr w:type="spellStart"/>
      <w:r>
        <w:t>reconceptualise</w:t>
      </w:r>
      <w:proofErr w:type="spellEnd"/>
      <w:r>
        <w:t xml:space="preserve"> e-procurement as a contingent rather than a deterministic driver of value for money. By integrating four theories that are usually deployed in isolation, it shows how the technological (TCT, Agency), strategic (RBV) and behavioural (TAM) dimensions of e-procurement interlock. The integration repositions competence from a background control variable—as it is treated in much of the literature—to a central moderating mechanism. This addresses the human-factors gap identified at the outset and offers a more complete explanation of why ostensibly identical digital systems produce divergent results across public entities. In doing so it also responds to the geographical bias of the technology-adoption literature, extending these theories to a developing-economy, public-sector setting in which their boundary conditions are especially salient.</w:t>
      </w:r>
    </w:p>
    <w:p w14:paraId="1A550EB0" w14:textId="77777777" w:rsidR="003A3415" w:rsidRDefault="00043A51">
      <w:pPr>
        <w:pStyle w:val="Heading2"/>
      </w:pPr>
      <w:r>
        <w:t>B.  Policy and Practice Implications</w:t>
      </w:r>
    </w:p>
    <w:p w14:paraId="4C21394C" w14:textId="77777777" w:rsidR="003A3415" w:rsidRDefault="00043A51">
      <w:pPr>
        <w:spacing w:after="160" w:line="312" w:lineRule="auto"/>
        <w:jc w:val="both"/>
      </w:pPr>
      <w:r>
        <w:t xml:space="preserve">For policymakers, the framework implies that investment in GHANEPS infrastructure is necessary but not sufficient. Returns on the digital platform are conditional on parallel investment in human capability, and procurement reform strategies that fund technology while neglecting competence </w:t>
      </w:r>
      <w:r>
        <w:lastRenderedPageBreak/>
        <w:t>are likely to disappoint. The model therefore supports a shift from a technology-led to a capability-led reform logic, in which platform rollout is sequenced with structured, competence-based training and certification for procurement staff.</w:t>
      </w:r>
    </w:p>
    <w:p w14:paraId="319FFDC4" w14:textId="77777777" w:rsidR="003A3415" w:rsidRDefault="00043A51">
      <w:pPr>
        <w:spacing w:after="160" w:line="312" w:lineRule="auto"/>
        <w:jc w:val="both"/>
      </w:pPr>
      <w:r>
        <w:t>For procurement managers and the Public Procurement Authority, the framework highlights two distinct levers. The first is internal: building the technical, digital and procedural competence of procurement officers so that the system is used fully and correctly rather than circumvented. The second is external: deliberate supplier-development programmes—covering ICT readiness, digital-bidding literacy and system integration—that widen the pool of capable bidders and so protect the competition on which value for money depends. For suppliers, particularly small and medium enterprises, the framework underscores that digital capability is increasingly a precondition for participation in public markets.</w:t>
      </w:r>
    </w:p>
    <w:p w14:paraId="61D703EB" w14:textId="77777777" w:rsidR="003A3415" w:rsidRDefault="00043A51">
      <w:pPr>
        <w:pStyle w:val="Heading2"/>
      </w:pPr>
      <w:r>
        <w:t>C.  A Methodological Agenda for Empirical Testing</w:t>
      </w:r>
    </w:p>
    <w:p w14:paraId="10BE45A9" w14:textId="77777777" w:rsidR="003A3415" w:rsidRDefault="00043A51">
      <w:pPr>
        <w:spacing w:after="160" w:line="312" w:lineRule="auto"/>
        <w:jc w:val="both"/>
      </w:pPr>
      <w:r>
        <w:t xml:space="preserve">The propositions are designed to be testable. A natural next step is a quantitative, survey-based study of public entities operating GHANEPS—metropolitan, municipal and district assemblies, ministries and agencies, and institutions of higher learning—using validated multi-item scales for e-procurement use, value for money, staff competence and supplier competence. Moderation can be assessed within a structural equation modelling framework, for example through interaction terms or multi-group analysis, which is well suited to estimating the conditional effects specified in P2 and P3. Combining survey evidence with qualitative interviews would help capture the </w:t>
      </w:r>
      <w:proofErr w:type="spellStart"/>
      <w:r>
        <w:t>organisational</w:t>
      </w:r>
      <w:proofErr w:type="spellEnd"/>
      <w:r>
        <w:t xml:space="preserve"> and contextual nuances that a purely quantitative design may miss, and a longitudinal element would address the temporal limitations of cross-sectional data. Such a design would allow the framework to be confirmed, refined or refuted, and would extend the present conceptual contribution into empirical knowledge.</w:t>
      </w:r>
    </w:p>
    <w:p w14:paraId="6E831E76" w14:textId="77777777" w:rsidR="003A3415" w:rsidRDefault="00043A51">
      <w:pPr>
        <w:pStyle w:val="Heading1"/>
      </w:pPr>
      <w:r>
        <w:t>VIII.  Limitations and Directions for Future Research</w:t>
      </w:r>
    </w:p>
    <w:p w14:paraId="37348C4E" w14:textId="77777777" w:rsidR="003A3415" w:rsidRDefault="00043A51">
      <w:pPr>
        <w:spacing w:after="160" w:line="312" w:lineRule="auto"/>
        <w:jc w:val="both"/>
      </w:pPr>
      <w:r>
        <w:t xml:space="preserve">As a conceptual paper, this study is bounded by the literature it </w:t>
      </w:r>
      <w:proofErr w:type="spellStart"/>
      <w:r>
        <w:t>synthesises</w:t>
      </w:r>
      <w:proofErr w:type="spellEnd"/>
      <w:r>
        <w:t xml:space="preserve"> and awaits empirical validation; its propositions are argued rather than demonstrated. The framework is deliberately parsimonious and does not model other plausible influences—top-management commitment, technological infrastructure, regulatory enforcement and data security—that the literature associates with e-procurement performance; future work may incorporate these as additional moderators or controls. The framework is also developed with specific reference to Ghana and GHANEPS, so </w:t>
      </w:r>
      <w:proofErr w:type="spellStart"/>
      <w:r>
        <w:t>generalisation</w:t>
      </w:r>
      <w:proofErr w:type="spellEnd"/>
      <w:r>
        <w:t xml:space="preserve"> to other jurisdictions should be made with care. Future research could test the model across multiple developing-country contexts, examine whether staff and supplier competence interact, and explore whether the moderating effects differ across e-procurement practices (e.g., e-tendering versus e-payment) or across categories of public entity.</w:t>
      </w:r>
    </w:p>
    <w:p w14:paraId="75F7547D" w14:textId="77777777" w:rsidR="003A3415" w:rsidRDefault="00043A51">
      <w:pPr>
        <w:pStyle w:val="Heading1"/>
      </w:pPr>
      <w:r>
        <w:lastRenderedPageBreak/>
        <w:t>IX.  Conclusion</w:t>
      </w:r>
    </w:p>
    <w:p w14:paraId="2C713C8B" w14:textId="77777777" w:rsidR="003A3415" w:rsidRDefault="00043A51">
      <w:pPr>
        <w:spacing w:after="160" w:line="312" w:lineRule="auto"/>
        <w:jc w:val="both"/>
      </w:pPr>
      <w:r>
        <w:t xml:space="preserve">E-procurement has been promoted across the developing world, and in Ghana through GHANEPS, as a route to greater value for money in public spending. The evidence, however, indicates that digital reform does not deliver value automatically. This paper has argued that the decisive—and under-theorised—condition is competence. </w:t>
      </w:r>
      <w:proofErr w:type="spellStart"/>
      <w:r>
        <w:t>Synthesising</w:t>
      </w:r>
      <w:proofErr w:type="spellEnd"/>
      <w:r>
        <w:t xml:space="preserve"> Transaction Cost Theory, Agency Theory, the Resource-Based View and the Technology Acceptance Model, it has developed an integrated framework in which e-procurement improves value for money by reducing transaction and agency costs (P1), but in which that improvement is conditional on the staff competence (P2) and supplier competence (P3) that make the system usable and used. The framework reframes e-procurement technology as a latent resource whose value depends on the human capital that activates it, consolidates a fragmented literature into a testable model, and offers policymakers a clear message: in public procurement reform, capability is as important as connectivity. The empirical validation of the framework, and the elaboration of its boundary conditions, constitute the agenda for the next phase of this research.</w:t>
      </w:r>
    </w:p>
    <w:p w14:paraId="0F2C612A" w14:textId="77777777" w:rsidR="003A3415" w:rsidRDefault="00043A51">
      <w:pPr>
        <w:pStyle w:val="Heading1"/>
      </w:pPr>
      <w:r>
        <w:t>Declarations</w:t>
      </w:r>
    </w:p>
    <w:p w14:paraId="3498325E" w14:textId="77777777" w:rsidR="003A3415" w:rsidRDefault="00043A51">
      <w:pPr>
        <w:spacing w:after="160" w:line="312" w:lineRule="auto"/>
        <w:jc w:val="both"/>
      </w:pPr>
      <w:r>
        <w:rPr>
          <w:b/>
          <w:bCs/>
        </w:rPr>
        <w:t>Funding.</w:t>
      </w:r>
      <w:r>
        <w:t xml:space="preserve"> This research received no specific grant from any funding agency in the public, commercial or not-for-profit sectors.</w:t>
      </w:r>
    </w:p>
    <w:p w14:paraId="4DD11D22" w14:textId="77777777" w:rsidR="003A3415" w:rsidRDefault="00043A51">
      <w:pPr>
        <w:spacing w:after="160" w:line="312" w:lineRule="auto"/>
        <w:jc w:val="both"/>
      </w:pPr>
      <w:r>
        <w:rPr>
          <w:b/>
          <w:bCs/>
        </w:rPr>
        <w:t>Conflict of interest.</w:t>
      </w:r>
      <w:r>
        <w:t xml:space="preserve"> The authors declare no conflict of interest.</w:t>
      </w:r>
    </w:p>
    <w:p w14:paraId="6A578B26" w14:textId="77777777" w:rsidR="003A3415" w:rsidRDefault="00043A51">
      <w:pPr>
        <w:spacing w:after="160" w:line="312" w:lineRule="auto"/>
        <w:jc w:val="both"/>
      </w:pPr>
      <w:r>
        <w:rPr>
          <w:b/>
          <w:bCs/>
        </w:rPr>
        <w:t>Author contributions.</w:t>
      </w:r>
      <w:r>
        <w:t xml:space="preserve"> F. A. H. </w:t>
      </w:r>
      <w:proofErr w:type="spellStart"/>
      <w:r>
        <w:t>conceptualised</w:t>
      </w:r>
      <w:proofErr w:type="spellEnd"/>
      <w:r>
        <w:t xml:space="preserve"> the study, conducted the literature review and prepared the initial draft. E. B., as academic supervisor, provided the theoretical framing, critically revised the manuscript and approved the final version. Both authors read and approved the submitted manuscript.</w:t>
      </w:r>
    </w:p>
    <w:p w14:paraId="3B821CED" w14:textId="77777777" w:rsidR="003A3415" w:rsidRDefault="00043A51">
      <w:pPr>
        <w:pStyle w:val="Heading1"/>
      </w:pPr>
      <w:r>
        <w:t>References</w:t>
      </w:r>
    </w:p>
    <w:p w14:paraId="099C8E10" w14:textId="77777777" w:rsidR="003A3415" w:rsidRDefault="00043A51">
      <w:pPr>
        <w:spacing w:after="100" w:line="276" w:lineRule="auto"/>
        <w:ind w:left="480" w:hanging="480"/>
        <w:jc w:val="both"/>
      </w:pPr>
      <w:r>
        <w:rPr>
          <w:sz w:val="22"/>
          <w:szCs w:val="22"/>
        </w:rPr>
        <w:t xml:space="preserve">Addo, S. K. (2019). </w:t>
      </w:r>
      <w:r>
        <w:rPr>
          <w:i/>
          <w:iCs/>
          <w:sz w:val="22"/>
          <w:szCs w:val="22"/>
        </w:rPr>
        <w:t>Challenges of e-procurement adoption in the Ghana public sector</w:t>
      </w:r>
      <w:r>
        <w:rPr>
          <w:sz w:val="22"/>
          <w:szCs w:val="22"/>
        </w:rPr>
        <w:t xml:space="preserve"> [Master’s thesis]. Kwame Nkrumah University of Science and Technology, Kumasi.</w:t>
      </w:r>
    </w:p>
    <w:p w14:paraId="5602A6BF" w14:textId="77777777" w:rsidR="003A3415" w:rsidRDefault="00043A51">
      <w:pPr>
        <w:spacing w:after="100" w:line="276" w:lineRule="auto"/>
        <w:ind w:left="480" w:hanging="480"/>
        <w:jc w:val="both"/>
      </w:pPr>
      <w:r>
        <w:rPr>
          <w:sz w:val="22"/>
          <w:szCs w:val="22"/>
        </w:rPr>
        <w:t xml:space="preserve">Addy, M., Owusu-Manu, D., &amp; Edwards, D. J. (2024). Technology acceptance and the adoption of e-procurement in the public sector. </w:t>
      </w:r>
      <w:r>
        <w:rPr>
          <w:i/>
          <w:iCs/>
          <w:sz w:val="22"/>
          <w:szCs w:val="22"/>
        </w:rPr>
        <w:t>World Journal of Advanced Engineering Technology and Sciences</w:t>
      </w:r>
      <w:r>
        <w:rPr>
          <w:sz w:val="22"/>
          <w:szCs w:val="22"/>
        </w:rPr>
        <w:t>, 12(2), 1–15.</w:t>
      </w:r>
    </w:p>
    <w:p w14:paraId="3EC3CA4C" w14:textId="77777777" w:rsidR="003A3415" w:rsidRDefault="00043A51">
      <w:pPr>
        <w:spacing w:after="100" w:line="276" w:lineRule="auto"/>
        <w:ind w:left="480" w:hanging="480"/>
        <w:jc w:val="both"/>
      </w:pPr>
      <w:r>
        <w:rPr>
          <w:sz w:val="22"/>
          <w:szCs w:val="22"/>
        </w:rPr>
        <w:t xml:space="preserve">Adebanjo, D. (2010). E-procurement adoption and value creation: A study of </w:t>
      </w:r>
      <w:proofErr w:type="spellStart"/>
      <w:r>
        <w:rPr>
          <w:sz w:val="22"/>
          <w:szCs w:val="22"/>
        </w:rPr>
        <w:t>organisational</w:t>
      </w:r>
      <w:proofErr w:type="spellEnd"/>
      <w:r>
        <w:rPr>
          <w:sz w:val="22"/>
          <w:szCs w:val="22"/>
        </w:rPr>
        <w:t xml:space="preserve"> practice. </w:t>
      </w:r>
      <w:r>
        <w:rPr>
          <w:i/>
          <w:iCs/>
          <w:sz w:val="22"/>
          <w:szCs w:val="22"/>
        </w:rPr>
        <w:t>International Journal of Operations &amp; Production Management</w:t>
      </w:r>
      <w:r>
        <w:rPr>
          <w:sz w:val="22"/>
          <w:szCs w:val="22"/>
        </w:rPr>
        <w:t>, 30(8), 824–849.</w:t>
      </w:r>
    </w:p>
    <w:p w14:paraId="7834A870" w14:textId="77777777" w:rsidR="003A3415" w:rsidRDefault="00043A51">
      <w:pPr>
        <w:spacing w:after="100" w:line="276" w:lineRule="auto"/>
        <w:ind w:left="480" w:hanging="480"/>
        <w:jc w:val="both"/>
      </w:pPr>
      <w:r>
        <w:rPr>
          <w:sz w:val="22"/>
          <w:szCs w:val="22"/>
        </w:rPr>
        <w:t xml:space="preserve">Adi, B., &amp; Dutil, P. (2018). Searching for value for money in public procurement. </w:t>
      </w:r>
      <w:r>
        <w:rPr>
          <w:i/>
          <w:iCs/>
          <w:sz w:val="22"/>
          <w:szCs w:val="22"/>
        </w:rPr>
        <w:t>Canadian Public Administration</w:t>
      </w:r>
      <w:r>
        <w:rPr>
          <w:sz w:val="22"/>
          <w:szCs w:val="22"/>
        </w:rPr>
        <w:t>, 61(2), 246–267.</w:t>
      </w:r>
    </w:p>
    <w:p w14:paraId="172EC0EF" w14:textId="77777777" w:rsidR="003A3415" w:rsidRDefault="00043A51">
      <w:pPr>
        <w:spacing w:after="100" w:line="276" w:lineRule="auto"/>
        <w:ind w:left="480" w:hanging="480"/>
        <w:jc w:val="both"/>
      </w:pPr>
      <w:r>
        <w:rPr>
          <w:sz w:val="22"/>
          <w:szCs w:val="22"/>
        </w:rPr>
        <w:lastRenderedPageBreak/>
        <w:t xml:space="preserve">Agyekum, K., Owusu-Manu, D., &amp; Boateng, G. O. (2025). Supplier competence and value for money in public e-procurement: Evidence from Ghana. </w:t>
      </w:r>
      <w:r>
        <w:rPr>
          <w:i/>
          <w:iCs/>
          <w:sz w:val="22"/>
          <w:szCs w:val="22"/>
        </w:rPr>
        <w:t>Journal of Public Procurement</w:t>
      </w:r>
      <w:r>
        <w:rPr>
          <w:sz w:val="22"/>
          <w:szCs w:val="22"/>
        </w:rPr>
        <w:t>, 25(1), 1–20.</w:t>
      </w:r>
    </w:p>
    <w:p w14:paraId="77AC4831" w14:textId="77777777" w:rsidR="003A3415" w:rsidRDefault="00043A51">
      <w:pPr>
        <w:spacing w:after="100" w:line="276" w:lineRule="auto"/>
        <w:ind w:left="480" w:hanging="480"/>
        <w:jc w:val="both"/>
      </w:pPr>
      <w:r>
        <w:rPr>
          <w:sz w:val="22"/>
          <w:szCs w:val="22"/>
        </w:rPr>
        <w:t xml:space="preserve">Anane, A., Adoma, V., &amp; </w:t>
      </w:r>
      <w:proofErr w:type="spellStart"/>
      <w:r>
        <w:rPr>
          <w:sz w:val="22"/>
          <w:szCs w:val="22"/>
        </w:rPr>
        <w:t>Kuranchie</w:t>
      </w:r>
      <w:proofErr w:type="spellEnd"/>
      <w:r>
        <w:rPr>
          <w:sz w:val="22"/>
          <w:szCs w:val="22"/>
        </w:rPr>
        <w:t xml:space="preserve">-Mensah, E. B. (2019). The effect of procurement practices on service delivery in the public sector of Ghana. </w:t>
      </w:r>
      <w:r>
        <w:rPr>
          <w:i/>
          <w:iCs/>
          <w:sz w:val="22"/>
          <w:szCs w:val="22"/>
        </w:rPr>
        <w:t>Journal of Economics, Management and Trade</w:t>
      </w:r>
      <w:r>
        <w:rPr>
          <w:sz w:val="22"/>
          <w:szCs w:val="22"/>
        </w:rPr>
        <w:t>, 23(6), 1–16.</w:t>
      </w:r>
    </w:p>
    <w:p w14:paraId="275A88EC" w14:textId="77777777" w:rsidR="003A3415" w:rsidRDefault="00043A51">
      <w:pPr>
        <w:spacing w:after="100" w:line="276" w:lineRule="auto"/>
        <w:ind w:left="480" w:hanging="480"/>
        <w:jc w:val="both"/>
      </w:pPr>
      <w:r>
        <w:rPr>
          <w:sz w:val="22"/>
          <w:szCs w:val="22"/>
        </w:rPr>
        <w:t xml:space="preserve">Asare, E. N., &amp; Prempeh, K. B. (2017). Measures of ensuring value for money in public procurement: A case of selected Technical Universities in Ghana. </w:t>
      </w:r>
      <w:r>
        <w:rPr>
          <w:i/>
          <w:iCs/>
          <w:sz w:val="22"/>
          <w:szCs w:val="22"/>
        </w:rPr>
        <w:t xml:space="preserve">Munich Personal </w:t>
      </w:r>
      <w:proofErr w:type="spellStart"/>
      <w:r>
        <w:rPr>
          <w:i/>
          <w:iCs/>
          <w:sz w:val="22"/>
          <w:szCs w:val="22"/>
        </w:rPr>
        <w:t>RePEc</w:t>
      </w:r>
      <w:proofErr w:type="spellEnd"/>
      <w:r>
        <w:rPr>
          <w:i/>
          <w:iCs/>
          <w:sz w:val="22"/>
          <w:szCs w:val="22"/>
        </w:rPr>
        <w:t xml:space="preserve"> Archive (MPRA) Paper No. 79082</w:t>
      </w:r>
      <w:r>
        <w:rPr>
          <w:sz w:val="22"/>
          <w:szCs w:val="22"/>
        </w:rPr>
        <w:t>.</w:t>
      </w:r>
    </w:p>
    <w:p w14:paraId="574388CB" w14:textId="77777777" w:rsidR="003A3415" w:rsidRDefault="00043A51">
      <w:pPr>
        <w:spacing w:after="100" w:line="276" w:lineRule="auto"/>
        <w:ind w:left="480" w:hanging="480"/>
        <w:jc w:val="both"/>
      </w:pPr>
      <w:r>
        <w:rPr>
          <w:sz w:val="22"/>
          <w:szCs w:val="22"/>
        </w:rPr>
        <w:t xml:space="preserve">Asif, M., Jameel, A., Hussain, A., Hwang, J., &amp; </w:t>
      </w:r>
      <w:proofErr w:type="spellStart"/>
      <w:r>
        <w:rPr>
          <w:sz w:val="22"/>
          <w:szCs w:val="22"/>
        </w:rPr>
        <w:t>Sahito</w:t>
      </w:r>
      <w:proofErr w:type="spellEnd"/>
      <w:r>
        <w:rPr>
          <w:sz w:val="22"/>
          <w:szCs w:val="22"/>
        </w:rPr>
        <w:t xml:space="preserve">, N. (2021). Linking e-procurement to </w:t>
      </w:r>
      <w:proofErr w:type="spellStart"/>
      <w:r>
        <w:rPr>
          <w:sz w:val="22"/>
          <w:szCs w:val="22"/>
        </w:rPr>
        <w:t>organisational</w:t>
      </w:r>
      <w:proofErr w:type="spellEnd"/>
      <w:r>
        <w:rPr>
          <w:sz w:val="22"/>
          <w:szCs w:val="22"/>
        </w:rPr>
        <w:t xml:space="preserve"> performance: The mediating role of process efficiency. </w:t>
      </w:r>
      <w:r>
        <w:rPr>
          <w:i/>
          <w:iCs/>
          <w:sz w:val="22"/>
          <w:szCs w:val="22"/>
        </w:rPr>
        <w:t>Sustainability</w:t>
      </w:r>
      <w:r>
        <w:rPr>
          <w:sz w:val="22"/>
          <w:szCs w:val="22"/>
        </w:rPr>
        <w:t>, 13(4), 1–18.</w:t>
      </w:r>
    </w:p>
    <w:p w14:paraId="54E3C363" w14:textId="77777777" w:rsidR="003A3415" w:rsidRDefault="00043A51">
      <w:pPr>
        <w:spacing w:after="100" w:line="276" w:lineRule="auto"/>
        <w:ind w:left="480" w:hanging="480"/>
        <w:jc w:val="both"/>
      </w:pPr>
      <w:r>
        <w:rPr>
          <w:sz w:val="22"/>
          <w:szCs w:val="22"/>
        </w:rPr>
        <w:t xml:space="preserve">Barney, J. (1991). Firm resources and sustained competitive advantage. </w:t>
      </w:r>
      <w:r>
        <w:rPr>
          <w:i/>
          <w:iCs/>
          <w:sz w:val="22"/>
          <w:szCs w:val="22"/>
        </w:rPr>
        <w:t>Journal of Management</w:t>
      </w:r>
      <w:r>
        <w:rPr>
          <w:sz w:val="22"/>
          <w:szCs w:val="22"/>
        </w:rPr>
        <w:t>, 17(1), 99–120.</w:t>
      </w:r>
    </w:p>
    <w:p w14:paraId="40CB9F88" w14:textId="77777777" w:rsidR="003A3415" w:rsidRDefault="00043A51">
      <w:pPr>
        <w:spacing w:after="100" w:line="276" w:lineRule="auto"/>
        <w:ind w:left="480" w:hanging="480"/>
        <w:jc w:val="both"/>
      </w:pPr>
      <w:r w:rsidRPr="004C19F1">
        <w:rPr>
          <w:sz w:val="22"/>
          <w:szCs w:val="22"/>
          <w:lang w:val="de-CH"/>
        </w:rPr>
        <w:t xml:space="preserve">Bausà Peris, O., et al. </w:t>
      </w:r>
      <w:r>
        <w:rPr>
          <w:sz w:val="22"/>
          <w:szCs w:val="22"/>
        </w:rPr>
        <w:t xml:space="preserve">(2023). Digital public procurement and transaction costs in the European Union. </w:t>
      </w:r>
      <w:r>
        <w:rPr>
          <w:i/>
          <w:iCs/>
          <w:sz w:val="22"/>
          <w:szCs w:val="22"/>
        </w:rPr>
        <w:t>Government Information Quarterly</w:t>
      </w:r>
      <w:r>
        <w:rPr>
          <w:sz w:val="22"/>
          <w:szCs w:val="22"/>
        </w:rPr>
        <w:t>, 40(3), 101–118.</w:t>
      </w:r>
    </w:p>
    <w:p w14:paraId="5EB3F3D4" w14:textId="77777777" w:rsidR="003A3415" w:rsidRDefault="00043A51">
      <w:pPr>
        <w:spacing w:after="100" w:line="276" w:lineRule="auto"/>
        <w:ind w:left="480" w:hanging="480"/>
        <w:jc w:val="both"/>
      </w:pPr>
      <w:r>
        <w:rPr>
          <w:sz w:val="22"/>
          <w:szCs w:val="22"/>
        </w:rPr>
        <w:t xml:space="preserve">Berle, A. A., &amp; Means, G. C. (1932). </w:t>
      </w:r>
      <w:r>
        <w:rPr>
          <w:i/>
          <w:iCs/>
          <w:sz w:val="22"/>
          <w:szCs w:val="22"/>
        </w:rPr>
        <w:t>The modern corporation and private property</w:t>
      </w:r>
      <w:r>
        <w:rPr>
          <w:sz w:val="22"/>
          <w:szCs w:val="22"/>
        </w:rPr>
        <w:t>. Macmillan.</w:t>
      </w:r>
    </w:p>
    <w:p w14:paraId="389DFA89" w14:textId="77777777" w:rsidR="003A3415" w:rsidRDefault="00043A51">
      <w:pPr>
        <w:spacing w:after="100" w:line="276" w:lineRule="auto"/>
        <w:ind w:left="480" w:hanging="480"/>
        <w:jc w:val="both"/>
      </w:pPr>
      <w:r>
        <w:rPr>
          <w:sz w:val="22"/>
          <w:szCs w:val="22"/>
        </w:rPr>
        <w:t xml:space="preserve">Boafo, N. D., &amp; Ahudey, E. (2020). Evaluating procurement malpractices in the public sector of Ghana. </w:t>
      </w:r>
      <w:r>
        <w:rPr>
          <w:i/>
          <w:iCs/>
          <w:sz w:val="22"/>
          <w:szCs w:val="22"/>
        </w:rPr>
        <w:t>International Journal of Business and Management Review</w:t>
      </w:r>
      <w:r>
        <w:rPr>
          <w:sz w:val="22"/>
          <w:szCs w:val="22"/>
        </w:rPr>
        <w:t>, 8(3), 1–18.</w:t>
      </w:r>
    </w:p>
    <w:p w14:paraId="1FA1308A" w14:textId="77777777" w:rsidR="003A3415" w:rsidRDefault="00043A51">
      <w:pPr>
        <w:spacing w:after="100" w:line="276" w:lineRule="auto"/>
        <w:ind w:left="480" w:hanging="480"/>
        <w:jc w:val="both"/>
      </w:pPr>
      <w:r>
        <w:rPr>
          <w:sz w:val="22"/>
          <w:szCs w:val="22"/>
        </w:rPr>
        <w:t xml:space="preserve">Boafo, N. D., Ahudey, E., &amp; Akuffo, S. (2020). Public procurement reform and value for money in Ghana. </w:t>
      </w:r>
      <w:r>
        <w:rPr>
          <w:i/>
          <w:iCs/>
          <w:sz w:val="22"/>
          <w:szCs w:val="22"/>
        </w:rPr>
        <w:t>European Journal of Business and Management</w:t>
      </w:r>
      <w:r>
        <w:rPr>
          <w:sz w:val="22"/>
          <w:szCs w:val="22"/>
        </w:rPr>
        <w:t>, 12(9), 45–57.</w:t>
      </w:r>
    </w:p>
    <w:p w14:paraId="05CFDEA6" w14:textId="77777777" w:rsidR="003A3415" w:rsidRDefault="00043A51">
      <w:pPr>
        <w:spacing w:after="100" w:line="276" w:lineRule="auto"/>
        <w:ind w:left="480" w:hanging="480"/>
        <w:jc w:val="both"/>
      </w:pPr>
      <w:r>
        <w:rPr>
          <w:sz w:val="22"/>
          <w:szCs w:val="22"/>
        </w:rPr>
        <w:t xml:space="preserve">Boateng, G. O. (2021). Supplier competence and procurement performance in Ghana’s public sector. </w:t>
      </w:r>
      <w:r>
        <w:rPr>
          <w:i/>
          <w:iCs/>
          <w:sz w:val="22"/>
          <w:szCs w:val="22"/>
        </w:rPr>
        <w:t>Africa Journal of Management</w:t>
      </w:r>
      <w:r>
        <w:rPr>
          <w:sz w:val="22"/>
          <w:szCs w:val="22"/>
        </w:rPr>
        <w:t>, 7(3), 1–19.</w:t>
      </w:r>
    </w:p>
    <w:p w14:paraId="129D48D8" w14:textId="77777777" w:rsidR="003A3415" w:rsidRDefault="00043A51">
      <w:pPr>
        <w:spacing w:after="100" w:line="276" w:lineRule="auto"/>
        <w:ind w:left="480" w:hanging="480"/>
        <w:jc w:val="both"/>
      </w:pPr>
      <w:r>
        <w:rPr>
          <w:sz w:val="22"/>
          <w:szCs w:val="22"/>
        </w:rPr>
        <w:t xml:space="preserve">Bosio, E., Djankov, S., Glaeser, E., &amp; Shleifer, A. (2022). Public procurement in law and practice. </w:t>
      </w:r>
      <w:r>
        <w:rPr>
          <w:i/>
          <w:iCs/>
          <w:sz w:val="22"/>
          <w:szCs w:val="22"/>
        </w:rPr>
        <w:t>American Economic Review</w:t>
      </w:r>
      <w:r>
        <w:rPr>
          <w:sz w:val="22"/>
          <w:szCs w:val="22"/>
        </w:rPr>
        <w:t>, 112(4), 1091–1117.</w:t>
      </w:r>
    </w:p>
    <w:p w14:paraId="37004556" w14:textId="77777777" w:rsidR="003A3415" w:rsidRDefault="00043A51">
      <w:pPr>
        <w:spacing w:after="100" w:line="276" w:lineRule="auto"/>
        <w:ind w:left="480" w:hanging="480"/>
        <w:jc w:val="both"/>
      </w:pPr>
      <w:r>
        <w:rPr>
          <w:sz w:val="22"/>
          <w:szCs w:val="22"/>
        </w:rPr>
        <w:t xml:space="preserve">Boyatzis, R. E. (2019). </w:t>
      </w:r>
      <w:r>
        <w:rPr>
          <w:i/>
          <w:iCs/>
          <w:sz w:val="22"/>
          <w:szCs w:val="22"/>
        </w:rPr>
        <w:t>The competent manager: A model for effective performance</w:t>
      </w:r>
      <w:r>
        <w:rPr>
          <w:sz w:val="22"/>
          <w:szCs w:val="22"/>
        </w:rPr>
        <w:t xml:space="preserve"> (Rev. ed.). Wiley.</w:t>
      </w:r>
    </w:p>
    <w:p w14:paraId="2070B6EE" w14:textId="77777777" w:rsidR="003A3415" w:rsidRDefault="00043A51">
      <w:pPr>
        <w:spacing w:after="100" w:line="276" w:lineRule="auto"/>
        <w:ind w:left="480" w:hanging="480"/>
        <w:jc w:val="both"/>
      </w:pPr>
      <w:r>
        <w:rPr>
          <w:sz w:val="22"/>
          <w:szCs w:val="22"/>
        </w:rPr>
        <w:t xml:space="preserve">Croom, S., &amp; Brandon-Jones, A. (2007). Impact of e-procurement: Experiences from implementation in the UK public sector. </w:t>
      </w:r>
      <w:r>
        <w:rPr>
          <w:i/>
          <w:iCs/>
          <w:sz w:val="22"/>
          <w:szCs w:val="22"/>
        </w:rPr>
        <w:t>Journal of Purchasing and Supply Management</w:t>
      </w:r>
      <w:r>
        <w:rPr>
          <w:sz w:val="22"/>
          <w:szCs w:val="22"/>
        </w:rPr>
        <w:t>, 13(4), 294–303.</w:t>
      </w:r>
    </w:p>
    <w:p w14:paraId="1F269544" w14:textId="77777777" w:rsidR="003A3415" w:rsidRDefault="00043A51">
      <w:pPr>
        <w:spacing w:after="100" w:line="276" w:lineRule="auto"/>
        <w:ind w:left="480" w:hanging="480"/>
        <w:jc w:val="both"/>
      </w:pPr>
      <w:r>
        <w:rPr>
          <w:sz w:val="22"/>
          <w:szCs w:val="22"/>
        </w:rPr>
        <w:t xml:space="preserve">Dadzie, J., &amp; Yornu, K. I. (2025). E-procurement reform and value for money in Ghana’s public sector. </w:t>
      </w:r>
      <w:r>
        <w:rPr>
          <w:i/>
          <w:iCs/>
          <w:sz w:val="22"/>
          <w:szCs w:val="22"/>
        </w:rPr>
        <w:t>International Journal of Procurement Management</w:t>
      </w:r>
      <w:r>
        <w:rPr>
          <w:sz w:val="22"/>
          <w:szCs w:val="22"/>
        </w:rPr>
        <w:t>, 18(1), 1–22.</w:t>
      </w:r>
    </w:p>
    <w:p w14:paraId="26390C26" w14:textId="77777777" w:rsidR="003A3415" w:rsidRDefault="00043A51">
      <w:pPr>
        <w:spacing w:after="100" w:line="276" w:lineRule="auto"/>
        <w:ind w:left="480" w:hanging="480"/>
        <w:jc w:val="both"/>
      </w:pPr>
      <w:r>
        <w:rPr>
          <w:sz w:val="22"/>
          <w:szCs w:val="22"/>
        </w:rPr>
        <w:t xml:space="preserve">Dahlman, C. J. (1979). The problem of externality. </w:t>
      </w:r>
      <w:r>
        <w:rPr>
          <w:i/>
          <w:iCs/>
          <w:sz w:val="22"/>
          <w:szCs w:val="22"/>
        </w:rPr>
        <w:t>Journal of Law and Economics</w:t>
      </w:r>
      <w:r>
        <w:rPr>
          <w:sz w:val="22"/>
          <w:szCs w:val="22"/>
        </w:rPr>
        <w:t>, 22(1), 141–162.</w:t>
      </w:r>
    </w:p>
    <w:p w14:paraId="7593DB5A" w14:textId="77777777" w:rsidR="003A3415" w:rsidRDefault="00043A51">
      <w:pPr>
        <w:spacing w:after="100" w:line="276" w:lineRule="auto"/>
        <w:ind w:left="480" w:hanging="480"/>
        <w:jc w:val="both"/>
      </w:pPr>
      <w:r>
        <w:rPr>
          <w:sz w:val="22"/>
          <w:szCs w:val="22"/>
        </w:rPr>
        <w:t xml:space="preserve">Davila, A., Gupta, M., &amp; Palmer, R. (2003). Moving procurement systems to the internet: The adoption and use of e-procurement technology models. </w:t>
      </w:r>
      <w:r>
        <w:rPr>
          <w:i/>
          <w:iCs/>
          <w:sz w:val="22"/>
          <w:szCs w:val="22"/>
        </w:rPr>
        <w:t>European Management Journal</w:t>
      </w:r>
      <w:r>
        <w:rPr>
          <w:sz w:val="22"/>
          <w:szCs w:val="22"/>
        </w:rPr>
        <w:t>, 21(1), 11–23.</w:t>
      </w:r>
    </w:p>
    <w:p w14:paraId="44530BD3" w14:textId="77777777" w:rsidR="003A3415" w:rsidRDefault="00043A51">
      <w:pPr>
        <w:spacing w:after="100" w:line="276" w:lineRule="auto"/>
        <w:ind w:left="480" w:hanging="480"/>
        <w:jc w:val="both"/>
      </w:pPr>
      <w:r>
        <w:rPr>
          <w:sz w:val="22"/>
          <w:szCs w:val="22"/>
        </w:rPr>
        <w:t xml:space="preserve">Davis, F. D. (1989). Perceived usefulness, perceived ease of use, and user acceptance of information technology. </w:t>
      </w:r>
      <w:r>
        <w:rPr>
          <w:i/>
          <w:iCs/>
          <w:sz w:val="22"/>
          <w:szCs w:val="22"/>
        </w:rPr>
        <w:t>MIS Quarterly</w:t>
      </w:r>
      <w:r>
        <w:rPr>
          <w:sz w:val="22"/>
          <w:szCs w:val="22"/>
        </w:rPr>
        <w:t>, 13(3), 319–340.</w:t>
      </w:r>
    </w:p>
    <w:p w14:paraId="40F96882" w14:textId="77777777" w:rsidR="003A3415" w:rsidRDefault="00043A51">
      <w:pPr>
        <w:spacing w:after="100" w:line="276" w:lineRule="auto"/>
        <w:ind w:left="480" w:hanging="480"/>
        <w:jc w:val="both"/>
      </w:pPr>
      <w:r>
        <w:rPr>
          <w:sz w:val="22"/>
          <w:szCs w:val="22"/>
        </w:rPr>
        <w:t xml:space="preserve">Dedrick, J., Xu, S. X., &amp; Zhu, K. X. (2008). How does information technology shape supply chain structure? Evidence on the number of suppliers. </w:t>
      </w:r>
      <w:r>
        <w:rPr>
          <w:i/>
          <w:iCs/>
          <w:sz w:val="22"/>
          <w:szCs w:val="22"/>
        </w:rPr>
        <w:t>Journal of Management Information Systems</w:t>
      </w:r>
      <w:r>
        <w:rPr>
          <w:sz w:val="22"/>
          <w:szCs w:val="22"/>
        </w:rPr>
        <w:t>, 25(2), 41–72.</w:t>
      </w:r>
    </w:p>
    <w:p w14:paraId="3B2B0850" w14:textId="77777777" w:rsidR="003A3415" w:rsidRDefault="00043A51">
      <w:pPr>
        <w:spacing w:after="100" w:line="276" w:lineRule="auto"/>
        <w:ind w:left="480" w:hanging="480"/>
        <w:jc w:val="both"/>
      </w:pPr>
      <w:r>
        <w:rPr>
          <w:sz w:val="22"/>
          <w:szCs w:val="22"/>
        </w:rPr>
        <w:t xml:space="preserve">Eisenhardt, K. M. (1989). Agency theory: An assessment and review. </w:t>
      </w:r>
      <w:r>
        <w:rPr>
          <w:i/>
          <w:iCs/>
          <w:sz w:val="22"/>
          <w:szCs w:val="22"/>
        </w:rPr>
        <w:t>Academy of Management Review</w:t>
      </w:r>
      <w:r>
        <w:rPr>
          <w:sz w:val="22"/>
          <w:szCs w:val="22"/>
        </w:rPr>
        <w:t>, 14(1), 57–74.</w:t>
      </w:r>
    </w:p>
    <w:p w14:paraId="7CEAAAAB" w14:textId="77777777" w:rsidR="003A3415" w:rsidRDefault="00043A51">
      <w:pPr>
        <w:spacing w:after="100" w:line="276" w:lineRule="auto"/>
        <w:ind w:left="480" w:hanging="480"/>
        <w:jc w:val="both"/>
      </w:pPr>
      <w:r>
        <w:rPr>
          <w:sz w:val="22"/>
          <w:szCs w:val="22"/>
        </w:rPr>
        <w:t xml:space="preserve">European Commission. (2015). </w:t>
      </w:r>
      <w:r>
        <w:rPr>
          <w:i/>
          <w:iCs/>
          <w:sz w:val="22"/>
          <w:szCs w:val="22"/>
        </w:rPr>
        <w:t xml:space="preserve">e-Procurement: </w:t>
      </w:r>
      <w:proofErr w:type="spellStart"/>
      <w:r>
        <w:rPr>
          <w:i/>
          <w:iCs/>
          <w:sz w:val="22"/>
          <w:szCs w:val="22"/>
        </w:rPr>
        <w:t>Modernising</w:t>
      </w:r>
      <w:proofErr w:type="spellEnd"/>
      <w:r>
        <w:rPr>
          <w:i/>
          <w:iCs/>
          <w:sz w:val="22"/>
          <w:szCs w:val="22"/>
        </w:rPr>
        <w:t xml:space="preserve"> public procurement in the digital single market</w:t>
      </w:r>
      <w:r>
        <w:rPr>
          <w:sz w:val="22"/>
          <w:szCs w:val="22"/>
        </w:rPr>
        <w:t>. Publications Office of the European Union.</w:t>
      </w:r>
    </w:p>
    <w:p w14:paraId="51A25882" w14:textId="77777777" w:rsidR="003A3415" w:rsidRDefault="00043A51">
      <w:pPr>
        <w:spacing w:after="100" w:line="276" w:lineRule="auto"/>
        <w:ind w:left="480" w:hanging="480"/>
        <w:jc w:val="both"/>
      </w:pPr>
      <w:r>
        <w:rPr>
          <w:sz w:val="22"/>
          <w:szCs w:val="22"/>
        </w:rPr>
        <w:lastRenderedPageBreak/>
        <w:t xml:space="preserve">Godfred, A., Mohammed, A., &amp; Tannor, M. (2015). Assessing the implementation of public procurement in Ghana. </w:t>
      </w:r>
      <w:r>
        <w:rPr>
          <w:i/>
          <w:iCs/>
          <w:sz w:val="22"/>
          <w:szCs w:val="22"/>
        </w:rPr>
        <w:t>International Journal of Economics, Commerce and Management</w:t>
      </w:r>
      <w:r>
        <w:rPr>
          <w:sz w:val="22"/>
          <w:szCs w:val="22"/>
        </w:rPr>
        <w:t>, 3(6), 1–16.</w:t>
      </w:r>
    </w:p>
    <w:p w14:paraId="5C2A4CC4" w14:textId="77777777" w:rsidR="003A3415" w:rsidRDefault="00043A51">
      <w:pPr>
        <w:spacing w:after="100" w:line="276" w:lineRule="auto"/>
        <w:ind w:left="480" w:hanging="480"/>
        <w:jc w:val="both"/>
      </w:pPr>
      <w:r>
        <w:rPr>
          <w:sz w:val="22"/>
          <w:szCs w:val="22"/>
        </w:rPr>
        <w:t xml:space="preserve">Hutchinson, S., Purcell, J., &amp; Kinnie, N. (2023). </w:t>
      </w:r>
      <w:r>
        <w:rPr>
          <w:i/>
          <w:iCs/>
          <w:sz w:val="22"/>
          <w:szCs w:val="22"/>
        </w:rPr>
        <w:t>Competence and performance in organisations</w:t>
      </w:r>
      <w:r>
        <w:rPr>
          <w:sz w:val="22"/>
          <w:szCs w:val="22"/>
        </w:rPr>
        <w:t>. Routledge.</w:t>
      </w:r>
    </w:p>
    <w:p w14:paraId="5DCFD75D" w14:textId="77777777" w:rsidR="003A3415" w:rsidRDefault="00043A51">
      <w:pPr>
        <w:spacing w:after="100" w:line="276" w:lineRule="auto"/>
        <w:ind w:left="480" w:hanging="480"/>
        <w:jc w:val="both"/>
      </w:pPr>
      <w:r>
        <w:rPr>
          <w:sz w:val="22"/>
          <w:szCs w:val="22"/>
        </w:rPr>
        <w:t xml:space="preserve">Ibem, E. O. (2020). E-invoicing and procurement performance in the construction industry. </w:t>
      </w:r>
      <w:r>
        <w:rPr>
          <w:i/>
          <w:iCs/>
          <w:sz w:val="22"/>
          <w:szCs w:val="22"/>
        </w:rPr>
        <w:t>Journal of Engineering, Design and Technology</w:t>
      </w:r>
      <w:r>
        <w:rPr>
          <w:sz w:val="22"/>
          <w:szCs w:val="22"/>
        </w:rPr>
        <w:t>, 18(5), 1–19.</w:t>
      </w:r>
    </w:p>
    <w:p w14:paraId="0985F4AA" w14:textId="77777777" w:rsidR="003A3415" w:rsidRDefault="00043A51">
      <w:pPr>
        <w:spacing w:after="100" w:line="276" w:lineRule="auto"/>
        <w:ind w:left="480" w:hanging="480"/>
        <w:jc w:val="both"/>
      </w:pPr>
      <w:r>
        <w:rPr>
          <w:sz w:val="22"/>
          <w:szCs w:val="22"/>
        </w:rPr>
        <w:t xml:space="preserve">Jaakkola, E. (2020). Designing conceptual articles: Four approaches. </w:t>
      </w:r>
      <w:r>
        <w:rPr>
          <w:i/>
          <w:iCs/>
          <w:sz w:val="22"/>
          <w:szCs w:val="22"/>
        </w:rPr>
        <w:t>AMS Review</w:t>
      </w:r>
      <w:r>
        <w:rPr>
          <w:sz w:val="22"/>
          <w:szCs w:val="22"/>
        </w:rPr>
        <w:t>, 10, 18–26.</w:t>
      </w:r>
    </w:p>
    <w:p w14:paraId="7307C41E" w14:textId="77777777" w:rsidR="003A3415" w:rsidRDefault="00043A51">
      <w:pPr>
        <w:spacing w:after="100" w:line="276" w:lineRule="auto"/>
        <w:ind w:left="480" w:hanging="480"/>
        <w:jc w:val="both"/>
      </w:pPr>
      <w:r>
        <w:rPr>
          <w:sz w:val="22"/>
          <w:szCs w:val="22"/>
        </w:rPr>
        <w:t xml:space="preserve">Jensen, M. C., &amp; Meckling, W. H. (1976). Theory of the firm: Managerial behavior, agency costs and ownership structure. </w:t>
      </w:r>
      <w:r>
        <w:rPr>
          <w:i/>
          <w:iCs/>
          <w:sz w:val="22"/>
          <w:szCs w:val="22"/>
        </w:rPr>
        <w:t>Journal of Financial Economics</w:t>
      </w:r>
      <w:r>
        <w:rPr>
          <w:sz w:val="22"/>
          <w:szCs w:val="22"/>
        </w:rPr>
        <w:t>, 3(4), 305–360.</w:t>
      </w:r>
    </w:p>
    <w:p w14:paraId="0BFBB31B" w14:textId="77777777" w:rsidR="003A3415" w:rsidRDefault="00043A51">
      <w:pPr>
        <w:spacing w:after="100" w:line="276" w:lineRule="auto"/>
        <w:ind w:left="480" w:hanging="480"/>
        <w:jc w:val="both"/>
      </w:pPr>
      <w:r>
        <w:rPr>
          <w:sz w:val="22"/>
          <w:szCs w:val="22"/>
        </w:rPr>
        <w:t xml:space="preserve">Kamasak, R. (2017). The contribution of tangible and intangible resources to firm performance. </w:t>
      </w:r>
      <w:r>
        <w:rPr>
          <w:i/>
          <w:iCs/>
          <w:sz w:val="22"/>
          <w:szCs w:val="22"/>
        </w:rPr>
        <w:t>European Journal of Management and Business Economics</w:t>
      </w:r>
      <w:r>
        <w:rPr>
          <w:sz w:val="22"/>
          <w:szCs w:val="22"/>
        </w:rPr>
        <w:t>, 26(2), 252–275.</w:t>
      </w:r>
    </w:p>
    <w:p w14:paraId="5212BE31" w14:textId="77777777" w:rsidR="003A3415" w:rsidRDefault="00043A51">
      <w:pPr>
        <w:spacing w:after="100" w:line="276" w:lineRule="auto"/>
        <w:ind w:left="480" w:hanging="480"/>
        <w:jc w:val="both"/>
      </w:pPr>
      <w:r>
        <w:rPr>
          <w:sz w:val="22"/>
          <w:szCs w:val="22"/>
        </w:rPr>
        <w:t xml:space="preserve">Krisanthi, G. A. T., </w:t>
      </w:r>
      <w:proofErr w:type="spellStart"/>
      <w:r>
        <w:rPr>
          <w:sz w:val="22"/>
          <w:szCs w:val="22"/>
        </w:rPr>
        <w:t>Sukarsa</w:t>
      </w:r>
      <w:proofErr w:type="spellEnd"/>
      <w:r>
        <w:rPr>
          <w:sz w:val="22"/>
          <w:szCs w:val="22"/>
        </w:rPr>
        <w:t xml:space="preserve">, I. M., &amp; </w:t>
      </w:r>
      <w:proofErr w:type="spellStart"/>
      <w:r>
        <w:rPr>
          <w:sz w:val="22"/>
          <w:szCs w:val="22"/>
        </w:rPr>
        <w:t>Bayupati</w:t>
      </w:r>
      <w:proofErr w:type="spellEnd"/>
      <w:r>
        <w:rPr>
          <w:sz w:val="22"/>
          <w:szCs w:val="22"/>
        </w:rPr>
        <w:t xml:space="preserve">, I. P. A. (2014). Governance audit of e-procurement implementation. </w:t>
      </w:r>
      <w:r>
        <w:rPr>
          <w:i/>
          <w:iCs/>
          <w:sz w:val="22"/>
          <w:szCs w:val="22"/>
        </w:rPr>
        <w:t>International Journal of Computer Applications</w:t>
      </w:r>
      <w:r>
        <w:rPr>
          <w:sz w:val="22"/>
          <w:szCs w:val="22"/>
        </w:rPr>
        <w:t>, 99(10), 1–8.</w:t>
      </w:r>
    </w:p>
    <w:p w14:paraId="34173E29" w14:textId="77777777" w:rsidR="003A3415" w:rsidRDefault="00043A51">
      <w:pPr>
        <w:spacing w:after="100" w:line="276" w:lineRule="auto"/>
        <w:ind w:left="480" w:hanging="480"/>
        <w:jc w:val="both"/>
      </w:pPr>
      <w:r>
        <w:rPr>
          <w:sz w:val="22"/>
          <w:szCs w:val="22"/>
        </w:rPr>
        <w:t xml:space="preserve">Kubwimana, J., &amp; Nimpano, P. (2025). Human capital, the resource-based view and e-procurement performance in the public sector. </w:t>
      </w:r>
      <w:r>
        <w:rPr>
          <w:i/>
          <w:iCs/>
          <w:sz w:val="22"/>
          <w:szCs w:val="22"/>
        </w:rPr>
        <w:t>International Journal of Public Sector Management</w:t>
      </w:r>
      <w:r>
        <w:rPr>
          <w:sz w:val="22"/>
          <w:szCs w:val="22"/>
        </w:rPr>
        <w:t>, 38(2), 1–21.</w:t>
      </w:r>
    </w:p>
    <w:p w14:paraId="7AB874FF" w14:textId="77777777" w:rsidR="003A3415" w:rsidRDefault="00043A51">
      <w:pPr>
        <w:spacing w:after="100" w:line="276" w:lineRule="auto"/>
        <w:ind w:left="480" w:hanging="480"/>
        <w:jc w:val="both"/>
      </w:pPr>
      <w:r>
        <w:rPr>
          <w:sz w:val="22"/>
          <w:szCs w:val="22"/>
        </w:rPr>
        <w:t xml:space="preserve">Li, Y., et al. (2024). Digital capability and public-sector performance: A resource-based perspective. </w:t>
      </w:r>
      <w:r>
        <w:rPr>
          <w:i/>
          <w:iCs/>
          <w:sz w:val="22"/>
          <w:szCs w:val="22"/>
        </w:rPr>
        <w:t>Public Management Review</w:t>
      </w:r>
      <w:r>
        <w:rPr>
          <w:sz w:val="22"/>
          <w:szCs w:val="22"/>
        </w:rPr>
        <w:t>, 26(7), 1–23.</w:t>
      </w:r>
    </w:p>
    <w:p w14:paraId="116D4D21" w14:textId="77777777" w:rsidR="003A3415" w:rsidRDefault="00043A51">
      <w:pPr>
        <w:spacing w:after="100" w:line="276" w:lineRule="auto"/>
        <w:ind w:left="480" w:hanging="480"/>
        <w:jc w:val="both"/>
      </w:pPr>
      <w:r>
        <w:rPr>
          <w:sz w:val="22"/>
          <w:szCs w:val="22"/>
        </w:rPr>
        <w:t xml:space="preserve">Madzimure, J., </w:t>
      </w:r>
      <w:proofErr w:type="spellStart"/>
      <w:r>
        <w:rPr>
          <w:sz w:val="22"/>
          <w:szCs w:val="22"/>
        </w:rPr>
        <w:t>Mafini</w:t>
      </w:r>
      <w:proofErr w:type="spellEnd"/>
      <w:r>
        <w:rPr>
          <w:sz w:val="22"/>
          <w:szCs w:val="22"/>
        </w:rPr>
        <w:t xml:space="preserve">, C., &amp; </w:t>
      </w:r>
      <w:proofErr w:type="spellStart"/>
      <w:r>
        <w:rPr>
          <w:sz w:val="22"/>
          <w:szCs w:val="22"/>
        </w:rPr>
        <w:t>Dhurup</w:t>
      </w:r>
      <w:proofErr w:type="spellEnd"/>
      <w:r>
        <w:rPr>
          <w:sz w:val="22"/>
          <w:szCs w:val="22"/>
        </w:rPr>
        <w:t xml:space="preserve">, M. (2020). E-procurement, supplier integration and supply chain performance in SMEs. </w:t>
      </w:r>
      <w:r>
        <w:rPr>
          <w:i/>
          <w:iCs/>
          <w:sz w:val="22"/>
          <w:szCs w:val="22"/>
        </w:rPr>
        <w:t>South African Journal of Business Management</w:t>
      </w:r>
      <w:r>
        <w:rPr>
          <w:sz w:val="22"/>
          <w:szCs w:val="22"/>
        </w:rPr>
        <w:t>, 51(1), 1–12.</w:t>
      </w:r>
    </w:p>
    <w:p w14:paraId="2934B372" w14:textId="77777777" w:rsidR="003A3415" w:rsidRDefault="00043A51">
      <w:pPr>
        <w:spacing w:after="100" w:line="276" w:lineRule="auto"/>
        <w:ind w:left="480" w:hanging="480"/>
        <w:jc w:val="both"/>
      </w:pPr>
      <w:r>
        <w:rPr>
          <w:sz w:val="22"/>
          <w:szCs w:val="22"/>
        </w:rPr>
        <w:t xml:space="preserve">Marikyan, D., &amp; Papagiannidis, S. (2024). Technology Acceptance Model: A review. In </w:t>
      </w:r>
      <w:r>
        <w:rPr>
          <w:i/>
          <w:iCs/>
          <w:sz w:val="22"/>
          <w:szCs w:val="22"/>
        </w:rPr>
        <w:t>TheoryHub Book</w:t>
      </w:r>
      <w:r>
        <w:rPr>
          <w:sz w:val="22"/>
          <w:szCs w:val="22"/>
        </w:rPr>
        <w:t>. Newcastle University.</w:t>
      </w:r>
    </w:p>
    <w:p w14:paraId="65D4E8B0" w14:textId="77777777" w:rsidR="003A3415" w:rsidRDefault="00043A51">
      <w:pPr>
        <w:spacing w:after="100" w:line="276" w:lineRule="auto"/>
        <w:ind w:left="480" w:hanging="480"/>
        <w:jc w:val="both"/>
      </w:pPr>
      <w:r>
        <w:rPr>
          <w:sz w:val="22"/>
          <w:szCs w:val="22"/>
        </w:rPr>
        <w:t xml:space="preserve">Mlinga, R. S. (2009). Promoting integrity in public procurement. </w:t>
      </w:r>
      <w:r>
        <w:rPr>
          <w:i/>
          <w:iCs/>
          <w:sz w:val="22"/>
          <w:szCs w:val="22"/>
        </w:rPr>
        <w:t>Tanzania Procurement Journal</w:t>
      </w:r>
      <w:r>
        <w:rPr>
          <w:sz w:val="22"/>
          <w:szCs w:val="22"/>
        </w:rPr>
        <w:t>, 2(4), 13–30.</w:t>
      </w:r>
    </w:p>
    <w:p w14:paraId="33EFA4B2" w14:textId="77777777" w:rsidR="003A3415" w:rsidRDefault="00043A51">
      <w:pPr>
        <w:spacing w:after="100" w:line="276" w:lineRule="auto"/>
        <w:ind w:left="480" w:hanging="480"/>
        <w:jc w:val="both"/>
      </w:pPr>
      <w:r>
        <w:rPr>
          <w:sz w:val="22"/>
          <w:szCs w:val="22"/>
        </w:rPr>
        <w:t xml:space="preserve">Mwangi, J. (2020). Staff ICT competence and the effectiveness of e-procurement in Tanzania’s public sector. </w:t>
      </w:r>
      <w:r>
        <w:rPr>
          <w:i/>
          <w:iCs/>
          <w:sz w:val="22"/>
          <w:szCs w:val="22"/>
        </w:rPr>
        <w:t>African Journal of Procurement and Supply Chain Management</w:t>
      </w:r>
      <w:r>
        <w:rPr>
          <w:sz w:val="22"/>
          <w:szCs w:val="22"/>
        </w:rPr>
        <w:t>, 4(1), 1–16.</w:t>
      </w:r>
    </w:p>
    <w:p w14:paraId="0B8E04B4" w14:textId="77777777" w:rsidR="003A3415" w:rsidRDefault="00043A51">
      <w:pPr>
        <w:spacing w:after="100" w:line="276" w:lineRule="auto"/>
        <w:ind w:left="480" w:hanging="480"/>
        <w:jc w:val="both"/>
      </w:pPr>
      <w:r>
        <w:rPr>
          <w:sz w:val="22"/>
          <w:szCs w:val="22"/>
        </w:rPr>
        <w:t xml:space="preserve">Ndeti, M., &amp; Mutuku, B. (2021). Determinants of e-procurement adoption in the public sector. </w:t>
      </w:r>
      <w:r>
        <w:rPr>
          <w:i/>
          <w:iCs/>
          <w:sz w:val="22"/>
          <w:szCs w:val="22"/>
        </w:rPr>
        <w:t>International Journal of Supply Chain Management</w:t>
      </w:r>
      <w:r>
        <w:rPr>
          <w:sz w:val="22"/>
          <w:szCs w:val="22"/>
        </w:rPr>
        <w:t>, 6(2), 1–18.</w:t>
      </w:r>
    </w:p>
    <w:p w14:paraId="62571E2B" w14:textId="77777777" w:rsidR="003A3415" w:rsidRDefault="00043A51">
      <w:pPr>
        <w:spacing w:after="100" w:line="276" w:lineRule="auto"/>
        <w:ind w:left="480" w:hanging="480"/>
        <w:jc w:val="both"/>
      </w:pPr>
      <w:r>
        <w:rPr>
          <w:sz w:val="22"/>
          <w:szCs w:val="22"/>
        </w:rPr>
        <w:t xml:space="preserve">Öhgren, A., et al. (2019). Integrating the procurement process through e-procurement. </w:t>
      </w:r>
      <w:r>
        <w:rPr>
          <w:i/>
          <w:iCs/>
          <w:sz w:val="22"/>
          <w:szCs w:val="22"/>
        </w:rPr>
        <w:t>Journal of Public Procurement</w:t>
      </w:r>
      <w:r>
        <w:rPr>
          <w:sz w:val="22"/>
          <w:szCs w:val="22"/>
        </w:rPr>
        <w:t>, 19(2), 1–20.</w:t>
      </w:r>
    </w:p>
    <w:p w14:paraId="432D3AFA" w14:textId="77777777" w:rsidR="003A3415" w:rsidRDefault="00043A51">
      <w:pPr>
        <w:spacing w:after="100" w:line="276" w:lineRule="auto"/>
        <w:ind w:left="480" w:hanging="480"/>
        <w:jc w:val="both"/>
      </w:pPr>
      <w:r>
        <w:rPr>
          <w:sz w:val="22"/>
          <w:szCs w:val="22"/>
        </w:rPr>
        <w:t xml:space="preserve">Panda, B., &amp; Leepsa, N. M. (2017). Agency theory: Review of theory and evidence on problems and perspectives. </w:t>
      </w:r>
      <w:r>
        <w:rPr>
          <w:i/>
          <w:iCs/>
          <w:sz w:val="22"/>
          <w:szCs w:val="22"/>
        </w:rPr>
        <w:t>Indian Journal of Corporate Governance</w:t>
      </w:r>
      <w:r>
        <w:rPr>
          <w:sz w:val="22"/>
          <w:szCs w:val="22"/>
        </w:rPr>
        <w:t>, 10(1), 74–95.</w:t>
      </w:r>
    </w:p>
    <w:p w14:paraId="393C5D1E" w14:textId="77777777" w:rsidR="003A3415" w:rsidRDefault="00043A51">
      <w:pPr>
        <w:spacing w:after="100" w:line="276" w:lineRule="auto"/>
        <w:ind w:left="480" w:hanging="480"/>
        <w:jc w:val="both"/>
      </w:pPr>
      <w:r>
        <w:rPr>
          <w:sz w:val="22"/>
          <w:szCs w:val="22"/>
        </w:rPr>
        <w:t xml:space="preserve">Public Procurement Authority [PPA]. (2010). </w:t>
      </w:r>
      <w:r>
        <w:rPr>
          <w:i/>
          <w:iCs/>
          <w:sz w:val="22"/>
          <w:szCs w:val="22"/>
        </w:rPr>
        <w:t>Annual report and the introduction of electronic procurement planning</w:t>
      </w:r>
      <w:r>
        <w:rPr>
          <w:sz w:val="22"/>
          <w:szCs w:val="22"/>
        </w:rPr>
        <w:t>. Public Procurement Authority of Ghana.</w:t>
      </w:r>
    </w:p>
    <w:p w14:paraId="5BCD08A3" w14:textId="77777777" w:rsidR="003A3415" w:rsidRDefault="00043A51">
      <w:pPr>
        <w:spacing w:after="100" w:line="276" w:lineRule="auto"/>
        <w:ind w:left="480" w:hanging="480"/>
        <w:jc w:val="both"/>
      </w:pPr>
      <w:r>
        <w:rPr>
          <w:sz w:val="22"/>
          <w:szCs w:val="22"/>
        </w:rPr>
        <w:t xml:space="preserve">Purba, J. T., et al. (2023). VRIN resources and competitive advantage. </w:t>
      </w:r>
      <w:r>
        <w:rPr>
          <w:i/>
          <w:iCs/>
          <w:sz w:val="22"/>
          <w:szCs w:val="22"/>
        </w:rPr>
        <w:t>Journal of Strategy and Management</w:t>
      </w:r>
      <w:r>
        <w:rPr>
          <w:sz w:val="22"/>
          <w:szCs w:val="22"/>
        </w:rPr>
        <w:t>, 16(2), 1–19.</w:t>
      </w:r>
    </w:p>
    <w:p w14:paraId="63D12CA8" w14:textId="77777777" w:rsidR="003A3415" w:rsidRDefault="00043A51">
      <w:pPr>
        <w:spacing w:after="100" w:line="276" w:lineRule="auto"/>
        <w:ind w:left="480" w:hanging="480"/>
        <w:jc w:val="both"/>
      </w:pPr>
      <w:r>
        <w:rPr>
          <w:sz w:val="22"/>
          <w:szCs w:val="22"/>
        </w:rPr>
        <w:t xml:space="preserve">Putri, A., Syamsu, S., &amp; Triono, B. (2024). E-procurement as a governance technology: Addressing the principal–agent problem in public procurement. </w:t>
      </w:r>
      <w:r>
        <w:rPr>
          <w:i/>
          <w:iCs/>
          <w:sz w:val="22"/>
          <w:szCs w:val="22"/>
        </w:rPr>
        <w:t>Journal of Governance and Public Policy</w:t>
      </w:r>
      <w:r>
        <w:rPr>
          <w:sz w:val="22"/>
          <w:szCs w:val="22"/>
        </w:rPr>
        <w:t>, 11(2), 1–18.</w:t>
      </w:r>
    </w:p>
    <w:p w14:paraId="6AAB01E5" w14:textId="77777777" w:rsidR="003A3415" w:rsidRDefault="00043A51">
      <w:pPr>
        <w:spacing w:after="100" w:line="276" w:lineRule="auto"/>
        <w:ind w:left="480" w:hanging="480"/>
        <w:jc w:val="both"/>
      </w:pPr>
      <w:r>
        <w:rPr>
          <w:sz w:val="22"/>
          <w:szCs w:val="22"/>
        </w:rPr>
        <w:lastRenderedPageBreak/>
        <w:t xml:space="preserve">Sarpong, K. O., et al. (2017). Barriers to e-procurement adoption in Ghanaian hospitals: A structural equation modelling approach. </w:t>
      </w:r>
      <w:r>
        <w:rPr>
          <w:i/>
          <w:iCs/>
          <w:sz w:val="22"/>
          <w:szCs w:val="22"/>
        </w:rPr>
        <w:t>International Journal of Procurement Management</w:t>
      </w:r>
      <w:r>
        <w:rPr>
          <w:sz w:val="22"/>
          <w:szCs w:val="22"/>
        </w:rPr>
        <w:t>, 10(5), 1–20.</w:t>
      </w:r>
    </w:p>
    <w:p w14:paraId="3D74985E" w14:textId="77777777" w:rsidR="003A3415" w:rsidRDefault="00043A51">
      <w:pPr>
        <w:spacing w:after="100" w:line="276" w:lineRule="auto"/>
        <w:ind w:left="480" w:hanging="480"/>
        <w:jc w:val="both"/>
      </w:pPr>
      <w:r>
        <w:rPr>
          <w:sz w:val="22"/>
          <w:szCs w:val="22"/>
        </w:rPr>
        <w:t xml:space="preserve">Sava, A., &amp; Dragoș, D. (2022). Transparency and competition in electronic public procurement. </w:t>
      </w:r>
      <w:r>
        <w:rPr>
          <w:i/>
          <w:iCs/>
          <w:sz w:val="22"/>
          <w:szCs w:val="22"/>
        </w:rPr>
        <w:t>Transylvanian Review of Administrative Sciences</w:t>
      </w:r>
      <w:r>
        <w:rPr>
          <w:sz w:val="22"/>
          <w:szCs w:val="22"/>
        </w:rPr>
        <w:t>, 18(66), 1–18.</w:t>
      </w:r>
    </w:p>
    <w:p w14:paraId="3D061063" w14:textId="77777777" w:rsidR="003A3415" w:rsidRDefault="00043A51">
      <w:pPr>
        <w:spacing w:after="100" w:line="276" w:lineRule="auto"/>
        <w:ind w:left="480" w:hanging="480"/>
        <w:jc w:val="both"/>
      </w:pPr>
      <w:r>
        <w:rPr>
          <w:sz w:val="22"/>
          <w:szCs w:val="22"/>
        </w:rPr>
        <w:t xml:space="preserve">Tanner, C., </w:t>
      </w:r>
      <w:proofErr w:type="spellStart"/>
      <w:r>
        <w:rPr>
          <w:sz w:val="22"/>
          <w:szCs w:val="22"/>
        </w:rPr>
        <w:t>Wölfle</w:t>
      </w:r>
      <w:proofErr w:type="spellEnd"/>
      <w:r>
        <w:rPr>
          <w:sz w:val="22"/>
          <w:szCs w:val="22"/>
        </w:rPr>
        <w:t xml:space="preserve">, R., Schubert, P., &amp; Quade, M. (2008). Current trends and challenges in electronic procurement. </w:t>
      </w:r>
      <w:r>
        <w:rPr>
          <w:i/>
          <w:iCs/>
          <w:sz w:val="22"/>
          <w:szCs w:val="22"/>
        </w:rPr>
        <w:t>Electronic Markets</w:t>
      </w:r>
      <w:r>
        <w:rPr>
          <w:sz w:val="22"/>
          <w:szCs w:val="22"/>
        </w:rPr>
        <w:t>, 18(1), 6–18.</w:t>
      </w:r>
    </w:p>
    <w:p w14:paraId="2CAF6F52" w14:textId="77777777" w:rsidR="003A3415" w:rsidRDefault="00043A51">
      <w:pPr>
        <w:spacing w:after="100" w:line="276" w:lineRule="auto"/>
        <w:ind w:left="480" w:hanging="480"/>
        <w:jc w:val="both"/>
      </w:pPr>
      <w:r>
        <w:rPr>
          <w:sz w:val="22"/>
          <w:szCs w:val="22"/>
        </w:rPr>
        <w:t xml:space="preserve">Tutu, S. O., Kissi, E., Osei-Tutu, E., &amp; Desmond, A. (2019). Evaluating critical factors for the implementation of e-procurement in Ghana. </w:t>
      </w:r>
      <w:r>
        <w:rPr>
          <w:i/>
          <w:iCs/>
          <w:sz w:val="22"/>
          <w:szCs w:val="22"/>
        </w:rPr>
        <w:t>International Journal of Procurement Management</w:t>
      </w:r>
      <w:r>
        <w:rPr>
          <w:sz w:val="22"/>
          <w:szCs w:val="22"/>
        </w:rPr>
        <w:t>, 12(1), 1–17.</w:t>
      </w:r>
    </w:p>
    <w:p w14:paraId="614E6FF5" w14:textId="77777777" w:rsidR="003A3415" w:rsidRDefault="00043A51">
      <w:pPr>
        <w:spacing w:after="100" w:line="276" w:lineRule="auto"/>
        <w:ind w:left="480" w:hanging="480"/>
        <w:jc w:val="both"/>
      </w:pPr>
      <w:r>
        <w:rPr>
          <w:sz w:val="22"/>
          <w:szCs w:val="22"/>
        </w:rPr>
        <w:t xml:space="preserve">van Laar, E., van Deursen, A. J. A. M., van Dijk, J. A. G. M., &amp; de Haan, J. (2020). Determinants of 21st-century digital skills. </w:t>
      </w:r>
      <w:r>
        <w:rPr>
          <w:i/>
          <w:iCs/>
          <w:sz w:val="22"/>
          <w:szCs w:val="22"/>
        </w:rPr>
        <w:t>SAGE Open</w:t>
      </w:r>
      <w:r>
        <w:rPr>
          <w:sz w:val="22"/>
          <w:szCs w:val="22"/>
        </w:rPr>
        <w:t>, 10(1), 1–14.</w:t>
      </w:r>
    </w:p>
    <w:p w14:paraId="1929FBAC" w14:textId="77777777" w:rsidR="003A3415" w:rsidRDefault="00043A51">
      <w:pPr>
        <w:spacing w:after="100" w:line="276" w:lineRule="auto"/>
        <w:ind w:left="480" w:hanging="480"/>
        <w:jc w:val="both"/>
      </w:pPr>
      <w:r>
        <w:rPr>
          <w:sz w:val="22"/>
          <w:szCs w:val="22"/>
        </w:rPr>
        <w:t xml:space="preserve">Venkatesh, V., &amp; Davis, F. D. (2000). A theoretical extension of the technology acceptance model: Four longitudinal field studies. </w:t>
      </w:r>
      <w:r>
        <w:rPr>
          <w:i/>
          <w:iCs/>
          <w:sz w:val="22"/>
          <w:szCs w:val="22"/>
        </w:rPr>
        <w:t>Management Science</w:t>
      </w:r>
      <w:r>
        <w:rPr>
          <w:sz w:val="22"/>
          <w:szCs w:val="22"/>
        </w:rPr>
        <w:t>, 46(2), 186–204.</w:t>
      </w:r>
    </w:p>
    <w:p w14:paraId="7AA8BE03" w14:textId="77777777" w:rsidR="003A3415" w:rsidRDefault="00043A51">
      <w:pPr>
        <w:spacing w:after="100" w:line="276" w:lineRule="auto"/>
        <w:ind w:left="480" w:hanging="480"/>
        <w:jc w:val="both"/>
      </w:pPr>
      <w:r>
        <w:rPr>
          <w:sz w:val="22"/>
          <w:szCs w:val="22"/>
        </w:rPr>
        <w:t xml:space="preserve">Vrbová, P., et al. (2018). Electronic data interchange and supplier performance. </w:t>
      </w:r>
      <w:r>
        <w:rPr>
          <w:i/>
          <w:iCs/>
          <w:sz w:val="22"/>
          <w:szCs w:val="22"/>
        </w:rPr>
        <w:t>LOGI – Scientific Journal on Transport and Logistics</w:t>
      </w:r>
      <w:r>
        <w:rPr>
          <w:sz w:val="22"/>
          <w:szCs w:val="22"/>
        </w:rPr>
        <w:t>, 9(1), 1–10.</w:t>
      </w:r>
    </w:p>
    <w:p w14:paraId="368E72B3" w14:textId="77777777" w:rsidR="003A3415" w:rsidRDefault="00043A51">
      <w:pPr>
        <w:spacing w:after="100" w:line="276" w:lineRule="auto"/>
        <w:ind w:left="480" w:hanging="480"/>
        <w:jc w:val="both"/>
      </w:pPr>
      <w:r>
        <w:rPr>
          <w:sz w:val="22"/>
          <w:szCs w:val="22"/>
        </w:rPr>
        <w:t xml:space="preserve">Wernerfelt, B. (1984). A resource-based view of the firm. </w:t>
      </w:r>
      <w:r>
        <w:rPr>
          <w:i/>
          <w:iCs/>
          <w:sz w:val="22"/>
          <w:szCs w:val="22"/>
        </w:rPr>
        <w:t>Strategic Management Journal</w:t>
      </w:r>
      <w:r>
        <w:rPr>
          <w:sz w:val="22"/>
          <w:szCs w:val="22"/>
        </w:rPr>
        <w:t>, 5(2), 171–180.</w:t>
      </w:r>
    </w:p>
    <w:p w14:paraId="11D30F60" w14:textId="77777777" w:rsidR="003A3415" w:rsidRDefault="00043A51">
      <w:pPr>
        <w:spacing w:after="100" w:line="276" w:lineRule="auto"/>
        <w:ind w:left="480" w:hanging="480"/>
        <w:jc w:val="both"/>
      </w:pPr>
      <w:r>
        <w:rPr>
          <w:sz w:val="22"/>
          <w:szCs w:val="22"/>
        </w:rPr>
        <w:t xml:space="preserve">Williamson, O. E. (1981). The economics of organization: The transaction cost approach. </w:t>
      </w:r>
      <w:r>
        <w:rPr>
          <w:i/>
          <w:iCs/>
          <w:sz w:val="22"/>
          <w:szCs w:val="22"/>
        </w:rPr>
        <w:t>American Journal of Sociology</w:t>
      </w:r>
      <w:r>
        <w:rPr>
          <w:sz w:val="22"/>
          <w:szCs w:val="22"/>
        </w:rPr>
        <w:t>, 87(3), 548–577.</w:t>
      </w:r>
    </w:p>
    <w:p w14:paraId="6901A140" w14:textId="77777777" w:rsidR="003A3415" w:rsidRDefault="00043A51">
      <w:pPr>
        <w:spacing w:after="100" w:line="276" w:lineRule="auto"/>
        <w:ind w:left="480" w:hanging="480"/>
        <w:jc w:val="both"/>
      </w:pPr>
      <w:r>
        <w:rPr>
          <w:sz w:val="22"/>
          <w:szCs w:val="22"/>
        </w:rPr>
        <w:t xml:space="preserve">World Bank. (2003). </w:t>
      </w:r>
      <w:r>
        <w:rPr>
          <w:i/>
          <w:iCs/>
          <w:sz w:val="22"/>
          <w:szCs w:val="22"/>
        </w:rPr>
        <w:t>Ghana: Country procurement assessment report</w:t>
      </w:r>
      <w:r>
        <w:rPr>
          <w:sz w:val="22"/>
          <w:szCs w:val="22"/>
        </w:rPr>
        <w:t>. World Bank.</w:t>
      </w:r>
    </w:p>
    <w:p w14:paraId="7E940A1C" w14:textId="77777777" w:rsidR="003A3415" w:rsidRDefault="00043A51">
      <w:pPr>
        <w:spacing w:after="100" w:line="276" w:lineRule="auto"/>
        <w:ind w:left="480" w:hanging="480"/>
        <w:jc w:val="both"/>
      </w:pPr>
      <w:r>
        <w:rPr>
          <w:sz w:val="22"/>
          <w:szCs w:val="22"/>
        </w:rPr>
        <w:t xml:space="preserve">World Bank. (2013). </w:t>
      </w:r>
      <w:r>
        <w:rPr>
          <w:i/>
          <w:iCs/>
          <w:sz w:val="22"/>
          <w:szCs w:val="22"/>
        </w:rPr>
        <w:t>Why reform public procurement?</w:t>
      </w:r>
      <w:r>
        <w:rPr>
          <w:sz w:val="22"/>
          <w:szCs w:val="22"/>
        </w:rPr>
        <w:t xml:space="preserve"> World Bank.</w:t>
      </w:r>
    </w:p>
    <w:sectPr w:rsidR="003A3415">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6D079" w14:textId="77777777" w:rsidR="00493CDE" w:rsidRDefault="00493CDE">
      <w:r>
        <w:separator/>
      </w:r>
    </w:p>
  </w:endnote>
  <w:endnote w:type="continuationSeparator" w:id="0">
    <w:p w14:paraId="2F7679F3" w14:textId="77777777" w:rsidR="00493CDE" w:rsidRDefault="0049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FB4F7" w14:textId="77777777" w:rsidR="003A3415" w:rsidRDefault="00043A51">
    <w:pPr>
      <w:jc w:val="center"/>
    </w:pPr>
    <w:r>
      <w:rPr>
        <w:sz w:val="18"/>
        <w:szCs w:val="18"/>
      </w:rPr>
      <w:fldChar w:fldCharType="begin"/>
    </w:r>
    <w:r>
      <w:rPr>
        <w:sz w:val="18"/>
        <w:szCs w:val="18"/>
      </w:rPr>
      <w:instrText>PAGE</w:instrText>
    </w:r>
    <w:r>
      <w:rPr>
        <w:sz w:val="18"/>
        <w:szCs w:val="18"/>
      </w:rPr>
      <w:fldChar w:fldCharType="separate"/>
    </w:r>
    <w:r w:rsidR="004C19F1">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4D1DA" w14:textId="77777777" w:rsidR="00493CDE" w:rsidRDefault="00493CDE">
      <w:r>
        <w:separator/>
      </w:r>
    </w:p>
  </w:footnote>
  <w:footnote w:type="continuationSeparator" w:id="0">
    <w:p w14:paraId="2339349D" w14:textId="77777777" w:rsidR="00493CDE" w:rsidRDefault="00493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B2BE6"/>
    <w:multiLevelType w:val="hybridMultilevel"/>
    <w:tmpl w:val="2850F64C"/>
    <w:lvl w:ilvl="0" w:tplc="877C3B6A">
      <w:start w:val="1"/>
      <w:numFmt w:val="bullet"/>
      <w:lvlText w:val="●"/>
      <w:lvlJc w:val="left"/>
      <w:pPr>
        <w:ind w:left="720" w:hanging="360"/>
      </w:pPr>
    </w:lvl>
    <w:lvl w:ilvl="1" w:tplc="AB8EE5C8">
      <w:start w:val="1"/>
      <w:numFmt w:val="bullet"/>
      <w:lvlText w:val="○"/>
      <w:lvlJc w:val="left"/>
      <w:pPr>
        <w:ind w:left="1440" w:hanging="360"/>
      </w:pPr>
    </w:lvl>
    <w:lvl w:ilvl="2" w:tplc="E90043B0">
      <w:start w:val="1"/>
      <w:numFmt w:val="bullet"/>
      <w:lvlText w:val="■"/>
      <w:lvlJc w:val="left"/>
      <w:pPr>
        <w:ind w:left="2160" w:hanging="360"/>
      </w:pPr>
    </w:lvl>
    <w:lvl w:ilvl="3" w:tplc="192E671C">
      <w:start w:val="1"/>
      <w:numFmt w:val="bullet"/>
      <w:lvlText w:val="●"/>
      <w:lvlJc w:val="left"/>
      <w:pPr>
        <w:ind w:left="2880" w:hanging="360"/>
      </w:pPr>
    </w:lvl>
    <w:lvl w:ilvl="4" w:tplc="1FA2E092">
      <w:start w:val="1"/>
      <w:numFmt w:val="bullet"/>
      <w:lvlText w:val="○"/>
      <w:lvlJc w:val="left"/>
      <w:pPr>
        <w:ind w:left="3600" w:hanging="360"/>
      </w:pPr>
    </w:lvl>
    <w:lvl w:ilvl="5" w:tplc="D7184D76">
      <w:start w:val="1"/>
      <w:numFmt w:val="bullet"/>
      <w:lvlText w:val="■"/>
      <w:lvlJc w:val="left"/>
      <w:pPr>
        <w:ind w:left="4320" w:hanging="360"/>
      </w:pPr>
    </w:lvl>
    <w:lvl w:ilvl="6" w:tplc="1374AAA2">
      <w:start w:val="1"/>
      <w:numFmt w:val="bullet"/>
      <w:lvlText w:val="●"/>
      <w:lvlJc w:val="left"/>
      <w:pPr>
        <w:ind w:left="5040" w:hanging="360"/>
      </w:pPr>
    </w:lvl>
    <w:lvl w:ilvl="7" w:tplc="AFEEE80A">
      <w:start w:val="1"/>
      <w:numFmt w:val="bullet"/>
      <w:lvlText w:val="●"/>
      <w:lvlJc w:val="left"/>
      <w:pPr>
        <w:ind w:left="5760" w:hanging="360"/>
      </w:pPr>
    </w:lvl>
    <w:lvl w:ilvl="8" w:tplc="53FC7B6E">
      <w:start w:val="1"/>
      <w:numFmt w:val="bullet"/>
      <w:lvlText w:val="●"/>
      <w:lvlJc w:val="left"/>
      <w:pPr>
        <w:ind w:left="6480" w:hanging="360"/>
      </w:pPr>
    </w:lvl>
  </w:abstractNum>
  <w:abstractNum w:abstractNumId="1" w15:restartNumberingAfterBreak="0">
    <w:nsid w:val="3DED73AE"/>
    <w:multiLevelType w:val="hybridMultilevel"/>
    <w:tmpl w:val="65DC1FF6"/>
    <w:lvl w:ilvl="0" w:tplc="A260E0D8">
      <w:start w:val="1"/>
      <w:numFmt w:val="bullet"/>
      <w:lvlText w:val="•"/>
      <w:lvlJc w:val="left"/>
      <w:pPr>
        <w:ind w:left="720" w:hanging="360"/>
      </w:pPr>
    </w:lvl>
    <w:lvl w:ilvl="1" w:tplc="40F69E0C">
      <w:numFmt w:val="decimal"/>
      <w:lvlText w:val=""/>
      <w:lvlJc w:val="left"/>
    </w:lvl>
    <w:lvl w:ilvl="2" w:tplc="DDAC9BE0">
      <w:numFmt w:val="decimal"/>
      <w:lvlText w:val=""/>
      <w:lvlJc w:val="left"/>
    </w:lvl>
    <w:lvl w:ilvl="3" w:tplc="4B545C9E">
      <w:numFmt w:val="decimal"/>
      <w:lvlText w:val=""/>
      <w:lvlJc w:val="left"/>
    </w:lvl>
    <w:lvl w:ilvl="4" w:tplc="AA340282">
      <w:numFmt w:val="decimal"/>
      <w:lvlText w:val=""/>
      <w:lvlJc w:val="left"/>
    </w:lvl>
    <w:lvl w:ilvl="5" w:tplc="AEB6F5BA">
      <w:numFmt w:val="decimal"/>
      <w:lvlText w:val=""/>
      <w:lvlJc w:val="left"/>
    </w:lvl>
    <w:lvl w:ilvl="6" w:tplc="9410CA44">
      <w:numFmt w:val="decimal"/>
      <w:lvlText w:val=""/>
      <w:lvlJc w:val="left"/>
    </w:lvl>
    <w:lvl w:ilvl="7" w:tplc="0B9806C4">
      <w:numFmt w:val="decimal"/>
      <w:lvlText w:val=""/>
      <w:lvlJc w:val="left"/>
    </w:lvl>
    <w:lvl w:ilvl="8" w:tplc="E744E36A">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415"/>
    <w:rsid w:val="00043A51"/>
    <w:rsid w:val="003A3415"/>
    <w:rsid w:val="0046133B"/>
    <w:rsid w:val="00493CDE"/>
    <w:rsid w:val="004C19F1"/>
    <w:rsid w:val="0062376E"/>
    <w:rsid w:val="00675538"/>
    <w:rsid w:val="00B4479F"/>
    <w:rsid w:val="00B57364"/>
    <w:rsid w:val="00EB4FC5"/>
    <w:rsid w:val="00FB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1538"/>
  <w15:docId w15:val="{A25071AA-D3AA-4170-92AE-0037F89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40"/>
      <w:outlineLvl w:val="0"/>
    </w:pPr>
    <w:rPr>
      <w:b/>
      <w:bCs/>
      <w:color w:val="000000"/>
      <w:sz w:val="28"/>
      <w:szCs w:val="28"/>
    </w:rPr>
  </w:style>
  <w:style w:type="paragraph" w:styleId="Heading2">
    <w:name w:val="heading 2"/>
    <w:uiPriority w:val="9"/>
    <w:unhideWhenUsed/>
    <w:qFormat/>
    <w:pPr>
      <w:spacing w:before="200" w:after="110"/>
      <w:outlineLvl w:val="1"/>
    </w:pPr>
    <w:rPr>
      <w:b/>
      <w:bCs/>
      <w:color w:val="000000"/>
      <w:sz w:val="25"/>
      <w:szCs w:val="25"/>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6247</Words>
  <Characters>35610</Characters>
  <Application>Microsoft Office Word</Application>
  <DocSecurity>0</DocSecurity>
  <Lines>296</Lines>
  <Paragraphs>83</Paragraphs>
  <ScaleCrop>false</ScaleCrop>
  <Company/>
  <LinksUpToDate>false</LinksUpToDate>
  <CharactersWithSpaces>41774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E-Procurement and Value for Money in the Ghanaian Public Sector</dc:title>
  <dc:creator>Africa Research University</dc:creator>
  <cp:lastModifiedBy>Franklin Asante Hayford</cp:lastModifiedBy>
  <cp:revision>6</cp:revision>
  <dcterms:created xsi:type="dcterms:W3CDTF">2026-06-09T07:19:00Z</dcterms:created>
  <dcterms:modified xsi:type="dcterms:W3CDTF">2026-06-12T07:27:00Z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e3beffb3-8b8c-49fe-964e-2d617059f33d</vt:lpwstr>
  </property>
</Properties>
</file>