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5E9D" w:rsidRDefault="008914FF">
      <w:pPr>
        <w:pStyle w:val="normal0"/>
        <w:jc w:val="center"/>
        <w:rPr>
          <w:b/>
          <w:bCs/>
          <w:sz w:val="28"/>
          <w:szCs w:val="28"/>
        </w:rPr>
      </w:pPr>
      <w:r>
        <w:rPr>
          <w:b/>
          <w:bCs/>
          <w:sz w:val="28"/>
          <w:szCs w:val="28"/>
        </w:rPr>
        <w:t>Blended-Finance and Governance Model for Productive Waqf in Supporting Sustainable Islamic Social Investment and Religious Tourism</w:t>
      </w:r>
    </w:p>
    <w:p w:rsidR="00475E9D" w:rsidRDefault="00475E9D">
      <w:pPr>
        <w:pStyle w:val="normal0"/>
        <w:jc w:val="center"/>
        <w:rPr>
          <w:b/>
          <w:bCs/>
          <w:color w:val="4472C4"/>
          <w:sz w:val="28"/>
          <w:szCs w:val="28"/>
        </w:rPr>
      </w:pPr>
    </w:p>
    <w:p w:rsidR="00475E9D" w:rsidRDefault="008914FF">
      <w:pPr>
        <w:pStyle w:val="normal0"/>
        <w:pBdr>
          <w:top w:val="nil"/>
          <w:left w:val="nil"/>
          <w:bottom w:val="nil"/>
          <w:right w:val="nil"/>
          <w:between w:val="nil"/>
        </w:pBdr>
        <w:spacing w:after="140"/>
        <w:jc w:val="center"/>
        <w:rPr>
          <w:rFonts w:ascii="Calibri" w:eastAsia="Calibri" w:hAnsi="Calibri" w:cs="Calibri"/>
          <w:color w:val="000000"/>
          <w:sz w:val="24"/>
          <w:szCs w:val="24"/>
        </w:rPr>
      </w:pPr>
      <w:r>
        <w:rPr>
          <w:rFonts w:ascii="Calibri" w:eastAsia="Calibri" w:hAnsi="Calibri" w:cs="Calibri"/>
          <w:color w:val="000000"/>
          <w:sz w:val="24"/>
          <w:szCs w:val="24"/>
        </w:rPr>
        <w:t>Agung Sri Hendarsa</w:t>
      </w:r>
      <w:r>
        <w:rPr>
          <w:rFonts w:ascii="Calibri" w:eastAsia="Calibri" w:hAnsi="Calibri" w:cs="Calibri"/>
          <w:color w:val="000000"/>
          <w:sz w:val="24"/>
          <w:szCs w:val="24"/>
          <w:vertAlign w:val="superscript"/>
        </w:rPr>
        <w:t>1</w:t>
      </w:r>
      <w:r>
        <w:rPr>
          <w:rFonts w:ascii="Calibri" w:eastAsia="Calibri" w:hAnsi="Calibri" w:cs="Calibri"/>
          <w:color w:val="000000"/>
          <w:sz w:val="24"/>
          <w:szCs w:val="24"/>
        </w:rPr>
        <w:t>, Awaluddin Syarif Abdullah</w:t>
      </w:r>
      <w:r>
        <w:rPr>
          <w:rFonts w:ascii="Calibri" w:eastAsia="Calibri" w:hAnsi="Calibri" w:cs="Calibri"/>
          <w:color w:val="000000"/>
          <w:sz w:val="24"/>
          <w:szCs w:val="24"/>
          <w:vertAlign w:val="superscript"/>
        </w:rPr>
        <w:t xml:space="preserve"> 2</w:t>
      </w:r>
      <w:r>
        <w:rPr>
          <w:rFonts w:ascii="Calibri" w:eastAsia="Calibri" w:hAnsi="Calibri" w:cs="Calibri"/>
          <w:color w:val="000000"/>
          <w:sz w:val="24"/>
          <w:szCs w:val="24"/>
        </w:rPr>
        <w:t>, Rafika Nur Zakiyyah</w:t>
      </w:r>
      <w:r>
        <w:rPr>
          <w:rFonts w:ascii="Calibri" w:eastAsia="Calibri" w:hAnsi="Calibri" w:cs="Calibri"/>
          <w:color w:val="000000"/>
          <w:sz w:val="24"/>
          <w:szCs w:val="24"/>
          <w:vertAlign w:val="superscript"/>
        </w:rPr>
        <w:t>1</w:t>
      </w:r>
      <w:r>
        <w:rPr>
          <w:rFonts w:ascii="Calibri" w:eastAsia="Calibri" w:hAnsi="Calibri" w:cs="Calibri"/>
          <w:color w:val="000000"/>
          <w:sz w:val="24"/>
          <w:szCs w:val="24"/>
        </w:rPr>
        <w:t>, Hadiyati Munawaroh</w:t>
      </w:r>
      <w:r>
        <w:rPr>
          <w:rFonts w:ascii="Calibri" w:eastAsia="Calibri" w:hAnsi="Calibri" w:cs="Calibri"/>
          <w:color w:val="000000"/>
          <w:sz w:val="24"/>
          <w:szCs w:val="24"/>
          <w:vertAlign w:val="superscript"/>
        </w:rPr>
        <w:t>3</w:t>
      </w:r>
    </w:p>
    <w:p w:rsidR="00475E9D" w:rsidRDefault="008914FF">
      <w:pPr>
        <w:pStyle w:val="normal0"/>
        <w:jc w:val="center"/>
        <w:rPr>
          <w:rFonts w:ascii="Calibri" w:eastAsia="Calibri" w:hAnsi="Calibri" w:cs="Calibri"/>
        </w:rPr>
      </w:pPr>
      <w:r>
        <w:rPr>
          <w:rFonts w:ascii="Calibri" w:eastAsia="Calibri" w:hAnsi="Calibri" w:cs="Calibri"/>
        </w:rPr>
        <w:t xml:space="preserve">¹ Division of Research and Development, Badan Pengelola Keuangan Haji (BPKH), Jakarta, Indonesia. </w:t>
      </w:r>
    </w:p>
    <w:p w:rsidR="00475E9D" w:rsidRDefault="008914FF">
      <w:pPr>
        <w:pStyle w:val="normal0"/>
        <w:jc w:val="center"/>
        <w:rPr>
          <w:rFonts w:ascii="Calibri" w:eastAsia="Calibri" w:hAnsi="Calibri" w:cs="Calibri"/>
        </w:rPr>
      </w:pPr>
      <w:r>
        <w:rPr>
          <w:rFonts w:ascii="Calibri" w:eastAsia="Calibri" w:hAnsi="Calibri" w:cs="Calibri"/>
          <w:vertAlign w:val="superscript"/>
        </w:rPr>
        <w:t>2</w:t>
      </w:r>
      <w:r>
        <w:rPr>
          <w:rFonts w:ascii="Calibri" w:eastAsia="Calibri" w:hAnsi="Calibri" w:cs="Calibri"/>
        </w:rPr>
        <w:t xml:space="preserve"> Division of Strategic Planning, Badan Pengelola Keuangan Haji (BPKH), Jakarta, Indonesia </w:t>
      </w:r>
    </w:p>
    <w:p w:rsidR="00475E9D" w:rsidRDefault="008914FF">
      <w:pPr>
        <w:pStyle w:val="normal0"/>
        <w:pBdr>
          <w:top w:val="nil"/>
          <w:left w:val="nil"/>
          <w:bottom w:val="nil"/>
          <w:right w:val="nil"/>
          <w:between w:val="nil"/>
        </w:pBdr>
        <w:spacing w:after="140"/>
        <w:jc w:val="center"/>
        <w:rPr>
          <w:rFonts w:ascii="Calibri" w:eastAsia="Calibri" w:hAnsi="Calibri" w:cs="Calibri"/>
          <w:i/>
          <w:iCs/>
          <w:color w:val="000000"/>
        </w:rPr>
      </w:pPr>
      <w:r>
        <w:rPr>
          <w:rFonts w:ascii="Calibri" w:eastAsia="Calibri" w:hAnsi="Calibri" w:cs="Calibri"/>
          <w:color w:val="000000"/>
          <w:vertAlign w:val="superscript"/>
        </w:rPr>
        <w:t>3</w:t>
      </w:r>
      <w:r>
        <w:rPr>
          <w:rFonts w:ascii="Calibri" w:eastAsia="Calibri" w:hAnsi="Calibri" w:cs="Calibri"/>
          <w:color w:val="000000"/>
        </w:rPr>
        <w:t xml:space="preserve"> Department of Strategic Planning, Research and Development, Badan Pengelola Keuangan Haji (BPKH), Jakarta, Indonesia </w:t>
      </w:r>
    </w:p>
    <w:p w:rsidR="00475E9D" w:rsidRDefault="00475E9D">
      <w:pPr>
        <w:pStyle w:val="normal0"/>
        <w:pBdr>
          <w:top w:val="nil"/>
          <w:left w:val="nil"/>
          <w:bottom w:val="nil"/>
          <w:right w:val="nil"/>
          <w:between w:val="nil"/>
        </w:pBdr>
        <w:spacing w:after="140"/>
        <w:jc w:val="center"/>
        <w:rPr>
          <w:rFonts w:ascii="Calibri" w:eastAsia="Calibri" w:hAnsi="Calibri" w:cs="Calibri"/>
          <w:color w:val="000000"/>
        </w:rPr>
      </w:pPr>
      <w:hyperlink r:id="rId8">
        <w:r w:rsidR="008914FF">
          <w:rPr>
            <w:rFonts w:ascii="Calibri" w:eastAsia="Calibri" w:hAnsi="Calibri" w:cs="Calibri"/>
            <w:color w:val="0000FF"/>
            <w:u w:val="single"/>
          </w:rPr>
          <w:t>*a.hendarsa@bpkh.go.id</w:t>
        </w:r>
      </w:hyperlink>
      <w:r w:rsidR="008914FF">
        <w:rPr>
          <w:rFonts w:ascii="Calibri" w:eastAsia="Calibri" w:hAnsi="Calibri" w:cs="Calibri"/>
          <w:color w:val="000000"/>
        </w:rPr>
        <w:t xml:space="preserve"> </w:t>
      </w:r>
    </w:p>
    <w:p w:rsidR="00475E9D" w:rsidRDefault="00475E9D">
      <w:pPr>
        <w:pStyle w:val="normal0"/>
        <w:pBdr>
          <w:top w:val="nil"/>
          <w:left w:val="nil"/>
          <w:bottom w:val="nil"/>
          <w:right w:val="nil"/>
          <w:between w:val="nil"/>
        </w:pBdr>
        <w:spacing w:after="140"/>
        <w:jc w:val="center"/>
        <w:rPr>
          <w:rFonts w:ascii="Arial" w:eastAsia="Arial" w:hAnsi="Arial" w:cs="Arial"/>
          <w:color w:val="000000"/>
        </w:rPr>
      </w:pPr>
    </w:p>
    <w:p w:rsidR="00475E9D" w:rsidRDefault="008914FF">
      <w:pPr>
        <w:pStyle w:val="normal0"/>
        <w:pBdr>
          <w:top w:val="nil"/>
          <w:left w:val="nil"/>
          <w:bottom w:val="nil"/>
          <w:right w:val="nil"/>
          <w:between w:val="nil"/>
        </w:pBdr>
        <w:spacing w:after="140"/>
        <w:jc w:val="center"/>
        <w:rPr>
          <w:rFonts w:ascii="Calibri" w:eastAsia="Calibri" w:hAnsi="Calibri" w:cs="Calibri"/>
          <w:b/>
          <w:bCs/>
          <w:color w:val="000000"/>
        </w:rPr>
      </w:pPr>
      <w:r>
        <w:rPr>
          <w:rFonts w:ascii="Calibri" w:eastAsia="Calibri" w:hAnsi="Calibri" w:cs="Calibri"/>
          <w:b/>
          <w:bCs/>
          <w:color w:val="000000"/>
        </w:rPr>
        <w:t>ABSTRACT</w:t>
      </w:r>
    </w:p>
    <w:p w:rsidR="00475E9D" w:rsidRDefault="008914FF">
      <w:pPr>
        <w:pStyle w:val="normal0"/>
        <w:spacing w:after="120" w:line="276" w:lineRule="auto"/>
        <w:jc w:val="both"/>
        <w:rPr>
          <w:sz w:val="22"/>
          <w:szCs w:val="22"/>
        </w:rPr>
      </w:pPr>
      <w:r>
        <w:rPr>
          <w:sz w:val="22"/>
          <w:szCs w:val="22"/>
        </w:rPr>
        <w:t>The rapid digital transformation in the global tourism i</w:t>
      </w:r>
      <w:r>
        <w:rPr>
          <w:sz w:val="22"/>
          <w:szCs w:val="22"/>
        </w:rPr>
        <w:t>ndustry, particularly within the context of Saudi Vision 2030, requires innovative financial and governance models to support sustainable religious tourism. Despite the vast potential of Islamic endowments (waqf) and Hajj funds as Shariah-compliant financi</w:t>
      </w:r>
      <w:r>
        <w:rPr>
          <w:sz w:val="22"/>
          <w:szCs w:val="22"/>
        </w:rPr>
        <w:t xml:space="preserve">ng sources, most institutions still lack a scalable governance and digital integration framework. This study addresses this gap by developing a digital governance-based blended-finance model aimed at strengthening accountability, transparency, and ethical </w:t>
      </w:r>
      <w:r>
        <w:rPr>
          <w:sz w:val="22"/>
          <w:szCs w:val="22"/>
        </w:rPr>
        <w:t>investment in the Hajj and Umrah ecosystem. Using a mixed-methods design, the research combines grounded theory with a quantitative assessment through the Good Nazir Governance (GNG) Index constructed using the Analytic Hierarchy Process. Primary data were</w:t>
      </w:r>
      <w:r>
        <w:rPr>
          <w:sz w:val="22"/>
          <w:szCs w:val="22"/>
        </w:rPr>
        <w:t xml:space="preserve"> collected from Indonesia’s Hajj Fund Management Agency (BPKH) and three major waqf institutions, including Tabung Wakaf Indonesia (TWI), PKPU, and Baitul Maal Muamalat (BMM). The results indicate that institutions with robust governance and digital report</w:t>
      </w:r>
      <w:r>
        <w:rPr>
          <w:sz w:val="22"/>
          <w:szCs w:val="22"/>
        </w:rPr>
        <w:t>ing mechanisms show higher readiness to participate in blended-finance schemes for religious tourism and community-based infrastructure development. Conversely, weaknesses in fairness and risk management limit scalability and cross-border collaboration. Th</w:t>
      </w:r>
      <w:r>
        <w:rPr>
          <w:sz w:val="22"/>
          <w:szCs w:val="22"/>
        </w:rPr>
        <w:t>e findings contribute a replicable, data-driven model that integrates Islamic finance principles with digital transformation and sustainable tourism objectives. This framework offers policymakers and practitioners a strategic pathway to mobilize waqf and H</w:t>
      </w:r>
      <w:r>
        <w:rPr>
          <w:sz w:val="22"/>
          <w:szCs w:val="22"/>
        </w:rPr>
        <w:t>ajj funds in alignment with sustainable development goals and Saudi Vision 2030.</w:t>
      </w:r>
    </w:p>
    <w:p w:rsidR="00475E9D" w:rsidRDefault="008914FF">
      <w:pPr>
        <w:pStyle w:val="normal0"/>
        <w:pBdr>
          <w:top w:val="nil"/>
          <w:left w:val="nil"/>
          <w:bottom w:val="nil"/>
          <w:right w:val="nil"/>
          <w:between w:val="nil"/>
        </w:pBdr>
        <w:spacing w:after="140"/>
        <w:jc w:val="both"/>
        <w:rPr>
          <w:b/>
          <w:bCs/>
          <w:color w:val="000000"/>
        </w:rPr>
      </w:pPr>
      <w:r>
        <w:rPr>
          <w:b/>
          <w:bCs/>
          <w:color w:val="000000"/>
        </w:rPr>
        <w:t>Keywords:</w:t>
      </w:r>
      <w:r>
        <w:rPr>
          <w:color w:val="000000"/>
        </w:rPr>
        <w:t xml:space="preserve"> blended-finance, governance, hajj, sustainable, tourism, waqf</w:t>
      </w:r>
    </w:p>
    <w:p w:rsidR="00475E9D" w:rsidRDefault="00475E9D">
      <w:pPr>
        <w:pStyle w:val="normal0"/>
        <w:jc w:val="both"/>
        <w:rPr>
          <w:sz w:val="24"/>
          <w:szCs w:val="24"/>
        </w:rPr>
      </w:pPr>
    </w:p>
    <w:p w:rsidR="00475E9D" w:rsidRDefault="008914FF">
      <w:pPr>
        <w:pStyle w:val="normal0"/>
        <w:jc w:val="both"/>
        <w:rPr>
          <w:b/>
          <w:bCs/>
          <w:color w:val="000000"/>
          <w:sz w:val="24"/>
          <w:szCs w:val="24"/>
        </w:rPr>
      </w:pPr>
      <w:r>
        <w:rPr>
          <w:b/>
          <w:bCs/>
          <w:color w:val="000000"/>
          <w:sz w:val="24"/>
          <w:szCs w:val="24"/>
        </w:rPr>
        <w:t>1. INTRODUCTION</w:t>
      </w:r>
    </w:p>
    <w:p w:rsidR="00475E9D" w:rsidRDefault="00475E9D">
      <w:pPr>
        <w:pStyle w:val="normal0"/>
        <w:jc w:val="both"/>
        <w:rPr>
          <w:color w:val="000000"/>
        </w:rPr>
      </w:pPr>
    </w:p>
    <w:p w:rsidR="00475E9D" w:rsidRDefault="008914FF">
      <w:pPr>
        <w:pStyle w:val="normal0"/>
        <w:spacing w:line="360" w:lineRule="auto"/>
        <w:ind w:firstLine="284"/>
        <w:jc w:val="both"/>
        <w:rPr>
          <w:sz w:val="24"/>
          <w:szCs w:val="24"/>
        </w:rPr>
      </w:pPr>
      <w:r>
        <w:rPr>
          <w:sz w:val="24"/>
          <w:szCs w:val="24"/>
        </w:rPr>
        <w:t>The global urgency to accelerate progress toward achieving the United Nations Sustainable Development Goals (SDGs) has intensified efforts to identify financing mechanisms that combine ethical integrity with large-scale resource mobilization. Islamic finan</w:t>
      </w:r>
      <w:r>
        <w:rPr>
          <w:sz w:val="24"/>
          <w:szCs w:val="24"/>
        </w:rPr>
        <w:t>ce, which reached approximately USD 4.93 trillion in global assets in 2023, reflecting an annual growth rate of 9.2%, is projected to exceed USD 7.53 trillion by 2028 (Salaam Gateway, 2025). This significant expansion highlights the growing relevance of Is</w:t>
      </w:r>
      <w:r>
        <w:rPr>
          <w:sz w:val="24"/>
          <w:szCs w:val="24"/>
        </w:rPr>
        <w:t>lamic finance as a values-driven alternative that emphasizes profit-and-loss sharing, social equity, and ethical stewardship. Within this financial ecosystem, waqf or Islamic endowments have emerged as enduring philanthropic instruments uniquely positioned</w:t>
      </w:r>
      <w:r>
        <w:rPr>
          <w:sz w:val="24"/>
          <w:szCs w:val="24"/>
        </w:rPr>
        <w:t xml:space="preserve"> to contribute sustainably to social and economic development. However, despite their substantial historical role, contemporary scholarship and practice have yet to fully </w:t>
      </w:r>
      <w:r>
        <w:rPr>
          <w:sz w:val="24"/>
          <w:szCs w:val="24"/>
        </w:rPr>
        <w:lastRenderedPageBreak/>
        <w:t>explore their integration into structured development financing schemes</w:t>
      </w:r>
      <w:r>
        <w:t xml:space="preserve"> (</w:t>
      </w:r>
      <w:r>
        <w:rPr>
          <w:sz w:val="24"/>
          <w:szCs w:val="24"/>
        </w:rPr>
        <w:t xml:space="preserve">Adam, M. I. </w:t>
      </w:r>
      <w:r>
        <w:rPr>
          <w:sz w:val="24"/>
          <w:szCs w:val="24"/>
        </w:rPr>
        <w:t>A. B. (2016</w:t>
      </w:r>
      <w:r>
        <w:t xml:space="preserve">). </w:t>
      </w:r>
    </w:p>
    <w:p w:rsidR="00475E9D" w:rsidRDefault="008914FF">
      <w:pPr>
        <w:pStyle w:val="normal0"/>
        <w:spacing w:line="360" w:lineRule="auto"/>
        <w:ind w:firstLine="284"/>
        <w:jc w:val="both"/>
        <w:rPr>
          <w:sz w:val="24"/>
          <w:szCs w:val="24"/>
        </w:rPr>
      </w:pPr>
      <w:r>
        <w:rPr>
          <w:sz w:val="24"/>
          <w:szCs w:val="24"/>
        </w:rPr>
        <w:t xml:space="preserve">In Indonesia, the Hajj Fund Management Agency (BPKH) exemplifies the productive application of waqf, generating stable returns that subsidize pilgrimage costs and support community welfare programs. Nevertheless, BPKH’s capacity to leverage </w:t>
      </w:r>
      <w:r>
        <w:rPr>
          <w:sz w:val="24"/>
          <w:szCs w:val="24"/>
        </w:rPr>
        <w:t>its endowment assets at scale remains limited due to insufficient integration with broader public and private funding mechanisms. In contrast, conventional blended-finance frameworks, which strategically combine concessional public financing with private-s</w:t>
      </w:r>
      <w:r>
        <w:rPr>
          <w:sz w:val="24"/>
          <w:szCs w:val="24"/>
        </w:rPr>
        <w:t>ector capital, have successfully mobilized substantial resources for infrastructure development and social programs globally. Yet, literature addressing blended finance in Islamic contexts often neglects critical governance dimensions, including trustee ac</w:t>
      </w:r>
      <w:r>
        <w:rPr>
          <w:sz w:val="24"/>
          <w:szCs w:val="24"/>
        </w:rPr>
        <w:t>countability, transparency in audits, and institutional managerial capacity, elements essential to ensuring the effectiveness and sustainability of waqf-based financing.</w:t>
      </w:r>
    </w:p>
    <w:p w:rsidR="00475E9D" w:rsidRDefault="008914FF">
      <w:pPr>
        <w:pStyle w:val="normal0"/>
        <w:spacing w:line="360" w:lineRule="auto"/>
        <w:ind w:firstLine="284"/>
        <w:jc w:val="both"/>
        <w:rPr>
          <w:sz w:val="24"/>
          <w:szCs w:val="24"/>
        </w:rPr>
      </w:pPr>
      <w:r>
        <w:rPr>
          <w:sz w:val="24"/>
          <w:szCs w:val="24"/>
        </w:rPr>
        <w:t>Responding to these gaps, this paper aims firstly to evaluate governance maturity acro</w:t>
      </w:r>
      <w:r>
        <w:rPr>
          <w:sz w:val="24"/>
          <w:szCs w:val="24"/>
        </w:rPr>
        <w:t>ss selected waqf institutions through a mixed-method assessment using the Good Nazir Governance (GNG) framework. Secondly, the research identifies key governance-related barriers and enabling factors that influence the feasibility of integrating waqf withi</w:t>
      </w:r>
      <w:r>
        <w:rPr>
          <w:sz w:val="24"/>
          <w:szCs w:val="24"/>
        </w:rPr>
        <w:t xml:space="preserve">n blended-finance partnerships. Lastly, it proposes a practical blended-finance model designed explicitly to channel waqf resources into projects aligned strategically with the Sustainable Development Goals, thereby enhancing both the developmental impact </w:t>
      </w:r>
      <w:r>
        <w:rPr>
          <w:sz w:val="24"/>
          <w:szCs w:val="24"/>
        </w:rPr>
        <w:t>and scalability of Islamic endowments.</w:t>
      </w:r>
    </w:p>
    <w:p w:rsidR="00475E9D" w:rsidRDefault="00475E9D">
      <w:pPr>
        <w:pStyle w:val="normal0"/>
        <w:spacing w:line="360" w:lineRule="auto"/>
        <w:ind w:firstLine="284"/>
        <w:jc w:val="both"/>
        <w:rPr>
          <w:color w:val="000000"/>
          <w:sz w:val="24"/>
          <w:szCs w:val="24"/>
        </w:rPr>
      </w:pPr>
    </w:p>
    <w:p w:rsidR="00475E9D" w:rsidRDefault="008914FF">
      <w:pPr>
        <w:pStyle w:val="normal0"/>
        <w:jc w:val="both"/>
        <w:rPr>
          <w:color w:val="000000"/>
          <w:sz w:val="24"/>
          <w:szCs w:val="24"/>
        </w:rPr>
      </w:pPr>
      <w:r>
        <w:rPr>
          <w:b/>
          <w:bCs/>
          <w:color w:val="000000"/>
          <w:sz w:val="24"/>
          <w:szCs w:val="24"/>
        </w:rPr>
        <w:t>2. LITERATURE REVIEW</w:t>
      </w:r>
    </w:p>
    <w:p w:rsidR="00475E9D" w:rsidRDefault="00475E9D">
      <w:pPr>
        <w:pStyle w:val="normal0"/>
        <w:jc w:val="both"/>
        <w:rPr>
          <w:b/>
          <w:bCs/>
          <w:color w:val="000000"/>
          <w:sz w:val="24"/>
          <w:szCs w:val="24"/>
        </w:rPr>
      </w:pPr>
    </w:p>
    <w:p w:rsidR="00475E9D" w:rsidRDefault="008914FF">
      <w:pPr>
        <w:pStyle w:val="normal0"/>
        <w:spacing w:line="360" w:lineRule="auto"/>
        <w:ind w:firstLine="284"/>
        <w:jc w:val="both"/>
        <w:rPr>
          <w:color w:val="000000"/>
          <w:sz w:val="24"/>
          <w:szCs w:val="24"/>
        </w:rPr>
      </w:pPr>
      <w:r>
        <w:rPr>
          <w:color w:val="000000"/>
          <w:sz w:val="24"/>
          <w:szCs w:val="24"/>
        </w:rPr>
        <w:t>This chapter reviews recent, Scopus-indexed studies that underpin the integration of productive waqf into blended-finance structures for Sustainable Development Goals (SDGs). It highlights theor</w:t>
      </w:r>
      <w:r>
        <w:rPr>
          <w:color w:val="000000"/>
          <w:sz w:val="24"/>
          <w:szCs w:val="24"/>
        </w:rPr>
        <w:t>etical insights, empirical findings, and remaining puzzles.</w:t>
      </w:r>
    </w:p>
    <w:p w:rsidR="00475E9D" w:rsidRDefault="00475E9D">
      <w:pPr>
        <w:pStyle w:val="normal0"/>
        <w:spacing w:line="360" w:lineRule="auto"/>
        <w:ind w:firstLine="284"/>
        <w:jc w:val="both"/>
        <w:rPr>
          <w:color w:val="000000"/>
          <w:sz w:val="24"/>
          <w:szCs w:val="24"/>
        </w:rPr>
      </w:pPr>
    </w:p>
    <w:p w:rsidR="00475E9D" w:rsidRDefault="008914FF">
      <w:pPr>
        <w:pStyle w:val="normal0"/>
        <w:spacing w:line="360" w:lineRule="auto"/>
        <w:jc w:val="both"/>
        <w:rPr>
          <w:b/>
          <w:bCs/>
          <w:color w:val="000000"/>
          <w:sz w:val="24"/>
          <w:szCs w:val="24"/>
        </w:rPr>
      </w:pPr>
      <w:r>
        <w:rPr>
          <w:b/>
          <w:bCs/>
          <w:color w:val="000000"/>
          <w:sz w:val="24"/>
          <w:szCs w:val="24"/>
        </w:rPr>
        <w:t>2.1 Waqf and Sustainable Development</w:t>
      </w:r>
    </w:p>
    <w:p w:rsidR="00475E9D" w:rsidRDefault="008914FF">
      <w:pPr>
        <w:pStyle w:val="normal0"/>
        <w:spacing w:line="360" w:lineRule="auto"/>
        <w:ind w:firstLine="284"/>
        <w:jc w:val="both"/>
        <w:rPr>
          <w:sz w:val="24"/>
          <w:szCs w:val="24"/>
        </w:rPr>
      </w:pPr>
      <w:r>
        <w:rPr>
          <w:sz w:val="24"/>
          <w:szCs w:val="24"/>
        </w:rPr>
        <w:t>Waqf’s strength lies in its promise of perpetual social benefit. Laldin and Djafri (2021) explain that, by design, waqf aligns naturally with long term SDG ta</w:t>
      </w:r>
      <w:r>
        <w:rPr>
          <w:sz w:val="24"/>
          <w:szCs w:val="24"/>
        </w:rPr>
        <w:t>rgets like poverty reduction and community infrastructure but note there aren’t yet clear, ready-to-use models for scaling this up. In Malaysia, Razak (2020) provides solid evidence that when zakat and waqf work together, they significantly cut poverty rat</w:t>
      </w:r>
      <w:r>
        <w:rPr>
          <w:sz w:val="24"/>
          <w:szCs w:val="24"/>
        </w:rPr>
        <w:t>es. Yet, Razak also points out we need more research on embedding these endowments into formal blended-finance vehicles. Mutmainah et al. (2025) employing the Analytic Network Process (ANP) approach revealed that optimizing productive waqf can significantl</w:t>
      </w:r>
      <w:r>
        <w:rPr>
          <w:sz w:val="24"/>
          <w:szCs w:val="24"/>
        </w:rPr>
        <w:t xml:space="preserve">y support the development of halal tourism in DKI Jakarta, emphasizing that regulatory implementation remains the key challenge, while standardization and certification </w:t>
      </w:r>
      <w:r>
        <w:rPr>
          <w:sz w:val="24"/>
          <w:szCs w:val="24"/>
        </w:rPr>
        <w:lastRenderedPageBreak/>
        <w:t>emerge as strategic solutions to enhance sustainability and impact. The study indicates</w:t>
      </w:r>
      <w:r>
        <w:rPr>
          <w:sz w:val="24"/>
          <w:szCs w:val="24"/>
        </w:rPr>
        <w:t xml:space="preserve"> that ineffective regulatory implementation remains the main obstacle to optimizing productive waqf, with standardization identified as the key solution and certification as the strategic approach to strengthen regulatory support.</w:t>
      </w:r>
    </w:p>
    <w:p w:rsidR="00475E9D" w:rsidRDefault="008914FF">
      <w:pPr>
        <w:pStyle w:val="normal0"/>
        <w:spacing w:line="360" w:lineRule="auto"/>
        <w:ind w:firstLine="284"/>
        <w:jc w:val="both"/>
        <w:rPr>
          <w:color w:val="000000"/>
          <w:sz w:val="24"/>
          <w:szCs w:val="24"/>
        </w:rPr>
      </w:pPr>
      <w:r>
        <w:rPr>
          <w:color w:val="000000"/>
          <w:sz w:val="24"/>
          <w:szCs w:val="24"/>
        </w:rPr>
        <w:t>Waqf, as a pillar of Isla</w:t>
      </w:r>
      <w:r>
        <w:rPr>
          <w:color w:val="000000"/>
          <w:sz w:val="24"/>
          <w:szCs w:val="24"/>
        </w:rPr>
        <w:t>mic finance, plays a pivotal role in advancing sustainable development objectives. This philanthropic mechanism has historical significance and modern potential to address socio-economic disparities, particularly in Muslim-majority countries, while support</w:t>
      </w:r>
      <w:r>
        <w:rPr>
          <w:color w:val="000000"/>
          <w:sz w:val="24"/>
          <w:szCs w:val="24"/>
        </w:rPr>
        <w:t>ing the United Nations Sustainable Development Goals (SDGs). Central to the effective utilization of waqf is its alignment with the maqasid al-Shari'ah, which emphasizes the ethical and social dimensions of wealth utilization, aiming to promote welfare for</w:t>
      </w:r>
      <w:r>
        <w:rPr>
          <w:color w:val="000000"/>
          <w:sz w:val="24"/>
          <w:szCs w:val="24"/>
        </w:rPr>
        <w:t xml:space="preserve"> the community at large.</w:t>
      </w:r>
    </w:p>
    <w:p w:rsidR="00475E9D" w:rsidRDefault="008914FF">
      <w:pPr>
        <w:pStyle w:val="normal0"/>
        <w:spacing w:line="360" w:lineRule="auto"/>
        <w:ind w:firstLine="284"/>
        <w:jc w:val="both"/>
        <w:rPr>
          <w:color w:val="000000"/>
          <w:sz w:val="24"/>
          <w:szCs w:val="24"/>
        </w:rPr>
      </w:pPr>
      <w:r>
        <w:rPr>
          <w:color w:val="000000"/>
          <w:sz w:val="24"/>
          <w:szCs w:val="24"/>
        </w:rPr>
        <w:t>One of the primary advantages of waqf is its ability to generate sustainable funding streams for various development projects. Waqf serves altruistic purposes and functions as a perpetual source of income that can fund schools, hos</w:t>
      </w:r>
      <w:r>
        <w:rPr>
          <w:color w:val="000000"/>
          <w:sz w:val="24"/>
          <w:szCs w:val="24"/>
        </w:rPr>
        <w:t>pitals, and other public goods essential for human development (Usman &amp; Rahman, 2022). For instance, waqf funding has been successfully leveraged in Malaysia to support higher education, providing financial resources that enhance academic quality while con</w:t>
      </w:r>
      <w:r>
        <w:rPr>
          <w:color w:val="000000"/>
          <w:sz w:val="24"/>
          <w:szCs w:val="24"/>
        </w:rPr>
        <w:t>tributing to human capital development (Usman &amp; Rahman, 2022). This dual role strengthens the case for waqf as a mechanism for socio-economic development and sustainability (Adam, M. I. A. B., et al., 2024).</w:t>
      </w:r>
    </w:p>
    <w:p w:rsidR="00475E9D" w:rsidRDefault="008914FF">
      <w:pPr>
        <w:pStyle w:val="normal0"/>
        <w:spacing w:line="360" w:lineRule="auto"/>
        <w:ind w:firstLine="284"/>
        <w:jc w:val="both"/>
        <w:rPr>
          <w:color w:val="000000"/>
          <w:sz w:val="24"/>
          <w:szCs w:val="24"/>
        </w:rPr>
      </w:pPr>
      <w:bookmarkStart w:id="0" w:name="_heading=h.12ca8xunzbxb" w:colFirst="0" w:colLast="0"/>
      <w:bookmarkEnd w:id="0"/>
      <w:r>
        <w:rPr>
          <w:color w:val="000000"/>
          <w:sz w:val="24"/>
          <w:szCs w:val="24"/>
        </w:rPr>
        <w:t>Moreover, waqf can serve as a model for innovati</w:t>
      </w:r>
      <w:r>
        <w:rPr>
          <w:color w:val="000000"/>
          <w:sz w:val="24"/>
          <w:szCs w:val="24"/>
        </w:rPr>
        <w:t>ve financing mechanisms that align with SDG 17, which emphasizes global partnerships for sustainable development. Research proposes a framework aiming to utilize waqf as a tool for international collaborations, thus enhancing cooperative efforts to address</w:t>
      </w:r>
      <w:r>
        <w:rPr>
          <w:color w:val="000000"/>
          <w:sz w:val="24"/>
          <w:szCs w:val="24"/>
        </w:rPr>
        <w:t xml:space="preserve"> global challenges (Rusydiana et al., 2023). Such partnerships not only bolster local economies but also contribute to a more interconnected global community aimed at achieving comprehensive sustainable development.</w:t>
      </w:r>
    </w:p>
    <w:p w:rsidR="00475E9D" w:rsidRDefault="008914FF">
      <w:pPr>
        <w:pStyle w:val="normal0"/>
        <w:spacing w:line="360" w:lineRule="auto"/>
        <w:ind w:firstLine="284"/>
        <w:jc w:val="both"/>
        <w:rPr>
          <w:color w:val="000000"/>
          <w:sz w:val="24"/>
          <w:szCs w:val="24"/>
        </w:rPr>
      </w:pPr>
      <w:r>
        <w:rPr>
          <w:color w:val="000000"/>
          <w:sz w:val="24"/>
          <w:szCs w:val="24"/>
        </w:rPr>
        <w:t xml:space="preserve">From a socio-economic perspective, waqf </w:t>
      </w:r>
      <w:r>
        <w:rPr>
          <w:color w:val="000000"/>
          <w:sz w:val="24"/>
          <w:szCs w:val="24"/>
        </w:rPr>
        <w:t>demonstrates profound potential in addressing poverty and inequality both critical components of the SDGs. Forest waqf initiatives, for example, contribute to SDG 1 (No Poverty) and SDG 6 (Clean Water and Sanitation) by creating sustainable environmental p</w:t>
      </w:r>
      <w:r>
        <w:rPr>
          <w:color w:val="000000"/>
          <w:sz w:val="24"/>
          <w:szCs w:val="24"/>
        </w:rPr>
        <w:t>ractices that improve local livelihoods (Fathurrahman, 2023). The integration of waqf into green financing has been noted as a significant mechanism for addressing climate change challenges and facilitating environmental conservation, reflecting the adapta</w:t>
      </w:r>
      <w:r>
        <w:rPr>
          <w:color w:val="000000"/>
          <w:sz w:val="24"/>
          <w:szCs w:val="24"/>
        </w:rPr>
        <w:t>bility of waqf to contemporary issues (Faizi et al., 2024).</w:t>
      </w:r>
    </w:p>
    <w:p w:rsidR="00475E9D" w:rsidRDefault="008914FF">
      <w:pPr>
        <w:pStyle w:val="normal0"/>
        <w:spacing w:line="360" w:lineRule="auto"/>
        <w:ind w:firstLine="284"/>
        <w:jc w:val="both"/>
        <w:rPr>
          <w:color w:val="000000"/>
          <w:sz w:val="24"/>
          <w:szCs w:val="24"/>
        </w:rPr>
      </w:pPr>
      <w:r>
        <w:rPr>
          <w:color w:val="000000"/>
          <w:sz w:val="24"/>
          <w:szCs w:val="24"/>
        </w:rPr>
        <w:t>Additionally, the versatility of waqf allows it to intersect with other Islamic financial instruments such as zakat and microfinance creating comprehensive socio-economic development models. For example, cash waqf models have been proposed as alternative s</w:t>
      </w:r>
      <w:r>
        <w:rPr>
          <w:color w:val="000000"/>
          <w:sz w:val="24"/>
          <w:szCs w:val="24"/>
        </w:rPr>
        <w:t xml:space="preserve">ources of financing for microenterprises, indicating the potential for waqf to stimulate entrepreneurship </w:t>
      </w:r>
      <w:r>
        <w:rPr>
          <w:color w:val="000000"/>
          <w:sz w:val="24"/>
          <w:szCs w:val="24"/>
        </w:rPr>
        <w:lastRenderedPageBreak/>
        <w:t xml:space="preserve">and economic self-sufficiency within communities (Thaker et al., 2016). These frameworks not only provide financial support but also promote economic </w:t>
      </w:r>
      <w:r>
        <w:rPr>
          <w:color w:val="000000"/>
          <w:sz w:val="24"/>
          <w:szCs w:val="24"/>
        </w:rPr>
        <w:t>empowerment, a key tenet of the SDGs.</w:t>
      </w:r>
    </w:p>
    <w:p w:rsidR="00475E9D" w:rsidRDefault="008914FF">
      <w:pPr>
        <w:pStyle w:val="normal0"/>
        <w:spacing w:line="360" w:lineRule="auto"/>
        <w:ind w:firstLine="284"/>
        <w:jc w:val="both"/>
        <w:rPr>
          <w:color w:val="000000"/>
          <w:sz w:val="24"/>
          <w:szCs w:val="24"/>
        </w:rPr>
      </w:pPr>
      <w:r>
        <w:rPr>
          <w:color w:val="000000"/>
          <w:sz w:val="24"/>
          <w:szCs w:val="24"/>
        </w:rPr>
        <w:t>To effectively harness waqf for sustainable development, modernizing its structures and employing innovative technologies such as fintech and blockchain are crucial. Such advancements can enhance transparency and effic</w:t>
      </w:r>
      <w:r>
        <w:rPr>
          <w:color w:val="000000"/>
          <w:sz w:val="24"/>
          <w:szCs w:val="24"/>
        </w:rPr>
        <w:t>iency in fund management, increasing the attractiveness of waqf as a reliable source of funding for development projects (Budalamah et al., 2019). This modernization can also facilitate broader access to funds and ensure that waqf effectively meets the nee</w:t>
      </w:r>
      <w:r>
        <w:rPr>
          <w:color w:val="000000"/>
          <w:sz w:val="24"/>
          <w:szCs w:val="24"/>
        </w:rPr>
        <w:t>ds of an evolving socio-economic landscape.</w:t>
      </w:r>
    </w:p>
    <w:p w:rsidR="00475E9D" w:rsidRDefault="008914FF">
      <w:pPr>
        <w:pStyle w:val="normal0"/>
        <w:spacing w:line="360" w:lineRule="auto"/>
        <w:ind w:firstLine="284"/>
        <w:jc w:val="both"/>
        <w:rPr>
          <w:color w:val="000000"/>
          <w:sz w:val="24"/>
          <w:szCs w:val="24"/>
        </w:rPr>
      </w:pPr>
      <w:r>
        <w:rPr>
          <w:color w:val="000000"/>
          <w:sz w:val="24"/>
          <w:szCs w:val="24"/>
        </w:rPr>
        <w:t>In conclusion, waqf holds substantial promise as a transformative instrument for achieving sustainable development. Its inherent capacity to generate ongoing funding while serving social welfare needs positions i</w:t>
      </w:r>
      <w:r>
        <w:rPr>
          <w:color w:val="000000"/>
          <w:sz w:val="24"/>
          <w:szCs w:val="24"/>
        </w:rPr>
        <w:t>t uniquely in the global pursuit of the SDGs. By synergizing waqf with contemporary innovations and broader financial mechanisms, stakeholders can unlock its potential to address pressing developmental challenges, thus contributing to a more sustainable an</w:t>
      </w:r>
      <w:r>
        <w:rPr>
          <w:color w:val="000000"/>
          <w:sz w:val="24"/>
          <w:szCs w:val="24"/>
        </w:rPr>
        <w:t>d equitable future.</w:t>
      </w:r>
    </w:p>
    <w:p w:rsidR="00475E9D" w:rsidRDefault="00475E9D">
      <w:pPr>
        <w:pStyle w:val="normal0"/>
        <w:spacing w:line="360" w:lineRule="auto"/>
        <w:ind w:firstLine="284"/>
        <w:jc w:val="both"/>
        <w:rPr>
          <w:color w:val="000000"/>
          <w:sz w:val="24"/>
          <w:szCs w:val="24"/>
        </w:rPr>
      </w:pPr>
    </w:p>
    <w:p w:rsidR="00475E9D" w:rsidRDefault="008914FF">
      <w:pPr>
        <w:pStyle w:val="normal0"/>
        <w:spacing w:line="360" w:lineRule="auto"/>
        <w:jc w:val="both"/>
        <w:rPr>
          <w:b/>
          <w:bCs/>
          <w:color w:val="000000"/>
          <w:sz w:val="24"/>
          <w:szCs w:val="24"/>
        </w:rPr>
      </w:pPr>
      <w:r>
        <w:rPr>
          <w:b/>
          <w:bCs/>
          <w:color w:val="000000"/>
          <w:sz w:val="24"/>
          <w:szCs w:val="24"/>
        </w:rPr>
        <w:t>2.2 Blended Finance in Islamic Settings</w:t>
      </w:r>
    </w:p>
    <w:p w:rsidR="00475E9D" w:rsidRDefault="008914FF">
      <w:pPr>
        <w:pStyle w:val="normal0"/>
        <w:spacing w:line="360" w:lineRule="auto"/>
        <w:ind w:firstLine="284"/>
        <w:jc w:val="both"/>
        <w:rPr>
          <w:color w:val="000000"/>
          <w:sz w:val="24"/>
          <w:szCs w:val="24"/>
        </w:rPr>
      </w:pPr>
      <w:r>
        <w:rPr>
          <w:color w:val="000000"/>
          <w:sz w:val="24"/>
          <w:szCs w:val="24"/>
        </w:rPr>
        <w:t>Blended finance has proven its worth by combining concessional funds with commercial capital to make risky SDG projects bankable. Qadri et al. (2024) simulate a cash-waqf model for infrastructure</w:t>
      </w:r>
      <w:r>
        <w:rPr>
          <w:color w:val="000000"/>
          <w:sz w:val="24"/>
          <w:szCs w:val="24"/>
        </w:rPr>
        <w:t xml:space="preserve"> and shows it can boost project viability. Meanwhile, Raimi, Abdur-Rauf, and Ashafa (2024) cast a wide net over Islamic sustainable finance literature and find that, although sukuk dominate the landscape, waqf-based approaches remain largely unexplored esp</w:t>
      </w:r>
      <w:r>
        <w:rPr>
          <w:color w:val="000000"/>
          <w:sz w:val="24"/>
          <w:szCs w:val="24"/>
        </w:rPr>
        <w:t>ecially around how to manage risk and attract sufficient capital.</w:t>
      </w:r>
    </w:p>
    <w:p w:rsidR="00475E9D" w:rsidRDefault="008914FF">
      <w:pPr>
        <w:pStyle w:val="normal0"/>
        <w:spacing w:line="360" w:lineRule="auto"/>
        <w:ind w:firstLine="284"/>
        <w:jc w:val="both"/>
        <w:rPr>
          <w:color w:val="000000"/>
          <w:sz w:val="24"/>
          <w:szCs w:val="24"/>
        </w:rPr>
      </w:pPr>
      <w:r>
        <w:rPr>
          <w:color w:val="000000"/>
          <w:sz w:val="24"/>
          <w:szCs w:val="24"/>
        </w:rPr>
        <w:t>Blended finance in Islamic settings has garnered increasing attention as a strategic approach to align financial resources with the Sustainable Development Goals (SDGs) through the principle</w:t>
      </w:r>
      <w:r>
        <w:rPr>
          <w:color w:val="000000"/>
          <w:sz w:val="24"/>
          <w:szCs w:val="24"/>
        </w:rPr>
        <w:t>s of Islamic finance. The blending of concessional funds with commercial capital can stimulate significant investments in sectors traditionally deemed high-risk, such as renewable energy, agriculture, and social infrastructure. This model is especially pro</w:t>
      </w:r>
      <w:r>
        <w:rPr>
          <w:color w:val="000000"/>
          <w:sz w:val="24"/>
          <w:szCs w:val="24"/>
        </w:rPr>
        <w:t>mising in Islamic contexts, where financial transactions are governed by Shariah-compliant principles, ensuring that investments promote social welfare and economic development.</w:t>
      </w:r>
    </w:p>
    <w:p w:rsidR="00475E9D" w:rsidRDefault="008914FF">
      <w:pPr>
        <w:pStyle w:val="normal0"/>
        <w:spacing w:line="360" w:lineRule="auto"/>
        <w:ind w:firstLine="284"/>
        <w:jc w:val="both"/>
        <w:rPr>
          <w:color w:val="000000"/>
          <w:sz w:val="24"/>
          <w:szCs w:val="24"/>
        </w:rPr>
      </w:pPr>
      <w:r>
        <w:rPr>
          <w:color w:val="000000"/>
          <w:sz w:val="24"/>
          <w:szCs w:val="24"/>
        </w:rPr>
        <w:t xml:space="preserve">The role of Islamic financial instruments, notably Sukuk (Islamic bonds), has </w:t>
      </w:r>
      <w:r>
        <w:rPr>
          <w:color w:val="000000"/>
          <w:sz w:val="24"/>
          <w:szCs w:val="24"/>
        </w:rPr>
        <w:t xml:space="preserve">been identified as a linchpin in mobilizing resources for development projects. Sukuk structures typically embody asset-backed financing, which aligns well with the Islamic finance paradigm while offering a sustainable funding mechanism for infrastructure </w:t>
      </w:r>
      <w:r>
        <w:rPr>
          <w:color w:val="000000"/>
          <w:sz w:val="24"/>
          <w:szCs w:val="24"/>
        </w:rPr>
        <w:t xml:space="preserve">and agricultural initiatives that support SDGs (Madani et al., 2020). For instance, the Islamic Development Bank utilizes Sukuk </w:t>
      </w:r>
      <w:r>
        <w:rPr>
          <w:color w:val="000000"/>
          <w:sz w:val="24"/>
          <w:szCs w:val="24"/>
        </w:rPr>
        <w:lastRenderedPageBreak/>
        <w:t>to fund projects focused on enhancing food security and economic participation among underprivileged populations, thereby addres</w:t>
      </w:r>
      <w:r>
        <w:rPr>
          <w:color w:val="000000"/>
          <w:sz w:val="24"/>
          <w:szCs w:val="24"/>
        </w:rPr>
        <w:t>sing multiple SDGs related to poverty alleviation and sustainable agriculture (Madani et al., 2020).</w:t>
      </w:r>
    </w:p>
    <w:p w:rsidR="00475E9D" w:rsidRDefault="008914FF">
      <w:pPr>
        <w:pStyle w:val="normal0"/>
        <w:spacing w:line="360" w:lineRule="auto"/>
        <w:ind w:firstLine="284"/>
        <w:jc w:val="both"/>
        <w:rPr>
          <w:color w:val="000000"/>
          <w:sz w:val="24"/>
          <w:szCs w:val="24"/>
        </w:rPr>
      </w:pPr>
      <w:r>
        <w:rPr>
          <w:color w:val="000000"/>
          <w:sz w:val="24"/>
          <w:szCs w:val="24"/>
        </w:rPr>
        <w:t>Moreover, the concept of Waqf—charitable endowments in Islamic finance—has historical precedents for promoting social welfare and can be integrated into bl</w:t>
      </w:r>
      <w:r>
        <w:rPr>
          <w:color w:val="000000"/>
          <w:sz w:val="24"/>
          <w:szCs w:val="24"/>
        </w:rPr>
        <w:t xml:space="preserve">ended finance strategies. Waqf has long served as an instrument for socio-economic development in Muslim communities, and current research indicates its potential to mobilize resources for public goods effectively (Misbah et al., 2022). By leveraging Waqf </w:t>
      </w:r>
      <w:r>
        <w:rPr>
          <w:color w:val="000000"/>
          <w:sz w:val="24"/>
          <w:szCs w:val="24"/>
        </w:rPr>
        <w:t>within a blended finance framework, project developers can tap into a pool of funds that benefits the community while adhering to Islamic ethical standards.</w:t>
      </w:r>
    </w:p>
    <w:p w:rsidR="00475E9D" w:rsidRDefault="008914FF">
      <w:pPr>
        <w:pStyle w:val="normal0"/>
        <w:spacing w:line="360" w:lineRule="auto"/>
        <w:ind w:firstLine="284"/>
        <w:jc w:val="both"/>
        <w:rPr>
          <w:color w:val="000000"/>
          <w:sz w:val="24"/>
          <w:szCs w:val="24"/>
        </w:rPr>
      </w:pPr>
      <w:r>
        <w:rPr>
          <w:color w:val="000000"/>
          <w:sz w:val="24"/>
          <w:szCs w:val="24"/>
        </w:rPr>
        <w:t>Another crucial element in the application of blended finance in Islamic contexts is the Public-Pri</w:t>
      </w:r>
      <w:r>
        <w:rPr>
          <w:color w:val="000000"/>
          <w:sz w:val="24"/>
          <w:szCs w:val="24"/>
        </w:rPr>
        <w:t>vate Partnership (PPP) model. Islamic PPPs provide a unique opportunity to drive infrastructure projects while adhering to Shariah principles, ensuring that the investments are both ethical and socially responsible. The potential for such partnerships to a</w:t>
      </w:r>
      <w:r>
        <w:rPr>
          <w:color w:val="000000"/>
          <w:sz w:val="24"/>
          <w:szCs w:val="24"/>
        </w:rPr>
        <w:t>ttract investments is significantly enhanced by the asset-backed features of Islamic finance, which mitigate risks for investors (Gündoğdu, 2018). The alignment of project objectives with socio-economic development needs supports the case for PPPs as effec</w:t>
      </w:r>
      <w:r>
        <w:rPr>
          <w:color w:val="000000"/>
          <w:sz w:val="24"/>
          <w:szCs w:val="24"/>
        </w:rPr>
        <w:t>tive instruments within blended finance frameworks.</w:t>
      </w:r>
    </w:p>
    <w:p w:rsidR="00475E9D" w:rsidRDefault="008914FF">
      <w:pPr>
        <w:pStyle w:val="normal0"/>
        <w:spacing w:line="360" w:lineRule="auto"/>
        <w:ind w:firstLine="284"/>
        <w:jc w:val="both"/>
        <w:rPr>
          <w:color w:val="000000"/>
          <w:sz w:val="24"/>
          <w:szCs w:val="24"/>
        </w:rPr>
      </w:pPr>
      <w:r>
        <w:rPr>
          <w:color w:val="000000"/>
          <w:sz w:val="24"/>
          <w:szCs w:val="24"/>
        </w:rPr>
        <w:t>Regional issues such as liquidity management pose challenges for Islamic financial institutions (IFIs), but they also open pathways for innovative financial solutions like Islamic financial technology (Fi</w:t>
      </w:r>
      <w:r>
        <w:rPr>
          <w:color w:val="000000"/>
          <w:sz w:val="24"/>
          <w:szCs w:val="24"/>
        </w:rPr>
        <w:t>nTech), which can enhance resource mobilization for sustainable projects (Aassouli et al., 2018). By integrating modern financial technologies with traditional Islamic financial principles, stakeholders can improve access to finance for small and medium-si</w:t>
      </w:r>
      <w:r>
        <w:rPr>
          <w:color w:val="000000"/>
          <w:sz w:val="24"/>
          <w:szCs w:val="24"/>
        </w:rPr>
        <w:t>zed enterprises (SMEs), which are pivotal in achieving the SDGs (Khan &amp; Badjie, 2020). These advancements underscore the adaptability of Islamic finance to contemporary economic challenges, enabling it to contribute to sustainable development agendas.</w:t>
      </w:r>
    </w:p>
    <w:p w:rsidR="00475E9D" w:rsidRDefault="008914FF">
      <w:pPr>
        <w:pStyle w:val="normal0"/>
        <w:spacing w:line="360" w:lineRule="auto"/>
        <w:ind w:firstLine="284"/>
        <w:jc w:val="both"/>
        <w:rPr>
          <w:color w:val="000000"/>
          <w:sz w:val="24"/>
          <w:szCs w:val="24"/>
        </w:rPr>
      </w:pPr>
      <w:r>
        <w:rPr>
          <w:color w:val="000000"/>
          <w:sz w:val="24"/>
          <w:szCs w:val="24"/>
        </w:rPr>
        <w:t>In c</w:t>
      </w:r>
      <w:r>
        <w:rPr>
          <w:color w:val="000000"/>
          <w:sz w:val="24"/>
          <w:szCs w:val="24"/>
        </w:rPr>
        <w:t>onclusion, the integration of blended finance principles in Islamic contexts presents an exciting opportunity to align financial flows with the SDGs while adhering to Shariah principles. The utilization of instruments such as Sukuk and Waqf alongside capit</w:t>
      </w:r>
      <w:r>
        <w:rPr>
          <w:color w:val="000000"/>
          <w:sz w:val="24"/>
          <w:szCs w:val="24"/>
        </w:rPr>
        <w:t>al from PPPs creates a robust financial ecosystem capable of addressing the pressing developmental needs of Muslim societies. As awareness and understanding of Islamic finance grow, this approach could significantly enhance both economic impact and alignme</w:t>
      </w:r>
      <w:r>
        <w:rPr>
          <w:color w:val="000000"/>
          <w:sz w:val="24"/>
          <w:szCs w:val="24"/>
        </w:rPr>
        <w:t>nt with global sustainability objectives.</w:t>
      </w:r>
    </w:p>
    <w:p w:rsidR="00475E9D" w:rsidRDefault="00475E9D">
      <w:pPr>
        <w:pStyle w:val="normal0"/>
        <w:spacing w:line="360" w:lineRule="auto"/>
        <w:jc w:val="both"/>
        <w:rPr>
          <w:sz w:val="24"/>
          <w:szCs w:val="24"/>
        </w:rPr>
      </w:pPr>
    </w:p>
    <w:p w:rsidR="00475E9D" w:rsidRDefault="00475E9D">
      <w:pPr>
        <w:pStyle w:val="normal0"/>
        <w:spacing w:line="360" w:lineRule="auto"/>
        <w:jc w:val="both"/>
        <w:rPr>
          <w:sz w:val="24"/>
          <w:szCs w:val="24"/>
        </w:rPr>
      </w:pPr>
    </w:p>
    <w:p w:rsidR="00475E9D" w:rsidRDefault="00475E9D">
      <w:pPr>
        <w:pStyle w:val="normal0"/>
        <w:spacing w:line="360" w:lineRule="auto"/>
        <w:jc w:val="both"/>
        <w:rPr>
          <w:sz w:val="24"/>
          <w:szCs w:val="24"/>
        </w:rPr>
      </w:pPr>
    </w:p>
    <w:p w:rsidR="00475E9D" w:rsidRDefault="008914FF">
      <w:pPr>
        <w:pStyle w:val="normal0"/>
        <w:spacing w:line="360" w:lineRule="auto"/>
        <w:jc w:val="both"/>
        <w:rPr>
          <w:b/>
          <w:bCs/>
          <w:color w:val="000000"/>
          <w:sz w:val="24"/>
          <w:szCs w:val="24"/>
        </w:rPr>
      </w:pPr>
      <w:r>
        <w:rPr>
          <w:b/>
          <w:bCs/>
          <w:color w:val="000000"/>
          <w:sz w:val="24"/>
          <w:szCs w:val="24"/>
        </w:rPr>
        <w:lastRenderedPageBreak/>
        <w:t>2.3 Three Major Waqf Institutions in Indonesia</w:t>
      </w:r>
    </w:p>
    <w:p w:rsidR="00475E9D" w:rsidRDefault="008914FF">
      <w:pPr>
        <w:pStyle w:val="normal0"/>
        <w:spacing w:line="360" w:lineRule="auto"/>
        <w:ind w:firstLine="284"/>
        <w:jc w:val="both"/>
        <w:rPr>
          <w:color w:val="000000"/>
          <w:sz w:val="24"/>
          <w:szCs w:val="24"/>
        </w:rPr>
      </w:pPr>
      <w:r>
        <w:rPr>
          <w:color w:val="000000"/>
          <w:sz w:val="24"/>
          <w:szCs w:val="24"/>
        </w:rPr>
        <w:t>Tabung Wakaf Indonesia (TWI), PKPU (Pos Keadilan Peduli Umat), Center for Waqf Management), and Baitul Maal Muamalat (BMM) are three significant institutions in Indonesia that focus on the management and utilization of waqf funds to foster socio-economic d</w:t>
      </w:r>
      <w:r>
        <w:rPr>
          <w:color w:val="000000"/>
          <w:sz w:val="24"/>
          <w:szCs w:val="24"/>
        </w:rPr>
        <w:t>evelopment. Together, they represent a robust framework integrating Islamic philanthropy and microfinance aimed at improving the welfare of communities.</w:t>
      </w:r>
    </w:p>
    <w:p w:rsidR="00475E9D" w:rsidRDefault="00475E9D">
      <w:pPr>
        <w:pStyle w:val="normal0"/>
        <w:spacing w:line="360" w:lineRule="auto"/>
        <w:jc w:val="both"/>
        <w:rPr>
          <w:color w:val="000000"/>
          <w:sz w:val="24"/>
          <w:szCs w:val="24"/>
        </w:rPr>
      </w:pPr>
    </w:p>
    <w:p w:rsidR="00475E9D" w:rsidRDefault="008914FF">
      <w:pPr>
        <w:pStyle w:val="normal0"/>
        <w:spacing w:line="360" w:lineRule="auto"/>
        <w:jc w:val="both"/>
        <w:rPr>
          <w:b/>
          <w:bCs/>
          <w:color w:val="000000"/>
          <w:sz w:val="24"/>
          <w:szCs w:val="24"/>
        </w:rPr>
      </w:pPr>
      <w:r>
        <w:rPr>
          <w:b/>
          <w:bCs/>
          <w:color w:val="000000"/>
          <w:sz w:val="24"/>
          <w:szCs w:val="24"/>
        </w:rPr>
        <w:t>2.3.1 Tabung Wakaf Indonesia (TWI)</w:t>
      </w:r>
    </w:p>
    <w:p w:rsidR="00475E9D" w:rsidRDefault="008914FF">
      <w:pPr>
        <w:pStyle w:val="normal0"/>
        <w:spacing w:line="360" w:lineRule="auto"/>
        <w:ind w:firstLine="284"/>
        <w:jc w:val="both"/>
        <w:rPr>
          <w:color w:val="000000"/>
          <w:sz w:val="24"/>
          <w:szCs w:val="24"/>
        </w:rPr>
      </w:pPr>
      <w:r>
        <w:rPr>
          <w:color w:val="000000"/>
          <w:sz w:val="24"/>
          <w:szCs w:val="24"/>
        </w:rPr>
        <w:t>Tabung Wakaf Indonesia is primarily concerned with optimizing the m</w:t>
      </w:r>
      <w:r>
        <w:rPr>
          <w:color w:val="000000"/>
          <w:sz w:val="24"/>
          <w:szCs w:val="24"/>
        </w:rPr>
        <w:t>anagement of cash waqf, transforming it into a sustainable source for financing various development projects. Established to harness Indonesia's untapped waqf potential, TWI has focused on increasing public awareness regarding the importance of waqf contri</w:t>
      </w:r>
      <w:r>
        <w:rPr>
          <w:color w:val="000000"/>
          <w:sz w:val="24"/>
          <w:szCs w:val="24"/>
        </w:rPr>
        <w:t>butions (Hayati et al., 2022). It aims to address the substantial gap between the estimated cash waqf potential of IDR 180 trillion and the actual funds mobilized, which stood at approximately IDR 1.4 trillion as of early 2022 (Hayati et al., 2022). TWI ac</w:t>
      </w:r>
      <w:r>
        <w:rPr>
          <w:color w:val="000000"/>
          <w:sz w:val="24"/>
          <w:szCs w:val="24"/>
        </w:rPr>
        <w:t>tively promotes cash waqf as a viable method for financing education, health initiatives, and microenterprises, thereby contributing to the achievement of various Sustainable Development Goals (SDGs) (Hayati et al., 2022). The institution emphasizes transp</w:t>
      </w:r>
      <w:r>
        <w:rPr>
          <w:color w:val="000000"/>
          <w:sz w:val="24"/>
          <w:szCs w:val="24"/>
        </w:rPr>
        <w:t>arency and accountability in financial management, fostering trust among donors by adhering to Shariah-compliant principles (Al-Qosimi et al., 2022). The integration of technology into TWI's operations has enhanced accessibility and encouraged participatio</w:t>
      </w:r>
      <w:r>
        <w:rPr>
          <w:color w:val="000000"/>
          <w:sz w:val="24"/>
          <w:szCs w:val="24"/>
        </w:rPr>
        <w:t>n among younger demographics in waqf initiatives (Wahyudi et al., 2024).</w:t>
      </w:r>
    </w:p>
    <w:p w:rsidR="00475E9D" w:rsidRDefault="00475E9D">
      <w:pPr>
        <w:pStyle w:val="normal0"/>
        <w:spacing w:line="360" w:lineRule="auto"/>
        <w:jc w:val="both"/>
        <w:rPr>
          <w:color w:val="000000"/>
          <w:sz w:val="24"/>
          <w:szCs w:val="24"/>
        </w:rPr>
      </w:pPr>
    </w:p>
    <w:p w:rsidR="00475E9D" w:rsidRDefault="008914FF">
      <w:pPr>
        <w:pStyle w:val="normal0"/>
        <w:spacing w:line="360" w:lineRule="auto"/>
        <w:jc w:val="both"/>
        <w:rPr>
          <w:b/>
          <w:bCs/>
          <w:color w:val="000000"/>
          <w:sz w:val="24"/>
          <w:szCs w:val="24"/>
        </w:rPr>
      </w:pPr>
      <w:r>
        <w:rPr>
          <w:b/>
          <w:bCs/>
          <w:color w:val="000000"/>
          <w:sz w:val="24"/>
          <w:szCs w:val="24"/>
        </w:rPr>
        <w:t>2.3.2 PKPU (Pos Keadilan Peduli Umat)</w:t>
      </w:r>
    </w:p>
    <w:p w:rsidR="00475E9D" w:rsidRDefault="008914FF">
      <w:pPr>
        <w:pStyle w:val="normal0"/>
        <w:spacing w:line="360" w:lineRule="auto"/>
        <w:ind w:firstLine="284"/>
        <w:jc w:val="both"/>
        <w:rPr>
          <w:color w:val="000000"/>
          <w:sz w:val="24"/>
          <w:szCs w:val="24"/>
        </w:rPr>
      </w:pPr>
      <w:r>
        <w:rPr>
          <w:color w:val="000000"/>
          <w:sz w:val="24"/>
          <w:szCs w:val="24"/>
        </w:rPr>
        <w:t>PKPU, or the Center for Waqf Management, operates in close alignment with the objectives of TWI, focusing on enhancing waqf management effective</w:t>
      </w:r>
      <w:r>
        <w:rPr>
          <w:color w:val="000000"/>
          <w:sz w:val="24"/>
          <w:szCs w:val="24"/>
        </w:rPr>
        <w:t>ness. PKPU serves as an intermediary that mobilizes waqf funds for various social programs, including educational scholarships, healthcare services, and microfinance initiatives for underserved communities (Ascarya et al., 2022). This institution has playe</w:t>
      </w:r>
      <w:r>
        <w:rPr>
          <w:color w:val="000000"/>
          <w:sz w:val="24"/>
          <w:szCs w:val="24"/>
        </w:rPr>
        <w:t>d a critical role in addressing poverty through the establishment of micro waqf banks (Bank Wakaf Mikro), which leverage cash waqf as capital to empower micro and ultra-micro businesses (Harianto et al., 2024). By fostering partnerships with local governme</w:t>
      </w:r>
      <w:r>
        <w:rPr>
          <w:color w:val="000000"/>
          <w:sz w:val="24"/>
          <w:szCs w:val="24"/>
        </w:rPr>
        <w:t>nts and non-profit organizations, PKPU enhances the implementation of waqf projects tailored to specific community needs. The focus on microfinance within the PKPU framework aligns with broader economic empowerment strategies, addressing financing constrai</w:t>
      </w:r>
      <w:r>
        <w:rPr>
          <w:color w:val="000000"/>
          <w:sz w:val="24"/>
          <w:szCs w:val="24"/>
        </w:rPr>
        <w:t>nts faced by low-income entrepreneurs (Sulistyowati, 2019).</w:t>
      </w:r>
    </w:p>
    <w:p w:rsidR="00475E9D" w:rsidRDefault="00475E9D">
      <w:pPr>
        <w:pStyle w:val="normal0"/>
        <w:spacing w:line="360" w:lineRule="auto"/>
        <w:jc w:val="both"/>
        <w:rPr>
          <w:color w:val="000000"/>
          <w:sz w:val="24"/>
          <w:szCs w:val="24"/>
        </w:rPr>
      </w:pPr>
    </w:p>
    <w:p w:rsidR="00475E9D" w:rsidRDefault="008914FF">
      <w:pPr>
        <w:pStyle w:val="normal0"/>
        <w:spacing w:line="360" w:lineRule="auto"/>
        <w:jc w:val="both"/>
        <w:rPr>
          <w:b/>
          <w:bCs/>
          <w:color w:val="000000"/>
          <w:sz w:val="24"/>
          <w:szCs w:val="24"/>
        </w:rPr>
      </w:pPr>
      <w:r>
        <w:rPr>
          <w:b/>
          <w:bCs/>
          <w:color w:val="000000"/>
          <w:sz w:val="24"/>
          <w:szCs w:val="24"/>
        </w:rPr>
        <w:lastRenderedPageBreak/>
        <w:t>2.3.3 Baitul Maal Muamalat (BMM)</w:t>
      </w:r>
    </w:p>
    <w:p w:rsidR="00475E9D" w:rsidRDefault="008914FF">
      <w:pPr>
        <w:pStyle w:val="normal0"/>
        <w:spacing w:line="360" w:lineRule="auto"/>
        <w:ind w:firstLine="284"/>
        <w:jc w:val="both"/>
        <w:rPr>
          <w:color w:val="000000"/>
          <w:sz w:val="24"/>
          <w:szCs w:val="24"/>
        </w:rPr>
      </w:pPr>
      <w:r>
        <w:rPr>
          <w:color w:val="000000"/>
          <w:sz w:val="24"/>
          <w:szCs w:val="24"/>
        </w:rPr>
        <w:t>Baitul Maal Muamalat emerges as a noteworthy institution providing comprehensive financial services based on Islamic principles. BMM manages various social funds,</w:t>
      </w:r>
      <w:r>
        <w:rPr>
          <w:color w:val="000000"/>
          <w:sz w:val="24"/>
          <w:szCs w:val="24"/>
        </w:rPr>
        <w:t xml:space="preserve"> including zakat, infaq, and waqf, reflecting a synergistic approach to Islamic social financing (Effendi, 2020). BMM’s strategic focus on cash waqf parallels that of TWI and PKPU, aiming to enhance the mobilization and effective utilization of these funds</w:t>
      </w:r>
      <w:r>
        <w:rPr>
          <w:color w:val="000000"/>
          <w:sz w:val="24"/>
          <w:szCs w:val="24"/>
        </w:rPr>
        <w:t xml:space="preserve"> for community welfare (Furstenberger et al., 2017). Through fiscal prudence and adherence to Shariah law, BMM seeks to create sustainable income sources that support welfare programs, primarily education and small business initiatives. This provides a rob</w:t>
      </w:r>
      <w:r>
        <w:rPr>
          <w:color w:val="000000"/>
          <w:sz w:val="24"/>
          <w:szCs w:val="24"/>
        </w:rPr>
        <w:t>ust mechanism that not only addresses immediate community needs but also promotes long-term economic resilience within the population (Aini, 2024). The strong governance framework within BMM is crucial for building trust and engaging nano and micro entrepr</w:t>
      </w:r>
      <w:r>
        <w:rPr>
          <w:color w:val="000000"/>
          <w:sz w:val="24"/>
          <w:szCs w:val="24"/>
        </w:rPr>
        <w:t>eneurs in its programs.</w:t>
      </w:r>
    </w:p>
    <w:p w:rsidR="00475E9D" w:rsidRDefault="008914FF">
      <w:pPr>
        <w:pStyle w:val="normal0"/>
        <w:spacing w:line="360" w:lineRule="auto"/>
        <w:ind w:firstLine="284"/>
        <w:jc w:val="both"/>
        <w:rPr>
          <w:color w:val="000000"/>
          <w:sz w:val="24"/>
          <w:szCs w:val="24"/>
        </w:rPr>
      </w:pPr>
      <w:r>
        <w:rPr>
          <w:color w:val="000000"/>
          <w:sz w:val="24"/>
          <w:szCs w:val="24"/>
        </w:rPr>
        <w:t>In summary, Tabung Wakaf Indonesia, PKPU, and Baitul Maal Muamalat collectively form an integrated model of waqf management that leverages Islamic principles to drive socio-economic progress in Indonesia. Their focus on cash waqf as</w:t>
      </w:r>
      <w:r>
        <w:rPr>
          <w:color w:val="000000"/>
          <w:sz w:val="24"/>
          <w:szCs w:val="24"/>
        </w:rPr>
        <w:t xml:space="preserve"> a sustainable funding mechanism reflects a commitment to addressing poverty, advancing education, and promoting local entrepreneurship. By fostering collaboration with various stakeholders and utilizing innovative financial technologies, these institution</w:t>
      </w:r>
      <w:r>
        <w:rPr>
          <w:color w:val="000000"/>
          <w:sz w:val="24"/>
          <w:szCs w:val="24"/>
        </w:rPr>
        <w:t>s are poised to maximize the impact of waqf on community empowerment and development.</w:t>
      </w:r>
    </w:p>
    <w:p w:rsidR="00475E9D" w:rsidRDefault="00475E9D">
      <w:pPr>
        <w:pStyle w:val="normal0"/>
        <w:spacing w:line="360" w:lineRule="auto"/>
        <w:jc w:val="both"/>
        <w:rPr>
          <w:color w:val="000000"/>
          <w:sz w:val="24"/>
          <w:szCs w:val="24"/>
        </w:rPr>
      </w:pPr>
    </w:p>
    <w:p w:rsidR="00475E9D" w:rsidRDefault="008914FF">
      <w:pPr>
        <w:pStyle w:val="normal0"/>
        <w:spacing w:line="360" w:lineRule="auto"/>
        <w:jc w:val="both"/>
        <w:rPr>
          <w:b/>
          <w:bCs/>
          <w:color w:val="000000"/>
          <w:sz w:val="24"/>
          <w:szCs w:val="24"/>
        </w:rPr>
      </w:pPr>
      <w:r>
        <w:rPr>
          <w:b/>
          <w:bCs/>
          <w:color w:val="000000"/>
          <w:sz w:val="24"/>
          <w:szCs w:val="24"/>
        </w:rPr>
        <w:t>2.4 Governance and Accountability</w:t>
      </w:r>
    </w:p>
    <w:p w:rsidR="00475E9D" w:rsidRDefault="008914FF">
      <w:pPr>
        <w:pStyle w:val="normal0"/>
        <w:spacing w:line="360" w:lineRule="auto"/>
        <w:ind w:firstLine="284"/>
        <w:jc w:val="both"/>
        <w:rPr>
          <w:color w:val="000000"/>
          <w:sz w:val="24"/>
          <w:szCs w:val="24"/>
        </w:rPr>
      </w:pPr>
      <w:r>
        <w:rPr>
          <w:color w:val="000000"/>
          <w:sz w:val="24"/>
          <w:szCs w:val="24"/>
        </w:rPr>
        <w:t>Strong governance builds trust, which is crucial for any blended-finance partnership. Osman and Agyemang (2020) argue that keeping bene</w:t>
      </w:r>
      <w:r>
        <w:rPr>
          <w:color w:val="000000"/>
          <w:sz w:val="24"/>
          <w:szCs w:val="24"/>
        </w:rPr>
        <w:t>ficiaries involved what they call downward accountability greatly enhances social impact, though they call for hard data to back this up. Usman and Ab Rahman (2021) demonstrate that well-defined governance structures allow waqf to sustainably fund higher e</w:t>
      </w:r>
      <w:r>
        <w:rPr>
          <w:color w:val="000000"/>
          <w:sz w:val="24"/>
          <w:szCs w:val="24"/>
        </w:rPr>
        <w:t xml:space="preserve">ducation projects, yet they also warn that moving beyond small-scale pilots poses challenges. Finally, Yasmin, Haniffa, and Hudaib (2014) show that transparent reporting by faith-based organizations fosters donor confidence an insight that applies equally </w:t>
      </w:r>
      <w:r>
        <w:rPr>
          <w:color w:val="000000"/>
          <w:sz w:val="24"/>
          <w:szCs w:val="24"/>
        </w:rPr>
        <w:t>to waqf blended finance schemes.</w:t>
      </w:r>
    </w:p>
    <w:p w:rsidR="00475E9D" w:rsidRDefault="00475E9D">
      <w:pPr>
        <w:pStyle w:val="normal0"/>
        <w:spacing w:line="360" w:lineRule="auto"/>
        <w:ind w:firstLine="284"/>
        <w:jc w:val="both"/>
        <w:rPr>
          <w:color w:val="000000"/>
          <w:sz w:val="24"/>
          <w:szCs w:val="24"/>
        </w:rPr>
      </w:pPr>
    </w:p>
    <w:p w:rsidR="00475E9D" w:rsidRDefault="00475E9D">
      <w:pPr>
        <w:pStyle w:val="normal0"/>
        <w:spacing w:line="360" w:lineRule="auto"/>
        <w:ind w:firstLine="284"/>
        <w:jc w:val="both"/>
        <w:rPr>
          <w:color w:val="000000"/>
          <w:sz w:val="24"/>
          <w:szCs w:val="24"/>
        </w:rPr>
      </w:pPr>
    </w:p>
    <w:p w:rsidR="00475E9D" w:rsidRDefault="00475E9D">
      <w:pPr>
        <w:pStyle w:val="normal0"/>
        <w:spacing w:line="360" w:lineRule="auto"/>
        <w:jc w:val="both"/>
        <w:rPr>
          <w:color w:val="000000"/>
          <w:sz w:val="24"/>
          <w:szCs w:val="24"/>
        </w:rPr>
      </w:pPr>
    </w:p>
    <w:p w:rsidR="00475E9D" w:rsidRDefault="00475E9D">
      <w:pPr>
        <w:pStyle w:val="normal0"/>
        <w:spacing w:line="360" w:lineRule="auto"/>
        <w:jc w:val="both"/>
        <w:rPr>
          <w:color w:val="000000"/>
          <w:sz w:val="24"/>
          <w:szCs w:val="24"/>
        </w:rPr>
      </w:pPr>
    </w:p>
    <w:p w:rsidR="00475E9D" w:rsidRDefault="00475E9D">
      <w:pPr>
        <w:pStyle w:val="normal0"/>
        <w:spacing w:line="360" w:lineRule="auto"/>
        <w:jc w:val="both"/>
        <w:rPr>
          <w:color w:val="000000"/>
          <w:sz w:val="24"/>
          <w:szCs w:val="24"/>
        </w:rPr>
      </w:pPr>
    </w:p>
    <w:p w:rsidR="00475E9D" w:rsidRDefault="00475E9D">
      <w:pPr>
        <w:pStyle w:val="normal0"/>
        <w:spacing w:line="360" w:lineRule="auto"/>
        <w:jc w:val="both"/>
        <w:rPr>
          <w:color w:val="000000"/>
          <w:sz w:val="24"/>
          <w:szCs w:val="24"/>
        </w:rPr>
      </w:pPr>
    </w:p>
    <w:p w:rsidR="00475E9D" w:rsidRDefault="008914FF">
      <w:pPr>
        <w:pStyle w:val="normal0"/>
        <w:spacing w:line="276" w:lineRule="auto"/>
        <w:jc w:val="center"/>
        <w:rPr>
          <w:b/>
          <w:bCs/>
        </w:rPr>
      </w:pPr>
      <w:r>
        <w:rPr>
          <w:b/>
          <w:bCs/>
        </w:rPr>
        <w:lastRenderedPageBreak/>
        <w:t>Table 1. Summary of Key Studies on Waqf, Blended Finance, and Governance</w:t>
      </w:r>
    </w:p>
    <w:tbl>
      <w:tblPr>
        <w:tblStyle w:val="a"/>
        <w:tblW w:w="9351" w:type="dxa"/>
        <w:tblLayout w:type="fixed"/>
        <w:tblLook w:val="04A0"/>
      </w:tblPr>
      <w:tblGrid>
        <w:gridCol w:w="1555"/>
        <w:gridCol w:w="1944"/>
        <w:gridCol w:w="3210"/>
        <w:gridCol w:w="2642"/>
      </w:tblGrid>
      <w:tr w:rsidR="00475E9D" w:rsidTr="00475E9D">
        <w:trPr>
          <w:cnfStyle w:val="100000000000"/>
        </w:trPr>
        <w:tc>
          <w:tcPr>
            <w:cnfStyle w:val="001000000000"/>
            <w:tcW w:w="1555" w:type="dxa"/>
            <w:shd w:val="clear" w:color="auto" w:fill="D9E2F3"/>
          </w:tcPr>
          <w:p w:rsidR="00475E9D" w:rsidRDefault="008914FF">
            <w:pPr>
              <w:pStyle w:val="normal0"/>
              <w:spacing w:line="276" w:lineRule="auto"/>
              <w:jc w:val="center"/>
              <w:rPr>
                <w:sz w:val="22"/>
                <w:szCs w:val="22"/>
              </w:rPr>
            </w:pPr>
            <w:r>
              <w:rPr>
                <w:sz w:val="22"/>
                <w:szCs w:val="22"/>
              </w:rPr>
              <w:t>Study</w:t>
            </w:r>
          </w:p>
        </w:tc>
        <w:tc>
          <w:tcPr>
            <w:tcW w:w="1944" w:type="dxa"/>
            <w:shd w:val="clear" w:color="auto" w:fill="D9E2F3"/>
          </w:tcPr>
          <w:p w:rsidR="00475E9D" w:rsidRDefault="008914FF">
            <w:pPr>
              <w:pStyle w:val="normal0"/>
              <w:spacing w:line="276" w:lineRule="auto"/>
              <w:jc w:val="center"/>
              <w:cnfStyle w:val="100000000000"/>
              <w:rPr>
                <w:sz w:val="22"/>
                <w:szCs w:val="22"/>
              </w:rPr>
            </w:pPr>
            <w:r>
              <w:rPr>
                <w:sz w:val="22"/>
                <w:szCs w:val="22"/>
              </w:rPr>
              <w:t>Focus Area</w:t>
            </w:r>
          </w:p>
        </w:tc>
        <w:tc>
          <w:tcPr>
            <w:tcW w:w="3210" w:type="dxa"/>
            <w:shd w:val="clear" w:color="auto" w:fill="D9E2F3"/>
          </w:tcPr>
          <w:p w:rsidR="00475E9D" w:rsidRDefault="008914FF">
            <w:pPr>
              <w:pStyle w:val="normal0"/>
              <w:spacing w:line="276" w:lineRule="auto"/>
              <w:jc w:val="center"/>
              <w:cnfStyle w:val="100000000000"/>
              <w:rPr>
                <w:sz w:val="22"/>
                <w:szCs w:val="22"/>
              </w:rPr>
            </w:pPr>
            <w:r>
              <w:rPr>
                <w:sz w:val="22"/>
                <w:szCs w:val="22"/>
              </w:rPr>
              <w:t>Key Finding</w:t>
            </w:r>
          </w:p>
        </w:tc>
        <w:tc>
          <w:tcPr>
            <w:tcW w:w="2642" w:type="dxa"/>
            <w:shd w:val="clear" w:color="auto" w:fill="D9E2F3"/>
          </w:tcPr>
          <w:p w:rsidR="00475E9D" w:rsidRDefault="008914FF">
            <w:pPr>
              <w:pStyle w:val="normal0"/>
              <w:spacing w:line="276" w:lineRule="auto"/>
              <w:jc w:val="center"/>
              <w:cnfStyle w:val="100000000000"/>
              <w:rPr>
                <w:sz w:val="22"/>
                <w:szCs w:val="22"/>
              </w:rPr>
            </w:pPr>
            <w:r>
              <w:rPr>
                <w:sz w:val="22"/>
                <w:szCs w:val="22"/>
              </w:rPr>
              <w:t>Gap Identified</w:t>
            </w:r>
          </w:p>
        </w:tc>
      </w:tr>
      <w:tr w:rsidR="00475E9D" w:rsidTr="00475E9D">
        <w:trPr>
          <w:cnfStyle w:val="000000100000"/>
        </w:trPr>
        <w:tc>
          <w:tcPr>
            <w:cnfStyle w:val="001000000000"/>
            <w:tcW w:w="1555" w:type="dxa"/>
          </w:tcPr>
          <w:p w:rsidR="00475E9D" w:rsidRDefault="008914FF">
            <w:pPr>
              <w:pStyle w:val="normal0"/>
              <w:spacing w:line="276" w:lineRule="auto"/>
              <w:rPr>
                <w:sz w:val="22"/>
                <w:szCs w:val="22"/>
              </w:rPr>
            </w:pPr>
            <w:r>
              <w:rPr>
                <w:sz w:val="22"/>
                <w:szCs w:val="22"/>
              </w:rPr>
              <w:t>Laldin &amp; Djafri (2021)</w:t>
            </w:r>
          </w:p>
        </w:tc>
        <w:tc>
          <w:tcPr>
            <w:tcW w:w="1944" w:type="dxa"/>
          </w:tcPr>
          <w:p w:rsidR="00475E9D" w:rsidRDefault="008914FF">
            <w:pPr>
              <w:pStyle w:val="normal0"/>
              <w:spacing w:line="276" w:lineRule="auto"/>
              <w:cnfStyle w:val="000000100000"/>
              <w:rPr>
                <w:sz w:val="22"/>
                <w:szCs w:val="22"/>
              </w:rPr>
            </w:pPr>
            <w:r>
              <w:rPr>
                <w:sz w:val="22"/>
                <w:szCs w:val="22"/>
              </w:rPr>
              <w:t>Waqf’s role in SDGs</w:t>
            </w:r>
          </w:p>
        </w:tc>
        <w:tc>
          <w:tcPr>
            <w:tcW w:w="3210" w:type="dxa"/>
          </w:tcPr>
          <w:p w:rsidR="00475E9D" w:rsidRDefault="008914FF">
            <w:pPr>
              <w:pStyle w:val="normal0"/>
              <w:spacing w:line="276" w:lineRule="auto"/>
              <w:cnfStyle w:val="000000100000"/>
              <w:rPr>
                <w:sz w:val="22"/>
                <w:szCs w:val="22"/>
              </w:rPr>
            </w:pPr>
            <w:r>
              <w:rPr>
                <w:sz w:val="22"/>
                <w:szCs w:val="22"/>
              </w:rPr>
              <w:t>Waqf aligns with SDG targets but lacks operational large-scale frameworks</w:t>
            </w:r>
          </w:p>
        </w:tc>
        <w:tc>
          <w:tcPr>
            <w:tcW w:w="2642" w:type="dxa"/>
          </w:tcPr>
          <w:p w:rsidR="00475E9D" w:rsidRDefault="008914FF">
            <w:pPr>
              <w:pStyle w:val="normal0"/>
              <w:spacing w:line="276" w:lineRule="auto"/>
              <w:cnfStyle w:val="000000100000"/>
              <w:rPr>
                <w:sz w:val="22"/>
                <w:szCs w:val="22"/>
              </w:rPr>
            </w:pPr>
            <w:r>
              <w:rPr>
                <w:sz w:val="22"/>
                <w:szCs w:val="22"/>
              </w:rPr>
              <w:t>Practical models for scaling waqf in blended finance</w:t>
            </w:r>
          </w:p>
        </w:tc>
      </w:tr>
      <w:tr w:rsidR="00475E9D" w:rsidTr="00475E9D">
        <w:tc>
          <w:tcPr>
            <w:cnfStyle w:val="001000000000"/>
            <w:tcW w:w="1555" w:type="dxa"/>
          </w:tcPr>
          <w:p w:rsidR="00475E9D" w:rsidRDefault="008914FF">
            <w:pPr>
              <w:pStyle w:val="normal0"/>
              <w:spacing w:line="276" w:lineRule="auto"/>
              <w:rPr>
                <w:sz w:val="22"/>
                <w:szCs w:val="22"/>
              </w:rPr>
            </w:pPr>
            <w:r>
              <w:rPr>
                <w:sz w:val="22"/>
                <w:szCs w:val="22"/>
              </w:rPr>
              <w:t>Razak (2020)</w:t>
            </w:r>
          </w:p>
        </w:tc>
        <w:tc>
          <w:tcPr>
            <w:tcW w:w="1944" w:type="dxa"/>
          </w:tcPr>
          <w:p w:rsidR="00475E9D" w:rsidRDefault="008914FF">
            <w:pPr>
              <w:pStyle w:val="normal0"/>
              <w:spacing w:line="276" w:lineRule="auto"/>
              <w:cnfStyle w:val="000000000000"/>
              <w:rPr>
                <w:sz w:val="22"/>
                <w:szCs w:val="22"/>
              </w:rPr>
            </w:pPr>
            <w:r>
              <w:rPr>
                <w:sz w:val="22"/>
                <w:szCs w:val="22"/>
              </w:rPr>
              <w:t>Zakat and waqf for poverty alleviation</w:t>
            </w:r>
          </w:p>
        </w:tc>
        <w:tc>
          <w:tcPr>
            <w:tcW w:w="3210" w:type="dxa"/>
          </w:tcPr>
          <w:p w:rsidR="00475E9D" w:rsidRDefault="008914FF">
            <w:pPr>
              <w:pStyle w:val="normal0"/>
              <w:spacing w:line="276" w:lineRule="auto"/>
              <w:cnfStyle w:val="000000000000"/>
              <w:rPr>
                <w:sz w:val="22"/>
                <w:szCs w:val="22"/>
              </w:rPr>
            </w:pPr>
            <w:r>
              <w:rPr>
                <w:sz w:val="22"/>
                <w:szCs w:val="22"/>
              </w:rPr>
              <w:t>Synergistic use demonstrably reduces poverty in Malaysia</w:t>
            </w:r>
          </w:p>
        </w:tc>
        <w:tc>
          <w:tcPr>
            <w:tcW w:w="2642" w:type="dxa"/>
          </w:tcPr>
          <w:p w:rsidR="00475E9D" w:rsidRDefault="008914FF">
            <w:pPr>
              <w:pStyle w:val="normal0"/>
              <w:spacing w:line="276" w:lineRule="auto"/>
              <w:cnfStyle w:val="000000000000"/>
              <w:rPr>
                <w:sz w:val="22"/>
                <w:szCs w:val="22"/>
              </w:rPr>
            </w:pPr>
            <w:r>
              <w:rPr>
                <w:sz w:val="22"/>
                <w:szCs w:val="22"/>
              </w:rPr>
              <w:t>Integration into formal blended-finance mechanisms</w:t>
            </w:r>
          </w:p>
        </w:tc>
      </w:tr>
      <w:tr w:rsidR="00475E9D" w:rsidTr="00475E9D">
        <w:trPr>
          <w:cnfStyle w:val="000000100000"/>
        </w:trPr>
        <w:tc>
          <w:tcPr>
            <w:cnfStyle w:val="001000000000"/>
            <w:tcW w:w="1555" w:type="dxa"/>
          </w:tcPr>
          <w:p w:rsidR="00475E9D" w:rsidRDefault="008914FF">
            <w:pPr>
              <w:pStyle w:val="normal0"/>
              <w:spacing w:line="276" w:lineRule="auto"/>
              <w:rPr>
                <w:sz w:val="22"/>
                <w:szCs w:val="22"/>
              </w:rPr>
            </w:pPr>
            <w:r>
              <w:rPr>
                <w:sz w:val="22"/>
                <w:szCs w:val="22"/>
              </w:rPr>
              <w:t>Qadri et al. (2024)</w:t>
            </w:r>
          </w:p>
        </w:tc>
        <w:tc>
          <w:tcPr>
            <w:tcW w:w="1944" w:type="dxa"/>
          </w:tcPr>
          <w:p w:rsidR="00475E9D" w:rsidRDefault="008914FF">
            <w:pPr>
              <w:pStyle w:val="normal0"/>
              <w:spacing w:line="276" w:lineRule="auto"/>
              <w:cnfStyle w:val="000000100000"/>
              <w:rPr>
                <w:sz w:val="22"/>
                <w:szCs w:val="22"/>
              </w:rPr>
            </w:pPr>
            <w:r>
              <w:rPr>
                <w:sz w:val="22"/>
                <w:szCs w:val="22"/>
              </w:rPr>
              <w:t>Cash-waqf blended-finance for infrastructure</w:t>
            </w:r>
          </w:p>
        </w:tc>
        <w:tc>
          <w:tcPr>
            <w:tcW w:w="3210" w:type="dxa"/>
          </w:tcPr>
          <w:p w:rsidR="00475E9D" w:rsidRDefault="008914FF">
            <w:pPr>
              <w:pStyle w:val="normal0"/>
              <w:spacing w:line="276" w:lineRule="auto"/>
              <w:cnfStyle w:val="000000100000"/>
              <w:rPr>
                <w:sz w:val="22"/>
                <w:szCs w:val="22"/>
              </w:rPr>
            </w:pPr>
            <w:r>
              <w:rPr>
                <w:sz w:val="22"/>
                <w:szCs w:val="22"/>
              </w:rPr>
              <w:t>Blended model simulations improve project viability</w:t>
            </w:r>
          </w:p>
        </w:tc>
        <w:tc>
          <w:tcPr>
            <w:tcW w:w="2642" w:type="dxa"/>
          </w:tcPr>
          <w:p w:rsidR="00475E9D" w:rsidRDefault="008914FF">
            <w:pPr>
              <w:pStyle w:val="normal0"/>
              <w:spacing w:line="276" w:lineRule="auto"/>
              <w:cnfStyle w:val="000000100000"/>
              <w:rPr>
                <w:sz w:val="22"/>
                <w:szCs w:val="22"/>
              </w:rPr>
            </w:pPr>
            <w:r>
              <w:rPr>
                <w:sz w:val="22"/>
                <w:szCs w:val="22"/>
              </w:rPr>
              <w:t>Real-world application and risk assessment</w:t>
            </w:r>
          </w:p>
        </w:tc>
      </w:tr>
      <w:tr w:rsidR="00475E9D" w:rsidTr="00475E9D">
        <w:tc>
          <w:tcPr>
            <w:cnfStyle w:val="001000000000"/>
            <w:tcW w:w="1555" w:type="dxa"/>
          </w:tcPr>
          <w:p w:rsidR="00475E9D" w:rsidRDefault="008914FF">
            <w:pPr>
              <w:pStyle w:val="normal0"/>
              <w:spacing w:line="276" w:lineRule="auto"/>
              <w:rPr>
                <w:sz w:val="22"/>
                <w:szCs w:val="22"/>
              </w:rPr>
            </w:pPr>
            <w:r>
              <w:rPr>
                <w:sz w:val="22"/>
                <w:szCs w:val="22"/>
              </w:rPr>
              <w:t>Raimi, Abdur-Rauf, &amp; Ashafa (2024)</w:t>
            </w:r>
          </w:p>
        </w:tc>
        <w:tc>
          <w:tcPr>
            <w:tcW w:w="1944" w:type="dxa"/>
          </w:tcPr>
          <w:p w:rsidR="00475E9D" w:rsidRDefault="008914FF">
            <w:pPr>
              <w:pStyle w:val="normal0"/>
              <w:spacing w:line="276" w:lineRule="auto"/>
              <w:cnfStyle w:val="000000000000"/>
              <w:rPr>
                <w:sz w:val="22"/>
                <w:szCs w:val="22"/>
              </w:rPr>
            </w:pPr>
            <w:r>
              <w:rPr>
                <w:sz w:val="22"/>
                <w:szCs w:val="22"/>
              </w:rPr>
              <w:t xml:space="preserve">Islamic </w:t>
            </w:r>
            <w:r>
              <w:rPr>
                <w:sz w:val="22"/>
                <w:szCs w:val="22"/>
              </w:rPr>
              <w:t>sustainable finance and SDGs</w:t>
            </w:r>
          </w:p>
        </w:tc>
        <w:tc>
          <w:tcPr>
            <w:tcW w:w="3210" w:type="dxa"/>
          </w:tcPr>
          <w:p w:rsidR="00475E9D" w:rsidRDefault="008914FF">
            <w:pPr>
              <w:pStyle w:val="normal0"/>
              <w:spacing w:line="276" w:lineRule="auto"/>
              <w:cnfStyle w:val="000000000000"/>
              <w:rPr>
                <w:sz w:val="22"/>
                <w:szCs w:val="22"/>
              </w:rPr>
            </w:pPr>
            <w:r>
              <w:rPr>
                <w:sz w:val="22"/>
                <w:szCs w:val="22"/>
              </w:rPr>
              <w:t>Sukuk dominate SDG financing; waqf schemes under-researched</w:t>
            </w:r>
          </w:p>
        </w:tc>
        <w:tc>
          <w:tcPr>
            <w:tcW w:w="2642" w:type="dxa"/>
          </w:tcPr>
          <w:p w:rsidR="00475E9D" w:rsidRDefault="008914FF">
            <w:pPr>
              <w:pStyle w:val="normal0"/>
              <w:spacing w:line="276" w:lineRule="auto"/>
              <w:cnfStyle w:val="000000000000"/>
              <w:rPr>
                <w:sz w:val="22"/>
                <w:szCs w:val="22"/>
              </w:rPr>
            </w:pPr>
            <w:r>
              <w:rPr>
                <w:sz w:val="22"/>
                <w:szCs w:val="22"/>
              </w:rPr>
              <w:t>Empirical studies on waqf risk mitigation and capital mobilization</w:t>
            </w:r>
          </w:p>
        </w:tc>
      </w:tr>
      <w:tr w:rsidR="00475E9D" w:rsidTr="00475E9D">
        <w:trPr>
          <w:cnfStyle w:val="000000100000"/>
        </w:trPr>
        <w:tc>
          <w:tcPr>
            <w:cnfStyle w:val="001000000000"/>
            <w:tcW w:w="1555" w:type="dxa"/>
          </w:tcPr>
          <w:p w:rsidR="00475E9D" w:rsidRDefault="008914FF">
            <w:pPr>
              <w:pStyle w:val="normal0"/>
              <w:spacing w:line="276" w:lineRule="auto"/>
              <w:rPr>
                <w:sz w:val="22"/>
                <w:szCs w:val="22"/>
              </w:rPr>
            </w:pPr>
            <w:r>
              <w:rPr>
                <w:sz w:val="22"/>
                <w:szCs w:val="22"/>
              </w:rPr>
              <w:t>Osman &amp; Agyemang (2020)</w:t>
            </w:r>
          </w:p>
        </w:tc>
        <w:tc>
          <w:tcPr>
            <w:tcW w:w="1944" w:type="dxa"/>
          </w:tcPr>
          <w:p w:rsidR="00475E9D" w:rsidRDefault="008914FF">
            <w:pPr>
              <w:pStyle w:val="normal0"/>
              <w:spacing w:line="276" w:lineRule="auto"/>
              <w:cnfStyle w:val="000000100000"/>
              <w:rPr>
                <w:sz w:val="22"/>
                <w:szCs w:val="22"/>
              </w:rPr>
            </w:pPr>
            <w:r>
              <w:rPr>
                <w:sz w:val="22"/>
                <w:szCs w:val="22"/>
              </w:rPr>
              <w:t>Downward accountability in waqf management</w:t>
            </w:r>
          </w:p>
        </w:tc>
        <w:tc>
          <w:tcPr>
            <w:tcW w:w="3210" w:type="dxa"/>
          </w:tcPr>
          <w:p w:rsidR="00475E9D" w:rsidRDefault="008914FF">
            <w:pPr>
              <w:pStyle w:val="normal0"/>
              <w:spacing w:line="276" w:lineRule="auto"/>
              <w:cnfStyle w:val="000000100000"/>
              <w:rPr>
                <w:sz w:val="22"/>
                <w:szCs w:val="22"/>
              </w:rPr>
            </w:pPr>
            <w:r>
              <w:rPr>
                <w:sz w:val="22"/>
                <w:szCs w:val="22"/>
              </w:rPr>
              <w:t xml:space="preserve">Beneficiary engagement enhances </w:t>
            </w:r>
            <w:r>
              <w:rPr>
                <w:sz w:val="22"/>
                <w:szCs w:val="22"/>
              </w:rPr>
              <w:t>social impact</w:t>
            </w:r>
          </w:p>
        </w:tc>
        <w:tc>
          <w:tcPr>
            <w:tcW w:w="2642" w:type="dxa"/>
          </w:tcPr>
          <w:p w:rsidR="00475E9D" w:rsidRDefault="008914FF">
            <w:pPr>
              <w:pStyle w:val="normal0"/>
              <w:spacing w:line="276" w:lineRule="auto"/>
              <w:cnfStyle w:val="000000100000"/>
              <w:rPr>
                <w:sz w:val="22"/>
                <w:szCs w:val="22"/>
              </w:rPr>
            </w:pPr>
            <w:r>
              <w:rPr>
                <w:sz w:val="22"/>
                <w:szCs w:val="22"/>
              </w:rPr>
              <w:t>Quantitative validation of accountability mechanisms</w:t>
            </w:r>
          </w:p>
        </w:tc>
      </w:tr>
      <w:tr w:rsidR="00475E9D" w:rsidTr="00475E9D">
        <w:tc>
          <w:tcPr>
            <w:cnfStyle w:val="001000000000"/>
            <w:tcW w:w="1555" w:type="dxa"/>
          </w:tcPr>
          <w:p w:rsidR="00475E9D" w:rsidRDefault="008914FF">
            <w:pPr>
              <w:pStyle w:val="normal0"/>
              <w:spacing w:line="276" w:lineRule="auto"/>
              <w:rPr>
                <w:sz w:val="22"/>
                <w:szCs w:val="22"/>
              </w:rPr>
            </w:pPr>
            <w:r>
              <w:rPr>
                <w:sz w:val="22"/>
                <w:szCs w:val="22"/>
              </w:rPr>
              <w:t>Usman &amp; Ab Rahman (2021)</w:t>
            </w:r>
          </w:p>
        </w:tc>
        <w:tc>
          <w:tcPr>
            <w:tcW w:w="1944" w:type="dxa"/>
          </w:tcPr>
          <w:p w:rsidR="00475E9D" w:rsidRDefault="008914FF">
            <w:pPr>
              <w:pStyle w:val="normal0"/>
              <w:spacing w:line="276" w:lineRule="auto"/>
              <w:cnfStyle w:val="000000000000"/>
              <w:rPr>
                <w:sz w:val="22"/>
                <w:szCs w:val="22"/>
              </w:rPr>
            </w:pPr>
            <w:r>
              <w:rPr>
                <w:sz w:val="22"/>
                <w:szCs w:val="22"/>
              </w:rPr>
              <w:t>Waqf for higher education funding</w:t>
            </w:r>
          </w:p>
        </w:tc>
        <w:tc>
          <w:tcPr>
            <w:tcW w:w="3210" w:type="dxa"/>
          </w:tcPr>
          <w:p w:rsidR="00475E9D" w:rsidRDefault="008914FF">
            <w:pPr>
              <w:pStyle w:val="normal0"/>
              <w:spacing w:line="276" w:lineRule="auto"/>
              <w:cnfStyle w:val="000000000000"/>
              <w:rPr>
                <w:sz w:val="22"/>
                <w:szCs w:val="22"/>
              </w:rPr>
            </w:pPr>
            <w:r>
              <w:rPr>
                <w:sz w:val="22"/>
                <w:szCs w:val="22"/>
              </w:rPr>
              <w:t>Clear governance enables sustainable tertiary funding</w:t>
            </w:r>
          </w:p>
        </w:tc>
        <w:tc>
          <w:tcPr>
            <w:tcW w:w="2642" w:type="dxa"/>
          </w:tcPr>
          <w:p w:rsidR="00475E9D" w:rsidRDefault="008914FF">
            <w:pPr>
              <w:pStyle w:val="normal0"/>
              <w:spacing w:line="276" w:lineRule="auto"/>
              <w:cnfStyle w:val="000000000000"/>
              <w:rPr>
                <w:sz w:val="22"/>
                <w:szCs w:val="22"/>
              </w:rPr>
            </w:pPr>
            <w:r>
              <w:rPr>
                <w:sz w:val="22"/>
                <w:szCs w:val="22"/>
              </w:rPr>
              <w:t>Scalability beyond pilot programs</w:t>
            </w:r>
          </w:p>
        </w:tc>
      </w:tr>
      <w:tr w:rsidR="00475E9D" w:rsidTr="00475E9D">
        <w:trPr>
          <w:cnfStyle w:val="000000100000"/>
        </w:trPr>
        <w:tc>
          <w:tcPr>
            <w:cnfStyle w:val="001000000000"/>
            <w:tcW w:w="1555" w:type="dxa"/>
          </w:tcPr>
          <w:p w:rsidR="00475E9D" w:rsidRDefault="008914FF">
            <w:pPr>
              <w:pStyle w:val="normal0"/>
              <w:spacing w:line="276" w:lineRule="auto"/>
              <w:rPr>
                <w:sz w:val="22"/>
                <w:szCs w:val="22"/>
              </w:rPr>
            </w:pPr>
            <w:r>
              <w:rPr>
                <w:sz w:val="22"/>
                <w:szCs w:val="22"/>
              </w:rPr>
              <w:t>Yasmin, Haniffa, &amp; Hudaib (2014)</w:t>
            </w:r>
          </w:p>
        </w:tc>
        <w:tc>
          <w:tcPr>
            <w:tcW w:w="1944" w:type="dxa"/>
          </w:tcPr>
          <w:p w:rsidR="00475E9D" w:rsidRDefault="008914FF">
            <w:pPr>
              <w:pStyle w:val="normal0"/>
              <w:spacing w:line="276" w:lineRule="auto"/>
              <w:cnfStyle w:val="000000100000"/>
              <w:rPr>
                <w:sz w:val="22"/>
                <w:szCs w:val="22"/>
              </w:rPr>
            </w:pPr>
            <w:r>
              <w:rPr>
                <w:sz w:val="22"/>
                <w:szCs w:val="22"/>
              </w:rPr>
              <w:t>Accountability in faith-based charities</w:t>
            </w:r>
          </w:p>
        </w:tc>
        <w:tc>
          <w:tcPr>
            <w:tcW w:w="3210" w:type="dxa"/>
          </w:tcPr>
          <w:p w:rsidR="00475E9D" w:rsidRDefault="008914FF">
            <w:pPr>
              <w:pStyle w:val="normal0"/>
              <w:spacing w:line="276" w:lineRule="auto"/>
              <w:cnfStyle w:val="000000100000"/>
              <w:rPr>
                <w:sz w:val="22"/>
                <w:szCs w:val="22"/>
              </w:rPr>
            </w:pPr>
            <w:r>
              <w:rPr>
                <w:sz w:val="22"/>
                <w:szCs w:val="22"/>
              </w:rPr>
              <w:t>Transparent reporting strengthens donor confidence</w:t>
            </w:r>
          </w:p>
        </w:tc>
        <w:tc>
          <w:tcPr>
            <w:tcW w:w="2642" w:type="dxa"/>
          </w:tcPr>
          <w:p w:rsidR="00475E9D" w:rsidRDefault="008914FF">
            <w:pPr>
              <w:pStyle w:val="normal0"/>
              <w:spacing w:line="276" w:lineRule="auto"/>
              <w:cnfStyle w:val="000000100000"/>
              <w:rPr>
                <w:sz w:val="22"/>
                <w:szCs w:val="22"/>
              </w:rPr>
            </w:pPr>
            <w:r>
              <w:rPr>
                <w:sz w:val="22"/>
                <w:szCs w:val="22"/>
              </w:rPr>
              <w:t>Extension to waqf-based blended-finance structures</w:t>
            </w:r>
          </w:p>
        </w:tc>
      </w:tr>
    </w:tbl>
    <w:p w:rsidR="00475E9D" w:rsidRDefault="008914FF">
      <w:pPr>
        <w:pStyle w:val="normal0"/>
        <w:spacing w:line="276" w:lineRule="auto"/>
        <w:jc w:val="both"/>
        <w:rPr>
          <w:sz w:val="22"/>
          <w:szCs w:val="22"/>
        </w:rPr>
      </w:pPr>
      <w:r>
        <w:rPr>
          <w:sz w:val="22"/>
          <w:szCs w:val="22"/>
        </w:rPr>
        <w:t>Source: Compiled by author from various journal</w:t>
      </w:r>
    </w:p>
    <w:p w:rsidR="00475E9D" w:rsidRDefault="00475E9D">
      <w:pPr>
        <w:pStyle w:val="normal0"/>
        <w:spacing w:line="360" w:lineRule="auto"/>
        <w:jc w:val="both"/>
        <w:rPr>
          <w:color w:val="000000"/>
          <w:sz w:val="24"/>
          <w:szCs w:val="24"/>
        </w:rPr>
      </w:pPr>
    </w:p>
    <w:p w:rsidR="00475E9D" w:rsidRDefault="008914FF">
      <w:pPr>
        <w:pStyle w:val="normal0"/>
        <w:spacing w:line="360" w:lineRule="auto"/>
        <w:jc w:val="both"/>
        <w:rPr>
          <w:color w:val="000000"/>
          <w:sz w:val="24"/>
          <w:szCs w:val="24"/>
        </w:rPr>
      </w:pPr>
      <w:r>
        <w:rPr>
          <w:b/>
          <w:bCs/>
          <w:color w:val="000000"/>
          <w:sz w:val="24"/>
          <w:szCs w:val="24"/>
        </w:rPr>
        <w:t>2.5 Blended Finance and Religious Tourism</w:t>
      </w:r>
    </w:p>
    <w:p w:rsidR="00475E9D" w:rsidRDefault="008914FF">
      <w:pPr>
        <w:pStyle w:val="normal0"/>
        <w:spacing w:line="360" w:lineRule="auto"/>
        <w:ind w:firstLine="284"/>
        <w:jc w:val="both"/>
        <w:rPr>
          <w:color w:val="000000"/>
          <w:sz w:val="24"/>
          <w:szCs w:val="24"/>
        </w:rPr>
      </w:pPr>
      <w:r>
        <w:rPr>
          <w:color w:val="000000"/>
          <w:sz w:val="24"/>
          <w:szCs w:val="24"/>
        </w:rPr>
        <w:t xml:space="preserve">Religious tourism has </w:t>
      </w:r>
      <w:r>
        <w:rPr>
          <w:color w:val="000000"/>
          <w:sz w:val="24"/>
          <w:szCs w:val="24"/>
        </w:rPr>
        <w:t>emerged as a growing sector that can significantly benefit from blended finance schemes, particularly in the context of waqf. As an established form of charitable endowment in Islamic finance, waqf can provide sustainable funding for religious tourism init</w:t>
      </w:r>
      <w:r>
        <w:rPr>
          <w:color w:val="000000"/>
          <w:sz w:val="24"/>
          <w:szCs w:val="24"/>
        </w:rPr>
        <w:t>iatives, thereby enhancing cultural heritage, community development, and economic empowerment within local populations.</w:t>
      </w:r>
    </w:p>
    <w:p w:rsidR="00475E9D" w:rsidRDefault="008914FF">
      <w:pPr>
        <w:pStyle w:val="normal0"/>
        <w:spacing w:line="360" w:lineRule="auto"/>
        <w:ind w:firstLine="284"/>
        <w:jc w:val="both"/>
        <w:rPr>
          <w:color w:val="000000"/>
          <w:sz w:val="24"/>
          <w:szCs w:val="24"/>
        </w:rPr>
      </w:pPr>
      <w:r>
        <w:rPr>
          <w:color w:val="000000"/>
          <w:sz w:val="24"/>
          <w:szCs w:val="24"/>
        </w:rPr>
        <w:t>Blended finance combines public, private, and philanthropic funds to create financial models that can catalyze investments in projects d</w:t>
      </w:r>
      <w:r>
        <w:rPr>
          <w:color w:val="000000"/>
          <w:sz w:val="24"/>
          <w:szCs w:val="24"/>
        </w:rPr>
        <w:t>eemed too risky or unprofitable by traditional financing methods (Wanta et al., 2022). In the realm of religious tourism, these blended financing models can fund infrastructure development, such as the construction of hospitality services, transport facili</w:t>
      </w:r>
      <w:r>
        <w:rPr>
          <w:color w:val="000000"/>
          <w:sz w:val="24"/>
          <w:szCs w:val="24"/>
        </w:rPr>
        <w:t>ties, and heritage site restorations, which are crucial for accommodating and attracting tourists.</w:t>
      </w:r>
    </w:p>
    <w:p w:rsidR="00475E9D" w:rsidRDefault="008914FF">
      <w:pPr>
        <w:pStyle w:val="normal0"/>
        <w:spacing w:line="360" w:lineRule="auto"/>
        <w:ind w:firstLine="284"/>
        <w:jc w:val="both"/>
        <w:rPr>
          <w:color w:val="000000"/>
          <w:sz w:val="24"/>
          <w:szCs w:val="24"/>
        </w:rPr>
      </w:pPr>
      <w:r>
        <w:rPr>
          <w:color w:val="000000"/>
          <w:sz w:val="24"/>
          <w:szCs w:val="24"/>
        </w:rPr>
        <w:t>Religious tourism, particularly in Islamic contexts, often revolves around pilgrimage sites such as Mecca, Medina, or various historical mosques worldwide. P</w:t>
      </w:r>
      <w:r>
        <w:rPr>
          <w:color w:val="000000"/>
          <w:sz w:val="24"/>
          <w:szCs w:val="24"/>
        </w:rPr>
        <w:t xml:space="preserve">artnerships between Islamic financial institutions and government entities can facilitate the utilization of waqf assets to promote tourism-related projects that not only preserve cultural heritage but also provide </w:t>
      </w:r>
      <w:r>
        <w:rPr>
          <w:color w:val="000000"/>
          <w:sz w:val="24"/>
          <w:szCs w:val="24"/>
        </w:rPr>
        <w:lastRenderedPageBreak/>
        <w:t>economic upliftment to surrounding commun</w:t>
      </w:r>
      <w:r>
        <w:rPr>
          <w:color w:val="000000"/>
          <w:sz w:val="24"/>
          <w:szCs w:val="24"/>
        </w:rPr>
        <w:t>ities (Rusydiana &amp; Izza, 2023). By channeling funds from cash waqf into these initiatives through mechanisms like Cash Waqf Linked Sukuk (CWLS), the blend of social and commercial finance can enhance both the tourism experience and local economic sustainab</w:t>
      </w:r>
      <w:r>
        <w:rPr>
          <w:color w:val="000000"/>
          <w:sz w:val="24"/>
          <w:szCs w:val="24"/>
        </w:rPr>
        <w:t>ility (Rusydiana &amp; Izza, 2023).</w:t>
      </w:r>
    </w:p>
    <w:p w:rsidR="00475E9D" w:rsidRDefault="00475E9D">
      <w:pPr>
        <w:pStyle w:val="normal0"/>
        <w:spacing w:line="360" w:lineRule="auto"/>
        <w:ind w:firstLine="284"/>
        <w:jc w:val="both"/>
        <w:rPr>
          <w:color w:val="000000"/>
          <w:sz w:val="24"/>
          <w:szCs w:val="24"/>
        </w:rPr>
      </w:pPr>
    </w:p>
    <w:p w:rsidR="00475E9D" w:rsidRDefault="008914FF">
      <w:pPr>
        <w:pStyle w:val="normal0"/>
        <w:spacing w:line="360" w:lineRule="auto"/>
        <w:jc w:val="both"/>
        <w:rPr>
          <w:b/>
          <w:bCs/>
          <w:color w:val="000000"/>
          <w:sz w:val="24"/>
          <w:szCs w:val="24"/>
        </w:rPr>
      </w:pPr>
      <w:r>
        <w:rPr>
          <w:b/>
          <w:bCs/>
          <w:color w:val="000000"/>
          <w:sz w:val="24"/>
          <w:szCs w:val="24"/>
        </w:rPr>
        <w:t>2.6 The Role of Waqf in Sustainable Religious Tourism</w:t>
      </w:r>
    </w:p>
    <w:p w:rsidR="00475E9D" w:rsidRDefault="008914FF">
      <w:pPr>
        <w:pStyle w:val="normal0"/>
        <w:spacing w:line="360" w:lineRule="auto"/>
        <w:jc w:val="both"/>
        <w:rPr>
          <w:color w:val="000000"/>
          <w:sz w:val="24"/>
          <w:szCs w:val="24"/>
        </w:rPr>
      </w:pPr>
      <w:r>
        <w:rPr>
          <w:color w:val="000000"/>
          <w:sz w:val="24"/>
          <w:szCs w:val="24"/>
        </w:rPr>
        <w:t>Waqf, with its roots in philanthropy, can play a pivotal role in financing religious tourism-related projects. Funds generated from waqf can be directed towards the maintenance and restoration of religious sites, ensuring their accessibility and preservati</w:t>
      </w:r>
      <w:r>
        <w:rPr>
          <w:color w:val="000000"/>
          <w:sz w:val="24"/>
          <w:szCs w:val="24"/>
        </w:rPr>
        <w:t>on for future generations. Furthermore, by funding educational programs, cultural exhibitions, and religious workshops, waqf can enhance the spiritual and cultural experience for tourists (As-Salafiyah &amp; Rusydiana, 2022). Moreover, the unique characteristi</w:t>
      </w:r>
      <w:r>
        <w:rPr>
          <w:color w:val="000000"/>
          <w:sz w:val="24"/>
          <w:szCs w:val="24"/>
        </w:rPr>
        <w:t>c of waqf being a perpetual source of income means that investments made in religious tourism facilities can generate ongoing revenues that fund further community projects, thus ensuring a continuous cycle of economic and social development (Cahyono, 2020)</w:t>
      </w:r>
      <w:r>
        <w:rPr>
          <w:color w:val="000000"/>
          <w:sz w:val="24"/>
          <w:szCs w:val="24"/>
        </w:rPr>
        <w:t>. For instance, money generated from waqf assets could finance the establishment of training programs for local artisans and hospitality staff, enhancing service quality in religious tourism venues while generating local employment.</w:t>
      </w:r>
    </w:p>
    <w:p w:rsidR="00475E9D" w:rsidRDefault="00475E9D">
      <w:pPr>
        <w:pStyle w:val="normal0"/>
        <w:spacing w:line="360" w:lineRule="auto"/>
        <w:jc w:val="both"/>
        <w:rPr>
          <w:color w:val="000000"/>
          <w:sz w:val="24"/>
          <w:szCs w:val="24"/>
        </w:rPr>
      </w:pPr>
    </w:p>
    <w:p w:rsidR="00475E9D" w:rsidRDefault="008914FF">
      <w:pPr>
        <w:pStyle w:val="normal0"/>
        <w:spacing w:line="360" w:lineRule="auto"/>
        <w:jc w:val="both"/>
        <w:rPr>
          <w:b/>
          <w:bCs/>
          <w:color w:val="000000"/>
          <w:sz w:val="24"/>
          <w:szCs w:val="24"/>
        </w:rPr>
      </w:pPr>
      <w:r>
        <w:rPr>
          <w:b/>
          <w:bCs/>
          <w:color w:val="000000"/>
          <w:sz w:val="24"/>
          <w:szCs w:val="24"/>
        </w:rPr>
        <w:t>3. Research Methodology</w:t>
      </w:r>
    </w:p>
    <w:p w:rsidR="00475E9D" w:rsidRDefault="008914FF">
      <w:pPr>
        <w:pStyle w:val="normal0"/>
        <w:spacing w:line="360" w:lineRule="auto"/>
        <w:ind w:firstLine="284"/>
        <w:jc w:val="both"/>
        <w:rPr>
          <w:color w:val="000000"/>
          <w:sz w:val="24"/>
          <w:szCs w:val="24"/>
        </w:rPr>
      </w:pPr>
      <w:r>
        <w:rPr>
          <w:color w:val="000000"/>
          <w:sz w:val="24"/>
          <w:szCs w:val="24"/>
        </w:rPr>
        <w:t>This research employs a pragmatic mixed-methods approach, integrating both quantitative assessments and qualitative analysis to evaluate governance maturity in waqf institutions. This comprehensive approach was chosen to provide dee</w:t>
      </w:r>
      <w:r>
        <w:rPr>
          <w:color w:val="000000"/>
          <w:sz w:val="24"/>
          <w:szCs w:val="24"/>
        </w:rPr>
        <w:t>per insights and practical implications for designing an effective blended-finance framework, aligning with methodological recommendations by Onwuegbuzie, Forzani, and Corrigan (2023).</w:t>
      </w:r>
    </w:p>
    <w:p w:rsidR="00475E9D" w:rsidRDefault="00475E9D">
      <w:pPr>
        <w:pStyle w:val="normal0"/>
        <w:spacing w:line="360" w:lineRule="auto"/>
        <w:ind w:firstLine="284"/>
        <w:jc w:val="both"/>
        <w:rPr>
          <w:color w:val="000000"/>
          <w:sz w:val="24"/>
          <w:szCs w:val="24"/>
        </w:rPr>
      </w:pPr>
    </w:p>
    <w:p w:rsidR="00475E9D" w:rsidRDefault="008914FF">
      <w:pPr>
        <w:pStyle w:val="normal0"/>
        <w:spacing w:line="360" w:lineRule="auto"/>
        <w:jc w:val="both"/>
        <w:rPr>
          <w:b/>
          <w:bCs/>
          <w:color w:val="000000"/>
          <w:sz w:val="24"/>
          <w:szCs w:val="24"/>
        </w:rPr>
      </w:pPr>
      <w:r>
        <w:rPr>
          <w:b/>
          <w:bCs/>
          <w:color w:val="000000"/>
          <w:sz w:val="24"/>
          <w:szCs w:val="24"/>
        </w:rPr>
        <w:t>3.1 Data Source and Sample</w:t>
      </w:r>
    </w:p>
    <w:p w:rsidR="00475E9D" w:rsidRDefault="008914FF">
      <w:pPr>
        <w:pStyle w:val="normal0"/>
        <w:spacing w:line="360" w:lineRule="auto"/>
        <w:ind w:firstLine="284"/>
        <w:jc w:val="both"/>
        <w:rPr>
          <w:color w:val="000000"/>
          <w:sz w:val="24"/>
          <w:szCs w:val="24"/>
        </w:rPr>
      </w:pPr>
      <w:r>
        <w:rPr>
          <w:color w:val="000000"/>
          <w:sz w:val="24"/>
          <w:szCs w:val="24"/>
        </w:rPr>
        <w:t>Three distinct but interrelated data collec</w:t>
      </w:r>
      <w:r>
        <w:rPr>
          <w:color w:val="000000"/>
          <w:sz w:val="24"/>
          <w:szCs w:val="24"/>
        </w:rPr>
        <w:t>tion methods were used in this study: First, a detailed document review was conducted, focusing primarily on annual reports and internal governance documents from three prominent Indonesian nazhir institutions: Lembaga Tabung Wakaf Indonesia (TWI), Pos Kea</w:t>
      </w:r>
      <w:r>
        <w:rPr>
          <w:color w:val="000000"/>
          <w:sz w:val="24"/>
          <w:szCs w:val="24"/>
        </w:rPr>
        <w:t>dilan Peduli Umat (PKPU), and Baitul Mal Muamalat (BMM). This review aimed to provide foundational information on existing governance policies, internal processes, and institutional transparency.</w:t>
      </w:r>
    </w:p>
    <w:p w:rsidR="00475E9D" w:rsidRDefault="008914FF">
      <w:pPr>
        <w:pStyle w:val="normal0"/>
        <w:spacing w:line="360" w:lineRule="auto"/>
        <w:ind w:firstLine="284"/>
        <w:jc w:val="both"/>
        <w:rPr>
          <w:color w:val="000000"/>
          <w:sz w:val="24"/>
          <w:szCs w:val="24"/>
        </w:rPr>
      </w:pPr>
      <w:r>
        <w:rPr>
          <w:color w:val="000000"/>
          <w:sz w:val="24"/>
          <w:szCs w:val="24"/>
        </w:rPr>
        <w:t xml:space="preserve">Second, semi-structured stakeholder interviews were carried </w:t>
      </w:r>
      <w:r>
        <w:rPr>
          <w:color w:val="000000"/>
          <w:sz w:val="24"/>
          <w:szCs w:val="24"/>
        </w:rPr>
        <w:t xml:space="preserve">out involving senior-level officials from relevant institutions. Specifically, interviews were conducted with 12 senior executives from the Hajj Fund Management Agency (BPKH) and 15 management-level </w:t>
      </w:r>
      <w:r>
        <w:rPr>
          <w:color w:val="000000"/>
          <w:sz w:val="24"/>
          <w:szCs w:val="24"/>
        </w:rPr>
        <w:lastRenderedPageBreak/>
        <w:t>representatives from TWI, PKPU, and BMM. Complementing th</w:t>
      </w:r>
      <w:r>
        <w:rPr>
          <w:color w:val="000000"/>
          <w:sz w:val="24"/>
          <w:szCs w:val="24"/>
        </w:rPr>
        <w:t>ese interviews, two separate focus-group discussions were conducted with selected community beneficiaries. These qualitative interactions focused on exploring current governance practices, identifying perceived strengths and weaknesses, and understanding s</w:t>
      </w:r>
      <w:r>
        <w:rPr>
          <w:color w:val="000000"/>
          <w:sz w:val="24"/>
          <w:szCs w:val="24"/>
        </w:rPr>
        <w:t>takeholder perspectives on opportunities and barriers to blending waqf resources with broader public and private capital initiatives.</w:t>
      </w:r>
    </w:p>
    <w:p w:rsidR="00475E9D" w:rsidRDefault="008914FF">
      <w:pPr>
        <w:pStyle w:val="normal0"/>
        <w:spacing w:line="360" w:lineRule="auto"/>
        <w:ind w:firstLine="284"/>
        <w:jc w:val="both"/>
        <w:rPr>
          <w:color w:val="000000"/>
          <w:sz w:val="24"/>
          <w:szCs w:val="24"/>
        </w:rPr>
      </w:pPr>
      <w:r>
        <w:rPr>
          <w:color w:val="000000"/>
          <w:sz w:val="24"/>
          <w:szCs w:val="24"/>
        </w:rPr>
        <w:t>Third, a structured governance assessment was conducted using a customized questionnaire designed around the Good Nazir Go</w:t>
      </w:r>
      <w:r>
        <w:rPr>
          <w:color w:val="000000"/>
          <w:sz w:val="24"/>
          <w:szCs w:val="24"/>
        </w:rPr>
        <w:t>vernance (GNG) framework. The questionnaire encompassed four critical governance dimensions: accountability, transparency, risk management, and human resource capacity. Respondents were asked to rate their institutions' performance on a 5-point Likert scal</w:t>
      </w:r>
      <w:r>
        <w:rPr>
          <w:color w:val="000000"/>
          <w:sz w:val="24"/>
          <w:szCs w:val="24"/>
        </w:rPr>
        <w:t>e, facilitating quantitative comparisons and providing clarity regarding institutional governance maturity.</w:t>
      </w:r>
    </w:p>
    <w:p w:rsidR="00475E9D" w:rsidRDefault="008914FF">
      <w:pPr>
        <w:pStyle w:val="normal0"/>
        <w:spacing w:line="360" w:lineRule="auto"/>
        <w:ind w:firstLine="284"/>
        <w:jc w:val="both"/>
        <w:rPr>
          <w:color w:val="000000"/>
          <w:sz w:val="24"/>
          <w:szCs w:val="24"/>
        </w:rPr>
      </w:pPr>
      <w:r>
        <w:rPr>
          <w:color w:val="000000"/>
          <w:sz w:val="24"/>
          <w:szCs w:val="24"/>
        </w:rPr>
        <w:t>By integrating these complementary methods, this study aims to achieve a robust understanding of current governance dynamics in waqf institutions an</w:t>
      </w:r>
      <w:r>
        <w:rPr>
          <w:color w:val="000000"/>
          <w:sz w:val="24"/>
          <w:szCs w:val="24"/>
        </w:rPr>
        <w:t>d to develop a practical, scalable blended-finance model informed by empirical evidence and stakeholder experiences.</w:t>
      </w:r>
    </w:p>
    <w:p w:rsidR="00475E9D" w:rsidRDefault="00475E9D">
      <w:pPr>
        <w:pStyle w:val="normal0"/>
        <w:spacing w:line="360" w:lineRule="auto"/>
        <w:jc w:val="both"/>
        <w:rPr>
          <w:color w:val="000000"/>
          <w:sz w:val="24"/>
          <w:szCs w:val="24"/>
        </w:rPr>
      </w:pPr>
    </w:p>
    <w:p w:rsidR="00475E9D" w:rsidRDefault="008914FF">
      <w:pPr>
        <w:pStyle w:val="normal0"/>
        <w:spacing w:line="360" w:lineRule="auto"/>
        <w:jc w:val="both"/>
        <w:rPr>
          <w:b/>
          <w:bCs/>
          <w:color w:val="000000"/>
          <w:sz w:val="24"/>
          <w:szCs w:val="24"/>
        </w:rPr>
      </w:pPr>
      <w:r>
        <w:rPr>
          <w:b/>
          <w:bCs/>
          <w:color w:val="000000"/>
          <w:sz w:val="24"/>
          <w:szCs w:val="24"/>
        </w:rPr>
        <w:t>3.2 Model Development</w:t>
      </w:r>
    </w:p>
    <w:p w:rsidR="00475E9D" w:rsidRDefault="008914FF">
      <w:pPr>
        <w:pStyle w:val="normal0"/>
        <w:spacing w:line="360" w:lineRule="auto"/>
        <w:ind w:firstLine="284"/>
        <w:jc w:val="both"/>
        <w:rPr>
          <w:color w:val="000000"/>
          <w:sz w:val="24"/>
          <w:szCs w:val="24"/>
        </w:rPr>
      </w:pPr>
      <w:r>
        <w:rPr>
          <w:color w:val="000000"/>
          <w:sz w:val="24"/>
          <w:szCs w:val="24"/>
        </w:rPr>
        <w:t>The research adopted a comprehensive two-stage approach for model development and quantitative analysis. In the firs</w:t>
      </w:r>
      <w:r>
        <w:rPr>
          <w:color w:val="000000"/>
          <w:sz w:val="24"/>
          <w:szCs w:val="24"/>
        </w:rPr>
        <w:t>t stage, the integrated funding model was initially developed using a scoping review methodology adapted from Qadri (2019). This method predominantly involved a rigorous analysis of secondary data, including Quranic verses, Hadiths, existing waqf regulatio</w:t>
      </w:r>
      <w:r>
        <w:rPr>
          <w:color w:val="000000"/>
          <w:sz w:val="24"/>
          <w:szCs w:val="24"/>
        </w:rPr>
        <w:t>ns, scholarly articles from reputable international journals, national strategic project documentation, and other pertinent resources.</w:t>
      </w:r>
    </w:p>
    <w:p w:rsidR="00475E9D" w:rsidRDefault="00475E9D">
      <w:pPr>
        <w:pStyle w:val="normal0"/>
        <w:spacing w:line="360" w:lineRule="auto"/>
        <w:ind w:firstLine="284"/>
        <w:jc w:val="both"/>
        <w:rPr>
          <w:color w:val="000000"/>
          <w:sz w:val="24"/>
          <w:szCs w:val="24"/>
        </w:rPr>
      </w:pPr>
    </w:p>
    <w:p w:rsidR="00475E9D" w:rsidRDefault="008914FF">
      <w:pPr>
        <w:pStyle w:val="normal0"/>
        <w:spacing w:line="360" w:lineRule="auto"/>
        <w:jc w:val="both"/>
        <w:rPr>
          <w:b/>
          <w:bCs/>
          <w:color w:val="000000"/>
          <w:sz w:val="24"/>
          <w:szCs w:val="24"/>
        </w:rPr>
      </w:pPr>
      <w:r>
        <w:rPr>
          <w:b/>
          <w:bCs/>
          <w:color w:val="000000"/>
          <w:sz w:val="24"/>
          <w:szCs w:val="24"/>
        </w:rPr>
        <w:t>3.3 Quantitative Analysis</w:t>
      </w:r>
    </w:p>
    <w:p w:rsidR="00475E9D" w:rsidRDefault="008914FF">
      <w:pPr>
        <w:pStyle w:val="normal0"/>
        <w:spacing w:line="360" w:lineRule="auto"/>
        <w:ind w:firstLine="284"/>
        <w:jc w:val="both"/>
        <w:rPr>
          <w:color w:val="000000"/>
          <w:sz w:val="24"/>
          <w:szCs w:val="24"/>
        </w:rPr>
      </w:pPr>
      <w:r>
        <w:rPr>
          <w:color w:val="000000"/>
          <w:sz w:val="24"/>
          <w:szCs w:val="24"/>
        </w:rPr>
        <w:t>Prior to analysis, Quantitative analysis in this study centers on the evaluation of governance</w:t>
      </w:r>
      <w:r>
        <w:rPr>
          <w:color w:val="000000"/>
          <w:sz w:val="24"/>
          <w:szCs w:val="24"/>
        </w:rPr>
        <w:t xml:space="preserve"> compliance using the Good Nazir Governance (GNG) Index. The development and weighting of this index follow the Analytic Hierarchy Process (AHP), a recognized method for multi-criteria decision-making in institutional performance assessments (Saaty, 2008; </w:t>
      </w:r>
      <w:r>
        <w:rPr>
          <w:color w:val="000000"/>
          <w:sz w:val="24"/>
          <w:szCs w:val="24"/>
        </w:rPr>
        <w:t>Mardani, Jusoh, &amp; Zavadskas, 2015). The GNG Index integrates key governance dimensions: Transparency (24%), Accountability (29%), Responsibility (13%), Independence (12%), and Fairness (22%). Each of these dimensions is composed of several weighted indicat</w:t>
      </w:r>
      <w:r>
        <w:rPr>
          <w:color w:val="000000"/>
          <w:sz w:val="24"/>
          <w:szCs w:val="24"/>
        </w:rPr>
        <w:t>ors, which are systematically aggregated to produce a single composite compliance score according to the formula:</w:t>
      </w:r>
    </w:p>
    <w:p w:rsidR="00475E9D" w:rsidRDefault="00475E9D">
      <w:pPr>
        <w:pStyle w:val="normal0"/>
        <w:spacing w:line="360" w:lineRule="auto"/>
        <w:ind w:firstLine="284"/>
        <w:jc w:val="both"/>
        <w:rPr>
          <w:color w:val="000000"/>
          <w:sz w:val="24"/>
          <w:szCs w:val="24"/>
        </w:rPr>
      </w:pPr>
    </w:p>
    <w:p w:rsidR="00475E9D" w:rsidRDefault="008914FF">
      <w:pPr>
        <w:pStyle w:val="normal0"/>
        <w:spacing w:line="360" w:lineRule="auto"/>
        <w:ind w:firstLine="567"/>
        <w:jc w:val="both"/>
        <w:rPr>
          <w:color w:val="000000"/>
          <w:sz w:val="24"/>
          <w:szCs w:val="24"/>
        </w:rPr>
      </w:pPr>
      <w:r>
        <w:rPr>
          <w:color w:val="000000"/>
          <w:sz w:val="24"/>
          <w:szCs w:val="24"/>
        </w:rPr>
        <w:tab/>
      </w:r>
      <m:oMath>
        <m:r>
          <w:rPr>
            <w:rFonts w:ascii="Cambria Math" w:eastAsia="Cambria Math" w:hAnsi="Cambria Math" w:cs="Cambria Math"/>
            <w:color w:val="000000"/>
            <w:sz w:val="24"/>
            <w:szCs w:val="24"/>
          </w:rPr>
          <m:t>GNG</m:t>
        </m:r>
        <m:r>
          <w:rPr>
            <w:rFonts w:ascii="Cambria Math" w:eastAsia="Cambria Math" w:hAnsi="Cambria Math" w:cs="Cambria Math"/>
            <w:color w:val="000000"/>
            <w:sz w:val="24"/>
            <w:szCs w:val="24"/>
          </w:rPr>
          <m:t xml:space="preserve"> </m:t>
        </m:r>
        <m:r>
          <w:rPr>
            <w:rFonts w:ascii="Cambria Math" w:eastAsia="Cambria Math" w:hAnsi="Cambria Math" w:cs="Cambria Math"/>
            <w:color w:val="000000"/>
            <w:sz w:val="24"/>
            <w:szCs w:val="24"/>
          </w:rPr>
          <m:t>Index</m:t>
        </m:r>
        <m:r>
          <w:rPr>
            <w:rFonts w:ascii="Cambria Math" w:eastAsia="Cambria Math" w:hAnsi="Cambria Math" w:cs="Cambria Math"/>
            <w:color w:val="000000"/>
            <w:sz w:val="24"/>
            <w:szCs w:val="24"/>
          </w:rPr>
          <m:t>=0.24</m:t>
        </m:r>
        <m:r>
          <w:rPr>
            <w:rFonts w:ascii="Cambria Math" w:eastAsia="Cambria Math" w:hAnsi="Cambria Math" w:cs="Cambria Math"/>
            <w:color w:val="000000"/>
            <w:sz w:val="24"/>
            <w:szCs w:val="24"/>
          </w:rPr>
          <m:t>T</m:t>
        </m:r>
        <m:r>
          <w:rPr>
            <w:rFonts w:ascii="Cambria Math" w:eastAsia="Cambria Math" w:hAnsi="Cambria Math" w:cs="Cambria Math"/>
            <w:color w:val="000000"/>
            <w:sz w:val="24"/>
            <w:szCs w:val="24"/>
          </w:rPr>
          <m:t>+0.29</m:t>
        </m:r>
        <m:r>
          <w:rPr>
            <w:rFonts w:ascii="Cambria Math" w:eastAsia="Cambria Math" w:hAnsi="Cambria Math" w:cs="Cambria Math"/>
            <w:color w:val="000000"/>
            <w:sz w:val="24"/>
            <w:szCs w:val="24"/>
          </w:rPr>
          <m:t>A</m:t>
        </m:r>
        <m:r>
          <w:rPr>
            <w:rFonts w:ascii="Cambria Math" w:eastAsia="Cambria Math" w:hAnsi="Cambria Math" w:cs="Cambria Math"/>
            <w:color w:val="000000"/>
            <w:sz w:val="24"/>
            <w:szCs w:val="24"/>
          </w:rPr>
          <m:t>+0.13</m:t>
        </m:r>
        <m:r>
          <w:rPr>
            <w:rFonts w:ascii="Cambria Math" w:eastAsia="Cambria Math" w:hAnsi="Cambria Math" w:cs="Cambria Math"/>
            <w:color w:val="000000"/>
            <w:sz w:val="24"/>
            <w:szCs w:val="24"/>
          </w:rPr>
          <m:t>R</m:t>
        </m:r>
        <m:r>
          <w:rPr>
            <w:rFonts w:ascii="Cambria Math" w:eastAsia="Cambria Math" w:hAnsi="Cambria Math" w:cs="Cambria Math"/>
            <w:color w:val="000000"/>
            <w:sz w:val="24"/>
            <w:szCs w:val="24"/>
          </w:rPr>
          <m:t>+0.12</m:t>
        </m:r>
        <m:r>
          <w:rPr>
            <w:rFonts w:ascii="Cambria Math" w:eastAsia="Cambria Math" w:hAnsi="Cambria Math" w:cs="Cambria Math"/>
            <w:color w:val="000000"/>
            <w:sz w:val="24"/>
            <w:szCs w:val="24"/>
          </w:rPr>
          <m:t>I</m:t>
        </m:r>
        <m:r>
          <w:rPr>
            <w:rFonts w:ascii="Cambria Math" w:eastAsia="Cambria Math" w:hAnsi="Cambria Math" w:cs="Cambria Math"/>
            <w:color w:val="000000"/>
            <w:sz w:val="24"/>
            <w:szCs w:val="24"/>
          </w:rPr>
          <m:t>+0.22</m:t>
        </m:r>
        <m:r>
          <w:rPr>
            <w:rFonts w:ascii="Cambria Math" w:eastAsia="Cambria Math" w:hAnsi="Cambria Math" w:cs="Cambria Math"/>
            <w:color w:val="000000"/>
            <w:sz w:val="24"/>
            <w:szCs w:val="24"/>
          </w:rPr>
          <m:t>F</m:t>
        </m:r>
      </m:oMath>
      <w:r>
        <w:rPr>
          <w:color w:val="000000"/>
          <w:sz w:val="24"/>
          <w:szCs w:val="24"/>
        </w:rPr>
        <w:t xml:space="preserve"> </w:t>
      </w:r>
      <w:r>
        <w:rPr>
          <w:color w:val="000000"/>
          <w:sz w:val="24"/>
          <w:szCs w:val="24"/>
        </w:rPr>
        <w:tab/>
      </w:r>
      <w:r>
        <w:rPr>
          <w:color w:val="000000"/>
          <w:sz w:val="24"/>
          <w:szCs w:val="24"/>
        </w:rPr>
        <w:tab/>
      </w:r>
      <w:r>
        <w:rPr>
          <w:color w:val="000000"/>
          <w:sz w:val="24"/>
          <w:szCs w:val="24"/>
        </w:rPr>
        <w:tab/>
      </w:r>
      <w:r>
        <w:rPr>
          <w:color w:val="000000"/>
          <w:sz w:val="24"/>
          <w:szCs w:val="24"/>
        </w:rPr>
        <w:tab/>
        <w:t>(1)</w:t>
      </w:r>
    </w:p>
    <w:p w:rsidR="00475E9D" w:rsidRDefault="00475E9D">
      <w:pPr>
        <w:pStyle w:val="normal0"/>
        <w:spacing w:line="360" w:lineRule="auto"/>
        <w:ind w:firstLine="567"/>
        <w:jc w:val="both"/>
        <w:rPr>
          <w:color w:val="000000"/>
          <w:sz w:val="24"/>
          <w:szCs w:val="24"/>
        </w:rPr>
      </w:pPr>
    </w:p>
    <w:p w:rsidR="00475E9D" w:rsidRDefault="008914FF">
      <w:pPr>
        <w:pStyle w:val="normal0"/>
        <w:spacing w:line="360" w:lineRule="auto"/>
        <w:ind w:firstLine="284"/>
        <w:jc w:val="both"/>
        <w:rPr>
          <w:color w:val="000000"/>
          <w:sz w:val="24"/>
          <w:szCs w:val="24"/>
        </w:rPr>
      </w:pPr>
      <w:r>
        <w:rPr>
          <w:color w:val="000000"/>
          <w:sz w:val="24"/>
          <w:szCs w:val="24"/>
        </w:rPr>
        <w:lastRenderedPageBreak/>
        <w:t>where T, A, R, I, and F represent the scores for Transparency, Accountability,</w:t>
      </w:r>
      <w:r>
        <w:rPr>
          <w:color w:val="000000"/>
          <w:sz w:val="24"/>
          <w:szCs w:val="24"/>
        </w:rPr>
        <w:t xml:space="preserve"> Responsibility, Independence, and Fairness, respectively. Each dimension is further assessed through weighted sub-indicators. For instance, the Transparency score (T) is derived as:Each governance dimension score is calculated individually through weighte</w:t>
      </w:r>
      <w:r>
        <w:rPr>
          <w:color w:val="000000"/>
          <w:sz w:val="24"/>
          <w:szCs w:val="24"/>
        </w:rPr>
        <w:t>d indicators. For example, the transparency score (T) uses the formula:</w:t>
      </w:r>
    </w:p>
    <w:p w:rsidR="00475E9D" w:rsidRDefault="00475E9D">
      <w:pPr>
        <w:pStyle w:val="normal0"/>
        <w:spacing w:line="360" w:lineRule="auto"/>
        <w:ind w:firstLine="284"/>
        <w:jc w:val="both"/>
        <w:rPr>
          <w:color w:val="000000"/>
          <w:sz w:val="24"/>
          <w:szCs w:val="24"/>
        </w:rPr>
      </w:pPr>
    </w:p>
    <w:p w:rsidR="00475E9D" w:rsidRDefault="008914FF">
      <w:pPr>
        <w:pStyle w:val="normal0"/>
        <w:spacing w:line="360" w:lineRule="auto"/>
        <w:ind w:firstLine="567"/>
        <w:jc w:val="both"/>
        <w:rPr>
          <w:color w:val="000000"/>
          <w:sz w:val="24"/>
          <w:szCs w:val="24"/>
        </w:rPr>
      </w:pPr>
      <w:r>
        <w:rPr>
          <w:color w:val="000000"/>
          <w:sz w:val="24"/>
          <w:szCs w:val="24"/>
        </w:rPr>
        <w:tab/>
      </w:r>
      <m:oMath>
        <m:r>
          <w:rPr>
            <w:rFonts w:ascii="Cambria Math" w:eastAsia="Cambria Math" w:hAnsi="Cambria Math" w:cs="Cambria Math"/>
            <w:color w:val="000000"/>
            <w:sz w:val="24"/>
            <w:szCs w:val="24"/>
          </w:rPr>
          <m:t>T</m:t>
        </m:r>
        <m:r>
          <w:rPr>
            <w:rFonts w:ascii="Cambria Math" w:eastAsia="Cambria Math" w:hAnsi="Cambria Math" w:cs="Cambria Math"/>
            <w:color w:val="000000"/>
            <w:sz w:val="24"/>
            <w:szCs w:val="24"/>
          </w:rPr>
          <m:t>=0.14</m:t>
        </m:r>
        <m:r>
          <w:rPr>
            <w:rFonts w:ascii="Cambria Math" w:eastAsia="Cambria Math" w:hAnsi="Cambria Math" w:cs="Cambria Math"/>
            <w:color w:val="000000"/>
            <w:sz w:val="24"/>
            <w:szCs w:val="24"/>
          </w:rPr>
          <m:t>T</m:t>
        </m:r>
        <m:r>
          <w:rPr>
            <w:rFonts w:ascii="Cambria Math" w:eastAsia="Cambria Math" w:hAnsi="Cambria Math" w:cs="Cambria Math"/>
            <w:color w:val="000000"/>
            <w:sz w:val="24"/>
            <w:szCs w:val="24"/>
          </w:rPr>
          <m:t>1+0.25</m:t>
        </m:r>
        <m:r>
          <w:rPr>
            <w:rFonts w:ascii="Cambria Math" w:eastAsia="Cambria Math" w:hAnsi="Cambria Math" w:cs="Cambria Math"/>
            <w:color w:val="000000"/>
            <w:sz w:val="24"/>
            <w:szCs w:val="24"/>
          </w:rPr>
          <m:t>T</m:t>
        </m:r>
        <m:r>
          <w:rPr>
            <w:rFonts w:ascii="Cambria Math" w:eastAsia="Cambria Math" w:hAnsi="Cambria Math" w:cs="Cambria Math"/>
            <w:color w:val="000000"/>
            <w:sz w:val="24"/>
            <w:szCs w:val="24"/>
          </w:rPr>
          <m:t>2+0.17</m:t>
        </m:r>
        <m:r>
          <w:rPr>
            <w:rFonts w:ascii="Cambria Math" w:eastAsia="Cambria Math" w:hAnsi="Cambria Math" w:cs="Cambria Math"/>
            <w:color w:val="000000"/>
            <w:sz w:val="24"/>
            <w:szCs w:val="24"/>
          </w:rPr>
          <m:t>T</m:t>
        </m:r>
        <m:r>
          <w:rPr>
            <w:rFonts w:ascii="Cambria Math" w:eastAsia="Cambria Math" w:hAnsi="Cambria Math" w:cs="Cambria Math"/>
            <w:color w:val="000000"/>
            <w:sz w:val="24"/>
            <w:szCs w:val="24"/>
          </w:rPr>
          <m:t>3+0.15</m:t>
        </m:r>
        <m:r>
          <w:rPr>
            <w:rFonts w:ascii="Cambria Math" w:eastAsia="Cambria Math" w:hAnsi="Cambria Math" w:cs="Cambria Math"/>
            <w:color w:val="000000"/>
            <w:sz w:val="24"/>
            <w:szCs w:val="24"/>
          </w:rPr>
          <m:t>T</m:t>
        </m:r>
        <m:r>
          <w:rPr>
            <w:rFonts w:ascii="Cambria Math" w:eastAsia="Cambria Math" w:hAnsi="Cambria Math" w:cs="Cambria Math"/>
            <w:color w:val="000000"/>
            <w:sz w:val="24"/>
            <w:szCs w:val="24"/>
          </w:rPr>
          <m:t>4+0.29</m:t>
        </m:r>
        <m:r>
          <w:rPr>
            <w:rFonts w:ascii="Cambria Math" w:eastAsia="Cambria Math" w:hAnsi="Cambria Math" w:cs="Cambria Math"/>
            <w:color w:val="000000"/>
            <w:sz w:val="24"/>
            <w:szCs w:val="24"/>
          </w:rPr>
          <m:t>T</m:t>
        </m:r>
        <m:r>
          <w:rPr>
            <w:rFonts w:ascii="Cambria Math" w:eastAsia="Cambria Math" w:hAnsi="Cambria Math" w:cs="Cambria Math"/>
            <w:color w:val="000000"/>
            <w:sz w:val="24"/>
            <w:szCs w:val="24"/>
          </w:rPr>
          <m:t>5</m:t>
        </m:r>
      </m:oMath>
      <w:r>
        <w:rPr>
          <w:color w:val="000000"/>
          <w:sz w:val="24"/>
          <w:szCs w:val="24"/>
        </w:rPr>
        <w:tab/>
      </w:r>
      <w:r>
        <w:rPr>
          <w:color w:val="000000"/>
          <w:sz w:val="24"/>
          <w:szCs w:val="24"/>
        </w:rPr>
        <w:tab/>
      </w:r>
      <w:r>
        <w:rPr>
          <w:color w:val="000000"/>
          <w:sz w:val="24"/>
          <w:szCs w:val="24"/>
        </w:rPr>
        <w:tab/>
      </w:r>
      <w:r>
        <w:rPr>
          <w:color w:val="000000"/>
          <w:sz w:val="24"/>
          <w:szCs w:val="24"/>
        </w:rPr>
        <w:tab/>
        <w:t>(2)</w:t>
      </w:r>
    </w:p>
    <w:p w:rsidR="00475E9D" w:rsidRDefault="00475E9D">
      <w:pPr>
        <w:pStyle w:val="normal0"/>
        <w:spacing w:line="360" w:lineRule="auto"/>
        <w:ind w:firstLine="567"/>
        <w:jc w:val="both"/>
        <w:rPr>
          <w:color w:val="000000"/>
          <w:sz w:val="24"/>
          <w:szCs w:val="24"/>
        </w:rPr>
      </w:pPr>
    </w:p>
    <w:p w:rsidR="00475E9D" w:rsidRDefault="008914FF">
      <w:pPr>
        <w:pStyle w:val="normal0"/>
        <w:spacing w:line="360" w:lineRule="auto"/>
        <w:ind w:firstLine="284"/>
        <w:jc w:val="both"/>
        <w:rPr>
          <w:color w:val="000000"/>
          <w:sz w:val="24"/>
          <w:szCs w:val="24"/>
        </w:rPr>
      </w:pPr>
      <w:r>
        <w:rPr>
          <w:color w:val="000000"/>
          <w:sz w:val="24"/>
          <w:szCs w:val="24"/>
        </w:rPr>
        <w:t>with T1 through T5 representing the transparency sub-indicators and their respective weights. Similar structured calculations are a</w:t>
      </w:r>
      <w:r>
        <w:rPr>
          <w:color w:val="000000"/>
          <w:sz w:val="24"/>
          <w:szCs w:val="24"/>
        </w:rPr>
        <w:t>pplied to the other governance dimensions.</w:t>
      </w:r>
    </w:p>
    <w:p w:rsidR="00475E9D" w:rsidRDefault="00475E9D">
      <w:pPr>
        <w:pStyle w:val="normal0"/>
        <w:spacing w:line="360" w:lineRule="auto"/>
        <w:ind w:firstLine="284"/>
        <w:jc w:val="both"/>
        <w:rPr>
          <w:color w:val="000000"/>
          <w:sz w:val="24"/>
          <w:szCs w:val="24"/>
        </w:rPr>
      </w:pPr>
    </w:p>
    <w:p w:rsidR="00475E9D" w:rsidRDefault="008914FF">
      <w:pPr>
        <w:pStyle w:val="normal0"/>
        <w:spacing w:line="360" w:lineRule="auto"/>
        <w:ind w:firstLine="284"/>
        <w:jc w:val="both"/>
        <w:rPr>
          <w:color w:val="000000"/>
          <w:sz w:val="24"/>
          <w:szCs w:val="24"/>
        </w:rPr>
      </w:pPr>
      <w:r>
        <w:rPr>
          <w:color w:val="000000"/>
          <w:sz w:val="24"/>
          <w:szCs w:val="24"/>
        </w:rPr>
        <w:t>Interpretation of the GNG Index is aligned with recognized compliance thresholds: a score between 0.00 and 0.25 indicates significant non-compliance, 0.26 to 0.50 reflects material non-compliance, 0.51 to 0.75 de</w:t>
      </w:r>
      <w:r>
        <w:rPr>
          <w:color w:val="000000"/>
          <w:sz w:val="24"/>
          <w:szCs w:val="24"/>
        </w:rPr>
        <w:t xml:space="preserve">notes general compliance, and 0.76 to 1.00 signifies full compliance. This methodology enables a precise identification of governance strengths and priority areas for improvement within waqf management institutions, facilitating targeted interventions and </w:t>
      </w:r>
      <w:r>
        <w:rPr>
          <w:color w:val="000000"/>
          <w:sz w:val="24"/>
          <w:szCs w:val="24"/>
        </w:rPr>
        <w:t>continuous performance monitoring (Mardani et al., 2015; Saaty, 2008).</w:t>
      </w:r>
    </w:p>
    <w:p w:rsidR="00475E9D" w:rsidRDefault="00475E9D">
      <w:pPr>
        <w:pStyle w:val="normal0"/>
        <w:spacing w:line="360" w:lineRule="auto"/>
        <w:jc w:val="both"/>
        <w:rPr>
          <w:color w:val="000000"/>
          <w:sz w:val="24"/>
          <w:szCs w:val="24"/>
        </w:rPr>
      </w:pPr>
    </w:p>
    <w:p w:rsidR="00475E9D" w:rsidRDefault="008914FF">
      <w:pPr>
        <w:pStyle w:val="normal0"/>
        <w:spacing w:line="360" w:lineRule="auto"/>
        <w:jc w:val="both"/>
        <w:rPr>
          <w:b/>
          <w:bCs/>
          <w:color w:val="000000"/>
          <w:sz w:val="24"/>
          <w:szCs w:val="24"/>
        </w:rPr>
      </w:pPr>
      <w:r>
        <w:rPr>
          <w:b/>
          <w:bCs/>
          <w:color w:val="000000"/>
          <w:sz w:val="24"/>
          <w:szCs w:val="24"/>
        </w:rPr>
        <w:t>3.4 Qualitative Analysis</w:t>
      </w:r>
    </w:p>
    <w:p w:rsidR="00475E9D" w:rsidRDefault="008914FF">
      <w:pPr>
        <w:pStyle w:val="normal0"/>
        <w:spacing w:line="360" w:lineRule="auto"/>
        <w:ind w:firstLine="284"/>
        <w:jc w:val="both"/>
        <w:rPr>
          <w:color w:val="000000"/>
          <w:sz w:val="24"/>
          <w:szCs w:val="24"/>
        </w:rPr>
      </w:pPr>
      <w:r>
        <w:rPr>
          <w:color w:val="000000"/>
          <w:sz w:val="24"/>
          <w:szCs w:val="24"/>
        </w:rPr>
        <w:t xml:space="preserve"> The qualitative component of this research commenced with the formulation of an integrated funding model, employing a scoping review methodology that draws upon the best practices outlined by Qadri, Pratama, Khabibi, and Pratama (2024). This initial phase</w:t>
      </w:r>
      <w:r>
        <w:rPr>
          <w:color w:val="000000"/>
          <w:sz w:val="24"/>
          <w:szCs w:val="24"/>
        </w:rPr>
        <w:t xml:space="preserve"> relied on comprehensive analysis of secondary sources, including key Quranic verses, Hadiths, current waqf regulations, peer-reviewed international journal articles, and official documentation of national strategic projects. Such an approach ensured a rob</w:t>
      </w:r>
      <w:r>
        <w:rPr>
          <w:color w:val="000000"/>
          <w:sz w:val="24"/>
          <w:szCs w:val="24"/>
        </w:rPr>
        <w:t>ust theoretical and regulatory foundation for subsequent model development and analysis.</w:t>
      </w:r>
    </w:p>
    <w:p w:rsidR="00475E9D" w:rsidRDefault="008914FF">
      <w:pPr>
        <w:pStyle w:val="normal0"/>
        <w:spacing w:line="360" w:lineRule="auto"/>
        <w:ind w:firstLine="284"/>
        <w:jc w:val="both"/>
        <w:rPr>
          <w:color w:val="000000"/>
          <w:sz w:val="24"/>
          <w:szCs w:val="24"/>
        </w:rPr>
      </w:pPr>
      <w:r>
        <w:rPr>
          <w:color w:val="000000"/>
          <w:sz w:val="24"/>
          <w:szCs w:val="24"/>
        </w:rPr>
        <w:t>The second stage of the qualitative analysis focused on developing the Productive Waqf Governance Model within the context of a blended finance framework. This phase u</w:t>
      </w:r>
      <w:r>
        <w:rPr>
          <w:color w:val="000000"/>
          <w:sz w:val="24"/>
          <w:szCs w:val="24"/>
        </w:rPr>
        <w:t>tilized the grounded theory methodology as articulated by Charmaz (2014) and further demonstrated by Sharma and Pandit (2018) in applied research settings. Data collection was anchored in Focus Group Discussions (FGDs), enabling the capture of nuanced, con</w:t>
      </w:r>
      <w:r>
        <w:rPr>
          <w:color w:val="000000"/>
          <w:sz w:val="24"/>
          <w:szCs w:val="24"/>
        </w:rPr>
        <w:t>text-specific insights from a broad spectrum of stakeholders actively involved in waqf and blended finance practices.</w:t>
      </w:r>
    </w:p>
    <w:p w:rsidR="00475E9D" w:rsidRDefault="008914FF">
      <w:pPr>
        <w:pStyle w:val="normal0"/>
        <w:spacing w:line="360" w:lineRule="auto"/>
        <w:ind w:firstLine="284"/>
        <w:jc w:val="both"/>
        <w:rPr>
          <w:color w:val="000000"/>
          <w:sz w:val="24"/>
          <w:szCs w:val="24"/>
        </w:rPr>
      </w:pPr>
      <w:r>
        <w:rPr>
          <w:color w:val="000000"/>
          <w:sz w:val="24"/>
          <w:szCs w:val="24"/>
        </w:rPr>
        <w:t>The analytical process rigorously adhered to Charmaz’s (2014) established six-step grounded theory protocol:</w:t>
      </w:r>
    </w:p>
    <w:p w:rsidR="00475E9D" w:rsidRDefault="008914FF">
      <w:pPr>
        <w:pStyle w:val="normal0"/>
        <w:spacing w:line="360" w:lineRule="auto"/>
        <w:ind w:firstLine="284"/>
        <w:jc w:val="both"/>
        <w:rPr>
          <w:color w:val="000000"/>
          <w:sz w:val="24"/>
          <w:szCs w:val="24"/>
        </w:rPr>
      </w:pPr>
      <w:r>
        <w:rPr>
          <w:color w:val="000000"/>
          <w:sz w:val="24"/>
          <w:szCs w:val="24"/>
        </w:rPr>
        <w:t>(1) Initial coding to surface</w:t>
      </w:r>
      <w:r>
        <w:rPr>
          <w:color w:val="000000"/>
          <w:sz w:val="24"/>
          <w:szCs w:val="24"/>
        </w:rPr>
        <w:t xml:space="preserve"> emergent concepts,</w:t>
      </w:r>
    </w:p>
    <w:p w:rsidR="00475E9D" w:rsidRDefault="008914FF">
      <w:pPr>
        <w:pStyle w:val="normal0"/>
        <w:spacing w:line="360" w:lineRule="auto"/>
        <w:ind w:firstLine="284"/>
        <w:jc w:val="both"/>
        <w:rPr>
          <w:color w:val="000000"/>
          <w:sz w:val="24"/>
          <w:szCs w:val="24"/>
        </w:rPr>
      </w:pPr>
      <w:r>
        <w:rPr>
          <w:color w:val="000000"/>
          <w:sz w:val="24"/>
          <w:szCs w:val="24"/>
        </w:rPr>
        <w:lastRenderedPageBreak/>
        <w:t>(2) Detailed line-by-line coding for granular data interrogation,</w:t>
      </w:r>
    </w:p>
    <w:p w:rsidR="00475E9D" w:rsidRDefault="008914FF">
      <w:pPr>
        <w:pStyle w:val="normal0"/>
        <w:spacing w:line="360" w:lineRule="auto"/>
        <w:ind w:firstLine="284"/>
        <w:jc w:val="both"/>
        <w:rPr>
          <w:color w:val="000000"/>
          <w:sz w:val="24"/>
          <w:szCs w:val="24"/>
        </w:rPr>
      </w:pPr>
      <w:r>
        <w:rPr>
          <w:color w:val="000000"/>
          <w:sz w:val="24"/>
          <w:szCs w:val="24"/>
        </w:rPr>
        <w:t>(3) Focused coding and thematic categorization,</w:t>
      </w:r>
    </w:p>
    <w:p w:rsidR="00475E9D" w:rsidRDefault="008914FF">
      <w:pPr>
        <w:pStyle w:val="normal0"/>
        <w:spacing w:line="360" w:lineRule="auto"/>
        <w:ind w:firstLine="284"/>
        <w:jc w:val="both"/>
        <w:rPr>
          <w:color w:val="000000"/>
          <w:sz w:val="24"/>
          <w:szCs w:val="24"/>
        </w:rPr>
      </w:pPr>
      <w:r>
        <w:rPr>
          <w:color w:val="000000"/>
          <w:sz w:val="24"/>
          <w:szCs w:val="24"/>
        </w:rPr>
        <w:t>(4) Axial coding and analytical memo writing,</w:t>
      </w:r>
    </w:p>
    <w:p w:rsidR="00475E9D" w:rsidRDefault="008914FF">
      <w:pPr>
        <w:pStyle w:val="normal0"/>
        <w:spacing w:line="360" w:lineRule="auto"/>
        <w:ind w:firstLine="284"/>
        <w:jc w:val="both"/>
        <w:rPr>
          <w:color w:val="000000"/>
          <w:sz w:val="24"/>
          <w:szCs w:val="24"/>
        </w:rPr>
      </w:pPr>
      <w:r>
        <w:rPr>
          <w:color w:val="000000"/>
          <w:sz w:val="24"/>
          <w:szCs w:val="24"/>
        </w:rPr>
        <w:t>(5) Selective coding to refine central themes, and</w:t>
      </w:r>
    </w:p>
    <w:p w:rsidR="00475E9D" w:rsidRDefault="008914FF">
      <w:pPr>
        <w:pStyle w:val="normal0"/>
        <w:spacing w:line="360" w:lineRule="auto"/>
        <w:ind w:firstLine="284"/>
        <w:jc w:val="both"/>
        <w:rPr>
          <w:color w:val="000000"/>
          <w:sz w:val="24"/>
          <w:szCs w:val="24"/>
        </w:rPr>
      </w:pPr>
      <w:r>
        <w:rPr>
          <w:color w:val="000000"/>
          <w:sz w:val="24"/>
          <w:szCs w:val="24"/>
        </w:rPr>
        <w:t>(6) Theory construction t</w:t>
      </w:r>
      <w:r>
        <w:rPr>
          <w:color w:val="000000"/>
          <w:sz w:val="24"/>
          <w:szCs w:val="24"/>
        </w:rPr>
        <w:t>o integrate findings into a coherent governance framework.</w:t>
      </w:r>
    </w:p>
    <w:p w:rsidR="00475E9D" w:rsidRDefault="008914FF">
      <w:pPr>
        <w:pStyle w:val="normal0"/>
        <w:spacing w:line="360" w:lineRule="auto"/>
        <w:ind w:firstLine="284"/>
        <w:jc w:val="both"/>
        <w:rPr>
          <w:color w:val="000000"/>
          <w:sz w:val="24"/>
          <w:szCs w:val="24"/>
        </w:rPr>
      </w:pPr>
      <w:r>
        <w:rPr>
          <w:color w:val="000000"/>
          <w:sz w:val="24"/>
          <w:szCs w:val="24"/>
        </w:rPr>
        <w:t>This methodology has proven effective for producing actionable insights and robust decision-making criteria, particularly with respect to governance innovations in the management of productive waqf</w:t>
      </w:r>
      <w:r>
        <w:rPr>
          <w:color w:val="000000"/>
          <w:sz w:val="24"/>
          <w:szCs w:val="24"/>
        </w:rPr>
        <w:t xml:space="preserve"> land and cash assets (Qadri et al., 2024; Sharma &amp; Pandit, 2018).</w:t>
      </w:r>
    </w:p>
    <w:p w:rsidR="00475E9D" w:rsidRDefault="00475E9D">
      <w:pPr>
        <w:pStyle w:val="normal0"/>
        <w:spacing w:line="360" w:lineRule="auto"/>
        <w:rPr>
          <w:sz w:val="24"/>
          <w:szCs w:val="24"/>
        </w:rPr>
      </w:pPr>
    </w:p>
    <w:p w:rsidR="00475E9D" w:rsidRDefault="008914FF">
      <w:pPr>
        <w:pStyle w:val="normal0"/>
        <w:spacing w:line="360" w:lineRule="auto"/>
        <w:rPr>
          <w:b/>
          <w:bCs/>
          <w:sz w:val="24"/>
          <w:szCs w:val="24"/>
        </w:rPr>
      </w:pPr>
      <w:r>
        <w:rPr>
          <w:b/>
          <w:bCs/>
          <w:sz w:val="24"/>
          <w:szCs w:val="24"/>
        </w:rPr>
        <w:t>4. FINDINGS AND DISCUSSION</w:t>
      </w:r>
    </w:p>
    <w:p w:rsidR="00475E9D" w:rsidRDefault="008914FF">
      <w:pPr>
        <w:pStyle w:val="normal0"/>
        <w:spacing w:line="360" w:lineRule="auto"/>
        <w:ind w:firstLine="284"/>
        <w:jc w:val="both"/>
        <w:rPr>
          <w:sz w:val="24"/>
          <w:szCs w:val="24"/>
        </w:rPr>
      </w:pPr>
      <w:r>
        <w:rPr>
          <w:sz w:val="24"/>
          <w:szCs w:val="24"/>
        </w:rPr>
        <w:t>The findings of this research were systematically developed through an integrated combination of qualitative and quantitative analysis. The qualitative phase produced a comprehensive Productive Waqf Governance Model, derived from an extensive review of ins</w:t>
      </w:r>
      <w:r>
        <w:rPr>
          <w:sz w:val="24"/>
          <w:szCs w:val="24"/>
        </w:rPr>
        <w:t>titutional documents and insights gained from focus group discussions with practitioners and beneficiaries. Application of Charmaz’s (2014) grounded theory methodology enabled the identification of key themes and critical decision criteria for managing pro</w:t>
      </w:r>
      <w:r>
        <w:rPr>
          <w:sz w:val="24"/>
          <w:szCs w:val="24"/>
        </w:rPr>
        <w:t>ductive waqf assets, including both land and cash waqf. This approach led to a nuanced and contextually relevant understanding of governance practices within Indonesian waqf institutions, consistent with grounded theory best practices (Sharma &amp; Pandit, 201</w:t>
      </w:r>
      <w:r>
        <w:rPr>
          <w:sz w:val="24"/>
          <w:szCs w:val="24"/>
        </w:rPr>
        <w:t>8).</w:t>
      </w:r>
    </w:p>
    <w:p w:rsidR="00475E9D" w:rsidRDefault="008914FF">
      <w:pPr>
        <w:pStyle w:val="normal0"/>
        <w:spacing w:line="360" w:lineRule="auto"/>
        <w:ind w:firstLine="284"/>
        <w:jc w:val="both"/>
        <w:rPr>
          <w:sz w:val="24"/>
          <w:szCs w:val="24"/>
        </w:rPr>
      </w:pPr>
      <w:r>
        <w:rPr>
          <w:sz w:val="24"/>
          <w:szCs w:val="24"/>
        </w:rPr>
        <w:t>For the quantitative phase, governance compliance was evaluated using the Good Nazir Governance (GNG) Index. The construction and weighting of this index followed the Analytic Hierarchy Process (AHP) as outlined by Saaty (2008), and incorporated the pr</w:t>
      </w:r>
      <w:r>
        <w:rPr>
          <w:sz w:val="24"/>
          <w:szCs w:val="24"/>
        </w:rPr>
        <w:t>incipal governance dimensions of Transparency (24%), Accountability (29%), Responsibility (13%), Independence (12%), and Fairness (22%). Scores for each institution were calculated and summarized using both tables and graphical visualizations to clearly il</w:t>
      </w:r>
      <w:r>
        <w:rPr>
          <w:sz w:val="24"/>
          <w:szCs w:val="24"/>
        </w:rPr>
        <w:t>lustrate areas of compliance and non-compliance, as recommended in recent multi-criteria decision analysis literature (Mardani, Jusoh, &amp; Zavadskas, 2015). The results revealed distinct levels of adherence to governance standards among the studied waqf mana</w:t>
      </w:r>
      <w:r>
        <w:rPr>
          <w:sz w:val="24"/>
          <w:szCs w:val="24"/>
        </w:rPr>
        <w:t>gement institutions.</w:t>
      </w:r>
    </w:p>
    <w:p w:rsidR="00475E9D" w:rsidRDefault="008914FF">
      <w:pPr>
        <w:pStyle w:val="normal0"/>
        <w:spacing w:line="360" w:lineRule="auto"/>
        <w:ind w:firstLine="284"/>
        <w:jc w:val="both"/>
        <w:rPr>
          <w:sz w:val="24"/>
          <w:szCs w:val="24"/>
        </w:rPr>
      </w:pPr>
      <w:r>
        <w:rPr>
          <w:sz w:val="24"/>
          <w:szCs w:val="24"/>
        </w:rPr>
        <w:t>To ensure the validity and reliability of these quantitative findings, sensitivity analyses were conducted. These tests assessed the effects of variations in indicator weights on overall index scores, confirming the consistency and rob</w:t>
      </w:r>
      <w:r>
        <w:rPr>
          <w:sz w:val="24"/>
          <w:szCs w:val="24"/>
        </w:rPr>
        <w:t>ustness of the results. Sensitivity analysis is a recognized step in the validation of composite indices and is recommended to ensure stability and reliability of results in governance evaluation studies (Boholm, Möller, &amp; Hansson, 2016).</w:t>
      </w:r>
    </w:p>
    <w:p w:rsidR="00475E9D" w:rsidRDefault="008914FF">
      <w:pPr>
        <w:pStyle w:val="normal0"/>
        <w:spacing w:line="360" w:lineRule="auto"/>
        <w:ind w:firstLine="284"/>
        <w:jc w:val="both"/>
        <w:rPr>
          <w:sz w:val="24"/>
          <w:szCs w:val="24"/>
        </w:rPr>
      </w:pPr>
      <w:r>
        <w:rPr>
          <w:sz w:val="24"/>
          <w:szCs w:val="24"/>
        </w:rPr>
        <w:t>A critical evalua</w:t>
      </w:r>
      <w:r>
        <w:rPr>
          <w:sz w:val="24"/>
          <w:szCs w:val="24"/>
        </w:rPr>
        <w:t xml:space="preserve">tion of the findings revealed notable diversity in governance practices among the sampled institutions. Institutions with GNG Index scores between 0.76 and 1.00 consistently </w:t>
      </w:r>
      <w:r>
        <w:rPr>
          <w:sz w:val="24"/>
          <w:szCs w:val="24"/>
        </w:rPr>
        <w:lastRenderedPageBreak/>
        <w:t>demonstrated strong practices in accountability and transparency. On the other han</w:t>
      </w:r>
      <w:r>
        <w:rPr>
          <w:sz w:val="24"/>
          <w:szCs w:val="24"/>
        </w:rPr>
        <w:t>d, institutions with scores below 0.50 faced significant challenges, particularly in the dimensions of accountability and fairness, which indicated urgent areas for governance enhancement.</w:t>
      </w:r>
    </w:p>
    <w:p w:rsidR="00475E9D" w:rsidRDefault="008914FF">
      <w:pPr>
        <w:pStyle w:val="normal0"/>
        <w:spacing w:line="360" w:lineRule="auto"/>
        <w:ind w:firstLine="284"/>
        <w:jc w:val="both"/>
        <w:rPr>
          <w:sz w:val="24"/>
          <w:szCs w:val="24"/>
        </w:rPr>
      </w:pPr>
      <w:r>
        <w:rPr>
          <w:sz w:val="24"/>
          <w:szCs w:val="24"/>
        </w:rPr>
        <w:t>The novelty of this study lies in its integrated use of grounded th</w:t>
      </w:r>
      <w:r>
        <w:rPr>
          <w:sz w:val="24"/>
          <w:szCs w:val="24"/>
        </w:rPr>
        <w:t>eory and structured quantitative analysis. While previous waqf governance studies have tended to focus primarily on qualitative or descriptive frameworks, this research offers both a rigorous theoretical foundation and measurable benchmarks for institution</w:t>
      </w:r>
      <w:r>
        <w:rPr>
          <w:sz w:val="24"/>
          <w:szCs w:val="24"/>
        </w:rPr>
        <w:t xml:space="preserve">al performance. The application of a clear, structured interpretation of the GNG Index, as opposed to more generalized qualitative assessments, allowed for more precise identification of strengths and weaknesses across governance dimensions. Notably, this </w:t>
      </w:r>
      <w:r>
        <w:rPr>
          <w:sz w:val="24"/>
          <w:szCs w:val="24"/>
        </w:rPr>
        <w:t>approach provided new empirical insights in areas such as responsibility and fairness, which have been underrepresented in prior research (Noordin, Haron, &amp; Kassim, 2017; Osman &amp; Agyemang, 2020).</w:t>
      </w:r>
    </w:p>
    <w:p w:rsidR="00475E9D" w:rsidRDefault="008914FF">
      <w:pPr>
        <w:pStyle w:val="normal0"/>
        <w:spacing w:line="360" w:lineRule="auto"/>
        <w:ind w:firstLine="284"/>
        <w:jc w:val="both"/>
        <w:rPr>
          <w:sz w:val="24"/>
          <w:szCs w:val="24"/>
        </w:rPr>
      </w:pPr>
      <w:r>
        <w:rPr>
          <w:sz w:val="24"/>
          <w:szCs w:val="24"/>
        </w:rPr>
        <w:t>Although this study primarily focuses on domestic waqf insti</w:t>
      </w:r>
      <w:r>
        <w:rPr>
          <w:sz w:val="24"/>
          <w:szCs w:val="24"/>
        </w:rPr>
        <w:t>tutions, the governance maturity patterns observed particularly in accountability, transparency, and fairness have broader implications for scalability and partnership readiness beyond national boundaries. Institutions with higher digital governance capaci</w:t>
      </w:r>
      <w:r>
        <w:rPr>
          <w:sz w:val="24"/>
          <w:szCs w:val="24"/>
        </w:rPr>
        <w:t>ty demonstrate stronger readiness to engage in collaborative or cross-border blended-finance schemes, aligning with the vision of integrating Islamic social investment into sustainable religious tourism initiatives. The overall results highlight the import</w:t>
      </w:r>
      <w:r>
        <w:rPr>
          <w:sz w:val="24"/>
          <w:szCs w:val="24"/>
        </w:rPr>
        <w:t>ance of systematic, evidence-based governance evaluation and reinforce the need for targeted interventions and policy reforms to further professionalize waqf management practices in Indonesia.</w:t>
      </w:r>
    </w:p>
    <w:p w:rsidR="00475E9D" w:rsidRDefault="00475E9D">
      <w:pPr>
        <w:pStyle w:val="normal0"/>
        <w:spacing w:line="360" w:lineRule="auto"/>
        <w:jc w:val="both"/>
        <w:rPr>
          <w:b/>
          <w:bCs/>
          <w:sz w:val="24"/>
          <w:szCs w:val="24"/>
        </w:rPr>
      </w:pPr>
    </w:p>
    <w:p w:rsidR="00475E9D" w:rsidRDefault="008914FF">
      <w:pPr>
        <w:pStyle w:val="normal0"/>
        <w:spacing w:line="360" w:lineRule="auto"/>
        <w:jc w:val="both"/>
        <w:rPr>
          <w:b/>
          <w:bCs/>
          <w:sz w:val="24"/>
          <w:szCs w:val="24"/>
        </w:rPr>
      </w:pPr>
      <w:r>
        <w:rPr>
          <w:b/>
          <w:bCs/>
          <w:sz w:val="24"/>
          <w:szCs w:val="24"/>
        </w:rPr>
        <w:t>5. CONCLUSION AND DIRECTION FOR FUTURE RESEARCH</w:t>
      </w:r>
    </w:p>
    <w:p w:rsidR="00475E9D" w:rsidRDefault="008914FF">
      <w:pPr>
        <w:pStyle w:val="normal0"/>
        <w:pBdr>
          <w:top w:val="nil"/>
          <w:left w:val="nil"/>
          <w:bottom w:val="nil"/>
          <w:right w:val="nil"/>
          <w:between w:val="nil"/>
        </w:pBdr>
        <w:spacing w:line="360" w:lineRule="auto"/>
        <w:ind w:firstLine="284"/>
        <w:jc w:val="both"/>
        <w:rPr>
          <w:color w:val="000000"/>
          <w:sz w:val="24"/>
          <w:szCs w:val="24"/>
        </w:rPr>
      </w:pPr>
      <w:r>
        <w:rPr>
          <w:color w:val="000000"/>
          <w:sz w:val="24"/>
          <w:szCs w:val="24"/>
        </w:rPr>
        <w:t xml:space="preserve">This study advances understanding of productive waqf governance by integrating grounded theory qualitative methods with a structured quantitative evaluation framework. Through a detailed analysis, the research developed a robust Productive Waqf Governance </w:t>
      </w:r>
      <w:r>
        <w:rPr>
          <w:color w:val="000000"/>
          <w:sz w:val="24"/>
          <w:szCs w:val="24"/>
        </w:rPr>
        <w:t>Model, identifying core governance criteria such as transparency, accountability, responsibility, independence, and fairness that are essential for the effective management of both land and cash waqf assets. The application of grounded theory, as recommend</w:t>
      </w:r>
      <w:r>
        <w:rPr>
          <w:color w:val="000000"/>
          <w:sz w:val="24"/>
          <w:szCs w:val="24"/>
        </w:rPr>
        <w:t>ed by Charmaz (2014) and demonstrated by Sharma and Pandit (2018), allowed for the emergence of key themes from practitioner experiences and institutional documentation.</w:t>
      </w:r>
    </w:p>
    <w:p w:rsidR="00475E9D" w:rsidRDefault="008914FF">
      <w:pPr>
        <w:pStyle w:val="normal0"/>
        <w:pBdr>
          <w:top w:val="nil"/>
          <w:left w:val="nil"/>
          <w:bottom w:val="nil"/>
          <w:right w:val="nil"/>
          <w:between w:val="nil"/>
        </w:pBdr>
        <w:spacing w:line="360" w:lineRule="auto"/>
        <w:ind w:firstLine="284"/>
        <w:jc w:val="both"/>
        <w:rPr>
          <w:color w:val="000000"/>
          <w:sz w:val="24"/>
          <w:szCs w:val="24"/>
        </w:rPr>
      </w:pPr>
      <w:r>
        <w:rPr>
          <w:color w:val="000000"/>
          <w:sz w:val="24"/>
          <w:szCs w:val="24"/>
        </w:rPr>
        <w:t>On the quantitative side, governance compliance was systematically evaluated using the</w:t>
      </w:r>
      <w:r>
        <w:rPr>
          <w:color w:val="000000"/>
          <w:sz w:val="24"/>
          <w:szCs w:val="24"/>
        </w:rPr>
        <w:t xml:space="preserve"> Good Nazir Governance (GNG) Index, which enabled clear benchmarking across multiple institutions. The structured calculation of compliance levels uncovered notable variations, with significant deficiencies in accountability and fairness among institutions</w:t>
      </w:r>
      <w:r>
        <w:rPr>
          <w:color w:val="000000"/>
          <w:sz w:val="24"/>
          <w:szCs w:val="24"/>
        </w:rPr>
        <w:t xml:space="preserve"> with lower scores. Sensitivity and </w:t>
      </w:r>
      <w:r>
        <w:rPr>
          <w:color w:val="000000"/>
          <w:sz w:val="24"/>
          <w:szCs w:val="24"/>
        </w:rPr>
        <w:lastRenderedPageBreak/>
        <w:t>robustness checks, in line with methodological best practices for composite index validation (Mardani, Jusoh, &amp; Zavadskas, 2015; Boholm, Möller, &amp; Hansson, 2016), confirmed the reliability of the quantitative results.</w:t>
      </w:r>
    </w:p>
    <w:p w:rsidR="00475E9D" w:rsidRDefault="008914FF">
      <w:pPr>
        <w:pStyle w:val="normal0"/>
        <w:pBdr>
          <w:top w:val="nil"/>
          <w:left w:val="nil"/>
          <w:bottom w:val="nil"/>
          <w:right w:val="nil"/>
          <w:between w:val="nil"/>
        </w:pBdr>
        <w:spacing w:line="360" w:lineRule="auto"/>
        <w:ind w:firstLine="284"/>
        <w:jc w:val="both"/>
        <w:rPr>
          <w:color w:val="000000"/>
          <w:sz w:val="24"/>
          <w:szCs w:val="24"/>
        </w:rPr>
      </w:pPr>
      <w:r>
        <w:rPr>
          <w:color w:val="000000"/>
          <w:sz w:val="24"/>
          <w:szCs w:val="24"/>
        </w:rPr>
        <w:t>Th</w:t>
      </w:r>
      <w:r>
        <w:rPr>
          <w:color w:val="000000"/>
          <w:sz w:val="24"/>
          <w:szCs w:val="24"/>
        </w:rPr>
        <w:t>e principal contribution of this research lies in its methodological innovation. By combining grounded theory with a rigorous, multi-dimensional index, the study provides an unprecedented level of depth and clarity in the evaluation of waqf governance, the</w:t>
      </w:r>
      <w:r>
        <w:rPr>
          <w:color w:val="000000"/>
          <w:sz w:val="24"/>
          <w:szCs w:val="24"/>
        </w:rPr>
        <w:t>reby contributing significantly to the literature and offering a new benchmark for future assessment (Noordin, Haron, &amp; Kassim, 2017; Osman &amp; Agyemang, 2020).</w:t>
      </w:r>
    </w:p>
    <w:p w:rsidR="00475E9D" w:rsidRDefault="008914FF">
      <w:pPr>
        <w:pStyle w:val="normal0"/>
        <w:pBdr>
          <w:top w:val="nil"/>
          <w:left w:val="nil"/>
          <w:bottom w:val="nil"/>
          <w:right w:val="nil"/>
          <w:between w:val="nil"/>
        </w:pBdr>
        <w:spacing w:line="360" w:lineRule="auto"/>
        <w:ind w:firstLine="284"/>
        <w:jc w:val="both"/>
        <w:rPr>
          <w:color w:val="000000"/>
          <w:sz w:val="24"/>
          <w:szCs w:val="24"/>
        </w:rPr>
      </w:pPr>
      <w:r>
        <w:rPr>
          <w:color w:val="000000"/>
          <w:sz w:val="24"/>
          <w:szCs w:val="24"/>
        </w:rPr>
        <w:t>While the current scope is limited to Indonesian waqf institutions, the governance disparities id</w:t>
      </w:r>
      <w:r>
        <w:rPr>
          <w:color w:val="000000"/>
          <w:sz w:val="24"/>
          <w:szCs w:val="24"/>
        </w:rPr>
        <w:t>entified indicate structural readiness challenges that may also constrain scalability and cross-border collaboration in the wider Islamic social finance ecosystem. Thus, the proposed blended-finance and digital governance framework not only strengthens dom</w:t>
      </w:r>
      <w:r>
        <w:rPr>
          <w:color w:val="000000"/>
          <w:sz w:val="24"/>
          <w:szCs w:val="24"/>
        </w:rPr>
        <w:t>estic waqf management but also provides a transferable foundation for future international partnerships under the Sustainable Development Goals and Saudi Vision 2030 agendas.</w:t>
      </w:r>
    </w:p>
    <w:p w:rsidR="00475E9D" w:rsidRDefault="008914FF">
      <w:pPr>
        <w:pStyle w:val="normal0"/>
        <w:pBdr>
          <w:top w:val="nil"/>
          <w:left w:val="nil"/>
          <w:bottom w:val="nil"/>
          <w:right w:val="nil"/>
          <w:between w:val="nil"/>
        </w:pBdr>
        <w:spacing w:line="360" w:lineRule="auto"/>
        <w:ind w:firstLine="284"/>
        <w:jc w:val="both"/>
        <w:rPr>
          <w:color w:val="000000"/>
          <w:sz w:val="24"/>
          <w:szCs w:val="24"/>
        </w:rPr>
      </w:pPr>
      <w:r>
        <w:rPr>
          <w:color w:val="000000"/>
          <w:sz w:val="24"/>
          <w:szCs w:val="24"/>
        </w:rPr>
        <w:t>Based on the results and identified limitations, the following practical and feas</w:t>
      </w:r>
      <w:r>
        <w:rPr>
          <w:color w:val="000000"/>
          <w:sz w:val="24"/>
          <w:szCs w:val="24"/>
        </w:rPr>
        <w:t>ible recommendations are offered:</w:t>
      </w:r>
    </w:p>
    <w:p w:rsidR="00475E9D" w:rsidRDefault="008914FF">
      <w:pPr>
        <w:pStyle w:val="normal0"/>
        <w:pBdr>
          <w:top w:val="nil"/>
          <w:left w:val="nil"/>
          <w:bottom w:val="nil"/>
          <w:right w:val="nil"/>
          <w:between w:val="nil"/>
        </w:pBdr>
        <w:spacing w:line="360" w:lineRule="auto"/>
        <w:ind w:firstLine="284"/>
        <w:jc w:val="both"/>
        <w:rPr>
          <w:color w:val="000000"/>
          <w:sz w:val="24"/>
          <w:szCs w:val="24"/>
        </w:rPr>
      </w:pPr>
      <w:r>
        <w:rPr>
          <w:b/>
          <w:bCs/>
          <w:color w:val="000000"/>
          <w:sz w:val="24"/>
          <w:szCs w:val="24"/>
        </w:rPr>
        <w:t>For Practitioners:</w:t>
      </w:r>
    </w:p>
    <w:p w:rsidR="00475E9D" w:rsidRDefault="008914FF">
      <w:pPr>
        <w:pStyle w:val="normal0"/>
        <w:numPr>
          <w:ilvl w:val="0"/>
          <w:numId w:val="1"/>
        </w:numPr>
        <w:pBdr>
          <w:top w:val="nil"/>
          <w:left w:val="nil"/>
          <w:bottom w:val="nil"/>
          <w:right w:val="nil"/>
          <w:between w:val="nil"/>
        </w:pBdr>
        <w:spacing w:line="360" w:lineRule="auto"/>
        <w:jc w:val="both"/>
        <w:rPr>
          <w:color w:val="000000"/>
          <w:sz w:val="24"/>
          <w:szCs w:val="24"/>
        </w:rPr>
      </w:pPr>
      <w:r>
        <w:rPr>
          <w:color w:val="000000"/>
          <w:sz w:val="24"/>
          <w:szCs w:val="24"/>
        </w:rPr>
        <w:t xml:space="preserve">Waqf management institutions should prioritize enhancements in accountability and fairness by introducing structured internal controls and conducting regular independent audits. These measures are vital </w:t>
      </w:r>
      <w:r>
        <w:rPr>
          <w:color w:val="000000"/>
          <w:sz w:val="24"/>
          <w:szCs w:val="24"/>
        </w:rPr>
        <w:t>to maintaining trust and stakeholder confidence (Yaacob, Petra, Sumardi, &amp; Nahar, 2015).</w:t>
      </w:r>
    </w:p>
    <w:p w:rsidR="00475E9D" w:rsidRDefault="008914FF">
      <w:pPr>
        <w:pStyle w:val="normal0"/>
        <w:numPr>
          <w:ilvl w:val="0"/>
          <w:numId w:val="1"/>
        </w:numPr>
        <w:pBdr>
          <w:top w:val="nil"/>
          <w:left w:val="nil"/>
          <w:bottom w:val="nil"/>
          <w:right w:val="nil"/>
          <w:between w:val="nil"/>
        </w:pBdr>
        <w:spacing w:line="360" w:lineRule="auto"/>
        <w:jc w:val="both"/>
        <w:rPr>
          <w:color w:val="000000"/>
          <w:sz w:val="24"/>
          <w:szCs w:val="24"/>
        </w:rPr>
      </w:pPr>
      <w:r>
        <w:rPr>
          <w:color w:val="000000"/>
          <w:sz w:val="24"/>
          <w:szCs w:val="24"/>
        </w:rPr>
        <w:t>Ongoing training and capacity-building initiatives should be developed for administrators to reinforce governance standards and boost operational effectiveness (Noordi</w:t>
      </w:r>
      <w:r>
        <w:rPr>
          <w:color w:val="000000"/>
          <w:sz w:val="24"/>
          <w:szCs w:val="24"/>
        </w:rPr>
        <w:t>n et al., 2017).</w:t>
      </w:r>
    </w:p>
    <w:p w:rsidR="00475E9D" w:rsidRDefault="008914FF">
      <w:pPr>
        <w:pStyle w:val="normal0"/>
        <w:pBdr>
          <w:top w:val="nil"/>
          <w:left w:val="nil"/>
          <w:bottom w:val="nil"/>
          <w:right w:val="nil"/>
          <w:between w:val="nil"/>
        </w:pBdr>
        <w:spacing w:line="360" w:lineRule="auto"/>
        <w:ind w:firstLine="284"/>
        <w:jc w:val="both"/>
        <w:rPr>
          <w:color w:val="000000"/>
          <w:sz w:val="24"/>
          <w:szCs w:val="24"/>
        </w:rPr>
      </w:pPr>
      <w:r>
        <w:rPr>
          <w:b/>
          <w:bCs/>
          <w:color w:val="000000"/>
          <w:sz w:val="24"/>
          <w:szCs w:val="24"/>
        </w:rPr>
        <w:t>For Regulators:</w:t>
      </w:r>
    </w:p>
    <w:p w:rsidR="00475E9D" w:rsidRDefault="008914FF">
      <w:pPr>
        <w:pStyle w:val="normal0"/>
        <w:numPr>
          <w:ilvl w:val="0"/>
          <w:numId w:val="2"/>
        </w:numPr>
        <w:pBdr>
          <w:top w:val="nil"/>
          <w:left w:val="nil"/>
          <w:bottom w:val="nil"/>
          <w:right w:val="nil"/>
          <w:between w:val="nil"/>
        </w:pBdr>
        <w:spacing w:line="360" w:lineRule="auto"/>
        <w:jc w:val="both"/>
        <w:rPr>
          <w:color w:val="000000"/>
          <w:sz w:val="24"/>
          <w:szCs w:val="24"/>
        </w:rPr>
      </w:pPr>
      <w:r>
        <w:rPr>
          <w:color w:val="000000"/>
          <w:sz w:val="24"/>
          <w:szCs w:val="24"/>
        </w:rPr>
        <w:t>Regulatory authorities are encouraged to establish clear benchmarks for governance compliance and to periodically update frameworks that support transparency and accountability, drawing on recent regulatory trends in the no</w:t>
      </w:r>
      <w:r>
        <w:rPr>
          <w:color w:val="000000"/>
          <w:sz w:val="24"/>
          <w:szCs w:val="24"/>
        </w:rPr>
        <w:t>nprofit sector (Laldin &amp; Djafri, 2021).</w:t>
      </w:r>
    </w:p>
    <w:p w:rsidR="00475E9D" w:rsidRDefault="008914FF">
      <w:pPr>
        <w:pStyle w:val="normal0"/>
        <w:numPr>
          <w:ilvl w:val="0"/>
          <w:numId w:val="2"/>
        </w:numPr>
        <w:pBdr>
          <w:top w:val="nil"/>
          <w:left w:val="nil"/>
          <w:bottom w:val="nil"/>
          <w:right w:val="nil"/>
          <w:between w:val="nil"/>
        </w:pBdr>
        <w:spacing w:line="360" w:lineRule="auto"/>
        <w:jc w:val="both"/>
        <w:rPr>
          <w:color w:val="000000"/>
          <w:sz w:val="24"/>
          <w:szCs w:val="24"/>
        </w:rPr>
      </w:pPr>
      <w:r>
        <w:rPr>
          <w:color w:val="000000"/>
          <w:sz w:val="24"/>
          <w:szCs w:val="24"/>
        </w:rPr>
        <w:t>Adoption of the GNG Index as a standardized assessment tool will allow for systematic monitoring of governance and targeted improvement efforts across institutions.</w:t>
      </w:r>
    </w:p>
    <w:p w:rsidR="00475E9D" w:rsidRDefault="008914FF">
      <w:pPr>
        <w:pStyle w:val="normal0"/>
        <w:numPr>
          <w:ilvl w:val="0"/>
          <w:numId w:val="2"/>
        </w:numPr>
        <w:pBdr>
          <w:top w:val="nil"/>
          <w:left w:val="nil"/>
          <w:bottom w:val="nil"/>
          <w:right w:val="nil"/>
          <w:between w:val="nil"/>
        </w:pBdr>
        <w:spacing w:line="360" w:lineRule="auto"/>
        <w:jc w:val="both"/>
        <w:rPr>
          <w:color w:val="000000"/>
          <w:sz w:val="24"/>
          <w:szCs w:val="24"/>
        </w:rPr>
      </w:pPr>
      <w:r>
        <w:rPr>
          <w:color w:val="000000"/>
          <w:sz w:val="24"/>
          <w:szCs w:val="24"/>
        </w:rPr>
        <w:t>Strengthening regulatory enforcement through standardized guidelines and certification systems is essential, alongside the issuance of specific policies to accelerate productive waqf optimization.</w:t>
      </w:r>
    </w:p>
    <w:p w:rsidR="00475E9D" w:rsidRDefault="00475E9D">
      <w:pPr>
        <w:pStyle w:val="normal0"/>
        <w:pBdr>
          <w:top w:val="nil"/>
          <w:left w:val="nil"/>
          <w:bottom w:val="nil"/>
          <w:right w:val="nil"/>
          <w:between w:val="nil"/>
        </w:pBdr>
        <w:spacing w:line="360" w:lineRule="auto"/>
        <w:ind w:left="720"/>
        <w:jc w:val="both"/>
        <w:rPr>
          <w:color w:val="000000"/>
          <w:sz w:val="24"/>
          <w:szCs w:val="24"/>
        </w:rPr>
      </w:pPr>
    </w:p>
    <w:p w:rsidR="00475E9D" w:rsidRDefault="008914FF">
      <w:pPr>
        <w:pStyle w:val="normal0"/>
        <w:pBdr>
          <w:top w:val="nil"/>
          <w:left w:val="nil"/>
          <w:bottom w:val="nil"/>
          <w:right w:val="nil"/>
          <w:between w:val="nil"/>
        </w:pBdr>
        <w:spacing w:line="360" w:lineRule="auto"/>
        <w:ind w:firstLine="284"/>
        <w:jc w:val="both"/>
        <w:rPr>
          <w:color w:val="000000"/>
          <w:sz w:val="24"/>
          <w:szCs w:val="24"/>
        </w:rPr>
      </w:pPr>
      <w:r>
        <w:rPr>
          <w:b/>
          <w:bCs/>
          <w:color w:val="000000"/>
          <w:sz w:val="24"/>
          <w:szCs w:val="24"/>
        </w:rPr>
        <w:lastRenderedPageBreak/>
        <w:t>For Further Research:</w:t>
      </w:r>
    </w:p>
    <w:p w:rsidR="00475E9D" w:rsidRDefault="008914FF">
      <w:pPr>
        <w:pStyle w:val="normal0"/>
        <w:numPr>
          <w:ilvl w:val="0"/>
          <w:numId w:val="3"/>
        </w:numPr>
        <w:pBdr>
          <w:top w:val="nil"/>
          <w:left w:val="nil"/>
          <w:bottom w:val="nil"/>
          <w:right w:val="nil"/>
          <w:between w:val="nil"/>
        </w:pBdr>
        <w:spacing w:line="360" w:lineRule="auto"/>
        <w:jc w:val="both"/>
        <w:rPr>
          <w:color w:val="000000"/>
          <w:sz w:val="24"/>
          <w:szCs w:val="24"/>
        </w:rPr>
      </w:pPr>
      <w:r>
        <w:rPr>
          <w:color w:val="000000"/>
          <w:sz w:val="24"/>
          <w:szCs w:val="24"/>
        </w:rPr>
        <w:t>Future studies should broaden the range of institutions and geographic coverage to enhance the generalizability of governance findings. Comparative analysis across countries would offer valuable perspective on context-specific best practices (Osman &amp; Agyem</w:t>
      </w:r>
      <w:r>
        <w:rPr>
          <w:color w:val="000000"/>
          <w:sz w:val="24"/>
          <w:szCs w:val="24"/>
        </w:rPr>
        <w:t>ang, 2020).</w:t>
      </w:r>
    </w:p>
    <w:p w:rsidR="00475E9D" w:rsidRDefault="008914FF">
      <w:pPr>
        <w:pStyle w:val="normal0"/>
        <w:numPr>
          <w:ilvl w:val="0"/>
          <w:numId w:val="3"/>
        </w:numPr>
        <w:pBdr>
          <w:top w:val="nil"/>
          <w:left w:val="nil"/>
          <w:bottom w:val="nil"/>
          <w:right w:val="nil"/>
          <w:between w:val="nil"/>
        </w:pBdr>
        <w:spacing w:line="360" w:lineRule="auto"/>
        <w:jc w:val="both"/>
        <w:rPr>
          <w:color w:val="000000"/>
          <w:sz w:val="24"/>
          <w:szCs w:val="24"/>
        </w:rPr>
      </w:pPr>
      <w:r>
        <w:rPr>
          <w:color w:val="000000"/>
          <w:sz w:val="24"/>
          <w:szCs w:val="24"/>
        </w:rPr>
        <w:t>Research should also investigate the causal link between governance compliance and waqf asset performance, especially in relation to socio-economic development outcomes.</w:t>
      </w:r>
    </w:p>
    <w:p w:rsidR="00475E9D" w:rsidRDefault="00475E9D">
      <w:pPr>
        <w:pStyle w:val="normal0"/>
        <w:pBdr>
          <w:top w:val="nil"/>
          <w:left w:val="nil"/>
          <w:bottom w:val="nil"/>
          <w:right w:val="nil"/>
          <w:between w:val="nil"/>
        </w:pBdr>
        <w:spacing w:line="360" w:lineRule="auto"/>
        <w:jc w:val="both"/>
        <w:rPr>
          <w:color w:val="000000"/>
          <w:sz w:val="24"/>
          <w:szCs w:val="24"/>
        </w:rPr>
      </w:pPr>
    </w:p>
    <w:p w:rsidR="00475E9D" w:rsidRDefault="008914FF">
      <w:pPr>
        <w:pStyle w:val="Heading1"/>
        <w:spacing w:line="360" w:lineRule="auto"/>
        <w:ind w:left="567" w:hanging="567"/>
        <w:jc w:val="both"/>
        <w:rPr>
          <w:b/>
          <w:bCs/>
          <w:sz w:val="24"/>
          <w:szCs w:val="24"/>
        </w:rPr>
      </w:pPr>
      <w:r>
        <w:rPr>
          <w:b/>
          <w:bCs/>
          <w:i w:val="0"/>
          <w:iCs w:val="0"/>
          <w:color w:val="000000"/>
          <w:sz w:val="24"/>
          <w:szCs w:val="24"/>
        </w:rPr>
        <w:t xml:space="preserve">6. REFERENCES </w:t>
      </w:r>
    </w:p>
    <w:p w:rsidR="00475E9D" w:rsidRDefault="00475E9D">
      <w:pPr>
        <w:pStyle w:val="normal0"/>
        <w:tabs>
          <w:tab w:val="left" w:pos="0"/>
          <w:tab w:val="left" w:pos="562"/>
        </w:tabs>
        <w:spacing w:line="360" w:lineRule="auto"/>
        <w:jc w:val="both"/>
        <w:rPr>
          <w:sz w:val="24"/>
          <w:szCs w:val="24"/>
        </w:rPr>
      </w:pPr>
    </w:p>
    <w:p w:rsidR="00475E9D" w:rsidRDefault="008914FF">
      <w:pPr>
        <w:pStyle w:val="normal0"/>
        <w:tabs>
          <w:tab w:val="left" w:pos="0"/>
          <w:tab w:val="left" w:pos="562"/>
        </w:tabs>
        <w:spacing w:line="360" w:lineRule="auto"/>
        <w:ind w:left="567" w:hanging="567"/>
        <w:jc w:val="both"/>
        <w:rPr>
          <w:sz w:val="24"/>
          <w:szCs w:val="24"/>
        </w:rPr>
      </w:pPr>
      <w:r>
        <w:rPr>
          <w:sz w:val="24"/>
          <w:szCs w:val="24"/>
        </w:rPr>
        <w:t>Aassouli, D., Ebrahim, M., &amp;</w:t>
      </w:r>
      <w:r>
        <w:rPr>
          <w:sz w:val="24"/>
          <w:szCs w:val="24"/>
        </w:rPr>
        <w:t xml:space="preserve"> Basiruddin, R. (2018). Can ugits promote liquidity management and sustainable development?. Isra International Journal of Islamic Finance, 10(2), 126-142. https://doi.org/10.1108/ijif-12-2017-0055</w:t>
      </w:r>
    </w:p>
    <w:p w:rsidR="00475E9D" w:rsidRDefault="008914FF">
      <w:pPr>
        <w:pStyle w:val="normal0"/>
        <w:tabs>
          <w:tab w:val="left" w:pos="0"/>
          <w:tab w:val="left" w:pos="562"/>
        </w:tabs>
        <w:spacing w:line="360" w:lineRule="auto"/>
        <w:ind w:left="567" w:hanging="567"/>
        <w:jc w:val="both"/>
        <w:rPr>
          <w:sz w:val="24"/>
          <w:szCs w:val="24"/>
        </w:rPr>
      </w:pPr>
      <w:r>
        <w:rPr>
          <w:sz w:val="24"/>
          <w:szCs w:val="24"/>
        </w:rPr>
        <w:t>Aini, Z. (2024). Cash waqf for microfinance: a bibliometri</w:t>
      </w:r>
      <w:r>
        <w:rPr>
          <w:sz w:val="24"/>
          <w:szCs w:val="24"/>
        </w:rPr>
        <w:t>c analysis. Jurnal Ekonomi Dan Bisnis Airlangga, 34(1), 148-164. https://doi.org/10.20473/jeba.v34i12024.148-164</w:t>
      </w:r>
    </w:p>
    <w:p w:rsidR="00475E9D" w:rsidRDefault="008914FF">
      <w:pPr>
        <w:pStyle w:val="normal0"/>
        <w:tabs>
          <w:tab w:val="left" w:pos="0"/>
          <w:tab w:val="left" w:pos="562"/>
        </w:tabs>
        <w:spacing w:line="360" w:lineRule="auto"/>
        <w:ind w:left="567" w:hanging="567"/>
        <w:jc w:val="both"/>
        <w:rPr>
          <w:sz w:val="24"/>
          <w:szCs w:val="24"/>
        </w:rPr>
      </w:pPr>
      <w:r>
        <w:rPr>
          <w:sz w:val="24"/>
          <w:szCs w:val="24"/>
        </w:rPr>
        <w:t>Al-Qosimi, M., Amrin, A., &amp; Saepudin, D. (2022). Wakf of money in sharia economic law perspective: study of human resource management in indone</w:t>
      </w:r>
      <w:r>
        <w:rPr>
          <w:sz w:val="24"/>
          <w:szCs w:val="24"/>
        </w:rPr>
        <w:t>sian waqf savings dompet dhuafa. Profetika Jurnal Studi Islam, 249-264. https://doi.org/10.23917/profetika.v23i2.19659</w:t>
      </w:r>
    </w:p>
    <w:p w:rsidR="00475E9D" w:rsidRDefault="008914FF">
      <w:pPr>
        <w:pStyle w:val="normal0"/>
        <w:tabs>
          <w:tab w:val="left" w:pos="0"/>
          <w:tab w:val="left" w:pos="562"/>
        </w:tabs>
        <w:spacing w:line="360" w:lineRule="auto"/>
        <w:ind w:left="567" w:hanging="567"/>
        <w:jc w:val="both"/>
        <w:rPr>
          <w:sz w:val="24"/>
          <w:szCs w:val="24"/>
        </w:rPr>
      </w:pPr>
      <w:r>
        <w:rPr>
          <w:sz w:val="24"/>
          <w:szCs w:val="24"/>
        </w:rPr>
        <w:t>Ascarya, A., Hosen, M., &amp; Rahmawati, S. (2022). Designing simple productive waqf models for indonesia. International Journal of Ethics an</w:t>
      </w:r>
      <w:r>
        <w:rPr>
          <w:sz w:val="24"/>
          <w:szCs w:val="24"/>
        </w:rPr>
        <w:t>d Systems, 38(3), 380-401. https://doi.org/10.1108/ijoes-07-2020-0101</w:t>
      </w:r>
    </w:p>
    <w:p w:rsidR="00475E9D" w:rsidRDefault="008914FF">
      <w:pPr>
        <w:pStyle w:val="normal0"/>
        <w:tabs>
          <w:tab w:val="left" w:pos="0"/>
          <w:tab w:val="left" w:pos="562"/>
        </w:tabs>
        <w:spacing w:line="360" w:lineRule="auto"/>
        <w:ind w:left="567" w:hanging="567"/>
        <w:jc w:val="both"/>
        <w:rPr>
          <w:sz w:val="24"/>
          <w:szCs w:val="24"/>
        </w:rPr>
      </w:pPr>
      <w:r>
        <w:rPr>
          <w:sz w:val="24"/>
          <w:szCs w:val="24"/>
        </w:rPr>
        <w:t>As-Salafiyah, A. and Rusydiana, A. (2022). The potency of pesantren economics. ERP, 1(1). https://doi.org/10.58968/erp.v1i1.124</w:t>
      </w:r>
    </w:p>
    <w:p w:rsidR="00475E9D" w:rsidRDefault="008914FF">
      <w:pPr>
        <w:pStyle w:val="normal0"/>
        <w:tabs>
          <w:tab w:val="left" w:pos="0"/>
          <w:tab w:val="left" w:pos="562"/>
        </w:tabs>
        <w:spacing w:line="360" w:lineRule="auto"/>
        <w:ind w:left="567" w:hanging="567"/>
        <w:jc w:val="both"/>
        <w:rPr>
          <w:sz w:val="24"/>
          <w:szCs w:val="24"/>
        </w:rPr>
      </w:pPr>
      <w:r>
        <w:rPr>
          <w:sz w:val="24"/>
          <w:szCs w:val="24"/>
        </w:rPr>
        <w:t>Boholm, Å., Möller, N., &amp; Hansson, S. O. (2016). The conce</w:t>
      </w:r>
      <w:r>
        <w:rPr>
          <w:sz w:val="24"/>
          <w:szCs w:val="24"/>
        </w:rPr>
        <w:t>pts of risk, safety, and security: Applications in everyday language. Risk Analysis, 36(2), 320-338. https://doi.org/10.1111/risa.12464</w:t>
      </w:r>
    </w:p>
    <w:p w:rsidR="00475E9D" w:rsidRDefault="008914FF">
      <w:pPr>
        <w:pStyle w:val="normal0"/>
        <w:tabs>
          <w:tab w:val="left" w:pos="0"/>
          <w:tab w:val="left" w:pos="562"/>
        </w:tabs>
        <w:spacing w:line="360" w:lineRule="auto"/>
        <w:ind w:left="567" w:hanging="567"/>
        <w:jc w:val="both"/>
        <w:rPr>
          <w:sz w:val="24"/>
          <w:szCs w:val="24"/>
        </w:rPr>
      </w:pPr>
      <w:r>
        <w:rPr>
          <w:sz w:val="24"/>
          <w:szCs w:val="24"/>
        </w:rPr>
        <w:t>Budalamah, L. H., El-Kholei, A. O., &amp;</w:t>
      </w:r>
      <w:r>
        <w:rPr>
          <w:sz w:val="24"/>
          <w:szCs w:val="24"/>
        </w:rPr>
        <w:t xml:space="preserve"> Al-Jayyousi, O. (2019). Harnessing value-based financing for achieving sdgs: social innovation model for arab municipalities. Arab Gulf Journal of Scientific Research, 1-19. https://doi.org/10.51758/agjsr-03-2019-0009</w:t>
      </w:r>
    </w:p>
    <w:p w:rsidR="00475E9D" w:rsidRDefault="008914FF">
      <w:pPr>
        <w:pStyle w:val="normal0"/>
        <w:tabs>
          <w:tab w:val="left" w:pos="0"/>
          <w:tab w:val="left" w:pos="562"/>
        </w:tabs>
        <w:spacing w:line="360" w:lineRule="auto"/>
        <w:ind w:left="567" w:hanging="567"/>
        <w:jc w:val="both"/>
        <w:rPr>
          <w:sz w:val="24"/>
          <w:szCs w:val="24"/>
        </w:rPr>
      </w:pPr>
      <w:r>
        <w:rPr>
          <w:sz w:val="24"/>
          <w:szCs w:val="24"/>
        </w:rPr>
        <w:t>Cahyono, E. (2020). The role of finan</w:t>
      </w:r>
      <w:r>
        <w:rPr>
          <w:sz w:val="24"/>
          <w:szCs w:val="24"/>
        </w:rPr>
        <w:t>cial institutions and social security for indonesian household opportunities to opens businesses. Jurnal Ekonomi Dan Bisnis Islam (Journal of Islamic Economics and Business), 6(2), 273. https://doi.org/10.20473/jebis.v6i2.23112</w:t>
      </w:r>
    </w:p>
    <w:p w:rsidR="00475E9D" w:rsidRDefault="008914FF">
      <w:pPr>
        <w:pStyle w:val="normal0"/>
        <w:tabs>
          <w:tab w:val="left" w:pos="0"/>
          <w:tab w:val="left" w:pos="562"/>
        </w:tabs>
        <w:spacing w:line="360" w:lineRule="auto"/>
        <w:ind w:left="567" w:hanging="567"/>
        <w:jc w:val="both"/>
        <w:rPr>
          <w:sz w:val="24"/>
          <w:szCs w:val="24"/>
        </w:rPr>
      </w:pPr>
      <w:r>
        <w:rPr>
          <w:sz w:val="24"/>
          <w:szCs w:val="24"/>
        </w:rPr>
        <w:t>Charmaz, K. (2014). Construc</w:t>
      </w:r>
      <w:r>
        <w:rPr>
          <w:sz w:val="24"/>
          <w:szCs w:val="24"/>
        </w:rPr>
        <w:t>ting grounded theory (2nd ed.). London: Sage Publications.</w:t>
      </w:r>
    </w:p>
    <w:p w:rsidR="00475E9D" w:rsidRDefault="008914FF">
      <w:pPr>
        <w:pStyle w:val="normal0"/>
        <w:tabs>
          <w:tab w:val="left" w:pos="0"/>
          <w:tab w:val="left" w:pos="562"/>
        </w:tabs>
        <w:spacing w:line="360" w:lineRule="auto"/>
        <w:ind w:left="567" w:hanging="567"/>
        <w:jc w:val="both"/>
        <w:rPr>
          <w:sz w:val="24"/>
          <w:szCs w:val="24"/>
        </w:rPr>
      </w:pPr>
      <w:r>
        <w:rPr>
          <w:sz w:val="24"/>
          <w:szCs w:val="24"/>
        </w:rPr>
        <w:lastRenderedPageBreak/>
        <w:t>Effendi, M. (2020). Development of cash waqf benefits synergy foundation in the economic empowerment of the ummat. Amwaluna Jurnal Ekonomi Dan Keuangan Syariah, 5(1), 29-39. https://doi.org/10.2931</w:t>
      </w:r>
      <w:r>
        <w:rPr>
          <w:sz w:val="24"/>
          <w:szCs w:val="24"/>
        </w:rPr>
        <w:t>3/amwaluna.v5i1.6916</w:t>
      </w:r>
    </w:p>
    <w:p w:rsidR="00475E9D" w:rsidRDefault="008914FF">
      <w:pPr>
        <w:pStyle w:val="normal0"/>
        <w:tabs>
          <w:tab w:val="left" w:pos="0"/>
          <w:tab w:val="left" w:pos="562"/>
        </w:tabs>
        <w:spacing w:line="360" w:lineRule="auto"/>
        <w:ind w:left="567" w:hanging="567"/>
        <w:jc w:val="both"/>
        <w:rPr>
          <w:sz w:val="24"/>
          <w:szCs w:val="24"/>
        </w:rPr>
      </w:pPr>
      <w:r>
        <w:rPr>
          <w:sz w:val="24"/>
          <w:szCs w:val="24"/>
        </w:rPr>
        <w:t>Faizi, F., Kusuma, A. S., &amp; Widodo, P. (2024). Islamic green finance: mapping the climate funding landscape in indonesia. International Journal of Ethics and Systems, 40(4), 711-733. https://doi.org/10.1108/ijoes-08-2023-0189</w:t>
      </w:r>
    </w:p>
    <w:p w:rsidR="00475E9D" w:rsidRDefault="008914FF">
      <w:pPr>
        <w:pStyle w:val="normal0"/>
        <w:tabs>
          <w:tab w:val="left" w:pos="0"/>
          <w:tab w:val="left" w:pos="562"/>
        </w:tabs>
        <w:spacing w:line="360" w:lineRule="auto"/>
        <w:ind w:left="567" w:hanging="567"/>
        <w:jc w:val="both"/>
        <w:rPr>
          <w:sz w:val="24"/>
          <w:szCs w:val="24"/>
        </w:rPr>
      </w:pPr>
      <w:r>
        <w:rPr>
          <w:sz w:val="24"/>
          <w:szCs w:val="24"/>
        </w:rPr>
        <w:t>Fathurrah</w:t>
      </w:r>
      <w:r>
        <w:rPr>
          <w:sz w:val="24"/>
          <w:szCs w:val="24"/>
        </w:rPr>
        <w:t>man, A. (2023). The contribution of waqf forests on sustainable development goals. Jurnal Ilmiah Ekonomi Islam, 9(3), 4684. https://doi.org/10.29040/jiei.v9i3.10606</w:t>
      </w:r>
    </w:p>
    <w:p w:rsidR="00475E9D" w:rsidRDefault="008914FF">
      <w:pPr>
        <w:pStyle w:val="normal0"/>
        <w:tabs>
          <w:tab w:val="left" w:pos="0"/>
          <w:tab w:val="left" w:pos="562"/>
        </w:tabs>
        <w:spacing w:line="360" w:lineRule="auto"/>
        <w:ind w:left="567" w:hanging="567"/>
        <w:jc w:val="both"/>
        <w:rPr>
          <w:sz w:val="24"/>
          <w:szCs w:val="24"/>
        </w:rPr>
      </w:pPr>
      <w:r>
        <w:rPr>
          <w:sz w:val="24"/>
          <w:szCs w:val="24"/>
        </w:rPr>
        <w:t xml:space="preserve">Furstenberger, P., Hidayat, S., &amp; HWA, A. (2017). The role of waqf in financing education: </w:t>
      </w:r>
      <w:r>
        <w:rPr>
          <w:sz w:val="24"/>
          <w:szCs w:val="24"/>
        </w:rPr>
        <w:t xml:space="preserve">a case study </w:t>
      </w:r>
    </w:p>
    <w:p w:rsidR="00475E9D" w:rsidRDefault="008914FF">
      <w:pPr>
        <w:pStyle w:val="normal0"/>
        <w:tabs>
          <w:tab w:val="left" w:pos="0"/>
          <w:tab w:val="left" w:pos="562"/>
        </w:tabs>
        <w:spacing w:line="360" w:lineRule="auto"/>
        <w:ind w:left="567" w:hanging="567"/>
        <w:jc w:val="both"/>
        <w:rPr>
          <w:sz w:val="24"/>
          <w:szCs w:val="24"/>
        </w:rPr>
      </w:pPr>
      <w:r>
        <w:rPr>
          <w:sz w:val="24"/>
          <w:szCs w:val="24"/>
        </w:rPr>
        <w:t>Gündoğdu, A. (2018). Determinants of success in islamic public-private partnership projects (ppps) in the context of sdgs. Turkish Journal of Islamic Economics, 6(2), 25-43. https://doi.org/10.26414/a055</w:t>
      </w:r>
    </w:p>
    <w:p w:rsidR="00475E9D" w:rsidRDefault="008914FF">
      <w:pPr>
        <w:pStyle w:val="normal0"/>
        <w:tabs>
          <w:tab w:val="left" w:pos="0"/>
          <w:tab w:val="left" w:pos="562"/>
        </w:tabs>
        <w:spacing w:line="360" w:lineRule="auto"/>
        <w:ind w:left="567" w:hanging="567"/>
        <w:jc w:val="both"/>
        <w:rPr>
          <w:sz w:val="24"/>
          <w:szCs w:val="24"/>
        </w:rPr>
      </w:pPr>
      <w:r>
        <w:rPr>
          <w:sz w:val="24"/>
          <w:szCs w:val="24"/>
        </w:rPr>
        <w:t>Harianto, S., Ramadhan, M., &amp; Soemitra</w:t>
      </w:r>
      <w:r>
        <w:rPr>
          <w:sz w:val="24"/>
          <w:szCs w:val="24"/>
        </w:rPr>
        <w:t>, A. (2024). Micro waqf bank innovation models in aceh. Share Jurnal Ekonomi Dan Keuangan Islam, 13(1), 1-23. https://doi.org/10.22373/share.v13i1.19718</w:t>
      </w:r>
    </w:p>
    <w:p w:rsidR="00475E9D" w:rsidRDefault="008914FF">
      <w:pPr>
        <w:pStyle w:val="normal0"/>
        <w:tabs>
          <w:tab w:val="left" w:pos="0"/>
          <w:tab w:val="left" w:pos="562"/>
        </w:tabs>
        <w:spacing w:line="360" w:lineRule="auto"/>
        <w:ind w:left="567" w:hanging="567"/>
        <w:jc w:val="both"/>
        <w:rPr>
          <w:sz w:val="24"/>
          <w:szCs w:val="24"/>
        </w:rPr>
      </w:pPr>
      <w:r>
        <w:rPr>
          <w:sz w:val="24"/>
          <w:szCs w:val="24"/>
        </w:rPr>
        <w:t>Hayati, I., Sihotang, M., &amp; Hamdani, L. (2022). Management model of cash waqf for university. Indonesia</w:t>
      </w:r>
      <w:r>
        <w:rPr>
          <w:sz w:val="24"/>
          <w:szCs w:val="24"/>
        </w:rPr>
        <w:t>n Interdisciplinary Journal of Sharia Economics (Iijse), 5(2), 784-800. https://doi.org/10.31538/iijse.v5i2.2356</w:t>
      </w:r>
    </w:p>
    <w:p w:rsidR="00475E9D" w:rsidRDefault="008914FF">
      <w:pPr>
        <w:pStyle w:val="normal0"/>
        <w:tabs>
          <w:tab w:val="left" w:pos="0"/>
          <w:tab w:val="left" w:pos="562"/>
        </w:tabs>
        <w:spacing w:line="360" w:lineRule="auto"/>
        <w:ind w:left="567" w:hanging="567"/>
        <w:jc w:val="both"/>
        <w:rPr>
          <w:sz w:val="24"/>
          <w:szCs w:val="24"/>
        </w:rPr>
      </w:pPr>
      <w:r>
        <w:rPr>
          <w:sz w:val="24"/>
          <w:szCs w:val="24"/>
        </w:rPr>
        <w:t>Khan, T. and Badjie, F. (2020). Islamic blended finance for circular economy impactful smes to achieve sdgs. The Singapore Economic Review, 67(</w:t>
      </w:r>
      <w:r>
        <w:rPr>
          <w:sz w:val="24"/>
          <w:szCs w:val="24"/>
        </w:rPr>
        <w:t>01), 219-244. https://doi.org/10.1142/s0217590820420060</w:t>
      </w:r>
    </w:p>
    <w:p w:rsidR="00475E9D" w:rsidRDefault="008914FF">
      <w:pPr>
        <w:pStyle w:val="normal0"/>
        <w:tabs>
          <w:tab w:val="left" w:pos="0"/>
          <w:tab w:val="left" w:pos="562"/>
        </w:tabs>
        <w:spacing w:line="360" w:lineRule="auto"/>
        <w:ind w:left="567" w:hanging="567"/>
        <w:jc w:val="both"/>
        <w:rPr>
          <w:sz w:val="24"/>
          <w:szCs w:val="24"/>
        </w:rPr>
      </w:pPr>
      <w:r>
        <w:rPr>
          <w:sz w:val="24"/>
          <w:szCs w:val="24"/>
        </w:rPr>
        <w:t xml:space="preserve">Laldin, M. A., &amp; Djafri, F. (2021). The role of Islamic finance in achieving sustainable development goals (SDGs). In Islamic Finance and Sustainable Development: A Sustainable Economic Framework for </w:t>
      </w:r>
      <w:r>
        <w:rPr>
          <w:sz w:val="24"/>
          <w:szCs w:val="24"/>
        </w:rPr>
        <w:t>Muslim and Non-Muslim Countries (pp. 107–126). Springer. https://doi.org/10.1007/978-3-030-60002-1_6</w:t>
      </w:r>
    </w:p>
    <w:p w:rsidR="00475E9D" w:rsidRDefault="008914FF">
      <w:pPr>
        <w:pStyle w:val="normal0"/>
        <w:tabs>
          <w:tab w:val="left" w:pos="0"/>
          <w:tab w:val="left" w:pos="562"/>
        </w:tabs>
        <w:spacing w:line="360" w:lineRule="auto"/>
        <w:ind w:left="567" w:hanging="567"/>
        <w:jc w:val="both"/>
        <w:rPr>
          <w:sz w:val="24"/>
          <w:szCs w:val="24"/>
        </w:rPr>
      </w:pPr>
      <w:r>
        <w:rPr>
          <w:sz w:val="24"/>
          <w:szCs w:val="24"/>
        </w:rPr>
        <w:t>Madani, H. A., Alotaibi, K. O., &amp; Alhammadi, S. (2020). The role of sukuk in achieving sustainable development: evidence from the islamic development bank.</w:t>
      </w:r>
      <w:r>
        <w:rPr>
          <w:sz w:val="24"/>
          <w:szCs w:val="24"/>
        </w:rPr>
        <w:t xml:space="preserve"> Banks and Bank Systems, 15(4), 36-48. https://doi.org/10.21511/bbs.15(4).2020.04</w:t>
      </w:r>
    </w:p>
    <w:p w:rsidR="00475E9D" w:rsidRDefault="008914FF">
      <w:pPr>
        <w:pStyle w:val="normal0"/>
        <w:tabs>
          <w:tab w:val="left" w:pos="0"/>
          <w:tab w:val="left" w:pos="562"/>
        </w:tabs>
        <w:spacing w:line="360" w:lineRule="auto"/>
        <w:ind w:left="567" w:hanging="567"/>
        <w:jc w:val="both"/>
        <w:rPr>
          <w:sz w:val="24"/>
          <w:szCs w:val="24"/>
        </w:rPr>
      </w:pPr>
      <w:r>
        <w:rPr>
          <w:sz w:val="24"/>
          <w:szCs w:val="24"/>
        </w:rPr>
        <w:t xml:space="preserve">Mardani, A., Jusoh, A., &amp; Zavadskas, E. K. (2015). Fuzzy multiple criteria decision-making techniques and applications – Two decades review from 1994 to 2014. Expert Systems </w:t>
      </w:r>
      <w:r>
        <w:rPr>
          <w:sz w:val="24"/>
          <w:szCs w:val="24"/>
        </w:rPr>
        <w:t>with Applications, 42(8), 4126–4148. http://doi.org/10.1016/j.eswa.2015.01.003</w:t>
      </w:r>
    </w:p>
    <w:p w:rsidR="00475E9D" w:rsidRDefault="008914FF">
      <w:pPr>
        <w:pStyle w:val="normal0"/>
        <w:tabs>
          <w:tab w:val="left" w:pos="0"/>
          <w:tab w:val="left" w:pos="562"/>
        </w:tabs>
        <w:spacing w:line="360" w:lineRule="auto"/>
        <w:ind w:left="567" w:hanging="567"/>
        <w:jc w:val="both"/>
        <w:rPr>
          <w:sz w:val="24"/>
          <w:szCs w:val="24"/>
        </w:rPr>
      </w:pPr>
      <w:r>
        <w:rPr>
          <w:sz w:val="24"/>
          <w:szCs w:val="24"/>
        </w:rPr>
        <w:t xml:space="preserve">Misbah, H., Johari, F., Nor, F. M., Haron, H., Shahwan, S., &amp; Shafii, Z. (2022). Sustainable development, regional planning, and information management as an evolving theme in </w:t>
      </w:r>
      <w:r>
        <w:rPr>
          <w:sz w:val="24"/>
          <w:szCs w:val="24"/>
        </w:rPr>
        <w:lastRenderedPageBreak/>
        <w:t>w</w:t>
      </w:r>
      <w:r>
        <w:rPr>
          <w:sz w:val="24"/>
          <w:szCs w:val="24"/>
        </w:rPr>
        <w:t>aqf research: a bibliometric analysis. Sustainability, 14(21), 14126. https://doi.org/10.3390/su142114126</w:t>
      </w:r>
    </w:p>
    <w:p w:rsidR="00475E9D" w:rsidRDefault="008914FF">
      <w:pPr>
        <w:pStyle w:val="normal0"/>
        <w:tabs>
          <w:tab w:val="left" w:pos="0"/>
          <w:tab w:val="left" w:pos="562"/>
        </w:tabs>
        <w:spacing w:line="360" w:lineRule="auto"/>
        <w:ind w:left="567" w:hanging="567"/>
        <w:jc w:val="both"/>
        <w:rPr>
          <w:sz w:val="24"/>
          <w:szCs w:val="24"/>
        </w:rPr>
      </w:pPr>
      <w:r>
        <w:rPr>
          <w:sz w:val="24"/>
          <w:szCs w:val="24"/>
        </w:rPr>
        <w:t>Mutmainah L, Nurwahidin N, Huda N (2025;), "Optimizing productive waqf for halal tourism development". Journal of Islamic Accounting and Business Rese</w:t>
      </w:r>
      <w:r>
        <w:rPr>
          <w:sz w:val="24"/>
          <w:szCs w:val="24"/>
        </w:rPr>
        <w:t>arch, Vol. ahead-of-print No. ahead-of-print. https://doi.org/10.1108/JIABR-02-2023-0062</w:t>
      </w:r>
    </w:p>
    <w:p w:rsidR="00475E9D" w:rsidRDefault="008914FF">
      <w:pPr>
        <w:pStyle w:val="normal0"/>
        <w:tabs>
          <w:tab w:val="left" w:pos="0"/>
          <w:tab w:val="left" w:pos="562"/>
        </w:tabs>
        <w:spacing w:line="360" w:lineRule="auto"/>
        <w:ind w:left="567" w:hanging="567"/>
        <w:jc w:val="both"/>
        <w:rPr>
          <w:sz w:val="24"/>
          <w:szCs w:val="24"/>
        </w:rPr>
      </w:pPr>
      <w:r>
        <w:rPr>
          <w:sz w:val="24"/>
          <w:szCs w:val="24"/>
        </w:rPr>
        <w:t>Noordin, N. H., Haron, S. N., &amp; Kassim, S. (2017). Developing a comprehensive performance measurement system for waqf institutions. International Journal of Social Eco</w:t>
      </w:r>
      <w:r>
        <w:rPr>
          <w:sz w:val="24"/>
          <w:szCs w:val="24"/>
        </w:rPr>
        <w:t>nomics, 44(7), 921–936. https://doi.org/10.1108/IJSE-09-2015-0257</w:t>
      </w:r>
    </w:p>
    <w:p w:rsidR="00475E9D" w:rsidRDefault="008914FF">
      <w:pPr>
        <w:pStyle w:val="normal0"/>
        <w:tabs>
          <w:tab w:val="left" w:pos="0"/>
          <w:tab w:val="left" w:pos="562"/>
        </w:tabs>
        <w:spacing w:line="360" w:lineRule="auto"/>
        <w:ind w:left="567" w:hanging="567"/>
        <w:jc w:val="both"/>
        <w:rPr>
          <w:sz w:val="24"/>
          <w:szCs w:val="24"/>
        </w:rPr>
      </w:pPr>
      <w:r>
        <w:rPr>
          <w:sz w:val="24"/>
          <w:szCs w:val="24"/>
        </w:rPr>
        <w:tab/>
      </w:r>
      <w:r>
        <w:rPr>
          <w:sz w:val="24"/>
          <w:szCs w:val="24"/>
        </w:rPr>
        <w:tab/>
      </w:r>
      <w:r>
        <w:rPr>
          <w:sz w:val="24"/>
          <w:szCs w:val="24"/>
        </w:rPr>
        <w:tab/>
      </w:r>
      <w:r>
        <w:rPr>
          <w:sz w:val="24"/>
          <w:szCs w:val="24"/>
        </w:rPr>
        <w:tab/>
      </w:r>
      <w:r>
        <w:rPr>
          <w:sz w:val="24"/>
          <w:szCs w:val="24"/>
        </w:rPr>
        <w:tab/>
      </w:r>
    </w:p>
    <w:p w:rsidR="00475E9D" w:rsidRDefault="008914FF">
      <w:pPr>
        <w:pStyle w:val="normal0"/>
        <w:tabs>
          <w:tab w:val="left" w:pos="0"/>
          <w:tab w:val="left" w:pos="562"/>
        </w:tabs>
        <w:spacing w:line="360" w:lineRule="auto"/>
        <w:ind w:left="567" w:hanging="567"/>
        <w:jc w:val="both"/>
        <w:rPr>
          <w:sz w:val="24"/>
          <w:szCs w:val="24"/>
        </w:rPr>
      </w:pPr>
      <w:r>
        <w:rPr>
          <w:sz w:val="24"/>
          <w:szCs w:val="24"/>
        </w:rPr>
        <w:t>Onwuegbuzie, A. J., Forzani, E., &amp; Corrigan, J. A. (2023). A fully integrated systematic review of mixed-methods design-based research. Journal of Mixed Methods Studies, 8(1), 24–51. d</w:t>
      </w:r>
      <w:r>
        <w:rPr>
          <w:sz w:val="24"/>
          <w:szCs w:val="24"/>
        </w:rPr>
        <w:t>oi:10.14689/jomes.2023.4.1</w:t>
      </w:r>
    </w:p>
    <w:p w:rsidR="00475E9D" w:rsidRDefault="008914FF">
      <w:pPr>
        <w:pStyle w:val="normal0"/>
        <w:tabs>
          <w:tab w:val="left" w:pos="0"/>
          <w:tab w:val="left" w:pos="562"/>
        </w:tabs>
        <w:spacing w:line="360" w:lineRule="auto"/>
        <w:ind w:left="567" w:hanging="567"/>
        <w:jc w:val="both"/>
        <w:rPr>
          <w:sz w:val="24"/>
          <w:szCs w:val="24"/>
        </w:rPr>
      </w:pPr>
      <w:r>
        <w:rPr>
          <w:sz w:val="24"/>
          <w:szCs w:val="24"/>
        </w:rPr>
        <w:t>Osman, A. Z., &amp; Agyemang, G. (2020). Privileging downward accountability in waqf management. Journal of Islamic Accounting and Business Research, 11(3), 533–554. https://doi.org/10.1108/JIABR-05-2017-0064</w:t>
      </w:r>
    </w:p>
    <w:p w:rsidR="00475E9D" w:rsidRDefault="008914FF">
      <w:pPr>
        <w:pStyle w:val="normal0"/>
        <w:tabs>
          <w:tab w:val="left" w:pos="0"/>
          <w:tab w:val="left" w:pos="562"/>
        </w:tabs>
        <w:spacing w:line="360" w:lineRule="auto"/>
        <w:ind w:left="567" w:hanging="567"/>
        <w:jc w:val="both"/>
        <w:rPr>
          <w:sz w:val="24"/>
          <w:szCs w:val="24"/>
        </w:rPr>
      </w:pPr>
      <w:r>
        <w:rPr>
          <w:sz w:val="24"/>
          <w:szCs w:val="24"/>
        </w:rPr>
        <w:t>Qadri, R. A. (2019). Din</w:t>
      </w:r>
      <w:r>
        <w:rPr>
          <w:sz w:val="24"/>
          <w:szCs w:val="24"/>
        </w:rPr>
        <w:t>amika Institusional dalam Implementasi Standar Akuntansi Entitas Nirlaba pada Masjid. Jurnal Substansi, 3(2), 167–187.</w:t>
      </w:r>
    </w:p>
    <w:p w:rsidR="00475E9D" w:rsidRDefault="008914FF">
      <w:pPr>
        <w:pStyle w:val="normal0"/>
        <w:tabs>
          <w:tab w:val="left" w:pos="0"/>
          <w:tab w:val="left" w:pos="562"/>
        </w:tabs>
        <w:spacing w:line="360" w:lineRule="auto"/>
        <w:ind w:left="567" w:hanging="567"/>
        <w:jc w:val="both"/>
        <w:rPr>
          <w:sz w:val="24"/>
          <w:szCs w:val="24"/>
        </w:rPr>
      </w:pPr>
      <w:r>
        <w:rPr>
          <w:sz w:val="24"/>
          <w:szCs w:val="24"/>
        </w:rPr>
        <w:t>Qadri, R. A., Pratama, R. H., Khabibi, A., &amp; Pratama, R. S. (2024). Refining the cash-waqf blended finance model for infrastructure devel</w:t>
      </w:r>
      <w:r>
        <w:rPr>
          <w:sz w:val="24"/>
          <w:szCs w:val="24"/>
        </w:rPr>
        <w:t xml:space="preserve">opment. Management and Accounting Review, 23(1), 279–305. </w:t>
      </w:r>
      <w:hyperlink r:id="rId9">
        <w:r>
          <w:rPr>
            <w:color w:val="0000FF"/>
            <w:sz w:val="24"/>
            <w:szCs w:val="24"/>
            <w:u w:val="single"/>
          </w:rPr>
          <w:t>https://doi.org/10.24191/mar.v23i01-09</w:t>
        </w:r>
      </w:hyperlink>
    </w:p>
    <w:p w:rsidR="00475E9D" w:rsidRDefault="008914FF">
      <w:pPr>
        <w:pStyle w:val="normal0"/>
        <w:tabs>
          <w:tab w:val="left" w:pos="0"/>
          <w:tab w:val="left" w:pos="562"/>
        </w:tabs>
        <w:spacing w:line="360" w:lineRule="auto"/>
        <w:ind w:left="567" w:hanging="567"/>
        <w:jc w:val="both"/>
        <w:rPr>
          <w:sz w:val="24"/>
          <w:szCs w:val="24"/>
        </w:rPr>
      </w:pPr>
      <w:r>
        <w:rPr>
          <w:sz w:val="24"/>
          <w:szCs w:val="24"/>
        </w:rPr>
        <w:t>Raimi, L., Abdur-Rauf, I. A., &amp; Ashafa, S. A. (2024). Does Islamic sustainable finance support sustaina</w:t>
      </w:r>
      <w:r>
        <w:rPr>
          <w:sz w:val="24"/>
          <w:szCs w:val="24"/>
        </w:rPr>
        <w:t xml:space="preserve">ble development goals to avert financial risk in the management of Islamic finance products? </w:t>
      </w:r>
      <w:r>
        <w:rPr>
          <w:i/>
          <w:iCs/>
          <w:sz w:val="24"/>
          <w:szCs w:val="24"/>
        </w:rPr>
        <w:t>Journal of Risk and Financial Management, 17</w:t>
      </w:r>
      <w:r>
        <w:rPr>
          <w:sz w:val="24"/>
          <w:szCs w:val="24"/>
        </w:rPr>
        <w:t>(6), 1–15. https://doi.org/10.3390/jrfm17060115</w:t>
      </w:r>
    </w:p>
    <w:p w:rsidR="00475E9D" w:rsidRDefault="008914FF">
      <w:pPr>
        <w:pStyle w:val="normal0"/>
        <w:tabs>
          <w:tab w:val="left" w:pos="0"/>
          <w:tab w:val="left" w:pos="562"/>
        </w:tabs>
        <w:spacing w:line="360" w:lineRule="auto"/>
        <w:ind w:left="567" w:hanging="567"/>
        <w:jc w:val="both"/>
        <w:rPr>
          <w:sz w:val="24"/>
          <w:szCs w:val="24"/>
        </w:rPr>
      </w:pPr>
      <w:r>
        <w:rPr>
          <w:sz w:val="24"/>
          <w:szCs w:val="24"/>
        </w:rPr>
        <w:t xml:space="preserve">Razak, S. H. A. (2020). Zakat and waqf as instrument of Islamic wealth </w:t>
      </w:r>
      <w:r>
        <w:rPr>
          <w:sz w:val="24"/>
          <w:szCs w:val="24"/>
        </w:rPr>
        <w:t>in poverty alleviation and redistribution: Case of Malaysia. International Journal of Sociology and Social Policy, 40(3/4), 249–266.</w:t>
      </w:r>
    </w:p>
    <w:p w:rsidR="00475E9D" w:rsidRDefault="008914FF">
      <w:pPr>
        <w:pStyle w:val="normal0"/>
        <w:tabs>
          <w:tab w:val="left" w:pos="0"/>
          <w:tab w:val="left" w:pos="562"/>
        </w:tabs>
        <w:spacing w:line="360" w:lineRule="auto"/>
        <w:ind w:left="567" w:hanging="567"/>
        <w:jc w:val="both"/>
        <w:rPr>
          <w:sz w:val="24"/>
          <w:szCs w:val="24"/>
        </w:rPr>
      </w:pPr>
      <w:r>
        <w:rPr>
          <w:sz w:val="24"/>
          <w:szCs w:val="24"/>
        </w:rPr>
        <w:t>Rusydiana, A. and Izza, N. (2023). A comprehensive study on the scientific literatures performance of cash waqf linked suku</w:t>
      </w:r>
      <w:r>
        <w:rPr>
          <w:sz w:val="24"/>
          <w:szCs w:val="24"/>
        </w:rPr>
        <w:t xml:space="preserve">k (cwls) using nvivo. Islamic Social Finance, 3(1). </w:t>
      </w:r>
      <w:hyperlink r:id="rId10">
        <w:r>
          <w:rPr>
            <w:color w:val="0000FF"/>
            <w:sz w:val="24"/>
            <w:szCs w:val="24"/>
            <w:u w:val="single"/>
          </w:rPr>
          <w:t>https://doi.org/10.58968/isf.v3i1.214</w:t>
        </w:r>
      </w:hyperlink>
    </w:p>
    <w:p w:rsidR="00475E9D" w:rsidRDefault="008914FF">
      <w:pPr>
        <w:pStyle w:val="normal0"/>
        <w:tabs>
          <w:tab w:val="left" w:pos="0"/>
          <w:tab w:val="left" w:pos="562"/>
        </w:tabs>
        <w:spacing w:line="360" w:lineRule="auto"/>
        <w:ind w:left="567" w:hanging="567"/>
        <w:jc w:val="both"/>
        <w:rPr>
          <w:sz w:val="24"/>
          <w:szCs w:val="24"/>
        </w:rPr>
      </w:pPr>
      <w:r>
        <w:rPr>
          <w:sz w:val="24"/>
          <w:szCs w:val="24"/>
        </w:rPr>
        <w:t>Adam, M. I. A. B., Osman, I. Y. I., Osman, M. E. M. I., Aljounaidi, A., Alharbi, F. S. S. A., Ateik, A., &amp; Jafr</w:t>
      </w:r>
      <w:r>
        <w:rPr>
          <w:sz w:val="24"/>
          <w:szCs w:val="24"/>
        </w:rPr>
        <w:t>e, S. M. B. M. (2024). The Role of Audit Assurance Management on Climate Change Disclosures in Selected Companies in Malaysia: Mediating Role of Artificial Intelligence. Journal of Hunan University Natural Sciences, 51(7).</w:t>
      </w:r>
    </w:p>
    <w:p w:rsidR="00475E9D" w:rsidRDefault="008914FF">
      <w:pPr>
        <w:pStyle w:val="normal0"/>
        <w:tabs>
          <w:tab w:val="left" w:pos="0"/>
          <w:tab w:val="left" w:pos="562"/>
        </w:tabs>
        <w:spacing w:line="360" w:lineRule="auto"/>
        <w:ind w:left="567"/>
        <w:jc w:val="both"/>
        <w:rPr>
          <w:sz w:val="24"/>
          <w:szCs w:val="24"/>
        </w:rPr>
      </w:pPr>
      <w:r>
        <w:rPr>
          <w:sz w:val="24"/>
          <w:szCs w:val="24"/>
        </w:rPr>
        <w:lastRenderedPageBreak/>
        <w:t xml:space="preserve">Adam, M. I. A. B. (2016). Saleh, </w:t>
      </w:r>
      <w:r>
        <w:rPr>
          <w:sz w:val="24"/>
          <w:szCs w:val="24"/>
        </w:rPr>
        <w:t>&amp; Hilal Yusef,“The role of international financial reporting standards in limiting profit management practices in banks’ financial statements”. SUST Journal of Economic Sciences, 17(2), 110-127.</w:t>
      </w:r>
    </w:p>
    <w:p w:rsidR="00475E9D" w:rsidRDefault="008914FF">
      <w:pPr>
        <w:pStyle w:val="normal0"/>
        <w:tabs>
          <w:tab w:val="left" w:pos="0"/>
          <w:tab w:val="left" w:pos="562"/>
        </w:tabs>
        <w:spacing w:line="360" w:lineRule="auto"/>
        <w:ind w:left="567" w:hanging="567"/>
        <w:jc w:val="both"/>
        <w:rPr>
          <w:sz w:val="24"/>
          <w:szCs w:val="24"/>
        </w:rPr>
      </w:pPr>
      <w:r>
        <w:rPr>
          <w:sz w:val="24"/>
          <w:szCs w:val="24"/>
        </w:rPr>
        <w:t>Rusydiana, A. S., Sukmana, R., &amp;</w:t>
      </w:r>
      <w:r>
        <w:rPr>
          <w:sz w:val="24"/>
          <w:szCs w:val="24"/>
        </w:rPr>
        <w:t xml:space="preserve"> Laila, N. (2023). Waqf and partnerships for the goals (sdg-17): a maqasid framework. Maqasid Al-Shariah Review, 2(1). https://doi.org/10.58968/msr.v2i1.305</w:t>
      </w:r>
    </w:p>
    <w:p w:rsidR="00475E9D" w:rsidRDefault="008914FF">
      <w:pPr>
        <w:pStyle w:val="normal0"/>
        <w:tabs>
          <w:tab w:val="left" w:pos="0"/>
          <w:tab w:val="left" w:pos="562"/>
        </w:tabs>
        <w:spacing w:line="360" w:lineRule="auto"/>
        <w:ind w:left="567" w:hanging="567"/>
        <w:jc w:val="both"/>
        <w:rPr>
          <w:sz w:val="24"/>
          <w:szCs w:val="24"/>
        </w:rPr>
      </w:pPr>
      <w:r>
        <w:rPr>
          <w:sz w:val="24"/>
          <w:szCs w:val="24"/>
        </w:rPr>
        <w:t xml:space="preserve">Saaty, T. L. (2008). Decision making with the analytic hierarchy process. International Journal of </w:t>
      </w:r>
      <w:r>
        <w:rPr>
          <w:sz w:val="24"/>
          <w:szCs w:val="24"/>
        </w:rPr>
        <w:t>Services Sciences, 1(1), 83–98. http://doi.org/10.1504/IJSSci.2008.017590</w:t>
      </w:r>
    </w:p>
    <w:p w:rsidR="00475E9D" w:rsidRDefault="008914FF">
      <w:pPr>
        <w:pStyle w:val="normal0"/>
        <w:tabs>
          <w:tab w:val="left" w:pos="0"/>
          <w:tab w:val="left" w:pos="562"/>
        </w:tabs>
        <w:spacing w:line="360" w:lineRule="auto"/>
        <w:ind w:left="567" w:hanging="567"/>
        <w:jc w:val="both"/>
        <w:rPr>
          <w:sz w:val="24"/>
          <w:szCs w:val="24"/>
        </w:rPr>
      </w:pPr>
      <w:r>
        <w:rPr>
          <w:sz w:val="24"/>
          <w:szCs w:val="24"/>
        </w:rPr>
        <w:t>Salaam Gateway. (2025). The global Islamic economy 2024/25 overview: Muslim consumer market size and trajectory. https://www.salaamgateway.com/reports</w:t>
      </w:r>
    </w:p>
    <w:p w:rsidR="00475E9D" w:rsidRDefault="008914FF">
      <w:pPr>
        <w:pStyle w:val="normal0"/>
        <w:tabs>
          <w:tab w:val="left" w:pos="0"/>
          <w:tab w:val="left" w:pos="562"/>
        </w:tabs>
        <w:spacing w:line="360" w:lineRule="auto"/>
        <w:ind w:left="567" w:hanging="567"/>
        <w:jc w:val="both"/>
        <w:rPr>
          <w:sz w:val="24"/>
          <w:szCs w:val="24"/>
        </w:rPr>
      </w:pPr>
      <w:r>
        <w:rPr>
          <w:sz w:val="24"/>
          <w:szCs w:val="24"/>
        </w:rPr>
        <w:t xml:space="preserve">Sharma, P. N., &amp; Pandit, P. S. </w:t>
      </w:r>
      <w:r>
        <w:rPr>
          <w:sz w:val="24"/>
          <w:szCs w:val="24"/>
        </w:rPr>
        <w:t>(2018). Grounded theory research: A design framework for novice researchers. Electronic Journal of Business Research Methods, 16(1), 15–26. https://academic-publishing.org/index.php/ejbrm/article/view/1692</w:t>
      </w:r>
    </w:p>
    <w:p w:rsidR="00475E9D" w:rsidRDefault="008914FF">
      <w:pPr>
        <w:pStyle w:val="normal0"/>
        <w:tabs>
          <w:tab w:val="left" w:pos="0"/>
          <w:tab w:val="left" w:pos="562"/>
        </w:tabs>
        <w:spacing w:line="360" w:lineRule="auto"/>
        <w:ind w:left="567" w:hanging="567"/>
        <w:jc w:val="both"/>
        <w:rPr>
          <w:sz w:val="24"/>
          <w:szCs w:val="24"/>
        </w:rPr>
      </w:pPr>
      <w:r>
        <w:rPr>
          <w:sz w:val="24"/>
          <w:szCs w:val="24"/>
        </w:rPr>
        <w:t>Sulistyowati, S. (2019). Designing integrated zaka</w:t>
      </w:r>
      <w:r>
        <w:rPr>
          <w:sz w:val="24"/>
          <w:szCs w:val="24"/>
        </w:rPr>
        <w:t>t-waqf models for disaster management. Journal of Islamic Monetary Economics and Finance, 4(2), 347-368. https://doi.org/10.21098/jimf.v4i2.1011</w:t>
      </w:r>
    </w:p>
    <w:p w:rsidR="00475E9D" w:rsidRDefault="008914FF">
      <w:pPr>
        <w:pStyle w:val="normal0"/>
        <w:tabs>
          <w:tab w:val="left" w:pos="0"/>
          <w:tab w:val="left" w:pos="562"/>
        </w:tabs>
        <w:spacing w:line="360" w:lineRule="auto"/>
        <w:ind w:left="567" w:hanging="567"/>
        <w:jc w:val="both"/>
        <w:rPr>
          <w:sz w:val="24"/>
          <w:szCs w:val="24"/>
        </w:rPr>
      </w:pPr>
      <w:r>
        <w:rPr>
          <w:sz w:val="24"/>
          <w:szCs w:val="24"/>
        </w:rPr>
        <w:t>Thaker, M., Mohammed, M., Duasa, J., &amp; Abdullah, M. (2016). Developing cash waqf model as an alternative source</w:t>
      </w:r>
      <w:r>
        <w:rPr>
          <w:sz w:val="24"/>
          <w:szCs w:val="24"/>
        </w:rPr>
        <w:t xml:space="preserve"> of financing for micro enterprises in malaysia. Journal of Islamic Accounting and Business Research, 7(4), 254-267. https://doi.org/10.1108/jiabr-09-2014-0029</w:t>
      </w:r>
    </w:p>
    <w:p w:rsidR="00475E9D" w:rsidRDefault="008914FF">
      <w:pPr>
        <w:pStyle w:val="normal0"/>
        <w:tabs>
          <w:tab w:val="left" w:pos="0"/>
          <w:tab w:val="left" w:pos="562"/>
        </w:tabs>
        <w:spacing w:line="360" w:lineRule="auto"/>
        <w:ind w:left="567" w:hanging="567"/>
        <w:jc w:val="both"/>
        <w:rPr>
          <w:sz w:val="24"/>
          <w:szCs w:val="24"/>
        </w:rPr>
      </w:pPr>
      <w:r>
        <w:rPr>
          <w:sz w:val="24"/>
          <w:szCs w:val="24"/>
        </w:rPr>
        <w:t xml:space="preserve">Usman, M. and Rahman, A. (2022). Funding higher education through waqf: a lesson from malaysia. </w:t>
      </w:r>
      <w:r>
        <w:rPr>
          <w:sz w:val="24"/>
          <w:szCs w:val="24"/>
        </w:rPr>
        <w:t xml:space="preserve">International Journal of Ethics and Systems, 39(1), 107-125. </w:t>
      </w:r>
      <w:hyperlink r:id="rId11">
        <w:r>
          <w:rPr>
            <w:color w:val="0000FF"/>
            <w:sz w:val="24"/>
            <w:szCs w:val="24"/>
            <w:u w:val="single"/>
          </w:rPr>
          <w:t>https://doi.org/10.1108/ijoes-12-2021-0217</w:t>
        </w:r>
      </w:hyperlink>
    </w:p>
    <w:p w:rsidR="00475E9D" w:rsidRDefault="008914FF">
      <w:pPr>
        <w:pStyle w:val="normal0"/>
        <w:tabs>
          <w:tab w:val="left" w:pos="0"/>
          <w:tab w:val="left" w:pos="562"/>
        </w:tabs>
        <w:spacing w:line="360" w:lineRule="auto"/>
        <w:ind w:left="567" w:hanging="567"/>
        <w:jc w:val="both"/>
        <w:rPr>
          <w:sz w:val="24"/>
          <w:szCs w:val="24"/>
        </w:rPr>
      </w:pPr>
      <w:r>
        <w:rPr>
          <w:sz w:val="24"/>
          <w:szCs w:val="24"/>
        </w:rPr>
        <w:t>Usman, M., &amp; Ab Rahman, A. (2021). Funding higher education through waqf: a lesson from Paki</w:t>
      </w:r>
      <w:r>
        <w:rPr>
          <w:sz w:val="24"/>
          <w:szCs w:val="24"/>
        </w:rPr>
        <w:t>stan. International Journal of Islamic and Middle Eastern Finance and Management, 14(2), 409–424</w:t>
      </w:r>
    </w:p>
    <w:p w:rsidR="00475E9D" w:rsidRDefault="008914FF">
      <w:pPr>
        <w:pStyle w:val="normal0"/>
        <w:tabs>
          <w:tab w:val="left" w:pos="0"/>
          <w:tab w:val="left" w:pos="562"/>
        </w:tabs>
        <w:spacing w:line="360" w:lineRule="auto"/>
        <w:ind w:left="567" w:hanging="567"/>
        <w:jc w:val="both"/>
        <w:rPr>
          <w:sz w:val="24"/>
          <w:szCs w:val="24"/>
        </w:rPr>
      </w:pPr>
      <w:r>
        <w:rPr>
          <w:sz w:val="24"/>
          <w:szCs w:val="24"/>
        </w:rPr>
        <w:t>Wahyudi, H., Tubarat, C., Rodliyah, N., KUSNADI, A., &amp; Leny, S. (2024). The nexus of crowdfunding and e-wakaf to islamic fintech  in indonesia in the era of in</w:t>
      </w:r>
      <w:r>
        <w:rPr>
          <w:sz w:val="24"/>
          <w:szCs w:val="24"/>
        </w:rPr>
        <w:t>dustrial revolution 5.0. Journal of Ecohumanism, 4(1), 208-219. https://doi.org/10.62754/joe.v4i1.4657</w:t>
      </w:r>
    </w:p>
    <w:p w:rsidR="00475E9D" w:rsidRDefault="008914FF">
      <w:pPr>
        <w:pStyle w:val="normal0"/>
        <w:tabs>
          <w:tab w:val="left" w:pos="0"/>
          <w:tab w:val="left" w:pos="562"/>
        </w:tabs>
        <w:spacing w:line="360" w:lineRule="auto"/>
        <w:ind w:left="567" w:hanging="567"/>
        <w:jc w:val="both"/>
        <w:rPr>
          <w:sz w:val="24"/>
          <w:szCs w:val="24"/>
        </w:rPr>
      </w:pPr>
      <w:r>
        <w:rPr>
          <w:sz w:val="24"/>
          <w:szCs w:val="24"/>
        </w:rPr>
        <w:t>Wanta, D., Felita, A., &amp; Noviantoro, R. (2022). Blended finance: konsep &amp;amp; penerapan di indonesia. Ekombis Review Jurnal Ilmiah Ekonomi Dan Bisnis, 10</w:t>
      </w:r>
      <w:r>
        <w:rPr>
          <w:sz w:val="24"/>
          <w:szCs w:val="24"/>
        </w:rPr>
        <w:t xml:space="preserve">(S1). </w:t>
      </w:r>
      <w:hyperlink r:id="rId12">
        <w:r>
          <w:rPr>
            <w:color w:val="0000FF"/>
            <w:sz w:val="24"/>
            <w:szCs w:val="24"/>
            <w:u w:val="single"/>
          </w:rPr>
          <w:t>https://doi.org/10.37676/ekombis.v10is1.2009</w:t>
        </w:r>
      </w:hyperlink>
    </w:p>
    <w:p w:rsidR="00475E9D" w:rsidRDefault="008914FF">
      <w:pPr>
        <w:pStyle w:val="normal0"/>
        <w:tabs>
          <w:tab w:val="left" w:pos="0"/>
          <w:tab w:val="left" w:pos="562"/>
        </w:tabs>
        <w:spacing w:line="360" w:lineRule="auto"/>
        <w:ind w:left="567" w:hanging="567"/>
        <w:jc w:val="both"/>
        <w:rPr>
          <w:sz w:val="24"/>
          <w:szCs w:val="24"/>
        </w:rPr>
      </w:pPr>
      <w:r>
        <w:rPr>
          <w:sz w:val="24"/>
          <w:szCs w:val="24"/>
        </w:rPr>
        <w:lastRenderedPageBreak/>
        <w:t>Yaacob, H., Petra, S., Sumardi, A., &amp; Nahar, H. S. (2015). Accountability through accounting and reporting lenses: Lessons from an awqaf instit</w:t>
      </w:r>
      <w:r>
        <w:rPr>
          <w:sz w:val="24"/>
          <w:szCs w:val="24"/>
        </w:rPr>
        <w:t xml:space="preserve">ution in a Southeast Asia country. Humanomics, 31(3), 299–313. </w:t>
      </w:r>
      <w:hyperlink r:id="rId13">
        <w:r>
          <w:rPr>
            <w:color w:val="0000FF"/>
            <w:sz w:val="24"/>
            <w:szCs w:val="24"/>
            <w:u w:val="single"/>
          </w:rPr>
          <w:t>https://doi.org/10.1108/H-07-2013-0049</w:t>
        </w:r>
      </w:hyperlink>
    </w:p>
    <w:p w:rsidR="00475E9D" w:rsidRDefault="008914FF">
      <w:pPr>
        <w:pStyle w:val="normal0"/>
        <w:tabs>
          <w:tab w:val="left" w:pos="0"/>
          <w:tab w:val="left" w:pos="562"/>
        </w:tabs>
        <w:spacing w:line="360" w:lineRule="auto"/>
        <w:ind w:left="567" w:hanging="567"/>
        <w:jc w:val="both"/>
        <w:rPr>
          <w:sz w:val="24"/>
          <w:szCs w:val="24"/>
        </w:rPr>
      </w:pPr>
      <w:r>
        <w:rPr>
          <w:sz w:val="24"/>
          <w:szCs w:val="24"/>
        </w:rPr>
        <w:t>Yasmin, S., Haniffa, R., &amp; Hudaib, M. (2014). Communicated accountability by faith-based charity o</w:t>
      </w:r>
      <w:r>
        <w:rPr>
          <w:sz w:val="24"/>
          <w:szCs w:val="24"/>
        </w:rPr>
        <w:t>rganisations. Journal of Business Ethics, 122, 103–123.</w:t>
      </w:r>
    </w:p>
    <w:p w:rsidR="00475E9D" w:rsidRDefault="00475E9D">
      <w:pPr>
        <w:pStyle w:val="normal0"/>
        <w:tabs>
          <w:tab w:val="left" w:pos="0"/>
          <w:tab w:val="left" w:pos="562"/>
        </w:tabs>
        <w:spacing w:line="360" w:lineRule="auto"/>
        <w:ind w:left="567" w:hanging="567"/>
        <w:jc w:val="both"/>
        <w:rPr>
          <w:color w:val="0000FF"/>
          <w:u w:val="single"/>
        </w:rPr>
      </w:pPr>
    </w:p>
    <w:p w:rsidR="00475E9D" w:rsidRDefault="00475E9D">
      <w:pPr>
        <w:pStyle w:val="normal0"/>
        <w:tabs>
          <w:tab w:val="left" w:pos="0"/>
          <w:tab w:val="left" w:pos="562"/>
        </w:tabs>
        <w:spacing w:line="360" w:lineRule="auto"/>
        <w:ind w:left="567" w:hanging="567"/>
        <w:jc w:val="both"/>
        <w:rPr>
          <w:color w:val="0000FF"/>
          <w:u w:val="single"/>
        </w:rPr>
      </w:pPr>
    </w:p>
    <w:sectPr w:rsidR="00475E9D" w:rsidSect="00475E9D">
      <w:headerReference w:type="default" r:id="rId14"/>
      <w:footerReference w:type="default" r:id="rId15"/>
      <w:pgSz w:w="11906" w:h="16838"/>
      <w:pgMar w:top="1134" w:right="1134" w:bottom="1134" w:left="1418" w:header="709" w:footer="709"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14FF" w:rsidRDefault="008914FF" w:rsidP="00475E9D">
      <w:r>
        <w:separator/>
      </w:r>
    </w:p>
  </w:endnote>
  <w:endnote w:type="continuationSeparator" w:id="0">
    <w:p w:rsidR="008914FF" w:rsidRDefault="008914FF" w:rsidP="00475E9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BoldItalic r:id="rId1" w:fontKey="{BD69DA5C-A1B2-4205-8873-402B2F4F644A}"/>
  </w:font>
  <w:font w:name="Calibri">
    <w:panose1 w:val="020F0502020204030204"/>
    <w:charset w:val="00"/>
    <w:family w:val="swiss"/>
    <w:pitch w:val="variable"/>
    <w:sig w:usb0="E4002EFF" w:usb1="C000247B" w:usb2="00000009" w:usb3="00000000" w:csb0="000001FF" w:csb1="00000000"/>
    <w:embedRegular r:id="rId2" w:fontKey="{3AA41518-CD86-4FA2-866E-E093D80C2232}"/>
    <w:embedBold r:id="rId3" w:fontKey="{519D8A22-FAAE-4CB5-B031-1687074F4FAE}"/>
    <w:embedItalic r:id="rId4" w:fontKey="{3E03866D-E019-49BE-8F7A-850072DEA1E1}"/>
  </w:font>
  <w:font w:name="Tahoma">
    <w:panose1 w:val="020B0604030504040204"/>
    <w:charset w:val="00"/>
    <w:family w:val="swiss"/>
    <w:pitch w:val="variable"/>
    <w:sig w:usb0="E1002EFF" w:usb1="C000605B" w:usb2="00000029" w:usb3="00000000" w:csb0="000101FF" w:csb1="00000000"/>
    <w:embedRegular r:id="rId5" w:fontKey="{7301F047-75BF-470E-8842-1304B587AAE3}"/>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6" w:fontKey="{58CBC78E-D8FD-4C06-9807-E5D2F27368A7}"/>
    <w:embedItalic r:id="rId7" w:fontKey="{77AD2D86-6F37-486C-8AC3-C70F429BF04F}"/>
  </w:font>
  <w:font w:name="Georgia">
    <w:panose1 w:val="02040502050405020303"/>
    <w:charset w:val="00"/>
    <w:family w:val="roman"/>
    <w:pitch w:val="variable"/>
    <w:sig w:usb0="00000287" w:usb1="00000000" w:usb2="00000000" w:usb3="00000000" w:csb0="0000009F" w:csb1="00000000"/>
    <w:embedItalic r:id="rId8" w:fontKey="{4CABD456-BF3A-4062-B870-71811DE6942B}"/>
  </w:font>
  <w:font w:name="Cambria Math">
    <w:panose1 w:val="02040503050406030204"/>
    <w:charset w:val="00"/>
    <w:family w:val="roman"/>
    <w:pitch w:val="variable"/>
    <w:sig w:usb0="E00006FF" w:usb1="420024FF" w:usb2="02000000" w:usb3="00000000" w:csb0="0000019F" w:csb1="00000000"/>
    <w:embedRegular r:id="rId9" w:fontKey="{DFC711EC-551E-43E4-A882-4C2E8F497D8D}"/>
    <w:embedItalic r:id="rId10" w:fontKey="{6FF81FDA-1EEB-43D0-9246-1C61854B681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5E9D" w:rsidRDefault="00475E9D">
    <w:pPr>
      <w:pStyle w:val="normal0"/>
      <w:pBdr>
        <w:top w:val="nil"/>
        <w:left w:val="nil"/>
        <w:bottom w:val="nil"/>
        <w:right w:val="nil"/>
        <w:between w:val="nil"/>
      </w:pBdr>
      <w:tabs>
        <w:tab w:val="center" w:pos="4252"/>
        <w:tab w:val="right" w:pos="8504"/>
      </w:tabs>
      <w:jc w:val="right"/>
      <w:rPr>
        <w:color w:val="000000"/>
      </w:rPr>
    </w:pPr>
    <w:r>
      <w:rPr>
        <w:color w:val="000000"/>
      </w:rPr>
      <w:fldChar w:fldCharType="begin"/>
    </w:r>
    <w:r w:rsidR="008914FF">
      <w:rPr>
        <w:color w:val="000000"/>
      </w:rPr>
      <w:instrText>PAGE</w:instrText>
    </w:r>
    <w:r w:rsidR="007505A6">
      <w:rPr>
        <w:color w:val="000000"/>
      </w:rPr>
      <w:fldChar w:fldCharType="separate"/>
    </w:r>
    <w:r w:rsidR="007505A6">
      <w:rPr>
        <w:noProof/>
        <w:color w:val="000000"/>
      </w:rPr>
      <w:t>2</w:t>
    </w:r>
    <w:r>
      <w:rPr>
        <w:color w:val="000000"/>
      </w:rPr>
      <w:fldChar w:fldCharType="end"/>
    </w:r>
  </w:p>
  <w:p w:rsidR="00475E9D" w:rsidRDefault="00475E9D">
    <w:pPr>
      <w:pStyle w:val="normal0"/>
      <w:pBdr>
        <w:top w:val="nil"/>
        <w:left w:val="nil"/>
        <w:bottom w:val="nil"/>
        <w:right w:val="nil"/>
        <w:between w:val="nil"/>
      </w:pBdr>
      <w:tabs>
        <w:tab w:val="center" w:pos="4252"/>
        <w:tab w:val="right" w:pos="8504"/>
      </w:tabs>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14FF" w:rsidRDefault="008914FF" w:rsidP="00475E9D">
      <w:r>
        <w:separator/>
      </w:r>
    </w:p>
  </w:footnote>
  <w:footnote w:type="continuationSeparator" w:id="0">
    <w:p w:rsidR="008914FF" w:rsidRDefault="008914FF" w:rsidP="00475E9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5E9D" w:rsidRDefault="00475E9D">
    <w:pPr>
      <w:pStyle w:val="normal0"/>
      <w:pBdr>
        <w:top w:val="nil"/>
        <w:left w:val="nil"/>
        <w:bottom w:val="nil"/>
        <w:right w:val="nil"/>
        <w:between w:val="nil"/>
      </w:pBdr>
      <w:tabs>
        <w:tab w:val="center" w:pos="4252"/>
        <w:tab w:val="right" w:pos="8504"/>
      </w:tabs>
      <w:rPr>
        <w:color w:val="00000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7957B5"/>
    <w:multiLevelType w:val="multilevel"/>
    <w:tmpl w:val="23C2258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nsid w:val="77DD3D99"/>
    <w:multiLevelType w:val="multilevel"/>
    <w:tmpl w:val="AA22782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nsid w:val="7DD94556"/>
    <w:multiLevelType w:val="multilevel"/>
    <w:tmpl w:val="77B4B5A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
  <w:embedTrueTypeFonts/>
  <w:defaultTabStop w:val="720"/>
  <w:characterSpacingControl w:val="doNotCompress"/>
  <w:footnotePr>
    <w:footnote w:id="-1"/>
    <w:footnote w:id="0"/>
  </w:footnotePr>
  <w:endnotePr>
    <w:endnote w:id="-1"/>
    <w:endnote w:id="0"/>
  </w:endnotePr>
  <w:compat/>
  <w:rsids>
    <w:rsidRoot w:val="00475E9D"/>
    <w:rsid w:val="00475E9D"/>
    <w:rsid w:val="007505A6"/>
    <w:rsid w:val="008914F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D"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rsid w:val="00475E9D"/>
    <w:pPr>
      <w:keepNext/>
      <w:outlineLvl w:val="0"/>
    </w:pPr>
    <w:rPr>
      <w:i/>
      <w:iCs/>
      <w:sz w:val="16"/>
      <w:szCs w:val="16"/>
    </w:rPr>
  </w:style>
  <w:style w:type="paragraph" w:styleId="Heading2">
    <w:name w:val="heading 2"/>
    <w:basedOn w:val="normal0"/>
    <w:next w:val="normal0"/>
    <w:link w:val="Heading2Char"/>
    <w:rsid w:val="00475E9D"/>
    <w:pPr>
      <w:keepNext/>
      <w:spacing w:before="240" w:after="60"/>
      <w:outlineLvl w:val="1"/>
    </w:pPr>
    <w:rPr>
      <w:rFonts w:ascii="Cambria" w:eastAsia="Cambria" w:hAnsi="Cambria" w:cs="Cambria"/>
      <w:b/>
      <w:bCs/>
      <w:i/>
      <w:iCs/>
      <w:sz w:val="28"/>
      <w:szCs w:val="28"/>
    </w:rPr>
  </w:style>
  <w:style w:type="paragraph" w:styleId="Heading3">
    <w:name w:val="heading 3"/>
    <w:basedOn w:val="normal0"/>
    <w:next w:val="normal0"/>
    <w:link w:val="Heading3Char"/>
    <w:rsid w:val="00475E9D"/>
    <w:pPr>
      <w:keepNext/>
      <w:keepLines/>
      <w:spacing w:before="40"/>
      <w:outlineLvl w:val="2"/>
    </w:pPr>
    <w:rPr>
      <w:rFonts w:ascii="Calibri" w:eastAsia="Calibri" w:hAnsi="Calibri" w:cs="Calibri"/>
      <w:color w:val="1F3863"/>
      <w:sz w:val="24"/>
      <w:szCs w:val="24"/>
    </w:rPr>
  </w:style>
  <w:style w:type="paragraph" w:styleId="Heading4">
    <w:name w:val="heading 4"/>
    <w:basedOn w:val="normal0"/>
    <w:next w:val="normal0"/>
    <w:link w:val="Heading4Char"/>
    <w:rsid w:val="00475E9D"/>
    <w:pPr>
      <w:keepNext/>
      <w:keepLines/>
      <w:spacing w:before="40"/>
      <w:outlineLvl w:val="3"/>
    </w:pPr>
    <w:rPr>
      <w:rFonts w:ascii="Calibri" w:eastAsia="Calibri" w:hAnsi="Calibri" w:cs="Calibri"/>
      <w:i/>
      <w:iCs/>
      <w:color w:val="2F5496"/>
    </w:rPr>
  </w:style>
  <w:style w:type="paragraph" w:styleId="Heading5">
    <w:name w:val="heading 5"/>
    <w:basedOn w:val="normal0"/>
    <w:next w:val="normal0"/>
    <w:rsid w:val="00475E9D"/>
    <w:pPr>
      <w:keepNext/>
      <w:keepLines/>
      <w:spacing w:before="220" w:after="40"/>
      <w:outlineLvl w:val="4"/>
    </w:pPr>
    <w:rPr>
      <w:b/>
      <w:bCs/>
      <w:sz w:val="22"/>
      <w:szCs w:val="22"/>
    </w:rPr>
  </w:style>
  <w:style w:type="paragraph" w:styleId="Heading6">
    <w:name w:val="heading 6"/>
    <w:basedOn w:val="normal0"/>
    <w:next w:val="normal0"/>
    <w:rsid w:val="00475E9D"/>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475E9D"/>
    <w:tblPr>
      <w:tblCellMar>
        <w:top w:w="100" w:type="dxa"/>
        <w:left w:w="100" w:type="dxa"/>
        <w:bottom w:w="100" w:type="dxa"/>
        <w:right w:w="100" w:type="dxa"/>
      </w:tblCellMar>
    </w:tblPr>
  </w:style>
  <w:style w:type="paragraph" w:customStyle="1" w:styleId="normal0">
    <w:name w:val="normal"/>
    <w:rsid w:val="00475E9D"/>
  </w:style>
  <w:style w:type="paragraph" w:styleId="Title">
    <w:name w:val="Title"/>
    <w:basedOn w:val="normal0"/>
    <w:next w:val="normal0"/>
    <w:rsid w:val="00475E9D"/>
    <w:pPr>
      <w:keepNext/>
      <w:keepLines/>
      <w:spacing w:before="480" w:after="120"/>
    </w:pPr>
    <w:rPr>
      <w:b/>
      <w:bCs/>
      <w:sz w:val="72"/>
      <w:szCs w:val="72"/>
    </w:rPr>
  </w:style>
  <w:style w:type="paragraph" w:styleId="BodyText">
    <w:name w:val="Body Text"/>
    <w:basedOn w:val="normal0"/>
    <w:rsid w:val="009E15BC"/>
    <w:pPr>
      <w:jc w:val="center"/>
    </w:pPr>
    <w:rPr>
      <w:b/>
      <w:sz w:val="32"/>
    </w:rPr>
  </w:style>
  <w:style w:type="table" w:styleId="TableGrid">
    <w:name w:val="Table Grid"/>
    <w:basedOn w:val="TableNormal"/>
    <w:rsid w:val="009E15BC"/>
    <w:tblPr>
      <w:tblCellMar>
        <w:top w:w="0" w:type="dxa"/>
        <w:left w:w="0" w:type="dxa"/>
        <w:bottom w:w="0" w:type="dxa"/>
        <w:right w:w="0" w:type="dxa"/>
      </w:tblCellMar>
    </w:tblPr>
  </w:style>
  <w:style w:type="paragraph" w:customStyle="1" w:styleId="Firstparagraph">
    <w:name w:val="First paragraph"/>
    <w:basedOn w:val="normal0"/>
    <w:rsid w:val="009E15BC"/>
    <w:pPr>
      <w:spacing w:line="240" w:lineRule="exact"/>
      <w:jc w:val="both"/>
    </w:pPr>
    <w:rPr>
      <w:sz w:val="22"/>
      <w:szCs w:val="24"/>
      <w:lang w:val="en-GB" w:eastAsia="de-DE"/>
    </w:rPr>
  </w:style>
  <w:style w:type="paragraph" w:customStyle="1" w:styleId="Standardparagraph">
    <w:name w:val="Standard paragraph"/>
    <w:aliases w:val="Text"/>
    <w:basedOn w:val="normal0"/>
    <w:rsid w:val="009E15BC"/>
    <w:pPr>
      <w:spacing w:line="240" w:lineRule="exact"/>
      <w:ind w:firstLine="284"/>
      <w:jc w:val="both"/>
    </w:pPr>
    <w:rPr>
      <w:sz w:val="22"/>
      <w:szCs w:val="24"/>
      <w:lang w:val="en-GB" w:eastAsia="de-DE"/>
    </w:rPr>
  </w:style>
  <w:style w:type="paragraph" w:styleId="BalloonText">
    <w:name w:val="Balloon Text"/>
    <w:basedOn w:val="normal0"/>
    <w:semiHidden/>
    <w:rsid w:val="009E15BC"/>
    <w:rPr>
      <w:rFonts w:ascii="Tahoma" w:hAnsi="Tahoma" w:cs="Tahoma"/>
      <w:sz w:val="16"/>
      <w:szCs w:val="16"/>
    </w:rPr>
  </w:style>
  <w:style w:type="paragraph" w:customStyle="1" w:styleId="Figure">
    <w:name w:val="Figure"/>
    <w:basedOn w:val="normal0"/>
    <w:rsid w:val="009E15BC"/>
    <w:pPr>
      <w:ind w:firstLine="284"/>
      <w:jc w:val="center"/>
    </w:pPr>
    <w:rPr>
      <w:sz w:val="22"/>
      <w:szCs w:val="24"/>
      <w:lang w:val="en-GB" w:eastAsia="de-DE"/>
    </w:rPr>
  </w:style>
  <w:style w:type="paragraph" w:customStyle="1" w:styleId="Caption1">
    <w:name w:val="Caption1"/>
    <w:basedOn w:val="normal0"/>
    <w:rsid w:val="009E15BC"/>
    <w:pPr>
      <w:spacing w:before="120" w:after="120"/>
      <w:ind w:firstLine="284"/>
      <w:jc w:val="center"/>
    </w:pPr>
    <w:rPr>
      <w:lang w:val="fr-FR" w:eastAsia="de-DE"/>
    </w:rPr>
  </w:style>
  <w:style w:type="paragraph" w:customStyle="1" w:styleId="equation">
    <w:name w:val="equation"/>
    <w:basedOn w:val="normal0"/>
    <w:rsid w:val="009E15BC"/>
    <w:pPr>
      <w:tabs>
        <w:tab w:val="right" w:pos="8222"/>
      </w:tabs>
      <w:spacing w:before="120" w:after="120"/>
      <w:ind w:firstLine="567"/>
      <w:jc w:val="both"/>
    </w:pPr>
    <w:rPr>
      <w:sz w:val="22"/>
      <w:szCs w:val="24"/>
      <w:lang w:val="en-GB" w:eastAsia="de-DE"/>
    </w:rPr>
  </w:style>
  <w:style w:type="paragraph" w:customStyle="1" w:styleId="References">
    <w:name w:val="References"/>
    <w:basedOn w:val="Heading1"/>
    <w:rsid w:val="009E15BC"/>
    <w:pPr>
      <w:keepLines/>
      <w:suppressAutoHyphens/>
      <w:overflowPunct w:val="0"/>
      <w:autoSpaceDE w:val="0"/>
      <w:autoSpaceDN w:val="0"/>
      <w:adjustRightInd w:val="0"/>
      <w:spacing w:before="480" w:after="240" w:line="240" w:lineRule="exact"/>
      <w:jc w:val="both"/>
    </w:pPr>
    <w:rPr>
      <w:i w:val="0"/>
      <w:caps/>
      <w:sz w:val="24"/>
      <w:szCs w:val="24"/>
      <w:lang w:val="en-GB" w:eastAsia="de-DE"/>
    </w:rPr>
  </w:style>
  <w:style w:type="paragraph" w:styleId="Header">
    <w:name w:val="header"/>
    <w:basedOn w:val="normal0"/>
    <w:link w:val="HeaderChar"/>
    <w:uiPriority w:val="99"/>
    <w:rsid w:val="00A44DFD"/>
    <w:pPr>
      <w:tabs>
        <w:tab w:val="center" w:pos="4252"/>
        <w:tab w:val="right" w:pos="8504"/>
      </w:tabs>
    </w:pPr>
  </w:style>
  <w:style w:type="paragraph" w:styleId="Footer">
    <w:name w:val="footer"/>
    <w:basedOn w:val="normal0"/>
    <w:link w:val="FooterChar"/>
    <w:uiPriority w:val="99"/>
    <w:rsid w:val="00A44DFD"/>
    <w:pPr>
      <w:tabs>
        <w:tab w:val="center" w:pos="4252"/>
        <w:tab w:val="right" w:pos="8504"/>
      </w:tabs>
    </w:pPr>
  </w:style>
  <w:style w:type="character" w:styleId="Strong">
    <w:name w:val="Strong"/>
    <w:uiPriority w:val="22"/>
    <w:qFormat/>
    <w:rsid w:val="00A44DFD"/>
    <w:rPr>
      <w:b/>
      <w:bCs/>
    </w:rPr>
  </w:style>
  <w:style w:type="character" w:styleId="Hyperlink">
    <w:name w:val="Hyperlink"/>
    <w:rsid w:val="00FC3FE2"/>
    <w:rPr>
      <w:color w:val="0000FF"/>
      <w:u w:val="single"/>
    </w:rPr>
  </w:style>
  <w:style w:type="character" w:styleId="CommentReference">
    <w:name w:val="annotation reference"/>
    <w:rsid w:val="00DB6D4A"/>
    <w:rPr>
      <w:sz w:val="16"/>
      <w:szCs w:val="16"/>
    </w:rPr>
  </w:style>
  <w:style w:type="paragraph" w:styleId="CommentText">
    <w:name w:val="annotation text"/>
    <w:basedOn w:val="normal0"/>
    <w:link w:val="CommentTextChar"/>
    <w:rsid w:val="00DB6D4A"/>
  </w:style>
  <w:style w:type="character" w:customStyle="1" w:styleId="CommentTextChar">
    <w:name w:val="Comment Text Char"/>
    <w:link w:val="CommentText"/>
    <w:rsid w:val="00DB6D4A"/>
    <w:rPr>
      <w:lang w:val="en-US" w:eastAsia="tr-TR"/>
    </w:rPr>
  </w:style>
  <w:style w:type="paragraph" w:styleId="CommentSubject">
    <w:name w:val="annotation subject"/>
    <w:basedOn w:val="CommentText"/>
    <w:next w:val="CommentText"/>
    <w:link w:val="CommentSubjectChar"/>
    <w:rsid w:val="00DB6D4A"/>
    <w:rPr>
      <w:b/>
      <w:bCs/>
    </w:rPr>
  </w:style>
  <w:style w:type="character" w:customStyle="1" w:styleId="CommentSubjectChar">
    <w:name w:val="Comment Subject Char"/>
    <w:link w:val="CommentSubject"/>
    <w:rsid w:val="00DB6D4A"/>
    <w:rPr>
      <w:b/>
      <w:bCs/>
      <w:lang w:val="en-US" w:eastAsia="tr-TR"/>
    </w:rPr>
  </w:style>
  <w:style w:type="character" w:styleId="FollowedHyperlink">
    <w:name w:val="FollowedHyperlink"/>
    <w:rsid w:val="007774CE"/>
    <w:rPr>
      <w:color w:val="800080"/>
      <w:u w:val="single"/>
    </w:rPr>
  </w:style>
  <w:style w:type="character" w:customStyle="1" w:styleId="Heading2Char">
    <w:name w:val="Heading 2 Char"/>
    <w:link w:val="Heading2"/>
    <w:semiHidden/>
    <w:rsid w:val="005073C6"/>
    <w:rPr>
      <w:rFonts w:ascii="Cambria" w:eastAsia="Times New Roman" w:hAnsi="Cambria" w:cs="Times New Roman"/>
      <w:b/>
      <w:bCs/>
      <w:i/>
      <w:iCs/>
      <w:sz w:val="28"/>
      <w:szCs w:val="28"/>
      <w:lang w:eastAsia="tr-TR"/>
    </w:rPr>
  </w:style>
  <w:style w:type="character" w:customStyle="1" w:styleId="PublicationTitleChar">
    <w:name w:val="Publication Title Char"/>
    <w:link w:val="PublicationTitle"/>
    <w:locked/>
    <w:rsid w:val="00F42172"/>
    <w:rPr>
      <w:rFonts w:ascii="Arial" w:hAnsi="Arial" w:cs="Arial"/>
      <w:b/>
      <w:sz w:val="32"/>
      <w:szCs w:val="32"/>
      <w:lang w:val="en-AU"/>
    </w:rPr>
  </w:style>
  <w:style w:type="paragraph" w:customStyle="1" w:styleId="AuthorName">
    <w:name w:val="Author Name"/>
    <w:basedOn w:val="normal0"/>
    <w:next w:val="AuthorAddress"/>
    <w:link w:val="AuthorNameChar"/>
    <w:qFormat/>
    <w:rsid w:val="00F42172"/>
    <w:pPr>
      <w:spacing w:after="140"/>
      <w:jc w:val="center"/>
    </w:pPr>
    <w:rPr>
      <w:rFonts w:ascii="Arial" w:eastAsia="Calibri" w:hAnsi="Arial"/>
      <w:sz w:val="24"/>
      <w:szCs w:val="24"/>
      <w:lang/>
    </w:rPr>
  </w:style>
  <w:style w:type="paragraph" w:customStyle="1" w:styleId="PublicationTitle">
    <w:name w:val="Publication Title"/>
    <w:basedOn w:val="normal0"/>
    <w:next w:val="AuthorName"/>
    <w:link w:val="PublicationTitleChar"/>
    <w:qFormat/>
    <w:rsid w:val="00F42172"/>
    <w:pPr>
      <w:spacing w:after="140"/>
      <w:jc w:val="center"/>
    </w:pPr>
    <w:rPr>
      <w:rFonts w:ascii="Arial" w:hAnsi="Arial" w:cs="Arial"/>
      <w:b/>
      <w:sz w:val="32"/>
      <w:szCs w:val="32"/>
      <w:lang w:val="en-AU"/>
    </w:rPr>
  </w:style>
  <w:style w:type="character" w:customStyle="1" w:styleId="AuthorNameChar">
    <w:name w:val="Author Name Char"/>
    <w:link w:val="AuthorName"/>
    <w:locked/>
    <w:rsid w:val="00F42172"/>
    <w:rPr>
      <w:rFonts w:ascii="Arial" w:eastAsia="Calibri" w:hAnsi="Arial"/>
      <w:sz w:val="24"/>
      <w:szCs w:val="24"/>
      <w:lang/>
    </w:rPr>
  </w:style>
  <w:style w:type="paragraph" w:customStyle="1" w:styleId="AuthorAddress">
    <w:name w:val="Author Address"/>
    <w:basedOn w:val="normal0"/>
    <w:link w:val="AuthorAddressChar"/>
    <w:qFormat/>
    <w:rsid w:val="00F42172"/>
    <w:pPr>
      <w:spacing w:after="140"/>
      <w:jc w:val="center"/>
    </w:pPr>
    <w:rPr>
      <w:rFonts w:ascii="Arial" w:eastAsia="Calibri" w:hAnsi="Arial"/>
      <w:lang/>
    </w:rPr>
  </w:style>
  <w:style w:type="character" w:customStyle="1" w:styleId="AuthorAddressChar">
    <w:name w:val="Author Address Char"/>
    <w:link w:val="AuthorAddress"/>
    <w:locked/>
    <w:rsid w:val="00F42172"/>
    <w:rPr>
      <w:rFonts w:ascii="Arial" w:eastAsia="Calibri" w:hAnsi="Arial"/>
      <w:lang/>
    </w:rPr>
  </w:style>
  <w:style w:type="character" w:customStyle="1" w:styleId="HeaderChar">
    <w:name w:val="Header Char"/>
    <w:link w:val="Header"/>
    <w:uiPriority w:val="99"/>
    <w:rsid w:val="002C3CF2"/>
    <w:rPr>
      <w:lang w:eastAsia="tr-TR"/>
    </w:rPr>
  </w:style>
  <w:style w:type="character" w:customStyle="1" w:styleId="UnresolvedMention">
    <w:name w:val="Unresolved Mention"/>
    <w:uiPriority w:val="99"/>
    <w:semiHidden/>
    <w:unhideWhenUsed/>
    <w:rsid w:val="00531A1B"/>
    <w:rPr>
      <w:color w:val="605E5C"/>
      <w:shd w:val="clear" w:color="auto" w:fill="E1DFDD"/>
    </w:rPr>
  </w:style>
  <w:style w:type="paragraph" w:styleId="NormalWeb">
    <w:name w:val="Normal (Web)"/>
    <w:basedOn w:val="normal0"/>
    <w:rsid w:val="00BA2A00"/>
    <w:rPr>
      <w:sz w:val="24"/>
      <w:szCs w:val="24"/>
    </w:rPr>
  </w:style>
  <w:style w:type="character" w:customStyle="1" w:styleId="Heading3Char">
    <w:name w:val="Heading 3 Char"/>
    <w:basedOn w:val="DefaultParagraphFont"/>
    <w:link w:val="Heading3"/>
    <w:semiHidden/>
    <w:rsid w:val="00D76266"/>
    <w:rPr>
      <w:rFonts w:asciiTheme="majorHAnsi" w:eastAsiaTheme="majorEastAsia" w:hAnsiTheme="majorHAnsi" w:cstheme="majorBidi"/>
      <w:color w:val="1F3763" w:themeColor="accent1" w:themeShade="7F"/>
      <w:sz w:val="24"/>
      <w:szCs w:val="24"/>
      <w:lang w:eastAsia="tr-TR"/>
    </w:rPr>
  </w:style>
  <w:style w:type="paragraph" w:styleId="FootnoteText">
    <w:name w:val="footnote text"/>
    <w:basedOn w:val="normal0"/>
    <w:link w:val="FootnoteTextChar"/>
    <w:rsid w:val="00557F75"/>
  </w:style>
  <w:style w:type="character" w:customStyle="1" w:styleId="FootnoteTextChar">
    <w:name w:val="Footnote Text Char"/>
    <w:basedOn w:val="DefaultParagraphFont"/>
    <w:link w:val="FootnoteText"/>
    <w:rsid w:val="00557F75"/>
    <w:rPr>
      <w:lang w:eastAsia="tr-TR"/>
    </w:rPr>
  </w:style>
  <w:style w:type="character" w:styleId="FootnoteReference">
    <w:name w:val="footnote reference"/>
    <w:basedOn w:val="DefaultParagraphFont"/>
    <w:rsid w:val="00557F75"/>
    <w:rPr>
      <w:vertAlign w:val="superscript"/>
    </w:rPr>
  </w:style>
  <w:style w:type="character" w:customStyle="1" w:styleId="Heading4Char">
    <w:name w:val="Heading 4 Char"/>
    <w:basedOn w:val="DefaultParagraphFont"/>
    <w:link w:val="Heading4"/>
    <w:semiHidden/>
    <w:rsid w:val="00676079"/>
    <w:rPr>
      <w:rFonts w:asciiTheme="majorHAnsi" w:eastAsiaTheme="majorEastAsia" w:hAnsiTheme="majorHAnsi" w:cstheme="majorBidi"/>
      <w:i/>
      <w:iCs/>
      <w:color w:val="2F5496" w:themeColor="accent1" w:themeShade="BF"/>
      <w:lang w:eastAsia="tr-TR"/>
    </w:rPr>
  </w:style>
  <w:style w:type="paragraph" w:styleId="ListParagraph">
    <w:name w:val="List Paragraph"/>
    <w:basedOn w:val="normal0"/>
    <w:uiPriority w:val="72"/>
    <w:qFormat/>
    <w:rsid w:val="009C5567"/>
    <w:pPr>
      <w:ind w:left="720"/>
      <w:contextualSpacing/>
    </w:pPr>
  </w:style>
  <w:style w:type="character" w:styleId="PlaceholderText">
    <w:name w:val="Placeholder Text"/>
    <w:basedOn w:val="DefaultParagraphFont"/>
    <w:uiPriority w:val="99"/>
    <w:unhideWhenUsed/>
    <w:rsid w:val="003A28AD"/>
    <w:rPr>
      <w:color w:val="666666"/>
    </w:rPr>
  </w:style>
  <w:style w:type="table" w:customStyle="1" w:styleId="PlainTable1">
    <w:name w:val="Plain Table 1"/>
    <w:basedOn w:val="TableNormal"/>
    <w:uiPriority w:val="72"/>
    <w:rsid w:val="00910052"/>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FooterChar">
    <w:name w:val="Footer Char"/>
    <w:basedOn w:val="DefaultParagraphFont"/>
    <w:link w:val="Footer"/>
    <w:uiPriority w:val="99"/>
    <w:rsid w:val="006B09E0"/>
    <w:rPr>
      <w:lang w:eastAsia="tr-TR"/>
    </w:rPr>
  </w:style>
  <w:style w:type="paragraph" w:styleId="Subtitle">
    <w:name w:val="Subtitle"/>
    <w:basedOn w:val="normal0"/>
    <w:next w:val="normal0"/>
    <w:rsid w:val="00475E9D"/>
    <w:pPr>
      <w:keepNext/>
      <w:keepLines/>
      <w:spacing w:before="360" w:after="80"/>
    </w:pPr>
    <w:rPr>
      <w:rFonts w:ascii="Georgia" w:eastAsia="Georgia" w:hAnsi="Georgia" w:cs="Georgia"/>
      <w:i/>
      <w:iCs/>
      <w:color w:val="666666"/>
      <w:sz w:val="48"/>
      <w:szCs w:val="48"/>
    </w:rPr>
  </w:style>
  <w:style w:type="table" w:customStyle="1" w:styleId="a">
    <w:basedOn w:val="TableNormal"/>
    <w:rsid w:val="00475E9D"/>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Pr/>
      <w:tcPr>
        <w:tcBorders>
          <w:top w:val="sing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mailto:*a.hendarsa@bpkh.go.id" TargetMode="External"/><Relationship Id="rId13" Type="http://schemas.openxmlformats.org/officeDocument/2006/relationships/hyperlink" Target="https://doi.org/10.1108/H-07-2013-0049"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i.org/10.37676/ekombis.v10is1.2009"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108/ijoes-12-2021-0217"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doi.org/10.58968/isf.v3i1.214" TargetMode="External"/><Relationship Id="rId4" Type="http://schemas.openxmlformats.org/officeDocument/2006/relationships/settings" Target="settings.xml"/><Relationship Id="rId9" Type="http://schemas.openxmlformats.org/officeDocument/2006/relationships/hyperlink" Target="https://doi.org/10.24191/mar.v23i01-09"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DWPsjqHCbL2OcwmJfo54kMV9qw==">CgMxLjAyDmguMTJjYTh4dW56YnhiOAByITE0VHNrY18tazFycGRBREJCZmk0RE1Vci1HNWswN1pUaQ==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7215</Words>
  <Characters>41131</Characters>
  <Application>Microsoft Office Word</Application>
  <DocSecurity>0</DocSecurity>
  <Lines>342</Lines>
  <Paragraphs>96</Paragraphs>
  <ScaleCrop>false</ScaleCrop>
  <Company/>
  <LinksUpToDate>false</LinksUpToDate>
  <CharactersWithSpaces>48250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Ambrosio Lorente</dc:creator>
  <cp:lastModifiedBy>admin</cp:lastModifiedBy>
  <cp:revision>2</cp:revision>
  <dcterms:created xsi:type="dcterms:W3CDTF">2026-03-06T08:55:00Z</dcterms:created>
  <dcterms:modified xsi:type="dcterms:W3CDTF">2026-03-06T08:55:00Z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e356878aa2e208801269c9056f87047e75e1848c59d2d1901214e34909989893</vt:lpwstr>
  </property>
  <property fmtid="{D5CDD505-2E9C-101B-9397-08002B2CF9AE}" pid="3" name="MSIP_Label_37228913-0ea8-40c0-8e6a-7e77b8f48415_Enabled">
    <vt:lpwstr>true</vt:lpwstr>
  </property>
  <property fmtid="{D5CDD505-2E9C-101B-9397-08002B2CF9AE}" pid="4" name="MSIP_Label_37228913-0ea8-40c0-8e6a-7e77b8f48415_SetDate">
    <vt:lpwstr>2025-09-29T06:59:21Z</vt:lpwstr>
  </property>
  <property fmtid="{D5CDD505-2E9C-101B-9397-08002B2CF9AE}" pid="5" name="MSIP_Label_37228913-0ea8-40c0-8e6a-7e77b8f48415_Method">
    <vt:lpwstr>Standard</vt:lpwstr>
  </property>
  <property fmtid="{D5CDD505-2E9C-101B-9397-08002B2CF9AE}" pid="6" name="MSIP_Label_37228913-0ea8-40c0-8e6a-7e77b8f48415_Name">
    <vt:lpwstr>Personal</vt:lpwstr>
  </property>
  <property fmtid="{D5CDD505-2E9C-101B-9397-08002B2CF9AE}" pid="7" name="MSIP_Label_37228913-0ea8-40c0-8e6a-7e77b8f48415_SiteId">
    <vt:lpwstr>0e9d7792-908a-4d99-9c9a-471397b662e6</vt:lpwstr>
  </property>
  <property fmtid="{D5CDD505-2E9C-101B-9397-08002B2CF9AE}" pid="8" name="MSIP_Label_37228913-0ea8-40c0-8e6a-7e77b8f48415_ActionId">
    <vt:lpwstr>f6932363-be0a-478f-a56b-435c1edde654</vt:lpwstr>
  </property>
  <property fmtid="{D5CDD505-2E9C-101B-9397-08002B2CF9AE}" pid="9" name="MSIP_Label_37228913-0ea8-40c0-8e6a-7e77b8f48415_ContentBits">
    <vt:lpwstr>0</vt:lpwstr>
  </property>
  <property fmtid="{D5CDD505-2E9C-101B-9397-08002B2CF9AE}" pid="10" name="MSIP_Label_37228913-0ea8-40c0-8e6a-7e77b8f48415_Tag">
    <vt:lpwstr>10, 3, 0, 1</vt:lpwstr>
  </property>
</Properties>
</file>