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B2C1" w14:textId="77777777" w:rsidR="00E437BB" w:rsidRDefault="00000000">
      <w:pPr>
        <w:pStyle w:val="NoSpacing"/>
        <w:jc w:val="center"/>
      </w:pPr>
      <w:r>
        <w:t>A Correlational Analysis Between Level of Self-Confidence and Motivation</w:t>
      </w:r>
    </w:p>
    <w:p w14:paraId="01504A7E" w14:textId="77777777" w:rsidR="00E437BB" w:rsidRDefault="00000000">
      <w:pPr>
        <w:pStyle w:val="NoSpacing"/>
        <w:jc w:val="center"/>
      </w:pPr>
      <w:r>
        <w:t/>
      </w:r>
    </w:p>
    <w:p w14:paraId="004675FB" w14:textId="77777777" w:rsidR="00E437BB" w:rsidRDefault="00000000">
      <w:pPr>
        <w:pStyle w:val="NoSpacing"/>
        <w:jc w:val="center"/>
      </w:pPr>
      <w:r>
        <w:t xml:space="preserve"/>
      </w:r>
      <w:proofErr w:type="spellStart"/>
      <w:r>
        <w:t/>
      </w:r>
      <w:proofErr w:type="spellEnd"/>
      <w:r>
        <w:t/>
      </w:r>
    </w:p>
    <w:p w14:paraId="2A28C620" w14:textId="77777777" w:rsidR="00E437BB" w:rsidRDefault="00E437BB">
      <w:pPr>
        <w:pStyle w:val="NoSpacing"/>
        <w:jc w:val="both"/>
      </w:pPr>
    </w:p>
    <w:p w14:paraId="7945717B" w14:textId="77777777" w:rsidR="00E437BB" w:rsidRDefault="00000000">
      <w:pPr>
        <w:pStyle w:val="NoSpacing"/>
        <w:jc w:val="both"/>
      </w:pPr>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w:r>
    </w:p>
    <w:p w14:paraId="781F646E" w14:textId="77777777" w:rsidR="00E437BB" w:rsidRDefault="00E437BB">
      <w:pPr>
        <w:pStyle w:val="NoSpacing"/>
      </w:pPr>
    </w:p>
    <w:p w14:paraId="675CCDC3" w14:textId="77777777" w:rsidR="00E437BB" w:rsidRDefault="00000000">
      <w:pPr>
        <w:pStyle w:val="NoSpacing"/>
      </w:pPr>
      <w:r>
        <w:t>Abstract</w:t>
      </w:r>
    </w:p>
    <w:p w14:paraId="6E4EB124" w14:textId="77777777" w:rsidR="00E437BB" w:rsidRDefault="00E437BB">
      <w:pPr>
        <w:pStyle w:val="NoSpacing"/>
      </w:pPr>
    </w:p>
    <w:p w14:paraId="5BEEA338" w14:textId="77777777" w:rsidR="00E437BB" w:rsidRDefault="00000000">
      <w:pPr>
        <w:pStyle w:val="NoSpacing"/>
        <w:jc w:val="both"/>
      </w:pPr>
      <w:r>
        <w:t>Clinical education is an essential component of nursing education, allowing students to apply theoretical knowledge in real healthcare settings. However, psychological factors such as self-confidence and motivation may influence students’ learning experiences and performance during clinical exposure. This</w:t>
      </w:r>
    </w:p>
    <w:p w14:paraId="6CF87FF8" w14:textId="09B62AFB" w:rsidR="00E437BB" w:rsidRDefault="00000000">
      <w:pPr>
        <w:pStyle w:val="NoSpacing"/>
        <w:jc w:val="both"/>
      </w:pPr>
      <w:r>
        <w:t xml:space="preserve">study aimed to determine the level of self-confidence and motivation among Bachelor of Science in Nursing (BSN) students and examine the relationship between these variables during hospital-based clinical education. An embedded correlational design was employed involving BSN Level 3 and Level 4 students at St. Mary’s College of </w:t>
      </w:r>
      <w:proofErr w:type="spellStart"/>
      <w:r>
        <w:t>Baliuag</w:t>
      </w:r>
      <w:proofErr w:type="spellEnd"/>
      <w:r>
        <w:t>, Inc. Data were collected using a structured questionnaire utilizing a 4-point Likert scale and analyzed using weighted mean and Pearson</w:t>
      </w:r>
      <w:r w:rsidR="00904E89">
        <w:t>’s</w:t>
      </w:r>
      <w:r w:rsidR="00715099">
        <w:t xml:space="preserve"> </w:t>
      </w:r>
      <w:r>
        <w:t xml:space="preserve">correlation coefficient. Results revealed that the respondents demonstrated a very high level of self-confidence (M = 3.48) and motivation (M = 3.70). Furthermore, a strong and statistically significant positive relationship was found between self-confidence and motivation (r </w:t>
      </w:r>
      <w:r w:rsidRPr="00904E89">
        <w:t>= 0.690, p</w:t>
      </w:r>
      <w:r w:rsidR="00904E89" w:rsidRPr="00904E89">
        <w:t>-value of &lt;0</w:t>
      </w:r>
      <w:r w:rsidRPr="00904E89">
        <w:t>.001</w:t>
      </w:r>
      <w:r>
        <w:t>). The findings suggest that students with greater confidence in their clinical abilities are more likely to exhibit higher motivation during clinical learning experiences. Strengthening both self-confidence and motivation through supportive educational interventions may enhance nursing students’ clinical competence and professional development.</w:t>
      </w:r>
    </w:p>
    <w:p w14:paraId="14524B20" w14:textId="77777777" w:rsidR="00E437BB" w:rsidRDefault="00E437BB">
      <w:pPr>
        <w:pStyle w:val="NoSpacing"/>
        <w:jc w:val="both"/>
      </w:pPr>
    </w:p>
    <w:p w14:paraId="3418D22F" w14:textId="77777777" w:rsidR="00E437BB" w:rsidRDefault="00000000">
      <w:pPr>
        <w:pStyle w:val="NoSpacing"/>
      </w:pPr>
      <w:r>
        <w:t>Keywords: self-confidence, motivation, clinical education, nursing students, correlational study</w:t>
      </w:r>
    </w:p>
    <w:p w14:paraId="37441A75" w14:textId="77777777" w:rsidR="00E437BB" w:rsidRDefault="00E437BB">
      <w:pPr>
        <w:pStyle w:val="NoSpacing"/>
      </w:pPr>
    </w:p>
    <w:p w14:paraId="4AB7DBFC" w14:textId="77777777" w:rsidR="00E437BB" w:rsidRDefault="00000000">
      <w:pPr>
        <w:pStyle w:val="NoSpacing"/>
        <w:spacing w:line="360" w:lineRule="auto"/>
        <w:rPr>
          <w:b/>
        </w:rPr>
      </w:pPr>
      <w:r>
        <w:rPr>
          <w:b/>
        </w:rPr>
        <w:t>Introduction:</w:t>
      </w:r>
    </w:p>
    <w:p w14:paraId="0A7F3874" w14:textId="77777777" w:rsidR="00E437BB" w:rsidRDefault="00000000">
      <w:pPr>
        <w:pStyle w:val="NoSpacing"/>
        <w:jc w:val="both"/>
      </w:pPr>
      <w:r>
        <w:t>Hospital-based clinical education serves as a crucial learning environment where nursing students develop professional competence by applying theoretical concepts to actual patient care. During this period, students encounter numerous academic and emotional challenges that may influence their learning outcomes. Among the factors that contribute to successful clinical performance are self-confidence and motivation.</w:t>
      </w:r>
    </w:p>
    <w:p w14:paraId="4DA56ED1" w14:textId="77777777" w:rsidR="00E437BB" w:rsidRDefault="00E437BB">
      <w:pPr>
        <w:pStyle w:val="NoSpacing"/>
      </w:pPr>
    </w:p>
    <w:p w14:paraId="5E991600" w14:textId="77777777" w:rsidR="00E437BB" w:rsidRDefault="00000000">
      <w:pPr>
        <w:pStyle w:val="NoSpacing"/>
        <w:jc w:val="both"/>
      </w:pPr>
      <w:r>
        <w:t>Self-confidence enables nursing students to perform procedures, communicate effectively, and make sound clinical judgments. Motivation, on the other hand, drives students to engage actively in learning activities, persist despite difficulties, and strive toward professional goals. Although both variables have been recognized as important components of nursing education, limited studies have quantitatively examined their relationship among senior nursing students undergoing hospital-based clinical education.</w:t>
      </w:r>
    </w:p>
    <w:p w14:paraId="31EDE22E" w14:textId="77777777" w:rsidR="00E437BB" w:rsidRDefault="00E437BB">
      <w:pPr>
        <w:pStyle w:val="NoSpacing"/>
        <w:jc w:val="both"/>
      </w:pPr>
    </w:p>
    <w:p w14:paraId="0E0AD2EF" w14:textId="77777777" w:rsidR="00E437BB" w:rsidRDefault="00000000">
      <w:pPr>
        <w:pStyle w:val="NoSpacing"/>
        <w:jc w:val="both"/>
      </w:pPr>
      <w:r>
        <w:t xml:space="preserve">This study investigated the level of self-confidence and motivation among BSN Level 3 and 4 students </w:t>
      </w:r>
      <w:proofErr w:type="gramStart"/>
      <w:r>
        <w:t>of</w:t>
      </w:r>
      <w:proofErr w:type="gramEnd"/>
      <w:r>
        <w:t xml:space="preserve"> St. Mary’s College of </w:t>
      </w:r>
      <w:proofErr w:type="spellStart"/>
      <w:r>
        <w:t>Baliuag</w:t>
      </w:r>
      <w:proofErr w:type="spellEnd"/>
      <w:r>
        <w:t>, Inc. and determined whether a significant relationship exists between these variables.</w:t>
      </w:r>
    </w:p>
    <w:p w14:paraId="504AD498" w14:textId="77777777" w:rsidR="00E437BB" w:rsidRDefault="00E437BB">
      <w:pPr>
        <w:pStyle w:val="NoSpacing"/>
        <w:jc w:val="both"/>
      </w:pPr>
    </w:p>
    <w:p w14:paraId="61CAA6C8" w14:textId="77777777" w:rsidR="00E437BB" w:rsidRDefault="00E437BB">
      <w:pPr>
        <w:pStyle w:val="NoSpacing"/>
      </w:pPr>
    </w:p>
    <w:p w14:paraId="366D1F26" w14:textId="77777777" w:rsidR="00E437BB" w:rsidRDefault="00E437BB">
      <w:pPr>
        <w:pStyle w:val="NoSpacing"/>
      </w:pPr>
    </w:p>
    <w:p w14:paraId="1350BC24" w14:textId="77777777" w:rsidR="00E437BB" w:rsidRDefault="00E437BB">
      <w:pPr>
        <w:pStyle w:val="NoSpacing"/>
      </w:pPr>
    </w:p>
    <w:p w14:paraId="1B4E618F" w14:textId="77777777" w:rsidR="00E437BB" w:rsidRDefault="00E437BB">
      <w:pPr>
        <w:pStyle w:val="NoSpacing"/>
      </w:pPr>
    </w:p>
    <w:p w14:paraId="2901726F" w14:textId="77777777" w:rsidR="00E437BB" w:rsidRDefault="00000000">
      <w:pPr>
        <w:pStyle w:val="NoSpacing"/>
        <w:spacing w:line="360" w:lineRule="auto"/>
        <w:rPr>
          <w:b/>
        </w:rPr>
      </w:pPr>
      <w:r>
        <w:rPr>
          <w:b/>
        </w:rPr>
        <w:lastRenderedPageBreak/>
        <w:t xml:space="preserve">Review of Related Literature </w:t>
      </w:r>
    </w:p>
    <w:p w14:paraId="378FCABE" w14:textId="77777777" w:rsidR="00E437BB" w:rsidRDefault="00000000">
      <w:pPr>
        <w:pStyle w:val="NoSpacing"/>
        <w:jc w:val="both"/>
      </w:pPr>
      <w:r>
        <w:t>Akbari and Sahibzada (2020) emphasized that self-confidence positively influences students’ participation, resilience, and academic achievement. Students who believe in their abilities are more likely to engage actively in learning activities and overcome academic challenges effectively. Furthermore, another research study found that learning motivation significantly predicts self-efficacy among undergraduate nursing students. This study demonstrated that motivated students tend to exhibit greater confidence in performing clinical responsibilities. (Bahari et al. (2022)</w:t>
      </w:r>
    </w:p>
    <w:p w14:paraId="22619A44" w14:textId="77777777" w:rsidR="00E437BB" w:rsidRDefault="00E437BB">
      <w:pPr>
        <w:pStyle w:val="NoSpacing"/>
        <w:jc w:val="both"/>
      </w:pPr>
    </w:p>
    <w:p w14:paraId="1567E1DF" w14:textId="77777777" w:rsidR="00E437BB" w:rsidRDefault="00000000">
      <w:pPr>
        <w:pStyle w:val="NoSpacing"/>
        <w:jc w:val="both"/>
      </w:pPr>
      <w:r>
        <w:t>Another significant research conducted by Rashwan (2023) reported that nursing students’ perceived self-confidence directly affects their clinical performance. Supportive learning environments and positive instructor feedback contribute to enhancing both confidence and motivation. Bandura’s Social Cognitive Theory (1986) proposes that self-efficacy influences individuals’ motivation, persistence, and behavioral outcomes. In nursing education, students, who possess strong beliefs in their capabilities, are more likely to engage confidently and enthusiastically in clinical learning experiences.</w:t>
      </w:r>
    </w:p>
    <w:p w14:paraId="4D50E035" w14:textId="77777777" w:rsidR="00E437BB" w:rsidRDefault="00E437BB">
      <w:pPr>
        <w:pStyle w:val="NoSpacing"/>
        <w:jc w:val="both"/>
      </w:pPr>
    </w:p>
    <w:p w14:paraId="32B633F0" w14:textId="77777777" w:rsidR="00E437BB" w:rsidRDefault="00000000">
      <w:pPr>
        <w:pStyle w:val="NoSpacing"/>
        <w:spacing w:line="360" w:lineRule="auto"/>
        <w:rPr>
          <w:b/>
        </w:rPr>
      </w:pPr>
      <w:r>
        <w:rPr>
          <w:b/>
        </w:rPr>
        <w:t>Statement of the Problem</w:t>
      </w:r>
    </w:p>
    <w:p w14:paraId="12F33A22" w14:textId="77777777" w:rsidR="00E437BB" w:rsidRDefault="00000000">
      <w:pPr>
        <w:pStyle w:val="NoSpacing"/>
        <w:jc w:val="both"/>
      </w:pPr>
      <w:r>
        <w:t>This study aimed to determine the relationship between self-confidence and motivation among BSN students during hospital-based clinical education.</w:t>
      </w:r>
    </w:p>
    <w:p w14:paraId="1809E9D2" w14:textId="77777777" w:rsidR="00E437BB" w:rsidRDefault="00E437BB">
      <w:pPr>
        <w:pStyle w:val="NoSpacing"/>
        <w:jc w:val="both"/>
      </w:pPr>
    </w:p>
    <w:p w14:paraId="4F5BCAFF" w14:textId="77777777" w:rsidR="00E437BB" w:rsidRDefault="00000000">
      <w:pPr>
        <w:pStyle w:val="NoSpacing"/>
        <w:spacing w:line="360" w:lineRule="auto"/>
      </w:pPr>
      <w:r>
        <w:t>Specifically, it sought to answer the following questions:</w:t>
      </w:r>
    </w:p>
    <w:p w14:paraId="0F876AD6" w14:textId="77777777" w:rsidR="00E437BB" w:rsidRDefault="00000000">
      <w:pPr>
        <w:pStyle w:val="NoSpacing"/>
        <w:numPr>
          <w:ilvl w:val="0"/>
          <w:numId w:val="1"/>
        </w:numPr>
        <w:jc w:val="both"/>
      </w:pPr>
      <w:r>
        <w:t>What is the level of self-confidence among BSN students during hospital-based clinical education?</w:t>
      </w:r>
    </w:p>
    <w:p w14:paraId="591A512F" w14:textId="77777777" w:rsidR="00E437BB" w:rsidRDefault="00000000">
      <w:pPr>
        <w:pStyle w:val="NoSpacing"/>
        <w:numPr>
          <w:ilvl w:val="0"/>
          <w:numId w:val="1"/>
        </w:numPr>
        <w:jc w:val="both"/>
      </w:pPr>
      <w:r>
        <w:t>What is the level of motivation among BSN students during hospital-based clinical education?</w:t>
      </w:r>
    </w:p>
    <w:p w14:paraId="61A94FD0" w14:textId="77777777" w:rsidR="00E437BB" w:rsidRDefault="00000000">
      <w:pPr>
        <w:pStyle w:val="NoSpacing"/>
        <w:numPr>
          <w:ilvl w:val="0"/>
          <w:numId w:val="1"/>
        </w:numPr>
        <w:jc w:val="both"/>
      </w:pPr>
      <w:r>
        <w:t>Is there a significant relationship between self-confidence and motivation among BSN students during hospital-based clinical education?</w:t>
      </w:r>
    </w:p>
    <w:p w14:paraId="3767D34D" w14:textId="77777777" w:rsidR="00E437BB" w:rsidRDefault="00E437BB">
      <w:pPr>
        <w:pStyle w:val="NoSpacing"/>
      </w:pPr>
    </w:p>
    <w:p w14:paraId="25220AAA" w14:textId="77777777" w:rsidR="00E437BB" w:rsidRDefault="00000000">
      <w:pPr>
        <w:pStyle w:val="NoSpacing"/>
        <w:spacing w:line="360" w:lineRule="auto"/>
        <w:rPr>
          <w:b/>
        </w:rPr>
      </w:pPr>
      <w:r>
        <w:rPr>
          <w:b/>
        </w:rPr>
        <w:t>Methods</w:t>
      </w:r>
    </w:p>
    <w:p w14:paraId="25FFDF7F" w14:textId="77777777" w:rsidR="00E437BB" w:rsidRDefault="00000000">
      <w:pPr>
        <w:pStyle w:val="NoSpacing"/>
        <w:jc w:val="both"/>
      </w:pPr>
      <w:r>
        <w:t xml:space="preserve">An embedded correlational research design based on Polit and Beck's framework was employed. The study involved BSN Level 3 and 4 students </w:t>
      </w:r>
      <w:proofErr w:type="gramStart"/>
      <w:r>
        <w:t>of</w:t>
      </w:r>
      <w:proofErr w:type="gramEnd"/>
      <w:r>
        <w:t xml:space="preserve"> St. Mary's College of </w:t>
      </w:r>
      <w:proofErr w:type="spellStart"/>
      <w:r>
        <w:t>Baliuag</w:t>
      </w:r>
      <w:proofErr w:type="spellEnd"/>
      <w:r>
        <w:t>, Inc., who were currently engaged in hospital-based Related Learning Experiences (RLE).</w:t>
      </w:r>
    </w:p>
    <w:p w14:paraId="642DC667" w14:textId="77777777" w:rsidR="00E437BB" w:rsidRDefault="00E437BB">
      <w:pPr>
        <w:pStyle w:val="NoSpacing"/>
        <w:jc w:val="both"/>
      </w:pPr>
    </w:p>
    <w:p w14:paraId="4B215142" w14:textId="77777777" w:rsidR="00E437BB" w:rsidRDefault="00000000">
      <w:pPr>
        <w:pStyle w:val="NoSpacing"/>
        <w:jc w:val="both"/>
      </w:pPr>
      <w:r>
        <w:t xml:space="preserve">Purposive sampling was utilized to select participants who met the inclusion criteria. Data </w:t>
      </w:r>
      <w:proofErr w:type="gramStart"/>
      <w:r>
        <w:t>were</w:t>
      </w:r>
      <w:proofErr w:type="gramEnd"/>
      <w:r>
        <w:t xml:space="preserve"> collected through a structured questionnaire consisting of self-confidence and motivation scales using a 4-point Likert format. Open-ended questions were also included to support quantitative findings.</w:t>
      </w:r>
    </w:p>
    <w:p w14:paraId="583723C5" w14:textId="77777777" w:rsidR="00E437BB" w:rsidRDefault="00E437BB">
      <w:pPr>
        <w:pStyle w:val="NoSpacing"/>
        <w:jc w:val="both"/>
      </w:pPr>
    </w:p>
    <w:p w14:paraId="566431C1" w14:textId="77777777" w:rsidR="00E437BB" w:rsidRDefault="00000000">
      <w:pPr>
        <w:pStyle w:val="NoSpacing"/>
        <w:jc w:val="both"/>
      </w:pPr>
      <w:r>
        <w:t>Descriptive statistics, including weighted mean and standard deviation, were used to determine the levels of self-confidence and motivation. Pearson's correlation coefficient was employed to examine the relationship between the variables. Ethical principles of informed consent, confidentiality, and voluntary participation were strictly observed throughout the study.</w:t>
      </w:r>
    </w:p>
    <w:p w14:paraId="5CD5963F" w14:textId="77777777" w:rsidR="00E437BB" w:rsidRDefault="00E437BB">
      <w:pPr>
        <w:pStyle w:val="NoSpacing"/>
      </w:pPr>
    </w:p>
    <w:p w14:paraId="08F1E6A0" w14:textId="77777777" w:rsidR="00E437BB" w:rsidRDefault="00000000">
      <w:pPr>
        <w:pStyle w:val="NoSpacing"/>
        <w:spacing w:line="360" w:lineRule="auto"/>
        <w:rPr>
          <w:b/>
        </w:rPr>
      </w:pPr>
      <w:r>
        <w:rPr>
          <w:b/>
        </w:rPr>
        <w:t>Data Presentation and Analysis</w:t>
      </w:r>
    </w:p>
    <w:p w14:paraId="432945A4" w14:textId="77777777" w:rsidR="00E437BB" w:rsidRDefault="00000000">
      <w:pPr>
        <w:pStyle w:val="NoSpacing"/>
      </w:pPr>
      <w:r>
        <w:t>Table 1. BSN Students’ Level of Self-Confidence</w:t>
      </w:r>
    </w:p>
    <w:p w14:paraId="2161834A" w14:textId="77777777" w:rsidR="00E437BB" w:rsidRDefault="00E437BB">
      <w:pPr>
        <w:pStyle w:val="NoSpacing"/>
      </w:pPr>
    </w:p>
    <w:tbl>
      <w:tblPr>
        <w:tblStyle w:val="TableGrid"/>
        <w:tblW w:w="0" w:type="auto"/>
        <w:tblLook w:val="04A0" w:firstRow="1" w:lastRow="0" w:firstColumn="1" w:lastColumn="0" w:noHBand="0" w:noVBand="1"/>
      </w:tblPr>
      <w:tblGrid>
        <w:gridCol w:w="631"/>
        <w:gridCol w:w="6624"/>
        <w:gridCol w:w="735"/>
        <w:gridCol w:w="681"/>
        <w:gridCol w:w="679"/>
      </w:tblGrid>
      <w:tr w:rsidR="00E437BB" w14:paraId="453184A0" w14:textId="77777777">
        <w:tc>
          <w:tcPr>
            <w:tcW w:w="601" w:type="dxa"/>
          </w:tcPr>
          <w:p w14:paraId="34F67823" w14:textId="77777777" w:rsidR="00E437BB" w:rsidRDefault="00000000">
            <w:pPr>
              <w:pStyle w:val="NoSpacing"/>
              <w:jc w:val="center"/>
            </w:pPr>
            <w:r>
              <w:t>Item</w:t>
            </w:r>
          </w:p>
        </w:tc>
        <w:tc>
          <w:tcPr>
            <w:tcW w:w="6921" w:type="dxa"/>
          </w:tcPr>
          <w:p w14:paraId="6E6BB0C7" w14:textId="77777777" w:rsidR="00E437BB" w:rsidRDefault="00000000">
            <w:pPr>
              <w:pStyle w:val="NoSpacing"/>
              <w:jc w:val="center"/>
            </w:pPr>
            <w:r>
              <w:t>Statement</w:t>
            </w:r>
          </w:p>
        </w:tc>
        <w:tc>
          <w:tcPr>
            <w:tcW w:w="682" w:type="dxa"/>
          </w:tcPr>
          <w:p w14:paraId="3469A8DF" w14:textId="77777777" w:rsidR="00E437BB" w:rsidRDefault="00000000">
            <w:pPr>
              <w:pStyle w:val="NoSpacing"/>
              <w:jc w:val="center"/>
            </w:pPr>
            <w:r>
              <w:t>Mean</w:t>
            </w:r>
          </w:p>
        </w:tc>
        <w:tc>
          <w:tcPr>
            <w:tcW w:w="685" w:type="dxa"/>
          </w:tcPr>
          <w:p w14:paraId="5480401D" w14:textId="77777777" w:rsidR="00E437BB" w:rsidRDefault="00000000">
            <w:pPr>
              <w:pStyle w:val="NoSpacing"/>
              <w:jc w:val="center"/>
            </w:pPr>
            <w:r>
              <w:t>SD</w:t>
            </w:r>
          </w:p>
        </w:tc>
        <w:tc>
          <w:tcPr>
            <w:tcW w:w="685" w:type="dxa"/>
          </w:tcPr>
          <w:p w14:paraId="57286EDA" w14:textId="77777777" w:rsidR="00E437BB" w:rsidRDefault="00000000">
            <w:pPr>
              <w:pStyle w:val="NoSpacing"/>
              <w:jc w:val="center"/>
            </w:pPr>
            <w:r>
              <w:t>VD</w:t>
            </w:r>
          </w:p>
        </w:tc>
      </w:tr>
      <w:tr w:rsidR="00E437BB" w14:paraId="43AC6FE5" w14:textId="77777777">
        <w:tc>
          <w:tcPr>
            <w:tcW w:w="601" w:type="dxa"/>
          </w:tcPr>
          <w:p w14:paraId="17B9C964" w14:textId="77777777" w:rsidR="00E437BB" w:rsidRDefault="00E437BB">
            <w:pPr>
              <w:pStyle w:val="NoSpacing"/>
              <w:numPr>
                <w:ilvl w:val="0"/>
                <w:numId w:val="2"/>
              </w:numPr>
              <w:jc w:val="center"/>
            </w:pPr>
          </w:p>
        </w:tc>
        <w:tc>
          <w:tcPr>
            <w:tcW w:w="6921" w:type="dxa"/>
          </w:tcPr>
          <w:p w14:paraId="4D6FBDF2" w14:textId="77777777" w:rsidR="00E437BB" w:rsidRDefault="00000000">
            <w:pPr>
              <w:pStyle w:val="NoSpacing"/>
              <w:jc w:val="both"/>
            </w:pPr>
            <w:r>
              <w:t>I feel confident performing basic nursing procedures</w:t>
            </w:r>
          </w:p>
        </w:tc>
        <w:tc>
          <w:tcPr>
            <w:tcW w:w="682" w:type="dxa"/>
          </w:tcPr>
          <w:p w14:paraId="52D6C4BB" w14:textId="77777777" w:rsidR="00E437BB" w:rsidRDefault="00000000">
            <w:pPr>
              <w:pStyle w:val="NoSpacing"/>
              <w:jc w:val="center"/>
            </w:pPr>
            <w:r>
              <w:t>3.54</w:t>
            </w:r>
          </w:p>
        </w:tc>
        <w:tc>
          <w:tcPr>
            <w:tcW w:w="685" w:type="dxa"/>
          </w:tcPr>
          <w:p w14:paraId="14460F48" w14:textId="77777777" w:rsidR="00E437BB" w:rsidRDefault="00000000">
            <w:pPr>
              <w:pStyle w:val="NoSpacing"/>
              <w:jc w:val="center"/>
            </w:pPr>
            <w:r>
              <w:rPr>
                <w:rFonts w:ascii="Calibri" w:eastAsia="SimSun" w:hAnsi="Calibri" w:cs="Calibri"/>
              </w:rPr>
              <w:t>0.52</w:t>
            </w:r>
          </w:p>
        </w:tc>
        <w:tc>
          <w:tcPr>
            <w:tcW w:w="685" w:type="dxa"/>
          </w:tcPr>
          <w:p w14:paraId="5EC4EC5C" w14:textId="77777777" w:rsidR="00E437BB" w:rsidRDefault="00000000">
            <w:pPr>
              <w:pStyle w:val="NoSpacing"/>
              <w:jc w:val="center"/>
            </w:pPr>
            <w:r>
              <w:t>VHL</w:t>
            </w:r>
          </w:p>
        </w:tc>
      </w:tr>
      <w:tr w:rsidR="00E437BB" w14:paraId="72DC6813" w14:textId="77777777">
        <w:tc>
          <w:tcPr>
            <w:tcW w:w="601" w:type="dxa"/>
          </w:tcPr>
          <w:p w14:paraId="494D824D" w14:textId="77777777" w:rsidR="00E437BB" w:rsidRDefault="00E437BB">
            <w:pPr>
              <w:pStyle w:val="NoSpacing"/>
              <w:numPr>
                <w:ilvl w:val="0"/>
                <w:numId w:val="2"/>
              </w:numPr>
              <w:jc w:val="center"/>
            </w:pPr>
          </w:p>
        </w:tc>
        <w:tc>
          <w:tcPr>
            <w:tcW w:w="6921" w:type="dxa"/>
          </w:tcPr>
          <w:p w14:paraId="3D8CA335" w14:textId="77777777" w:rsidR="00E437BB" w:rsidRDefault="00000000">
            <w:pPr>
              <w:pStyle w:val="NoSpacing"/>
            </w:pPr>
            <w:r>
              <w:t>I am confident in my ability to communicate with patients.</w:t>
            </w:r>
          </w:p>
        </w:tc>
        <w:tc>
          <w:tcPr>
            <w:tcW w:w="682" w:type="dxa"/>
          </w:tcPr>
          <w:p w14:paraId="575DFCEC" w14:textId="77777777" w:rsidR="00E437BB" w:rsidRDefault="00000000">
            <w:pPr>
              <w:pStyle w:val="NoSpacing"/>
              <w:jc w:val="center"/>
            </w:pPr>
            <w:r>
              <w:t>3.56</w:t>
            </w:r>
          </w:p>
        </w:tc>
        <w:tc>
          <w:tcPr>
            <w:tcW w:w="685" w:type="dxa"/>
          </w:tcPr>
          <w:p w14:paraId="4BBCCD50" w14:textId="77777777" w:rsidR="00E437BB" w:rsidRDefault="00000000">
            <w:pPr>
              <w:pStyle w:val="NoSpacing"/>
              <w:jc w:val="center"/>
            </w:pPr>
            <w:r>
              <w:rPr>
                <w:rFonts w:ascii="Calibri" w:eastAsia="SimSun" w:hAnsi="Calibri" w:cs="Calibri"/>
              </w:rPr>
              <w:t>0.52</w:t>
            </w:r>
          </w:p>
        </w:tc>
        <w:tc>
          <w:tcPr>
            <w:tcW w:w="685" w:type="dxa"/>
          </w:tcPr>
          <w:p w14:paraId="251D5F44" w14:textId="77777777" w:rsidR="00E437BB" w:rsidRDefault="00000000">
            <w:pPr>
              <w:pStyle w:val="NoSpacing"/>
              <w:jc w:val="center"/>
            </w:pPr>
            <w:r>
              <w:t>VHL</w:t>
            </w:r>
          </w:p>
        </w:tc>
      </w:tr>
      <w:tr w:rsidR="00E437BB" w14:paraId="0C4F2C55" w14:textId="77777777">
        <w:tc>
          <w:tcPr>
            <w:tcW w:w="601" w:type="dxa"/>
          </w:tcPr>
          <w:p w14:paraId="0C919FD6" w14:textId="77777777" w:rsidR="00E437BB" w:rsidRDefault="00E437BB">
            <w:pPr>
              <w:pStyle w:val="NoSpacing"/>
              <w:numPr>
                <w:ilvl w:val="0"/>
                <w:numId w:val="2"/>
              </w:numPr>
              <w:jc w:val="center"/>
            </w:pPr>
          </w:p>
        </w:tc>
        <w:tc>
          <w:tcPr>
            <w:tcW w:w="6921" w:type="dxa"/>
          </w:tcPr>
          <w:p w14:paraId="49AD7CD4" w14:textId="77777777" w:rsidR="00E437BB" w:rsidRDefault="00000000">
            <w:pPr>
              <w:pStyle w:val="NoSpacing"/>
            </w:pPr>
            <w:r>
              <w:t>I can make clinical decisions based on patient assessments.</w:t>
            </w:r>
          </w:p>
        </w:tc>
        <w:tc>
          <w:tcPr>
            <w:tcW w:w="682" w:type="dxa"/>
          </w:tcPr>
          <w:p w14:paraId="1F9AB1AD" w14:textId="77777777" w:rsidR="00E437BB" w:rsidRDefault="00000000">
            <w:pPr>
              <w:pStyle w:val="NoSpacing"/>
              <w:jc w:val="center"/>
            </w:pPr>
            <w:r>
              <w:t>3.34</w:t>
            </w:r>
          </w:p>
        </w:tc>
        <w:tc>
          <w:tcPr>
            <w:tcW w:w="685" w:type="dxa"/>
          </w:tcPr>
          <w:p w14:paraId="0C9EF977" w14:textId="77777777" w:rsidR="00E437BB" w:rsidRDefault="00000000">
            <w:pPr>
              <w:pStyle w:val="NoSpacing"/>
              <w:jc w:val="center"/>
            </w:pPr>
            <w:r>
              <w:rPr>
                <w:rFonts w:ascii="Calibri" w:eastAsia="SimSun" w:hAnsi="Calibri" w:cs="Calibri"/>
              </w:rPr>
              <w:t>0.68</w:t>
            </w:r>
          </w:p>
        </w:tc>
        <w:tc>
          <w:tcPr>
            <w:tcW w:w="685" w:type="dxa"/>
          </w:tcPr>
          <w:p w14:paraId="49D505E0" w14:textId="77777777" w:rsidR="00E437BB" w:rsidRDefault="00000000">
            <w:pPr>
              <w:pStyle w:val="NoSpacing"/>
              <w:jc w:val="center"/>
            </w:pPr>
            <w:r>
              <w:t>VHL</w:t>
            </w:r>
          </w:p>
        </w:tc>
      </w:tr>
      <w:tr w:rsidR="00E437BB" w14:paraId="6FE358BD" w14:textId="77777777">
        <w:tc>
          <w:tcPr>
            <w:tcW w:w="601" w:type="dxa"/>
          </w:tcPr>
          <w:p w14:paraId="54647712" w14:textId="77777777" w:rsidR="00E437BB" w:rsidRDefault="00E437BB">
            <w:pPr>
              <w:pStyle w:val="NoSpacing"/>
              <w:numPr>
                <w:ilvl w:val="0"/>
                <w:numId w:val="2"/>
              </w:numPr>
              <w:jc w:val="center"/>
            </w:pPr>
          </w:p>
        </w:tc>
        <w:tc>
          <w:tcPr>
            <w:tcW w:w="6921" w:type="dxa"/>
          </w:tcPr>
          <w:p w14:paraId="2D38BE3D" w14:textId="77777777" w:rsidR="00E437BB" w:rsidRDefault="00000000">
            <w:pPr>
              <w:pStyle w:val="NoSpacing"/>
            </w:pPr>
            <w:r>
              <w:t>I feel confident when performing more complex nursing skills.</w:t>
            </w:r>
          </w:p>
        </w:tc>
        <w:tc>
          <w:tcPr>
            <w:tcW w:w="682" w:type="dxa"/>
          </w:tcPr>
          <w:p w14:paraId="74E6F5AF" w14:textId="77777777" w:rsidR="00E437BB" w:rsidRDefault="00000000">
            <w:pPr>
              <w:pStyle w:val="NoSpacing"/>
              <w:jc w:val="center"/>
            </w:pPr>
            <w:r>
              <w:t>3.31</w:t>
            </w:r>
          </w:p>
        </w:tc>
        <w:tc>
          <w:tcPr>
            <w:tcW w:w="685" w:type="dxa"/>
          </w:tcPr>
          <w:p w14:paraId="5B6C3E5F" w14:textId="77777777" w:rsidR="00E437BB" w:rsidRDefault="00000000">
            <w:pPr>
              <w:pStyle w:val="NoSpacing"/>
              <w:jc w:val="center"/>
            </w:pPr>
            <w:r>
              <w:rPr>
                <w:rFonts w:ascii="Calibri" w:eastAsia="SimSun" w:hAnsi="Calibri" w:cs="Calibri"/>
              </w:rPr>
              <w:t>0.57</w:t>
            </w:r>
          </w:p>
        </w:tc>
        <w:tc>
          <w:tcPr>
            <w:tcW w:w="685" w:type="dxa"/>
          </w:tcPr>
          <w:p w14:paraId="62A1AFD5" w14:textId="77777777" w:rsidR="00E437BB" w:rsidRDefault="00000000">
            <w:pPr>
              <w:pStyle w:val="NoSpacing"/>
              <w:jc w:val="center"/>
            </w:pPr>
            <w:r>
              <w:t>VHL</w:t>
            </w:r>
          </w:p>
        </w:tc>
      </w:tr>
      <w:tr w:rsidR="00E437BB" w14:paraId="1B90F843" w14:textId="77777777">
        <w:tc>
          <w:tcPr>
            <w:tcW w:w="601" w:type="dxa"/>
          </w:tcPr>
          <w:p w14:paraId="7FD04D1B" w14:textId="77777777" w:rsidR="00E437BB" w:rsidRDefault="00E437BB">
            <w:pPr>
              <w:pStyle w:val="NoSpacing"/>
              <w:numPr>
                <w:ilvl w:val="0"/>
                <w:numId w:val="2"/>
              </w:numPr>
              <w:jc w:val="center"/>
            </w:pPr>
          </w:p>
        </w:tc>
        <w:tc>
          <w:tcPr>
            <w:tcW w:w="6921" w:type="dxa"/>
          </w:tcPr>
          <w:p w14:paraId="752B0E26" w14:textId="77777777" w:rsidR="00E437BB" w:rsidRDefault="00000000">
            <w:pPr>
              <w:pStyle w:val="NoSpacing"/>
            </w:pPr>
            <w:r>
              <w:t>I am confident working under clinical supervision.</w:t>
            </w:r>
          </w:p>
        </w:tc>
        <w:tc>
          <w:tcPr>
            <w:tcW w:w="682" w:type="dxa"/>
          </w:tcPr>
          <w:p w14:paraId="0FCAC610" w14:textId="77777777" w:rsidR="00E437BB" w:rsidRDefault="00000000">
            <w:pPr>
              <w:pStyle w:val="NoSpacing"/>
              <w:jc w:val="center"/>
            </w:pPr>
            <w:r>
              <w:t>3.60</w:t>
            </w:r>
          </w:p>
        </w:tc>
        <w:tc>
          <w:tcPr>
            <w:tcW w:w="685" w:type="dxa"/>
          </w:tcPr>
          <w:p w14:paraId="711D09D5" w14:textId="77777777" w:rsidR="00E437BB" w:rsidRDefault="00000000">
            <w:pPr>
              <w:pStyle w:val="NoSpacing"/>
              <w:jc w:val="center"/>
            </w:pPr>
            <w:r>
              <w:rPr>
                <w:rFonts w:ascii="Calibri" w:eastAsia="SimSun" w:hAnsi="Calibri" w:cs="Calibri"/>
              </w:rPr>
              <w:t>0.55</w:t>
            </w:r>
          </w:p>
        </w:tc>
        <w:tc>
          <w:tcPr>
            <w:tcW w:w="685" w:type="dxa"/>
          </w:tcPr>
          <w:p w14:paraId="020F2F29" w14:textId="77777777" w:rsidR="00E437BB" w:rsidRDefault="00000000">
            <w:pPr>
              <w:pStyle w:val="NoSpacing"/>
              <w:jc w:val="center"/>
            </w:pPr>
            <w:r>
              <w:t>VHL</w:t>
            </w:r>
          </w:p>
        </w:tc>
      </w:tr>
      <w:tr w:rsidR="00E437BB" w14:paraId="3D65955F" w14:textId="77777777">
        <w:tc>
          <w:tcPr>
            <w:tcW w:w="601" w:type="dxa"/>
          </w:tcPr>
          <w:p w14:paraId="2390D6F2" w14:textId="77777777" w:rsidR="00E437BB" w:rsidRDefault="00E437BB">
            <w:pPr>
              <w:pStyle w:val="NoSpacing"/>
              <w:numPr>
                <w:ilvl w:val="0"/>
                <w:numId w:val="2"/>
              </w:numPr>
              <w:jc w:val="center"/>
            </w:pPr>
          </w:p>
        </w:tc>
        <w:tc>
          <w:tcPr>
            <w:tcW w:w="6921" w:type="dxa"/>
          </w:tcPr>
          <w:p w14:paraId="0692B9AA" w14:textId="77777777" w:rsidR="00E437BB" w:rsidRDefault="00000000">
            <w:pPr>
              <w:pStyle w:val="NoSpacing"/>
            </w:pPr>
            <w:r>
              <w:t>I can prioritize patient care tasks effectively</w:t>
            </w:r>
          </w:p>
        </w:tc>
        <w:tc>
          <w:tcPr>
            <w:tcW w:w="682" w:type="dxa"/>
          </w:tcPr>
          <w:p w14:paraId="45E967A1" w14:textId="77777777" w:rsidR="00E437BB" w:rsidRDefault="00000000">
            <w:pPr>
              <w:pStyle w:val="NoSpacing"/>
              <w:jc w:val="center"/>
            </w:pPr>
            <w:r>
              <w:t>3.52</w:t>
            </w:r>
          </w:p>
        </w:tc>
        <w:tc>
          <w:tcPr>
            <w:tcW w:w="685" w:type="dxa"/>
          </w:tcPr>
          <w:p w14:paraId="26396029" w14:textId="77777777" w:rsidR="00E437BB" w:rsidRDefault="00000000">
            <w:pPr>
              <w:pStyle w:val="NoSpacing"/>
              <w:jc w:val="center"/>
            </w:pPr>
            <w:r>
              <w:rPr>
                <w:rFonts w:ascii="Calibri" w:eastAsia="SimSun" w:hAnsi="Calibri" w:cs="Calibri"/>
              </w:rPr>
              <w:t>0.54</w:t>
            </w:r>
          </w:p>
        </w:tc>
        <w:tc>
          <w:tcPr>
            <w:tcW w:w="685" w:type="dxa"/>
          </w:tcPr>
          <w:p w14:paraId="022AC21D" w14:textId="77777777" w:rsidR="00E437BB" w:rsidRDefault="00000000">
            <w:pPr>
              <w:pStyle w:val="NoSpacing"/>
              <w:jc w:val="center"/>
            </w:pPr>
            <w:r>
              <w:t>VHL</w:t>
            </w:r>
          </w:p>
        </w:tc>
      </w:tr>
      <w:tr w:rsidR="00E437BB" w14:paraId="30FB04B0" w14:textId="77777777">
        <w:tc>
          <w:tcPr>
            <w:tcW w:w="601" w:type="dxa"/>
          </w:tcPr>
          <w:p w14:paraId="7D203840" w14:textId="77777777" w:rsidR="00E437BB" w:rsidRDefault="00E437BB">
            <w:pPr>
              <w:pStyle w:val="NoSpacing"/>
              <w:numPr>
                <w:ilvl w:val="0"/>
                <w:numId w:val="2"/>
              </w:numPr>
              <w:jc w:val="center"/>
            </w:pPr>
          </w:p>
        </w:tc>
        <w:tc>
          <w:tcPr>
            <w:tcW w:w="6921" w:type="dxa"/>
          </w:tcPr>
          <w:p w14:paraId="581ADED1" w14:textId="77777777" w:rsidR="00E437BB" w:rsidRDefault="00000000">
            <w:pPr>
              <w:pStyle w:val="NoSpacing"/>
            </w:pPr>
            <w:r>
              <w:t xml:space="preserve">I am composed </w:t>
            </w:r>
            <w:proofErr w:type="gramStart"/>
            <w:r>
              <w:t>during</w:t>
            </w:r>
            <w:proofErr w:type="gramEnd"/>
            <w:r>
              <w:t xml:space="preserve"> emergency situations in clinical duties.</w:t>
            </w:r>
          </w:p>
        </w:tc>
        <w:tc>
          <w:tcPr>
            <w:tcW w:w="682" w:type="dxa"/>
          </w:tcPr>
          <w:p w14:paraId="19E2E39A" w14:textId="77777777" w:rsidR="00E437BB" w:rsidRDefault="00000000">
            <w:pPr>
              <w:pStyle w:val="NoSpacing"/>
              <w:jc w:val="center"/>
            </w:pPr>
            <w:r>
              <w:t>3.41</w:t>
            </w:r>
          </w:p>
        </w:tc>
        <w:tc>
          <w:tcPr>
            <w:tcW w:w="685" w:type="dxa"/>
          </w:tcPr>
          <w:p w14:paraId="30423F19" w14:textId="77777777" w:rsidR="00E437BB" w:rsidRDefault="00000000">
            <w:pPr>
              <w:pStyle w:val="NoSpacing"/>
              <w:jc w:val="center"/>
            </w:pPr>
            <w:r>
              <w:rPr>
                <w:rFonts w:ascii="Calibri" w:eastAsia="SimSun" w:hAnsi="Calibri" w:cs="Calibri"/>
              </w:rPr>
              <w:t>0.58</w:t>
            </w:r>
          </w:p>
        </w:tc>
        <w:tc>
          <w:tcPr>
            <w:tcW w:w="685" w:type="dxa"/>
          </w:tcPr>
          <w:p w14:paraId="787B65BD" w14:textId="77777777" w:rsidR="00E437BB" w:rsidRDefault="00000000">
            <w:pPr>
              <w:pStyle w:val="NoSpacing"/>
              <w:jc w:val="center"/>
            </w:pPr>
            <w:r>
              <w:t>VHL</w:t>
            </w:r>
          </w:p>
        </w:tc>
      </w:tr>
      <w:tr w:rsidR="00E437BB" w14:paraId="5FFBC057" w14:textId="77777777">
        <w:tc>
          <w:tcPr>
            <w:tcW w:w="601" w:type="dxa"/>
          </w:tcPr>
          <w:p w14:paraId="28EFA5B0" w14:textId="77777777" w:rsidR="00E437BB" w:rsidRDefault="00E437BB">
            <w:pPr>
              <w:pStyle w:val="NoSpacing"/>
              <w:numPr>
                <w:ilvl w:val="0"/>
                <w:numId w:val="2"/>
              </w:numPr>
              <w:jc w:val="center"/>
            </w:pPr>
          </w:p>
        </w:tc>
        <w:tc>
          <w:tcPr>
            <w:tcW w:w="6921" w:type="dxa"/>
          </w:tcPr>
          <w:p w14:paraId="0CB40AEF" w14:textId="77777777" w:rsidR="00E437BB" w:rsidRDefault="00000000">
            <w:pPr>
              <w:pStyle w:val="NoSpacing"/>
            </w:pPr>
            <w:r>
              <w:t>I am confident in documenting patient information accurately.</w:t>
            </w:r>
          </w:p>
        </w:tc>
        <w:tc>
          <w:tcPr>
            <w:tcW w:w="682" w:type="dxa"/>
          </w:tcPr>
          <w:p w14:paraId="72143CED" w14:textId="77777777" w:rsidR="00E437BB" w:rsidRDefault="00000000">
            <w:pPr>
              <w:pStyle w:val="NoSpacing"/>
              <w:jc w:val="center"/>
            </w:pPr>
            <w:r>
              <w:t>3.59</w:t>
            </w:r>
          </w:p>
        </w:tc>
        <w:tc>
          <w:tcPr>
            <w:tcW w:w="685" w:type="dxa"/>
          </w:tcPr>
          <w:p w14:paraId="0D724297" w14:textId="77777777" w:rsidR="00E437BB" w:rsidRDefault="00000000">
            <w:pPr>
              <w:pStyle w:val="NoSpacing"/>
              <w:jc w:val="center"/>
            </w:pPr>
            <w:r>
              <w:rPr>
                <w:rFonts w:ascii="Calibri" w:eastAsia="SimSun" w:hAnsi="Calibri" w:cs="Calibri"/>
              </w:rPr>
              <w:t>0.56</w:t>
            </w:r>
          </w:p>
        </w:tc>
        <w:tc>
          <w:tcPr>
            <w:tcW w:w="685" w:type="dxa"/>
          </w:tcPr>
          <w:p w14:paraId="7371634F" w14:textId="77777777" w:rsidR="00E437BB" w:rsidRDefault="00000000">
            <w:pPr>
              <w:pStyle w:val="NoSpacing"/>
              <w:jc w:val="center"/>
            </w:pPr>
            <w:r>
              <w:t>VHL</w:t>
            </w:r>
          </w:p>
        </w:tc>
      </w:tr>
      <w:tr w:rsidR="00E437BB" w14:paraId="3AD97DBC" w14:textId="77777777">
        <w:tc>
          <w:tcPr>
            <w:tcW w:w="601" w:type="dxa"/>
          </w:tcPr>
          <w:p w14:paraId="580EA026" w14:textId="77777777" w:rsidR="00E437BB" w:rsidRDefault="00E437BB">
            <w:pPr>
              <w:pStyle w:val="NoSpacing"/>
              <w:numPr>
                <w:ilvl w:val="0"/>
                <w:numId w:val="2"/>
              </w:numPr>
              <w:jc w:val="center"/>
            </w:pPr>
          </w:p>
        </w:tc>
        <w:tc>
          <w:tcPr>
            <w:tcW w:w="6921" w:type="dxa"/>
          </w:tcPr>
          <w:p w14:paraId="4422A3C7" w14:textId="77777777" w:rsidR="00E437BB" w:rsidRDefault="00000000">
            <w:pPr>
              <w:pStyle w:val="NoSpacing"/>
            </w:pPr>
            <w:r>
              <w:t>I can work well with the nursing team during busy shifts.</w:t>
            </w:r>
          </w:p>
        </w:tc>
        <w:tc>
          <w:tcPr>
            <w:tcW w:w="682" w:type="dxa"/>
          </w:tcPr>
          <w:p w14:paraId="7FF1D830" w14:textId="77777777" w:rsidR="00E437BB" w:rsidRDefault="00000000">
            <w:pPr>
              <w:pStyle w:val="NoSpacing"/>
              <w:jc w:val="center"/>
            </w:pPr>
            <w:r>
              <w:t>3.51</w:t>
            </w:r>
          </w:p>
        </w:tc>
        <w:tc>
          <w:tcPr>
            <w:tcW w:w="685" w:type="dxa"/>
          </w:tcPr>
          <w:p w14:paraId="7BFFB3E7" w14:textId="77777777" w:rsidR="00E437BB" w:rsidRDefault="00000000">
            <w:pPr>
              <w:pStyle w:val="NoSpacing"/>
              <w:jc w:val="center"/>
            </w:pPr>
            <w:r>
              <w:rPr>
                <w:rFonts w:ascii="Calibri" w:eastAsia="SimSun" w:hAnsi="Calibri" w:cs="Calibri"/>
              </w:rPr>
              <w:t>0.57</w:t>
            </w:r>
          </w:p>
        </w:tc>
        <w:tc>
          <w:tcPr>
            <w:tcW w:w="685" w:type="dxa"/>
          </w:tcPr>
          <w:p w14:paraId="1BA59889" w14:textId="77777777" w:rsidR="00E437BB" w:rsidRDefault="00000000">
            <w:pPr>
              <w:pStyle w:val="NoSpacing"/>
              <w:jc w:val="center"/>
            </w:pPr>
            <w:r>
              <w:t>VHL</w:t>
            </w:r>
          </w:p>
        </w:tc>
      </w:tr>
      <w:tr w:rsidR="00E437BB" w14:paraId="7BC68F05" w14:textId="77777777">
        <w:tc>
          <w:tcPr>
            <w:tcW w:w="601" w:type="dxa"/>
          </w:tcPr>
          <w:p w14:paraId="44B97774" w14:textId="77777777" w:rsidR="00E437BB" w:rsidRDefault="00E437BB">
            <w:pPr>
              <w:pStyle w:val="NoSpacing"/>
              <w:numPr>
                <w:ilvl w:val="0"/>
                <w:numId w:val="2"/>
              </w:numPr>
              <w:jc w:val="center"/>
            </w:pPr>
          </w:p>
        </w:tc>
        <w:tc>
          <w:tcPr>
            <w:tcW w:w="6921" w:type="dxa"/>
          </w:tcPr>
          <w:p w14:paraId="1A287509" w14:textId="77777777" w:rsidR="00E437BB" w:rsidRDefault="00000000">
            <w:pPr>
              <w:pStyle w:val="NoSpacing"/>
            </w:pPr>
            <w:r>
              <w:t>I am competent in explaining procedure and care to patients and their families.</w:t>
            </w:r>
          </w:p>
        </w:tc>
        <w:tc>
          <w:tcPr>
            <w:tcW w:w="682" w:type="dxa"/>
          </w:tcPr>
          <w:p w14:paraId="1D1E9038" w14:textId="77777777" w:rsidR="00E437BB" w:rsidRDefault="00000000">
            <w:pPr>
              <w:pStyle w:val="NoSpacing"/>
              <w:jc w:val="center"/>
            </w:pPr>
            <w:r>
              <w:t>3.47</w:t>
            </w:r>
          </w:p>
        </w:tc>
        <w:tc>
          <w:tcPr>
            <w:tcW w:w="685" w:type="dxa"/>
          </w:tcPr>
          <w:p w14:paraId="388F85CB" w14:textId="77777777" w:rsidR="00E437BB" w:rsidRDefault="00000000">
            <w:pPr>
              <w:pStyle w:val="NoSpacing"/>
              <w:jc w:val="center"/>
            </w:pPr>
            <w:r>
              <w:rPr>
                <w:rFonts w:ascii="Calibri" w:eastAsia="SimSun" w:hAnsi="Calibri" w:cs="Calibri"/>
              </w:rPr>
              <w:t>0.59</w:t>
            </w:r>
          </w:p>
        </w:tc>
        <w:tc>
          <w:tcPr>
            <w:tcW w:w="685" w:type="dxa"/>
          </w:tcPr>
          <w:p w14:paraId="750C813A" w14:textId="77777777" w:rsidR="00E437BB" w:rsidRDefault="00000000">
            <w:pPr>
              <w:pStyle w:val="NoSpacing"/>
              <w:jc w:val="center"/>
            </w:pPr>
            <w:r>
              <w:t>VHL</w:t>
            </w:r>
          </w:p>
        </w:tc>
      </w:tr>
      <w:tr w:rsidR="00E437BB" w14:paraId="1C28D886" w14:textId="77777777">
        <w:tc>
          <w:tcPr>
            <w:tcW w:w="7522" w:type="dxa"/>
            <w:gridSpan w:val="2"/>
          </w:tcPr>
          <w:p w14:paraId="0B69A3E3" w14:textId="77777777" w:rsidR="00E437BB" w:rsidRDefault="00000000">
            <w:pPr>
              <w:pStyle w:val="NoSpacing"/>
              <w:jc w:val="center"/>
            </w:pPr>
            <w:r>
              <w:t>Overall Mean, Standard Deviation and Verbal Description</w:t>
            </w:r>
          </w:p>
        </w:tc>
        <w:tc>
          <w:tcPr>
            <w:tcW w:w="682" w:type="dxa"/>
          </w:tcPr>
          <w:p w14:paraId="6EC0F2AF" w14:textId="77777777" w:rsidR="00E437BB" w:rsidRDefault="00000000">
            <w:pPr>
              <w:pStyle w:val="NoSpacing"/>
              <w:jc w:val="center"/>
            </w:pPr>
            <w:r>
              <w:t>3.48</w:t>
            </w:r>
          </w:p>
        </w:tc>
        <w:tc>
          <w:tcPr>
            <w:tcW w:w="685" w:type="dxa"/>
          </w:tcPr>
          <w:p w14:paraId="7B2B1EC1" w14:textId="77777777" w:rsidR="00E437BB" w:rsidRDefault="00000000">
            <w:pPr>
              <w:pStyle w:val="NoSpacing"/>
              <w:jc w:val="center"/>
            </w:pPr>
            <w:r>
              <w:rPr>
                <w:rFonts w:ascii="Calibri" w:eastAsia="SimSun" w:hAnsi="Calibri" w:cs="Calibri"/>
              </w:rPr>
              <w:t>0.52</w:t>
            </w:r>
          </w:p>
        </w:tc>
        <w:tc>
          <w:tcPr>
            <w:tcW w:w="685" w:type="dxa"/>
          </w:tcPr>
          <w:p w14:paraId="4047C3A1" w14:textId="77777777" w:rsidR="00E437BB" w:rsidRDefault="00000000">
            <w:pPr>
              <w:pStyle w:val="NoSpacing"/>
              <w:jc w:val="center"/>
            </w:pPr>
            <w:r>
              <w:t>VHL</w:t>
            </w:r>
          </w:p>
        </w:tc>
      </w:tr>
    </w:tbl>
    <w:p w14:paraId="660748C5" w14:textId="77777777" w:rsidR="00E437BB" w:rsidRDefault="00E437BB">
      <w:pPr>
        <w:pStyle w:val="NoSpacing"/>
      </w:pPr>
    </w:p>
    <w:p w14:paraId="407FA155" w14:textId="77777777" w:rsidR="00E437BB" w:rsidRDefault="00000000">
      <w:pPr>
        <w:pStyle w:val="NoSpacing"/>
      </w:pPr>
      <w:r>
        <w:t>Legend:</w:t>
      </w:r>
    </w:p>
    <w:p w14:paraId="7B5D05B4" w14:textId="77777777" w:rsidR="00E437BB" w:rsidRDefault="00000000">
      <w:pPr>
        <w:pStyle w:val="NoSpacing"/>
      </w:pPr>
      <w:r>
        <w:t xml:space="preserve">Scale </w:t>
      </w:r>
      <w:r>
        <w:tab/>
      </w:r>
      <w:r>
        <w:tab/>
      </w:r>
      <w:r>
        <w:tab/>
        <w:t>Verbal Description</w:t>
      </w:r>
    </w:p>
    <w:p w14:paraId="3AB0C3B3" w14:textId="77777777" w:rsidR="00E437BB" w:rsidRDefault="00000000">
      <w:pPr>
        <w:pStyle w:val="NoSpacing"/>
      </w:pPr>
      <w:r>
        <w:t xml:space="preserve">3.26 – 4.00 </w:t>
      </w:r>
      <w:r>
        <w:tab/>
        <w:t>Strongly Agree (SA) / Very High Level (VHL)</w:t>
      </w:r>
    </w:p>
    <w:p w14:paraId="2A5086DD" w14:textId="77777777" w:rsidR="00E437BB" w:rsidRDefault="00000000">
      <w:pPr>
        <w:pStyle w:val="NoSpacing"/>
      </w:pPr>
      <w:r>
        <w:t xml:space="preserve">2.51 – 3.25 </w:t>
      </w:r>
      <w:r>
        <w:tab/>
        <w:t>Agree (A) / High Level (HL)</w:t>
      </w:r>
    </w:p>
    <w:p w14:paraId="6E52A825" w14:textId="77777777" w:rsidR="00E437BB" w:rsidRDefault="00000000">
      <w:pPr>
        <w:pStyle w:val="NoSpacing"/>
      </w:pPr>
      <w:r>
        <w:t xml:space="preserve">1.76 – 2.50 </w:t>
      </w:r>
      <w:r>
        <w:tab/>
        <w:t>Disagree (D) / Low Level (LL)</w:t>
      </w:r>
    </w:p>
    <w:p w14:paraId="740987CD" w14:textId="77777777" w:rsidR="00E437BB" w:rsidRDefault="00000000">
      <w:pPr>
        <w:pStyle w:val="NoSpacing"/>
      </w:pPr>
      <w:r>
        <w:t xml:space="preserve">1.00 – 1.75 </w:t>
      </w:r>
      <w:r>
        <w:tab/>
        <w:t>Strongly Disagree (SD) / Very Low Level (VLL)</w:t>
      </w:r>
    </w:p>
    <w:p w14:paraId="2CABC720" w14:textId="77777777" w:rsidR="00E437BB" w:rsidRDefault="00E437BB">
      <w:pPr>
        <w:pStyle w:val="NoSpacing"/>
      </w:pPr>
    </w:p>
    <w:p w14:paraId="5502CFA5" w14:textId="77777777" w:rsidR="00E437BB" w:rsidRDefault="00000000">
      <w:pPr>
        <w:pStyle w:val="NoSpacing"/>
        <w:jc w:val="both"/>
      </w:pPr>
      <w:r>
        <w:t>The respondents demonstrated a very high level of self-confidence, obtaining an overall mean score of 3.48 and generally consistent responses with an overall standard deviation of 0.52. Students expressed confidence in performing nursing procedures, communicating with patients, documenting patient information, and collaborating with healthcare professionals.</w:t>
      </w:r>
    </w:p>
    <w:p w14:paraId="67E4CF8C" w14:textId="77777777" w:rsidR="00E437BB" w:rsidRDefault="00E437BB">
      <w:pPr>
        <w:pStyle w:val="NoSpacing"/>
      </w:pPr>
    </w:p>
    <w:p w14:paraId="4FFB0932" w14:textId="77777777" w:rsidR="00E437BB" w:rsidRDefault="00E437BB">
      <w:pPr>
        <w:pStyle w:val="NoSpacing"/>
        <w:rPr>
          <w:sz w:val="10"/>
          <w:szCs w:val="10"/>
        </w:rPr>
      </w:pPr>
    </w:p>
    <w:p w14:paraId="6C9CAD1C" w14:textId="77777777" w:rsidR="00E437BB" w:rsidRDefault="00000000">
      <w:pPr>
        <w:pStyle w:val="NoSpacing"/>
        <w:rPr>
          <w:b/>
          <w:i/>
        </w:rPr>
      </w:pPr>
      <w:r>
        <w:rPr>
          <w:noProof/>
        </w:rPr>
        <mc:AlternateContent>
          <mc:Choice Requires="wps">
            <w:drawing>
              <wp:anchor distT="0" distB="0" distL="114300" distR="114300" simplePos="0" relativeHeight="251659264" behindDoc="0" locked="0" layoutInCell="1" allowOverlap="1" wp14:anchorId="79CF3440" wp14:editId="1D146A25">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1EE5D46" w14:textId="77777777" w:rsidR="00E437BB" w:rsidRDefault="00000000">
                            <w:pPr>
                              <w:pStyle w:val="NoSpacing"/>
                              <w:jc w:val="both"/>
                              <w:rPr>
                                <w:i/>
                              </w:rPr>
                            </w:pPr>
                            <w:r>
                              <w:rPr>
                                <w:i/>
                              </w:rPr>
                              <w:t>For self-confidence, students scored highest in “working under clinical supervision” M = 3.60 and “documenting patient information accurately” M = 3.59. This implies that direct guidance from clinical instructors and routine tasks with clear protocols enhanced students’ perceived competence. Conversely, the lowest confidence rating was for “performing more complex nursing skills” M = 3.31, SD = 0.55. The 0.28-point gap between basic and complex skills indicates that while students feel ready for fundamental procedures, they remain less assured when faced with advanced, high-stakes interventions. This pattern suggests that learners build confidence first through repetitive, structured tasks before progressing to complex clinical judgment.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79CF344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" filled="f" strokeweight=".5pt">
                <v:textbox style="mso-fit-shape-to-text:t">
                  <w:txbxContent>
                    <w:p w14:paraId="11EE5D46" w14:textId="77777777" w:rsidR="00E437BB" w:rsidRDefault="00000000">
                      <w:pPr>
                        <w:pStyle w:val="NoSpacing"/>
                        <w:jc w:val="both"/>
                        <w:rPr>
                          <w:i/>
                        </w:rPr>
                      </w:pPr>
                      <w:r>
                        <w:rPr>
                          <w:i/>
                        </w:rPr>
                        <w:t>For self-confidence, students scored highest in “working under clinical supervision” M = 3.60 and “documenting patient information accurately” M = 3.59. This implies that direct guidance from clinical instructors and routine tasks with clear protocols enhanced students’ perceived competence. Conversely, the lowest confidence rating was for “performing more complex nursing skills” M = 3.31, SD = 0.55. The 0.28-point gap between basic and complex skills indicates that while students feel ready for fundamental procedures, they remain less assured when faced with advanced, high-stakes interventions. This pattern suggests that learners build confidence first through repetitive, structured tasks before progressing to complex clinical judgment.</w:t>
                      </w:r>
                    </w:p>
                  </w:txbxContent>
                </v:textbox>
                <w10:wrap type="square"/>
              </v:shape>
            </w:pict>
          </mc:Fallback>
        </mc:AlternateContent>
      </w:r>
    </w:p>
    <w:p w14:paraId="51AA053B" w14:textId="77777777" w:rsidR="00E437BB" w:rsidRDefault="00000000">
      <w:pPr>
        <w:pStyle w:val="NoSpacing"/>
      </w:pPr>
      <w:r>
        <w:t>Table 2. BSN Students’ Level of Motivation</w:t>
      </w:r>
    </w:p>
    <w:p w14:paraId="02977E3B" w14:textId="77777777" w:rsidR="00E437BB" w:rsidRDefault="00E437BB">
      <w:pPr>
        <w:pStyle w:val="NoSpacing"/>
      </w:pPr>
    </w:p>
    <w:tbl>
      <w:tblPr>
        <w:tblStyle w:val="TableGrid"/>
        <w:tblW w:w="0" w:type="auto"/>
        <w:tblLook w:val="04A0" w:firstRow="1" w:lastRow="0" w:firstColumn="1" w:lastColumn="0" w:noHBand="0" w:noVBand="1"/>
      </w:tblPr>
      <w:tblGrid>
        <w:gridCol w:w="631"/>
        <w:gridCol w:w="6624"/>
        <w:gridCol w:w="735"/>
        <w:gridCol w:w="681"/>
        <w:gridCol w:w="679"/>
      </w:tblGrid>
      <w:tr w:rsidR="00E437BB" w14:paraId="2A9018F3" w14:textId="77777777">
        <w:tc>
          <w:tcPr>
            <w:tcW w:w="601" w:type="dxa"/>
          </w:tcPr>
          <w:p w14:paraId="08D25017" w14:textId="77777777" w:rsidR="00E437BB" w:rsidRDefault="00000000">
            <w:pPr>
              <w:pStyle w:val="NoSpacing"/>
              <w:jc w:val="center"/>
            </w:pPr>
            <w:r>
              <w:t>Item</w:t>
            </w:r>
          </w:p>
        </w:tc>
        <w:tc>
          <w:tcPr>
            <w:tcW w:w="6921" w:type="dxa"/>
          </w:tcPr>
          <w:p w14:paraId="07572DBF" w14:textId="77777777" w:rsidR="00E437BB" w:rsidRDefault="00000000">
            <w:pPr>
              <w:pStyle w:val="NoSpacing"/>
              <w:jc w:val="center"/>
            </w:pPr>
            <w:r>
              <w:t>Statement</w:t>
            </w:r>
          </w:p>
        </w:tc>
        <w:tc>
          <w:tcPr>
            <w:tcW w:w="682" w:type="dxa"/>
          </w:tcPr>
          <w:p w14:paraId="3682A303" w14:textId="77777777" w:rsidR="00E437BB" w:rsidRDefault="00000000">
            <w:pPr>
              <w:pStyle w:val="NoSpacing"/>
              <w:jc w:val="center"/>
            </w:pPr>
            <w:r>
              <w:t>Mean</w:t>
            </w:r>
          </w:p>
        </w:tc>
        <w:tc>
          <w:tcPr>
            <w:tcW w:w="685" w:type="dxa"/>
          </w:tcPr>
          <w:p w14:paraId="4CB4823C" w14:textId="77777777" w:rsidR="00E437BB" w:rsidRDefault="00000000">
            <w:pPr>
              <w:pStyle w:val="NoSpacing"/>
              <w:jc w:val="center"/>
            </w:pPr>
            <w:r>
              <w:t>SD</w:t>
            </w:r>
          </w:p>
        </w:tc>
        <w:tc>
          <w:tcPr>
            <w:tcW w:w="685" w:type="dxa"/>
          </w:tcPr>
          <w:p w14:paraId="43F50A11" w14:textId="77777777" w:rsidR="00E437BB" w:rsidRDefault="00000000">
            <w:pPr>
              <w:pStyle w:val="NoSpacing"/>
              <w:jc w:val="center"/>
            </w:pPr>
            <w:r>
              <w:t>VD</w:t>
            </w:r>
          </w:p>
        </w:tc>
      </w:tr>
      <w:tr w:rsidR="00E437BB" w14:paraId="4E5F6DA3" w14:textId="77777777">
        <w:tc>
          <w:tcPr>
            <w:tcW w:w="601" w:type="dxa"/>
          </w:tcPr>
          <w:p w14:paraId="7519F5E5" w14:textId="77777777" w:rsidR="00E437BB" w:rsidRDefault="00E437BB">
            <w:pPr>
              <w:pStyle w:val="NoSpacing"/>
              <w:numPr>
                <w:ilvl w:val="0"/>
                <w:numId w:val="3"/>
              </w:numPr>
              <w:jc w:val="center"/>
            </w:pPr>
          </w:p>
        </w:tc>
        <w:tc>
          <w:tcPr>
            <w:tcW w:w="6921" w:type="dxa"/>
          </w:tcPr>
          <w:p w14:paraId="7FFB474D" w14:textId="77777777" w:rsidR="00E437BB" w:rsidRDefault="00000000">
            <w:pPr>
              <w:pStyle w:val="NoSpacing"/>
              <w:jc w:val="both"/>
            </w:pPr>
            <w:r>
              <w:t>I am excited to learn new skills during clinical-based duty.</w:t>
            </w:r>
          </w:p>
        </w:tc>
        <w:tc>
          <w:tcPr>
            <w:tcW w:w="682" w:type="dxa"/>
          </w:tcPr>
          <w:p w14:paraId="65EB5194" w14:textId="77777777" w:rsidR="00E437BB" w:rsidRDefault="00000000">
            <w:pPr>
              <w:pStyle w:val="NoSpacing"/>
              <w:jc w:val="center"/>
            </w:pPr>
            <w:r>
              <w:t>3.83</w:t>
            </w:r>
          </w:p>
        </w:tc>
        <w:tc>
          <w:tcPr>
            <w:tcW w:w="685" w:type="dxa"/>
          </w:tcPr>
          <w:p w14:paraId="0FA5774E" w14:textId="77777777" w:rsidR="00E437BB" w:rsidRDefault="00000000">
            <w:pPr>
              <w:pStyle w:val="NoSpacing"/>
              <w:jc w:val="center"/>
              <w:rPr>
                <w:rFonts w:ascii="Calibri" w:hAnsi="Calibri" w:cs="Calibri"/>
              </w:rPr>
            </w:pPr>
            <w:r>
              <w:rPr>
                <w:rFonts w:ascii="Calibri" w:eastAsia="SimSun" w:hAnsi="Calibri" w:cs="Calibri"/>
              </w:rPr>
              <w:t>0.35</w:t>
            </w:r>
          </w:p>
        </w:tc>
        <w:tc>
          <w:tcPr>
            <w:tcW w:w="685" w:type="dxa"/>
          </w:tcPr>
          <w:p w14:paraId="59DEAB53" w14:textId="77777777" w:rsidR="00E437BB" w:rsidRDefault="00000000">
            <w:pPr>
              <w:pStyle w:val="NoSpacing"/>
              <w:jc w:val="center"/>
            </w:pPr>
            <w:r>
              <w:t>VHL</w:t>
            </w:r>
          </w:p>
        </w:tc>
      </w:tr>
      <w:tr w:rsidR="00E437BB" w14:paraId="1B6F32A1" w14:textId="77777777">
        <w:tc>
          <w:tcPr>
            <w:tcW w:w="601" w:type="dxa"/>
          </w:tcPr>
          <w:p w14:paraId="3DFDE1ED" w14:textId="77777777" w:rsidR="00E437BB" w:rsidRDefault="00E437BB">
            <w:pPr>
              <w:pStyle w:val="NoSpacing"/>
              <w:numPr>
                <w:ilvl w:val="0"/>
                <w:numId w:val="3"/>
              </w:numPr>
              <w:jc w:val="center"/>
            </w:pPr>
          </w:p>
        </w:tc>
        <w:tc>
          <w:tcPr>
            <w:tcW w:w="6921" w:type="dxa"/>
          </w:tcPr>
          <w:p w14:paraId="4FD12786" w14:textId="77777777" w:rsidR="00E437BB" w:rsidRDefault="00000000">
            <w:pPr>
              <w:pStyle w:val="NoSpacing"/>
            </w:pPr>
            <w:r>
              <w:t>I feel that clinical based duties equip me to reach my career goals.</w:t>
            </w:r>
          </w:p>
        </w:tc>
        <w:tc>
          <w:tcPr>
            <w:tcW w:w="682" w:type="dxa"/>
          </w:tcPr>
          <w:p w14:paraId="25E62522" w14:textId="77777777" w:rsidR="00E437BB" w:rsidRDefault="00000000">
            <w:pPr>
              <w:pStyle w:val="NoSpacing"/>
              <w:jc w:val="center"/>
            </w:pPr>
            <w:r>
              <w:t>3.85</w:t>
            </w:r>
          </w:p>
        </w:tc>
        <w:tc>
          <w:tcPr>
            <w:tcW w:w="685" w:type="dxa"/>
          </w:tcPr>
          <w:p w14:paraId="092B60F2" w14:textId="77777777" w:rsidR="00E437BB" w:rsidRDefault="00000000">
            <w:pPr>
              <w:pStyle w:val="NoSpacing"/>
              <w:jc w:val="center"/>
              <w:rPr>
                <w:rFonts w:ascii="Calibri" w:hAnsi="Calibri" w:cs="Calibri"/>
              </w:rPr>
            </w:pPr>
            <w:r>
              <w:rPr>
                <w:rFonts w:ascii="Calibri" w:eastAsia="SimSun" w:hAnsi="Calibri" w:cs="Calibri"/>
              </w:rPr>
              <w:t>0.35</w:t>
            </w:r>
          </w:p>
        </w:tc>
        <w:tc>
          <w:tcPr>
            <w:tcW w:w="685" w:type="dxa"/>
          </w:tcPr>
          <w:p w14:paraId="6032E45A" w14:textId="77777777" w:rsidR="00E437BB" w:rsidRDefault="00000000">
            <w:pPr>
              <w:pStyle w:val="NoSpacing"/>
              <w:jc w:val="center"/>
            </w:pPr>
            <w:r>
              <w:t>VHL</w:t>
            </w:r>
          </w:p>
        </w:tc>
      </w:tr>
      <w:tr w:rsidR="00E437BB" w14:paraId="5E2B9074" w14:textId="77777777">
        <w:tc>
          <w:tcPr>
            <w:tcW w:w="601" w:type="dxa"/>
          </w:tcPr>
          <w:p w14:paraId="13F60D7A" w14:textId="77777777" w:rsidR="00E437BB" w:rsidRDefault="00E437BB">
            <w:pPr>
              <w:pStyle w:val="NoSpacing"/>
              <w:numPr>
                <w:ilvl w:val="0"/>
                <w:numId w:val="3"/>
              </w:numPr>
              <w:jc w:val="center"/>
            </w:pPr>
          </w:p>
        </w:tc>
        <w:tc>
          <w:tcPr>
            <w:tcW w:w="6921" w:type="dxa"/>
          </w:tcPr>
          <w:p w14:paraId="616FC3A1" w14:textId="77777777" w:rsidR="00E437BB" w:rsidRDefault="00000000">
            <w:pPr>
              <w:pStyle w:val="NoSpacing"/>
            </w:pPr>
            <w:r>
              <w:t>I study and prepare before clinical-based education to perform well.</w:t>
            </w:r>
          </w:p>
        </w:tc>
        <w:tc>
          <w:tcPr>
            <w:tcW w:w="682" w:type="dxa"/>
          </w:tcPr>
          <w:p w14:paraId="17B0EE2D" w14:textId="77777777" w:rsidR="00E437BB" w:rsidRDefault="00000000">
            <w:pPr>
              <w:pStyle w:val="NoSpacing"/>
              <w:jc w:val="center"/>
            </w:pPr>
            <w:r>
              <w:t>3.63</w:t>
            </w:r>
          </w:p>
        </w:tc>
        <w:tc>
          <w:tcPr>
            <w:tcW w:w="685" w:type="dxa"/>
          </w:tcPr>
          <w:p w14:paraId="79AE0365" w14:textId="77777777" w:rsidR="00E437BB" w:rsidRDefault="00000000">
            <w:pPr>
              <w:pStyle w:val="NoSpacing"/>
              <w:jc w:val="center"/>
              <w:rPr>
                <w:rFonts w:ascii="Calibri" w:hAnsi="Calibri" w:cs="Calibri"/>
              </w:rPr>
            </w:pPr>
            <w:r>
              <w:rPr>
                <w:rFonts w:ascii="Calibri" w:eastAsia="SimSun" w:hAnsi="Calibri" w:cs="Calibri"/>
              </w:rPr>
              <w:t>0.50</w:t>
            </w:r>
          </w:p>
        </w:tc>
        <w:tc>
          <w:tcPr>
            <w:tcW w:w="685" w:type="dxa"/>
          </w:tcPr>
          <w:p w14:paraId="23C52BBC" w14:textId="77777777" w:rsidR="00E437BB" w:rsidRDefault="00000000">
            <w:pPr>
              <w:pStyle w:val="NoSpacing"/>
              <w:jc w:val="center"/>
            </w:pPr>
            <w:r>
              <w:t>VHL</w:t>
            </w:r>
          </w:p>
        </w:tc>
      </w:tr>
      <w:tr w:rsidR="00E437BB" w14:paraId="51154DE7" w14:textId="77777777">
        <w:tc>
          <w:tcPr>
            <w:tcW w:w="601" w:type="dxa"/>
          </w:tcPr>
          <w:p w14:paraId="4851A515" w14:textId="77777777" w:rsidR="00E437BB" w:rsidRDefault="00E437BB">
            <w:pPr>
              <w:pStyle w:val="NoSpacing"/>
              <w:numPr>
                <w:ilvl w:val="0"/>
                <w:numId w:val="3"/>
              </w:numPr>
              <w:jc w:val="center"/>
            </w:pPr>
          </w:p>
        </w:tc>
        <w:tc>
          <w:tcPr>
            <w:tcW w:w="6921" w:type="dxa"/>
          </w:tcPr>
          <w:p w14:paraId="7F36E287" w14:textId="77777777" w:rsidR="00E437BB" w:rsidRDefault="00000000">
            <w:pPr>
              <w:pStyle w:val="NoSpacing"/>
            </w:pPr>
            <w:r>
              <w:t>feel motivated mainly by personal interest in clinical-based education.</w:t>
            </w:r>
          </w:p>
        </w:tc>
        <w:tc>
          <w:tcPr>
            <w:tcW w:w="682" w:type="dxa"/>
          </w:tcPr>
          <w:p w14:paraId="779D5551" w14:textId="77777777" w:rsidR="00E437BB" w:rsidRDefault="00000000">
            <w:pPr>
              <w:pStyle w:val="NoSpacing"/>
              <w:jc w:val="center"/>
            </w:pPr>
            <w:r>
              <w:t>3.66</w:t>
            </w:r>
          </w:p>
        </w:tc>
        <w:tc>
          <w:tcPr>
            <w:tcW w:w="685" w:type="dxa"/>
          </w:tcPr>
          <w:p w14:paraId="69DF036D" w14:textId="77777777" w:rsidR="00E437BB" w:rsidRDefault="00000000">
            <w:pPr>
              <w:pStyle w:val="NoSpacing"/>
              <w:jc w:val="center"/>
              <w:rPr>
                <w:rFonts w:ascii="Calibri" w:hAnsi="Calibri" w:cs="Calibri"/>
              </w:rPr>
            </w:pPr>
            <w:r>
              <w:rPr>
                <w:rFonts w:ascii="Calibri" w:eastAsia="SimSun" w:hAnsi="Calibri" w:cs="Calibri"/>
              </w:rPr>
              <w:t>0.49</w:t>
            </w:r>
          </w:p>
        </w:tc>
        <w:tc>
          <w:tcPr>
            <w:tcW w:w="685" w:type="dxa"/>
          </w:tcPr>
          <w:p w14:paraId="2B93684E" w14:textId="77777777" w:rsidR="00E437BB" w:rsidRDefault="00000000">
            <w:pPr>
              <w:pStyle w:val="NoSpacing"/>
              <w:jc w:val="center"/>
            </w:pPr>
            <w:r>
              <w:t>VHL</w:t>
            </w:r>
          </w:p>
        </w:tc>
      </w:tr>
      <w:tr w:rsidR="00E437BB" w14:paraId="0F6ED5D7" w14:textId="77777777">
        <w:tc>
          <w:tcPr>
            <w:tcW w:w="601" w:type="dxa"/>
          </w:tcPr>
          <w:p w14:paraId="395A8164" w14:textId="77777777" w:rsidR="00E437BB" w:rsidRDefault="00E437BB">
            <w:pPr>
              <w:pStyle w:val="NoSpacing"/>
              <w:numPr>
                <w:ilvl w:val="0"/>
                <w:numId w:val="3"/>
              </w:numPr>
              <w:jc w:val="center"/>
            </w:pPr>
          </w:p>
        </w:tc>
        <w:tc>
          <w:tcPr>
            <w:tcW w:w="6921" w:type="dxa"/>
          </w:tcPr>
          <w:p w14:paraId="6022B770" w14:textId="77777777" w:rsidR="00E437BB" w:rsidRDefault="00000000">
            <w:pPr>
              <w:pStyle w:val="NoSpacing"/>
            </w:pPr>
            <w:r>
              <w:t xml:space="preserve">I participate actively in clinical learning opportunities.  </w:t>
            </w:r>
          </w:p>
        </w:tc>
        <w:tc>
          <w:tcPr>
            <w:tcW w:w="682" w:type="dxa"/>
          </w:tcPr>
          <w:p w14:paraId="2EE422EC" w14:textId="77777777" w:rsidR="00E437BB" w:rsidRDefault="00000000">
            <w:pPr>
              <w:pStyle w:val="NoSpacing"/>
              <w:jc w:val="center"/>
            </w:pPr>
            <w:r>
              <w:t>3.72</w:t>
            </w:r>
          </w:p>
        </w:tc>
        <w:tc>
          <w:tcPr>
            <w:tcW w:w="685" w:type="dxa"/>
          </w:tcPr>
          <w:p w14:paraId="011C8C68" w14:textId="77777777" w:rsidR="00E437BB" w:rsidRDefault="00000000">
            <w:pPr>
              <w:pStyle w:val="NoSpacing"/>
              <w:jc w:val="center"/>
              <w:rPr>
                <w:rFonts w:ascii="Calibri" w:hAnsi="Calibri" w:cs="Calibri"/>
              </w:rPr>
            </w:pPr>
            <w:r>
              <w:rPr>
                <w:rFonts w:ascii="Calibri" w:eastAsia="SimSun" w:hAnsi="Calibri" w:cs="Calibri"/>
              </w:rPr>
              <w:t>0.47</w:t>
            </w:r>
          </w:p>
        </w:tc>
        <w:tc>
          <w:tcPr>
            <w:tcW w:w="685" w:type="dxa"/>
          </w:tcPr>
          <w:p w14:paraId="3F432EFF" w14:textId="77777777" w:rsidR="00E437BB" w:rsidRDefault="00000000">
            <w:pPr>
              <w:pStyle w:val="NoSpacing"/>
              <w:jc w:val="center"/>
            </w:pPr>
            <w:r>
              <w:t>VHL</w:t>
            </w:r>
          </w:p>
        </w:tc>
      </w:tr>
      <w:tr w:rsidR="00E437BB" w14:paraId="59056682" w14:textId="77777777">
        <w:tc>
          <w:tcPr>
            <w:tcW w:w="601" w:type="dxa"/>
          </w:tcPr>
          <w:p w14:paraId="2A0E58F2" w14:textId="77777777" w:rsidR="00E437BB" w:rsidRDefault="00E437BB">
            <w:pPr>
              <w:pStyle w:val="NoSpacing"/>
              <w:numPr>
                <w:ilvl w:val="0"/>
                <w:numId w:val="3"/>
              </w:numPr>
              <w:jc w:val="center"/>
            </w:pPr>
          </w:p>
        </w:tc>
        <w:tc>
          <w:tcPr>
            <w:tcW w:w="6921" w:type="dxa"/>
          </w:tcPr>
          <w:p w14:paraId="03770C77" w14:textId="77777777" w:rsidR="00E437BB" w:rsidRDefault="00000000">
            <w:pPr>
              <w:pStyle w:val="NoSpacing"/>
            </w:pPr>
            <w:r>
              <w:t>I do not feel pressured by grades and evaluations during clinicals.</w:t>
            </w:r>
          </w:p>
        </w:tc>
        <w:tc>
          <w:tcPr>
            <w:tcW w:w="682" w:type="dxa"/>
          </w:tcPr>
          <w:p w14:paraId="0925EED3" w14:textId="77777777" w:rsidR="00E437BB" w:rsidRDefault="00000000">
            <w:pPr>
              <w:pStyle w:val="NoSpacing"/>
              <w:jc w:val="center"/>
            </w:pPr>
            <w:r>
              <w:t>3.28</w:t>
            </w:r>
          </w:p>
        </w:tc>
        <w:tc>
          <w:tcPr>
            <w:tcW w:w="685" w:type="dxa"/>
          </w:tcPr>
          <w:p w14:paraId="0F47D3F8" w14:textId="77777777" w:rsidR="00E437BB" w:rsidRDefault="00000000">
            <w:pPr>
              <w:pStyle w:val="NoSpacing"/>
              <w:jc w:val="center"/>
              <w:rPr>
                <w:rFonts w:ascii="Calibri" w:hAnsi="Calibri" w:cs="Calibri"/>
              </w:rPr>
            </w:pPr>
            <w:r>
              <w:rPr>
                <w:rFonts w:ascii="Calibri" w:eastAsia="SimSun" w:hAnsi="Calibri" w:cs="Calibri"/>
              </w:rPr>
              <w:t>0.71</w:t>
            </w:r>
          </w:p>
        </w:tc>
        <w:tc>
          <w:tcPr>
            <w:tcW w:w="685" w:type="dxa"/>
          </w:tcPr>
          <w:p w14:paraId="519B973A" w14:textId="77777777" w:rsidR="00E437BB" w:rsidRDefault="00000000">
            <w:pPr>
              <w:pStyle w:val="NoSpacing"/>
              <w:jc w:val="center"/>
            </w:pPr>
            <w:r>
              <w:t>VHL</w:t>
            </w:r>
          </w:p>
        </w:tc>
      </w:tr>
      <w:tr w:rsidR="00E437BB" w14:paraId="36DA4D3C" w14:textId="77777777">
        <w:tc>
          <w:tcPr>
            <w:tcW w:w="601" w:type="dxa"/>
          </w:tcPr>
          <w:p w14:paraId="3F3A6C48" w14:textId="77777777" w:rsidR="00E437BB" w:rsidRDefault="00E437BB">
            <w:pPr>
              <w:pStyle w:val="NoSpacing"/>
              <w:numPr>
                <w:ilvl w:val="0"/>
                <w:numId w:val="3"/>
              </w:numPr>
              <w:jc w:val="center"/>
            </w:pPr>
          </w:p>
        </w:tc>
        <w:tc>
          <w:tcPr>
            <w:tcW w:w="6921" w:type="dxa"/>
          </w:tcPr>
          <w:p w14:paraId="3F58E4F1" w14:textId="77777777" w:rsidR="00E437BB" w:rsidRDefault="00000000">
            <w:pPr>
              <w:pStyle w:val="NoSpacing"/>
            </w:pPr>
            <w:r>
              <w:t>I feel encouraged during clinical-based duties.</w:t>
            </w:r>
          </w:p>
        </w:tc>
        <w:tc>
          <w:tcPr>
            <w:tcW w:w="682" w:type="dxa"/>
          </w:tcPr>
          <w:p w14:paraId="5053C2C6" w14:textId="77777777" w:rsidR="00E437BB" w:rsidRDefault="00000000">
            <w:pPr>
              <w:pStyle w:val="NoSpacing"/>
              <w:jc w:val="center"/>
            </w:pPr>
            <w:r>
              <w:t>3.64</w:t>
            </w:r>
          </w:p>
        </w:tc>
        <w:tc>
          <w:tcPr>
            <w:tcW w:w="685" w:type="dxa"/>
          </w:tcPr>
          <w:p w14:paraId="3863FBE0" w14:textId="77777777" w:rsidR="00E437BB" w:rsidRDefault="00000000">
            <w:pPr>
              <w:pStyle w:val="NoSpacing"/>
              <w:jc w:val="center"/>
              <w:rPr>
                <w:rFonts w:ascii="Calibri" w:hAnsi="Calibri" w:cs="Calibri"/>
              </w:rPr>
            </w:pPr>
            <w:r>
              <w:rPr>
                <w:rFonts w:ascii="Calibri" w:eastAsia="SimSun" w:hAnsi="Calibri" w:cs="Calibri"/>
              </w:rPr>
              <w:t>0.51</w:t>
            </w:r>
          </w:p>
        </w:tc>
        <w:tc>
          <w:tcPr>
            <w:tcW w:w="685" w:type="dxa"/>
          </w:tcPr>
          <w:p w14:paraId="6EC280F6" w14:textId="77777777" w:rsidR="00E437BB" w:rsidRDefault="00000000">
            <w:pPr>
              <w:pStyle w:val="NoSpacing"/>
              <w:jc w:val="center"/>
            </w:pPr>
            <w:r>
              <w:t>VHL</w:t>
            </w:r>
          </w:p>
        </w:tc>
      </w:tr>
      <w:tr w:rsidR="00E437BB" w14:paraId="60C16CBD" w14:textId="77777777">
        <w:tc>
          <w:tcPr>
            <w:tcW w:w="601" w:type="dxa"/>
          </w:tcPr>
          <w:p w14:paraId="6FD1D7FA" w14:textId="77777777" w:rsidR="00E437BB" w:rsidRDefault="00E437BB">
            <w:pPr>
              <w:pStyle w:val="NoSpacing"/>
              <w:numPr>
                <w:ilvl w:val="0"/>
                <w:numId w:val="3"/>
              </w:numPr>
              <w:jc w:val="center"/>
            </w:pPr>
          </w:p>
        </w:tc>
        <w:tc>
          <w:tcPr>
            <w:tcW w:w="6921" w:type="dxa"/>
          </w:tcPr>
          <w:p w14:paraId="60578236" w14:textId="77777777" w:rsidR="00E437BB" w:rsidRDefault="00000000">
            <w:pPr>
              <w:pStyle w:val="NoSpacing"/>
            </w:pPr>
            <w:r>
              <w:t>I want to improve because I want to provide good patient care.</w:t>
            </w:r>
          </w:p>
        </w:tc>
        <w:tc>
          <w:tcPr>
            <w:tcW w:w="682" w:type="dxa"/>
          </w:tcPr>
          <w:p w14:paraId="182B3D24" w14:textId="77777777" w:rsidR="00E437BB" w:rsidRDefault="00000000">
            <w:pPr>
              <w:pStyle w:val="NoSpacing"/>
              <w:jc w:val="center"/>
            </w:pPr>
            <w:r>
              <w:t>3.85</w:t>
            </w:r>
          </w:p>
        </w:tc>
        <w:tc>
          <w:tcPr>
            <w:tcW w:w="685" w:type="dxa"/>
          </w:tcPr>
          <w:p w14:paraId="4DD55AA8" w14:textId="77777777" w:rsidR="00E437BB" w:rsidRDefault="00000000">
            <w:pPr>
              <w:pStyle w:val="NoSpacing"/>
              <w:jc w:val="center"/>
              <w:rPr>
                <w:rFonts w:ascii="Calibri" w:hAnsi="Calibri" w:cs="Calibri"/>
              </w:rPr>
            </w:pPr>
            <w:r>
              <w:rPr>
                <w:rFonts w:ascii="Calibri" w:eastAsia="SimSun" w:hAnsi="Calibri" w:cs="Calibri"/>
              </w:rPr>
              <w:t>0.36</w:t>
            </w:r>
          </w:p>
        </w:tc>
        <w:tc>
          <w:tcPr>
            <w:tcW w:w="685" w:type="dxa"/>
          </w:tcPr>
          <w:p w14:paraId="0D03AAF0" w14:textId="77777777" w:rsidR="00E437BB" w:rsidRDefault="00000000">
            <w:pPr>
              <w:pStyle w:val="NoSpacing"/>
              <w:jc w:val="center"/>
            </w:pPr>
            <w:r>
              <w:t>VHL</w:t>
            </w:r>
          </w:p>
        </w:tc>
      </w:tr>
      <w:tr w:rsidR="00E437BB" w14:paraId="23468F4D" w14:textId="77777777">
        <w:tc>
          <w:tcPr>
            <w:tcW w:w="601" w:type="dxa"/>
          </w:tcPr>
          <w:p w14:paraId="7775674C" w14:textId="77777777" w:rsidR="00E437BB" w:rsidRDefault="00E437BB">
            <w:pPr>
              <w:pStyle w:val="NoSpacing"/>
              <w:numPr>
                <w:ilvl w:val="0"/>
                <w:numId w:val="3"/>
              </w:numPr>
              <w:jc w:val="center"/>
            </w:pPr>
          </w:p>
        </w:tc>
        <w:tc>
          <w:tcPr>
            <w:tcW w:w="6921" w:type="dxa"/>
          </w:tcPr>
          <w:p w14:paraId="6E08CA3D" w14:textId="77777777" w:rsidR="00E437BB" w:rsidRDefault="00000000">
            <w:pPr>
              <w:pStyle w:val="NoSpacing"/>
            </w:pPr>
            <w:r>
              <w:t>I feel eager to perform during my clinical-based duties.</w:t>
            </w:r>
          </w:p>
        </w:tc>
        <w:tc>
          <w:tcPr>
            <w:tcW w:w="682" w:type="dxa"/>
          </w:tcPr>
          <w:p w14:paraId="62437B45" w14:textId="77777777" w:rsidR="00E437BB" w:rsidRDefault="00000000">
            <w:pPr>
              <w:pStyle w:val="NoSpacing"/>
              <w:jc w:val="center"/>
            </w:pPr>
            <w:r>
              <w:t>3.65</w:t>
            </w:r>
          </w:p>
        </w:tc>
        <w:tc>
          <w:tcPr>
            <w:tcW w:w="685" w:type="dxa"/>
          </w:tcPr>
          <w:p w14:paraId="51DD02AC" w14:textId="77777777" w:rsidR="00E437BB" w:rsidRDefault="00000000">
            <w:pPr>
              <w:pStyle w:val="NoSpacing"/>
              <w:jc w:val="center"/>
              <w:rPr>
                <w:rFonts w:ascii="Calibri" w:hAnsi="Calibri" w:cs="Calibri"/>
              </w:rPr>
            </w:pPr>
            <w:r>
              <w:rPr>
                <w:rFonts w:ascii="Calibri" w:eastAsia="SimSun" w:hAnsi="Calibri" w:cs="Calibri"/>
              </w:rPr>
              <w:t>0.49</w:t>
            </w:r>
          </w:p>
        </w:tc>
        <w:tc>
          <w:tcPr>
            <w:tcW w:w="685" w:type="dxa"/>
          </w:tcPr>
          <w:p w14:paraId="26BC5CF3" w14:textId="77777777" w:rsidR="00E437BB" w:rsidRDefault="00000000">
            <w:pPr>
              <w:pStyle w:val="NoSpacing"/>
              <w:jc w:val="center"/>
            </w:pPr>
            <w:r>
              <w:t>VHL</w:t>
            </w:r>
          </w:p>
        </w:tc>
      </w:tr>
      <w:tr w:rsidR="00E437BB" w14:paraId="5EE7D785" w14:textId="77777777">
        <w:tc>
          <w:tcPr>
            <w:tcW w:w="601" w:type="dxa"/>
          </w:tcPr>
          <w:p w14:paraId="64F43937" w14:textId="77777777" w:rsidR="00E437BB" w:rsidRDefault="00E437BB">
            <w:pPr>
              <w:pStyle w:val="NoSpacing"/>
              <w:numPr>
                <w:ilvl w:val="0"/>
                <w:numId w:val="3"/>
              </w:numPr>
              <w:jc w:val="center"/>
            </w:pPr>
          </w:p>
        </w:tc>
        <w:tc>
          <w:tcPr>
            <w:tcW w:w="6921" w:type="dxa"/>
          </w:tcPr>
          <w:p w14:paraId="0843CE52" w14:textId="77777777" w:rsidR="00E437BB" w:rsidRDefault="00000000">
            <w:pPr>
              <w:pStyle w:val="NoSpacing"/>
            </w:pPr>
            <w:r>
              <w:t>I am inspired by the opportunities to apply my knowledge in real life situation.</w:t>
            </w:r>
          </w:p>
        </w:tc>
        <w:tc>
          <w:tcPr>
            <w:tcW w:w="682" w:type="dxa"/>
          </w:tcPr>
          <w:p w14:paraId="2C4EE360" w14:textId="77777777" w:rsidR="00E437BB" w:rsidRDefault="00000000">
            <w:pPr>
              <w:pStyle w:val="NoSpacing"/>
              <w:jc w:val="center"/>
            </w:pPr>
            <w:r>
              <w:t>3.85</w:t>
            </w:r>
          </w:p>
        </w:tc>
        <w:tc>
          <w:tcPr>
            <w:tcW w:w="685" w:type="dxa"/>
          </w:tcPr>
          <w:p w14:paraId="6975AD91" w14:textId="77777777" w:rsidR="00E437BB" w:rsidRDefault="00000000">
            <w:pPr>
              <w:pStyle w:val="NoSpacing"/>
              <w:jc w:val="center"/>
              <w:rPr>
                <w:rFonts w:ascii="Calibri" w:hAnsi="Calibri" w:cs="Calibri"/>
              </w:rPr>
            </w:pPr>
            <w:r>
              <w:rPr>
                <w:rFonts w:ascii="Calibri" w:eastAsia="SimSun" w:hAnsi="Calibri" w:cs="Calibri"/>
              </w:rPr>
              <w:t>0.36</w:t>
            </w:r>
          </w:p>
        </w:tc>
        <w:tc>
          <w:tcPr>
            <w:tcW w:w="685" w:type="dxa"/>
          </w:tcPr>
          <w:p w14:paraId="62908FC1" w14:textId="77777777" w:rsidR="00E437BB" w:rsidRDefault="00000000">
            <w:pPr>
              <w:pStyle w:val="NoSpacing"/>
              <w:jc w:val="center"/>
            </w:pPr>
            <w:r>
              <w:t>VHL</w:t>
            </w:r>
          </w:p>
        </w:tc>
      </w:tr>
      <w:tr w:rsidR="00E437BB" w14:paraId="60D14A7C" w14:textId="77777777">
        <w:tc>
          <w:tcPr>
            <w:tcW w:w="7522" w:type="dxa"/>
            <w:gridSpan w:val="2"/>
          </w:tcPr>
          <w:p w14:paraId="7F44058B" w14:textId="77777777" w:rsidR="00E437BB" w:rsidRDefault="00000000">
            <w:pPr>
              <w:pStyle w:val="NoSpacing"/>
              <w:jc w:val="center"/>
            </w:pPr>
            <w:r>
              <w:lastRenderedPageBreak/>
              <w:t>Overall Mean, Standard Deviation and Verbal Description</w:t>
            </w:r>
          </w:p>
        </w:tc>
        <w:tc>
          <w:tcPr>
            <w:tcW w:w="682" w:type="dxa"/>
          </w:tcPr>
          <w:p w14:paraId="6F95ABD7" w14:textId="77777777" w:rsidR="00E437BB" w:rsidRDefault="00000000">
            <w:pPr>
              <w:pStyle w:val="NoSpacing"/>
              <w:jc w:val="center"/>
            </w:pPr>
            <w:r>
              <w:t>3.70</w:t>
            </w:r>
          </w:p>
        </w:tc>
        <w:tc>
          <w:tcPr>
            <w:tcW w:w="685" w:type="dxa"/>
          </w:tcPr>
          <w:p w14:paraId="5BEE4B2B" w14:textId="77777777" w:rsidR="00E437BB" w:rsidRDefault="00000000">
            <w:pPr>
              <w:pStyle w:val="NoSpacing"/>
              <w:jc w:val="center"/>
              <w:rPr>
                <w:rFonts w:ascii="Calibri" w:hAnsi="Calibri" w:cs="Calibri"/>
              </w:rPr>
            </w:pPr>
            <w:r>
              <w:rPr>
                <w:rFonts w:ascii="Calibri" w:eastAsia="SimSun" w:hAnsi="Calibri" w:cs="Calibri"/>
              </w:rPr>
              <w:t>0.43</w:t>
            </w:r>
          </w:p>
        </w:tc>
        <w:tc>
          <w:tcPr>
            <w:tcW w:w="685" w:type="dxa"/>
          </w:tcPr>
          <w:p w14:paraId="5FC69865" w14:textId="77777777" w:rsidR="00E437BB" w:rsidRDefault="00000000">
            <w:pPr>
              <w:pStyle w:val="NoSpacing"/>
              <w:jc w:val="center"/>
            </w:pPr>
            <w:r>
              <w:t>VHL</w:t>
            </w:r>
          </w:p>
        </w:tc>
      </w:tr>
    </w:tbl>
    <w:p w14:paraId="5823512F" w14:textId="77777777" w:rsidR="00E437BB" w:rsidRDefault="00E437BB">
      <w:pPr>
        <w:pStyle w:val="NoSpacing"/>
      </w:pPr>
    </w:p>
    <w:p w14:paraId="5DEE659E" w14:textId="77777777" w:rsidR="00E437BB" w:rsidRDefault="00000000">
      <w:pPr>
        <w:pStyle w:val="NoSpacing"/>
      </w:pPr>
      <w:r>
        <w:t>Legend:</w:t>
      </w:r>
    </w:p>
    <w:p w14:paraId="1DBD4DAB" w14:textId="77777777" w:rsidR="00E437BB" w:rsidRDefault="00000000">
      <w:pPr>
        <w:pStyle w:val="NoSpacing"/>
      </w:pPr>
      <w:r>
        <w:t xml:space="preserve">Scale </w:t>
      </w:r>
      <w:r>
        <w:tab/>
      </w:r>
      <w:r>
        <w:tab/>
      </w:r>
      <w:r>
        <w:tab/>
        <w:t>Verbal Description</w:t>
      </w:r>
    </w:p>
    <w:p w14:paraId="025968D9" w14:textId="77777777" w:rsidR="00E437BB" w:rsidRDefault="00000000">
      <w:pPr>
        <w:pStyle w:val="NoSpacing"/>
      </w:pPr>
      <w:r>
        <w:t xml:space="preserve">3.26 – 4.00 </w:t>
      </w:r>
      <w:r>
        <w:tab/>
        <w:t>Stron3gly Agree (SA) / Very High Level (VHL)</w:t>
      </w:r>
    </w:p>
    <w:p w14:paraId="3B180A80" w14:textId="77777777" w:rsidR="00E437BB" w:rsidRDefault="00000000">
      <w:pPr>
        <w:pStyle w:val="NoSpacing"/>
      </w:pPr>
      <w:r>
        <w:t xml:space="preserve">2.51 – 3.25 </w:t>
      </w:r>
      <w:r>
        <w:tab/>
        <w:t>Agree (A) / High Level (HL)</w:t>
      </w:r>
    </w:p>
    <w:p w14:paraId="245796C9" w14:textId="77777777" w:rsidR="00E437BB" w:rsidRDefault="00000000">
      <w:pPr>
        <w:pStyle w:val="NoSpacing"/>
      </w:pPr>
      <w:r>
        <w:t xml:space="preserve">1.76 – 2.50 </w:t>
      </w:r>
      <w:r>
        <w:tab/>
        <w:t>Disagree (D) / Low Level (LL)</w:t>
      </w:r>
    </w:p>
    <w:p w14:paraId="4F407609" w14:textId="77777777" w:rsidR="00E437BB" w:rsidRDefault="00000000">
      <w:pPr>
        <w:pStyle w:val="NoSpacing"/>
      </w:pPr>
      <w:r>
        <w:t xml:space="preserve">1.00 – 1.75 </w:t>
      </w:r>
      <w:r>
        <w:tab/>
        <w:t>Strongly Disagree (SD) / Very Low Level (VLL)</w:t>
      </w:r>
    </w:p>
    <w:p w14:paraId="76FD0903" w14:textId="77777777" w:rsidR="00E437BB" w:rsidRDefault="00E437BB">
      <w:pPr>
        <w:pStyle w:val="NoSpacing"/>
        <w:rPr>
          <w:sz w:val="16"/>
          <w:szCs w:val="16"/>
        </w:rPr>
      </w:pPr>
    </w:p>
    <w:p w14:paraId="644FBECF" w14:textId="77777777" w:rsidR="00E437BB" w:rsidRDefault="00000000">
      <w:pPr>
        <w:pStyle w:val="NoSpacing"/>
        <w:jc w:val="both"/>
      </w:pPr>
      <w:r>
        <w:t>The findings revealed a very high level of motivation, with an overall mean score of 3.70 and generally consistent responses with an overall standard deviation of 0.43. Students reported enthusiasm in acquiring new clinical skills, improving patient care, and pursuing their professional goals through clinical experiences.</w:t>
      </w:r>
    </w:p>
    <w:p w14:paraId="6257FBD1" w14:textId="77777777" w:rsidR="00E437BB" w:rsidRDefault="00E437BB">
      <w:pPr>
        <w:pStyle w:val="NoSpacing"/>
        <w:rPr>
          <w:sz w:val="10"/>
          <w:szCs w:val="10"/>
        </w:rPr>
      </w:pPr>
    </w:p>
    <w:p w14:paraId="64645AFD" w14:textId="77777777" w:rsidR="00E437BB" w:rsidRDefault="00E437BB">
      <w:pPr>
        <w:pStyle w:val="NoSpacing"/>
      </w:pPr>
    </w:p>
    <w:p w14:paraId="7903827C" w14:textId="77777777" w:rsidR="00E437BB" w:rsidRDefault="00000000">
      <w:pPr>
        <w:pStyle w:val="NoSpacing"/>
      </w:pPr>
      <w:r>
        <w:rPr>
          <w:noProof/>
        </w:rPr>
        <mc:AlternateContent>
          <mc:Choice Requires="wps">
            <w:drawing>
              <wp:anchor distT="0" distB="0" distL="114300" distR="114300" simplePos="0" relativeHeight="251660288" behindDoc="0" locked="0" layoutInCell="1" allowOverlap="1" wp14:anchorId="3338E0B0" wp14:editId="28109236">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7CAF116" w14:textId="77777777" w:rsidR="00E437BB" w:rsidRDefault="00000000">
                            <w:pPr>
                              <w:pStyle w:val="NoSpacing"/>
                              <w:jc w:val="both"/>
                              <w:rPr>
                                <w:i/>
                              </w:rPr>
                            </w:pPr>
                            <w:r>
                              <w:rPr>
                                <w:i/>
                              </w:rPr>
                              <w:t>Motivation was driven primarily by intrinsic and career-related factors. The highest-rated items were “clinical duties equip me to reach career goals” M = 3.85 and “I want to improve because I want to provide good patient care” M = 3.85. This reflects a strong sense of purpose and future orientation among BSN students. The relatively lower score for “I do not feel pressured by grades and evaluations” M = 3.28 suggests that extrinsic evaluation still contributes to student stress during clinicals, even though overall motivation remains high. This suggests that autonomy and purpose drive motivation more sustainably than external rewards or pressure.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338E0B0" id="Text Box 2" o:spid="_x0000_s1027"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jVwm&#10;UBgCAAAuBAAADgAAAAAAAAAAAAAAAAAuAgAAZHJzL2Uyb0RvYy54bWxQSwECLQAUAAYACAAAACEA&#10;twwDCNcAAAAFAQAADwAAAAAAAAAAAAAAAAByBAAAZHJzL2Rvd25yZXYueG1sUEsFBgAAAAAEAAQA&#10;8wAAAHYFAAAAAA==&#10;" filled="f" strokeweight=".5pt">
                <v:textbox style="mso-fit-shape-to-text:t">
                  <w:txbxContent>
                    <w:p w14:paraId="57CAF116" w14:textId="77777777" w:rsidR="00E437BB" w:rsidRDefault="00000000">
                      <w:pPr>
                        <w:pStyle w:val="NoSpacing"/>
                        <w:jc w:val="both"/>
                        <w:rPr>
                          <w:i/>
                        </w:rPr>
                      </w:pPr>
                      <w:r>
                        <w:rPr>
                          <w:i/>
                        </w:rPr>
                        <w:t>Motivation was driven primarily by intrinsic and career-related factors. The highest-rated items were “clinical duties equip me to reach career goals” M = 3.85 and “I want to improve because I want to provide good patient care” M = 3.85. This reflects a strong sense of purpose and future orientation among BSN students. The relatively lower score for “I do not feel pressured by grades and evaluations” M = 3.28 suggests that extrinsic evaluation still contributes to student stress during clinicals, even though overall motivation remains high. This suggests that autonomy and purpose drive motivation more sustainably than external rewards or pressure.</w:t>
                      </w:r>
                    </w:p>
                  </w:txbxContent>
                </v:textbox>
                <w10:wrap type="square"/>
              </v:shape>
            </w:pict>
          </mc:Fallback>
        </mc:AlternateContent>
      </w:r>
    </w:p>
    <w:p w14:paraId="16B1C270" w14:textId="77777777" w:rsidR="00E437BB" w:rsidRDefault="00000000">
      <w:pPr>
        <w:pStyle w:val="NoSpacing"/>
        <w:jc w:val="both"/>
        <w:rPr>
          <w:b/>
          <w:bCs/>
        </w:rPr>
      </w:pPr>
      <w:r>
        <w:t>Table 3. The Correlation Analyses on the Relationship between the Level of Self-Confidence and Motivation of BSN Students</w:t>
      </w:r>
    </w:p>
    <w:p w14:paraId="3C7D1209" w14:textId="77777777" w:rsidR="00E437BB" w:rsidRDefault="00000000">
      <w:pPr>
        <w:pStyle w:val="Heading3"/>
        <w:keepNext w:val="0"/>
        <w:keepLines w:val="0"/>
        <w:spacing w:before="0"/>
        <w:jc w:val="both"/>
        <w:rPr>
          <w:rFonts w:ascii="Arial" w:eastAsia="Times New Roman" w:hAnsi="Arial" w:cs="Arial"/>
          <w:b w:val="0"/>
          <w:bCs w:val="0"/>
          <w:color w:val="auto"/>
          <w:sz w:val="16"/>
          <w:szCs w:val="16"/>
        </w:rPr>
      </w:pPr>
      <w:r>
        <w:rPr>
          <w:rFonts w:ascii="Arial" w:eastAsia="Times New Roman" w:hAnsi="Arial" w:cs="Arial"/>
          <w:b w:val="0"/>
          <w:bCs w:val="0"/>
          <w:color w:val="auto"/>
          <w:sz w:val="24"/>
          <w:szCs w:val="24"/>
        </w:rPr>
        <w:t xml:space="preserve"> </w:t>
      </w:r>
    </w:p>
    <w:tbl>
      <w:tblPr>
        <w:tblStyle w:val="TableGrid"/>
        <w:tblW w:w="0" w:type="auto"/>
        <w:tblInd w:w="1188" w:type="dxa"/>
        <w:tblLook w:val="04A0" w:firstRow="1" w:lastRow="0" w:firstColumn="1" w:lastColumn="0" w:noHBand="0" w:noVBand="1"/>
      </w:tblPr>
      <w:tblGrid>
        <w:gridCol w:w="3330"/>
        <w:gridCol w:w="2160"/>
        <w:gridCol w:w="1800"/>
      </w:tblGrid>
      <w:tr w:rsidR="00E437BB" w14:paraId="355D2241" w14:textId="77777777">
        <w:tc>
          <w:tcPr>
            <w:tcW w:w="3330" w:type="dxa"/>
          </w:tcPr>
          <w:p w14:paraId="2529CAD3" w14:textId="77777777" w:rsidR="00E437BB" w:rsidRDefault="00000000">
            <w:pPr>
              <w:pStyle w:val="NoSpacing"/>
              <w:jc w:val="center"/>
            </w:pPr>
            <w:r>
              <w:t>Variables</w:t>
            </w:r>
          </w:p>
        </w:tc>
        <w:tc>
          <w:tcPr>
            <w:tcW w:w="2160" w:type="dxa"/>
          </w:tcPr>
          <w:p w14:paraId="4F56B52D" w14:textId="77777777" w:rsidR="00E437BB" w:rsidRDefault="00000000">
            <w:pPr>
              <w:pStyle w:val="NoSpacing"/>
              <w:jc w:val="center"/>
            </w:pPr>
            <w:proofErr w:type="spellStart"/>
            <w:r>
              <w:t>r-value</w:t>
            </w:r>
            <w:proofErr w:type="spellEnd"/>
          </w:p>
        </w:tc>
        <w:tc>
          <w:tcPr>
            <w:tcW w:w="1800" w:type="dxa"/>
          </w:tcPr>
          <w:p w14:paraId="4C7165D9" w14:textId="77777777" w:rsidR="00E437BB" w:rsidRDefault="00000000">
            <w:pPr>
              <w:pStyle w:val="NoSpacing"/>
              <w:jc w:val="center"/>
            </w:pPr>
            <w:r>
              <w:t>p-value</w:t>
            </w:r>
          </w:p>
        </w:tc>
      </w:tr>
      <w:tr w:rsidR="00E437BB" w14:paraId="79ECF1A1" w14:textId="77777777">
        <w:tc>
          <w:tcPr>
            <w:tcW w:w="3330" w:type="dxa"/>
          </w:tcPr>
          <w:p w14:paraId="50F7EB15" w14:textId="77777777" w:rsidR="00E437BB" w:rsidRDefault="00000000">
            <w:pPr>
              <w:pStyle w:val="NoSpacing"/>
              <w:jc w:val="center"/>
            </w:pPr>
            <w:r>
              <w:t>Self-Confidence &amp; Motivation</w:t>
            </w:r>
          </w:p>
        </w:tc>
        <w:tc>
          <w:tcPr>
            <w:tcW w:w="2160" w:type="dxa"/>
          </w:tcPr>
          <w:p w14:paraId="52026BCE" w14:textId="77777777" w:rsidR="00E437BB" w:rsidRDefault="00000000">
            <w:pPr>
              <w:pStyle w:val="NoSpacing"/>
              <w:jc w:val="center"/>
            </w:pPr>
            <w:r>
              <w:t>0.690**</w:t>
            </w:r>
          </w:p>
        </w:tc>
        <w:tc>
          <w:tcPr>
            <w:tcW w:w="1800" w:type="dxa"/>
          </w:tcPr>
          <w:p w14:paraId="41EE9C3F" w14:textId="77777777" w:rsidR="00E437BB" w:rsidRDefault="00000000">
            <w:pPr>
              <w:pStyle w:val="NoSpacing"/>
              <w:jc w:val="center"/>
            </w:pPr>
            <w:r>
              <w:t>&lt;0.001</w:t>
            </w:r>
          </w:p>
        </w:tc>
      </w:tr>
    </w:tbl>
    <w:p w14:paraId="11FE980A" w14:textId="77777777" w:rsidR="00E437BB" w:rsidRDefault="00E437BB">
      <w:pPr>
        <w:pStyle w:val="NoSpacing"/>
      </w:pPr>
    </w:p>
    <w:p w14:paraId="6F1B767F" w14:textId="77777777" w:rsidR="00E437BB" w:rsidRDefault="00000000">
      <w:pPr>
        <w:pStyle w:val="NoSpacing"/>
        <w:jc w:val="both"/>
        <w:rPr>
          <w:rFonts w:eastAsia="Times New Roman"/>
          <w:b/>
          <w:bCs/>
        </w:rPr>
      </w:pPr>
      <w:sdt>
        <w:sdtPr>
          <w:tag w:val="goog_rdk_0"/>
          <w:id w:val="-1928987785"/>
        </w:sdtPr>
        <w:sdtContent>
          <w:r>
            <w:t>Legend: ** = highly significant (p ≤ 0.01) * = significant (p ≤ 0.05)</w:t>
          </w:r>
        </w:sdtContent>
      </w:sdt>
    </w:p>
    <w:p w14:paraId="0B9DCF31" w14:textId="77777777" w:rsidR="00E437BB" w:rsidRDefault="00000000">
      <w:pPr>
        <w:pStyle w:val="NoSpacing"/>
        <w:jc w:val="both"/>
        <w:rPr>
          <w:rFonts w:eastAsia="Times New Roman"/>
          <w:b/>
          <w:bCs/>
        </w:rPr>
      </w:pPr>
      <w:bookmarkStart w:id="0" w:name="_heading=h.ten9tzenwt8u" w:colFirst="0" w:colLast="0"/>
      <w:bookmarkEnd w:id="0"/>
      <w:r>
        <w:rPr>
          <w:rFonts w:eastAsia="Times New Roman"/>
        </w:rPr>
        <w:t xml:space="preserve">Numbers not enclosed with parentheses are computed </w:t>
      </w:r>
      <w:proofErr w:type="spellStart"/>
      <w:r>
        <w:rPr>
          <w:rFonts w:eastAsia="Times New Roman"/>
        </w:rPr>
        <w:t>r-value</w:t>
      </w:r>
      <w:proofErr w:type="spellEnd"/>
      <w:r>
        <w:rPr>
          <w:rFonts w:eastAsia="Times New Roman"/>
        </w:rPr>
        <w:t xml:space="preserve"> (Correlation Value)</w:t>
      </w:r>
    </w:p>
    <w:p w14:paraId="40223164" w14:textId="77777777" w:rsidR="00E437BB" w:rsidRDefault="00000000">
      <w:pPr>
        <w:pStyle w:val="NoSpacing"/>
        <w:spacing w:line="360" w:lineRule="auto"/>
        <w:jc w:val="both"/>
        <w:rPr>
          <w:rFonts w:eastAsia="Times New Roman"/>
        </w:rPr>
      </w:pPr>
      <w:bookmarkStart w:id="1" w:name="_heading=h.fgxozu851s9h" w:colFirst="0" w:colLast="0"/>
      <w:bookmarkEnd w:id="1"/>
      <w:r>
        <w:rPr>
          <w:rFonts w:eastAsia="Times New Roman"/>
        </w:rPr>
        <w:t>Numbers enclosed with parentheses are probability values</w:t>
      </w:r>
    </w:p>
    <w:p w14:paraId="7ACD91B5" w14:textId="77777777" w:rsidR="00E437BB" w:rsidRDefault="00000000">
      <w:pPr>
        <w:pStyle w:val="NoSpacing"/>
        <w:jc w:val="both"/>
      </w:pPr>
      <w:r>
        <w:t xml:space="preserve">Pearson's correlation analysis yielded an </w:t>
      </w:r>
      <w:proofErr w:type="spellStart"/>
      <w:r>
        <w:rPr>
          <w:b/>
          <w:bCs/>
        </w:rPr>
        <w:t>r-value</w:t>
      </w:r>
      <w:proofErr w:type="spellEnd"/>
      <w:r>
        <w:rPr>
          <w:b/>
          <w:bCs/>
        </w:rPr>
        <w:t xml:space="preserve"> of 0.690</w:t>
      </w:r>
      <w:r>
        <w:t xml:space="preserve"> with a </w:t>
      </w:r>
      <w:r>
        <w:rPr>
          <w:b/>
          <w:bCs/>
        </w:rPr>
        <w:t>p-value less than 0.001</w:t>
      </w:r>
      <w:r>
        <w:t>, indicating a strong and highly significant positive relationship between self-confidence and motivation.</w:t>
      </w:r>
    </w:p>
    <w:p w14:paraId="3B5BB86D" w14:textId="77777777" w:rsidR="00E437BB" w:rsidRDefault="00E437BB">
      <w:pPr>
        <w:pStyle w:val="NoSpacing"/>
        <w:jc w:val="both"/>
        <w:rPr>
          <w:sz w:val="16"/>
          <w:szCs w:val="16"/>
        </w:rPr>
      </w:pPr>
    </w:p>
    <w:p w14:paraId="48BF0830" w14:textId="77777777" w:rsidR="00E437BB" w:rsidRDefault="00000000">
      <w:pPr>
        <w:pStyle w:val="NoSpacing"/>
        <w:jc w:val="both"/>
        <w:rPr>
          <w:bCs/>
          <w:iCs/>
        </w:rPr>
      </w:pPr>
      <w:r>
        <w:t xml:space="preserve">These findings suggest that students who possess greater confidence in their clinical abilities tend to demonstrate higher levels of motivation toward clinical learning activities. The results support Bandura's proposition that self-efficacy influences motivational processes and behavioral engagement. </w:t>
      </w:r>
      <w:r>
        <w:rPr>
          <w:bCs/>
          <w:iCs/>
        </w:rPr>
        <w:t>Students who believe they can perform clinical skills are more likely to engage actively, set higher goals, and persist through difficulties</w:t>
      </w:r>
    </w:p>
    <w:p w14:paraId="63A9E410" w14:textId="77777777" w:rsidR="00E437BB" w:rsidRDefault="00E437BB">
      <w:pPr>
        <w:pStyle w:val="NoSpacing"/>
        <w:rPr>
          <w:rFonts w:ascii="Arial" w:hAnsi="Arial" w:cs="Arial"/>
          <w:bCs/>
          <w:iCs/>
          <w:sz w:val="24"/>
          <w:szCs w:val="24"/>
        </w:rPr>
      </w:pPr>
    </w:p>
    <w:p w14:paraId="079F36B9" w14:textId="77777777" w:rsidR="00E437BB" w:rsidRDefault="00000000">
      <w:pPr>
        <w:pStyle w:val="NoSpacing"/>
        <w:jc w:val="both"/>
        <w:rPr>
          <w:bCs/>
          <w:iCs/>
        </w:rPr>
      </w:pPr>
      <w:r>
        <w:rPr>
          <w:bCs/>
          <w:iCs/>
        </w:rPr>
        <w:t>Overall, the findings highlight that while BSN students enter clinical education with high confidence and motivation, targeted support is still needed for complex skill development and stress management. Strengthening mastery experiences and supportive supervision can help sustain both confidence and motivation throughout training.</w:t>
      </w:r>
    </w:p>
    <w:p w14:paraId="020302D2" w14:textId="77777777" w:rsidR="00E437BB" w:rsidRDefault="00E437BB">
      <w:pPr>
        <w:pStyle w:val="NoSpacing"/>
        <w:jc w:val="both"/>
      </w:pPr>
    </w:p>
    <w:p w14:paraId="488FDAD3" w14:textId="77777777" w:rsidR="00E437BB" w:rsidRDefault="00E437BB">
      <w:pPr>
        <w:pStyle w:val="NoSpacing"/>
        <w:rPr>
          <w:b/>
        </w:rPr>
      </w:pPr>
    </w:p>
    <w:p w14:paraId="5EF6931F" w14:textId="77777777" w:rsidR="00E437BB" w:rsidRDefault="00E437BB">
      <w:pPr>
        <w:pStyle w:val="NoSpacing"/>
        <w:rPr>
          <w:b/>
        </w:rPr>
      </w:pPr>
    </w:p>
    <w:p w14:paraId="3476E846" w14:textId="77777777" w:rsidR="00E437BB" w:rsidRDefault="00E437BB">
      <w:pPr>
        <w:pStyle w:val="NoSpacing"/>
        <w:rPr>
          <w:b/>
        </w:rPr>
      </w:pPr>
    </w:p>
    <w:p w14:paraId="50B9A15E" w14:textId="77777777" w:rsidR="00E437BB" w:rsidRDefault="00000000">
      <w:pPr>
        <w:pStyle w:val="NoSpacing"/>
        <w:rPr>
          <w:b/>
        </w:rPr>
      </w:pPr>
      <w:r>
        <w:rPr>
          <w:b/>
        </w:rPr>
        <w:t>Recommendations:</w:t>
      </w:r>
    </w:p>
    <w:p w14:paraId="7C70681D" w14:textId="77777777" w:rsidR="00E437BB" w:rsidRDefault="00E437BB">
      <w:pPr>
        <w:pStyle w:val="NoSpacing"/>
        <w:rPr>
          <w:sz w:val="16"/>
          <w:szCs w:val="16"/>
        </w:rPr>
      </w:pPr>
    </w:p>
    <w:p w14:paraId="7F571FFC" w14:textId="77777777" w:rsidR="00E437BB" w:rsidRDefault="00000000">
      <w:pPr>
        <w:pStyle w:val="NoSpacing"/>
        <w:spacing w:line="360" w:lineRule="auto"/>
      </w:pPr>
      <w:r>
        <w:t>Based on the findings of the study, the following recommendations are proposed:</w:t>
      </w:r>
    </w:p>
    <w:p w14:paraId="4C7305B3" w14:textId="77777777" w:rsidR="00E437BB" w:rsidRDefault="00000000">
      <w:pPr>
        <w:pStyle w:val="NoSpacing"/>
        <w:numPr>
          <w:ilvl w:val="0"/>
          <w:numId w:val="4"/>
        </w:numPr>
        <w:jc w:val="both"/>
      </w:pPr>
      <w:r>
        <w:t>Nursing students should continue developing self-confidence through active participation in clinical experiences and reflective practice.</w:t>
      </w:r>
    </w:p>
    <w:p w14:paraId="73AE874E" w14:textId="77777777" w:rsidR="00E437BB" w:rsidRDefault="00000000">
      <w:pPr>
        <w:pStyle w:val="NoSpacing"/>
        <w:numPr>
          <w:ilvl w:val="0"/>
          <w:numId w:val="4"/>
        </w:numPr>
        <w:jc w:val="both"/>
      </w:pPr>
      <w:r>
        <w:t>Nursing educators and clinical instructors should implement strategies that foster confidence and motivation, including constructive feedback, mentorship, and supportive supervision.</w:t>
      </w:r>
    </w:p>
    <w:p w14:paraId="0989AF07" w14:textId="77777777" w:rsidR="00E437BB" w:rsidRDefault="00000000">
      <w:pPr>
        <w:pStyle w:val="NoSpacing"/>
        <w:numPr>
          <w:ilvl w:val="0"/>
          <w:numId w:val="4"/>
        </w:numPr>
        <w:jc w:val="both"/>
      </w:pPr>
      <w:r>
        <w:t>Academic institutions should establish confidence-building initiatives such as simulation-based learning activities and peer mentoring programs.</w:t>
      </w:r>
    </w:p>
    <w:p w14:paraId="020C6468" w14:textId="77777777" w:rsidR="00E437BB" w:rsidRDefault="00000000">
      <w:pPr>
        <w:pStyle w:val="NoSpacing"/>
        <w:numPr>
          <w:ilvl w:val="0"/>
          <w:numId w:val="4"/>
        </w:numPr>
        <w:jc w:val="both"/>
      </w:pPr>
      <w:r>
        <w:t>Clinical training facilities should provide positive learning environments that encourage student participation and professional growth.</w:t>
      </w:r>
    </w:p>
    <w:p w14:paraId="30749A7C" w14:textId="77777777" w:rsidR="00E437BB" w:rsidRDefault="00000000">
      <w:pPr>
        <w:pStyle w:val="NoSpacing"/>
        <w:numPr>
          <w:ilvl w:val="0"/>
          <w:numId w:val="4"/>
        </w:numPr>
        <w:jc w:val="both"/>
      </w:pPr>
      <w:r>
        <w:t>Future researchers should explore additional variables affecting self-confidence and motivation, including stress, anxiety, instructor support, and clinical performance outcomes.</w:t>
      </w:r>
    </w:p>
    <w:p w14:paraId="04576371" w14:textId="77777777" w:rsidR="00E437BB" w:rsidRDefault="00E437BB">
      <w:pPr>
        <w:pStyle w:val="NoSpacing"/>
        <w:rPr>
          <w:sz w:val="16"/>
          <w:szCs w:val="16"/>
        </w:rPr>
      </w:pPr>
    </w:p>
    <w:p w14:paraId="278E88BF" w14:textId="77777777" w:rsidR="00E437BB" w:rsidRDefault="00E437BB">
      <w:pPr>
        <w:pStyle w:val="NoSpacing"/>
        <w:rPr>
          <w:sz w:val="16"/>
          <w:szCs w:val="16"/>
        </w:rPr>
      </w:pPr>
    </w:p>
    <w:p w14:paraId="2220BEB0" w14:textId="77777777" w:rsidR="00E437BB" w:rsidRDefault="00E437BB">
      <w:pPr>
        <w:pStyle w:val="NoSpacing"/>
        <w:rPr>
          <w:sz w:val="16"/>
          <w:szCs w:val="16"/>
        </w:rPr>
      </w:pPr>
    </w:p>
    <w:p w14:paraId="5D401B5C" w14:textId="77777777" w:rsidR="00E437BB" w:rsidRDefault="00E437BB">
      <w:pPr>
        <w:pStyle w:val="NoSpacing"/>
        <w:rPr>
          <w:sz w:val="16"/>
          <w:szCs w:val="16"/>
        </w:rPr>
      </w:pPr>
    </w:p>
    <w:p w14:paraId="7F6685D0" w14:textId="77777777" w:rsidR="00E437BB" w:rsidRDefault="00000000">
      <w:pPr>
        <w:pStyle w:val="NoSpacing"/>
        <w:spacing w:line="360" w:lineRule="auto"/>
        <w:rPr>
          <w:b/>
        </w:rPr>
      </w:pPr>
      <w:r>
        <w:rPr>
          <w:b/>
        </w:rPr>
        <w:t>References:</w:t>
      </w:r>
    </w:p>
    <w:p w14:paraId="1B288443" w14:textId="77777777" w:rsidR="00E437BB" w:rsidRDefault="00000000">
      <w:pPr>
        <w:pStyle w:val="NoSpacing"/>
      </w:pPr>
      <w:r>
        <w:t xml:space="preserve">Akbari, O., &amp; Sahibzada, J. (2020). Students' self-confidence and its impacts on their learning process. American International Journal of Social Science Research, 5(1), 1–15. </w:t>
      </w:r>
      <w:hyperlink r:id="rId8">
        <w:r>
          <w:t>https://doi.org/10.46281/aijssr.v5i1.462</w:t>
        </w:r>
      </w:hyperlink>
      <w:r>
        <w:br/>
      </w:r>
      <w:r>
        <w:br/>
        <w:t xml:space="preserve">Bahari, G., Alharbi, K. N., &amp; </w:t>
      </w:r>
      <w:proofErr w:type="spellStart"/>
      <w:r>
        <w:t>Alenazi</w:t>
      </w:r>
      <w:proofErr w:type="spellEnd"/>
      <w:r>
        <w:t xml:space="preserve">, L. (2022). Learning motivation and self-efficacy towards improved clinical performance in undergraduate nursing students: A cross-sectional study. Journal of Clinical and Diagnostic Research. </w:t>
      </w:r>
      <w:hyperlink r:id="rId9">
        <w:r>
          <w:t>https://doi.org/10.7860/jcdr/2022/52202.15982</w:t>
        </w:r>
      </w:hyperlink>
      <w:r>
        <w:br/>
      </w:r>
      <w:r>
        <w:br/>
        <w:t xml:space="preserve">Rashwan, Z. I. (2023). Motivation inspires confidence: Effect of scenario-based learning on self-confidence among prelicensure nursing students. Teaching and Learning in Nursing, 18(3), e1–e8. </w:t>
      </w:r>
      <w:hyperlink r:id="rId10">
        <w:r>
          <w:t>https://doi.org/10.1016/j.teln.2023.01.008</w:t>
        </w:r>
      </w:hyperlink>
    </w:p>
    <w:p w14:paraId="7C66B004" w14:textId="77777777" w:rsidR="00E437BB" w:rsidRDefault="00E437BB">
      <w:pPr>
        <w:pStyle w:val="NoSpacing"/>
        <w:rPr>
          <w:sz w:val="16"/>
          <w:szCs w:val="16"/>
        </w:rPr>
      </w:pPr>
    </w:p>
    <w:p w14:paraId="0A7B73B4" w14:textId="77777777" w:rsidR="00E437BB" w:rsidRDefault="00000000">
      <w:pPr>
        <w:pStyle w:val="NoSpacing"/>
      </w:pPr>
      <w:r>
        <w:t xml:space="preserve">Swift, L., Henderson, A., &amp; Wu, C.-J. J. (2022). Self-confidence in clinical skills: A descriptive study of the perspective of first-year nursing students. Nurse Education in Practice, 58, 103270. </w:t>
      </w:r>
      <w:hyperlink r:id="rId11">
        <w:r>
          <w:t xml:space="preserve">https://doi.org/10.1016/j.nepr.2021.103270 </w:t>
        </w:r>
      </w:hyperlink>
    </w:p>
    <w:p w14:paraId="3D1289BF" w14:textId="77777777" w:rsidR="00E437BB" w:rsidRDefault="00E437BB">
      <w:pPr>
        <w:pStyle w:val="NoSpacing"/>
      </w:pPr>
    </w:p>
    <w:p w14:paraId="0B3B3790" w14:textId="77777777" w:rsidR="00E437BB" w:rsidRDefault="00E437BB">
      <w:pPr>
        <w:pStyle w:val="NoSpacing"/>
      </w:pPr>
    </w:p>
    <w:sectPr w:rsidR="00E437B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CE32" w14:textId="77777777" w:rsidR="002D0BC8" w:rsidRDefault="002D0BC8">
      <w:pPr>
        <w:spacing w:line="240" w:lineRule="auto"/>
      </w:pPr>
      <w:r>
        <w:separator/>
      </w:r>
    </w:p>
  </w:endnote>
  <w:endnote w:type="continuationSeparator" w:id="0">
    <w:p w14:paraId="5A72F7CB" w14:textId="77777777" w:rsidR="002D0BC8" w:rsidRDefault="002D0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21053"/>
      <w:docPartObj>
        <w:docPartGallery w:val="Page Numbers (Bottom of Page)"/>
        <w:docPartUnique/>
      </w:docPartObj>
    </w:sdtPr>
    <w:sdtEndPr>
      <w:rPr>
        <w:noProof/>
      </w:rPr>
    </w:sdtEndPr>
    <w:sdtContent>
      <w:p w14:paraId="4EB97951" w14:textId="019E494F" w:rsidR="00715099" w:rsidRDefault="007150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AC254" w14:textId="77777777" w:rsidR="00715099" w:rsidRDefault="0071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923F" w14:textId="77777777" w:rsidR="002D0BC8" w:rsidRDefault="002D0BC8">
      <w:pPr>
        <w:spacing w:after="0"/>
      </w:pPr>
      <w:r>
        <w:separator/>
      </w:r>
    </w:p>
  </w:footnote>
  <w:footnote w:type="continuationSeparator" w:id="0">
    <w:p w14:paraId="17D845BE" w14:textId="77777777" w:rsidR="002D0BC8" w:rsidRDefault="002D0B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12B1"/>
    <w:multiLevelType w:val="multilevel"/>
    <w:tmpl w:val="157612B1"/>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202D2393"/>
    <w:multiLevelType w:val="multilevel"/>
    <w:tmpl w:val="202D2393"/>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2C795E40"/>
    <w:multiLevelType w:val="multilevel"/>
    <w:tmpl w:val="2C795E40"/>
    <w:lvl w:ilvl="0">
      <w:start w:val="1"/>
      <w:numFmt w:val="decimal"/>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DF34B3B"/>
    <w:multiLevelType w:val="multilevel"/>
    <w:tmpl w:val="3DF34B3B"/>
    <w:lvl w:ilvl="0">
      <w:start w:val="1"/>
      <w:numFmt w:val="decimal"/>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82001634">
    <w:abstractNumId w:val="2"/>
  </w:num>
  <w:num w:numId="2" w16cid:durableId="815755857">
    <w:abstractNumId w:val="1"/>
  </w:num>
  <w:num w:numId="3" w16cid:durableId="1662856620">
    <w:abstractNumId w:val="0"/>
  </w:num>
  <w:num w:numId="4" w16cid:durableId="20999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61"/>
    <w:rsid w:val="00296B57"/>
    <w:rsid w:val="002A05D5"/>
    <w:rsid w:val="002A232F"/>
    <w:rsid w:val="002D0BC8"/>
    <w:rsid w:val="00437C86"/>
    <w:rsid w:val="00492261"/>
    <w:rsid w:val="00503F0D"/>
    <w:rsid w:val="00715099"/>
    <w:rsid w:val="007D01B2"/>
    <w:rsid w:val="008B54B2"/>
    <w:rsid w:val="008D52B5"/>
    <w:rsid w:val="00904E89"/>
    <w:rsid w:val="00B80280"/>
    <w:rsid w:val="00BB33C8"/>
    <w:rsid w:val="00BB70F8"/>
    <w:rsid w:val="00C61C77"/>
    <w:rsid w:val="00D40976"/>
    <w:rsid w:val="00DA7D93"/>
    <w:rsid w:val="00E0221E"/>
    <w:rsid w:val="00E437BB"/>
    <w:rsid w:val="00F43C0E"/>
    <w:rsid w:val="056F54A2"/>
    <w:rsid w:val="7E43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43F3F58"/>
  <w15:docId w15:val="{42CDFEAC-2A9D-4468-8076-8128DDAF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mbria" w:eastAsia="Cambria" w:hAnsi="Cambria" w:cs="Cambria"/>
      <w:sz w:val="22"/>
      <w:szCs w:val="22"/>
      <w:lang w:val="en" w:eastAsia="en-PH"/>
    </w:rPr>
  </w:style>
  <w:style w:type="paragraph" w:styleId="Heading3">
    <w:name w:val="heading 3"/>
    <w:basedOn w:val="Normal"/>
    <w:next w:val="Normal"/>
    <w:link w:val="Heading3Char"/>
    <w:uiPriority w:val="9"/>
    <w:unhideWhenUsed/>
    <w:qFormat/>
    <w:pPr>
      <w:keepNext/>
      <w:keepLines/>
      <w:spacing w:before="200" w:after="0"/>
      <w:outlineLvl w:val="2"/>
    </w:pPr>
    <w:rPr>
      <w:rFonts w:ascii="Calibri" w:eastAsia="Calibri" w:hAnsi="Calibri" w:cs="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qFormat/>
    <w:rPr>
      <w:rFonts w:ascii="Calibri" w:eastAsia="Calibri" w:hAnsi="Calibri" w:cs="Calibri"/>
      <w:b/>
      <w:bCs/>
      <w:color w:val="4F81BD"/>
      <w:lang w:val="en" w:eastAsia="en-PH"/>
    </w:rPr>
  </w:style>
  <w:style w:type="character" w:customStyle="1" w:styleId="BalloonTextChar">
    <w:name w:val="Balloon Text Char"/>
    <w:basedOn w:val="DefaultParagraphFont"/>
    <w:link w:val="BalloonText"/>
    <w:uiPriority w:val="99"/>
    <w:semiHidden/>
    <w:qFormat/>
    <w:rPr>
      <w:rFonts w:ascii="Tahoma" w:eastAsia="Cambria" w:hAnsi="Tahoma" w:cs="Tahoma"/>
      <w:sz w:val="16"/>
      <w:szCs w:val="16"/>
      <w:lang w:val="en" w:eastAsia="en-PH"/>
    </w:rPr>
  </w:style>
  <w:style w:type="paragraph" w:styleId="Header">
    <w:name w:val="header"/>
    <w:basedOn w:val="Normal"/>
    <w:link w:val="HeaderChar"/>
    <w:uiPriority w:val="99"/>
    <w:unhideWhenUsed/>
    <w:rsid w:val="00715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99"/>
    <w:rPr>
      <w:rFonts w:ascii="Cambria" w:eastAsia="Cambria" w:hAnsi="Cambria" w:cs="Cambria"/>
      <w:sz w:val="22"/>
      <w:szCs w:val="22"/>
      <w:lang w:val="en" w:eastAsia="en-PH"/>
    </w:rPr>
  </w:style>
  <w:style w:type="paragraph" w:styleId="Footer">
    <w:name w:val="footer"/>
    <w:basedOn w:val="Normal"/>
    <w:link w:val="FooterChar"/>
    <w:uiPriority w:val="99"/>
    <w:unhideWhenUsed/>
    <w:rsid w:val="0071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99"/>
    <w:rPr>
      <w:rFonts w:ascii="Cambria" w:eastAsia="Cambria" w:hAnsi="Cambria" w:cs="Cambria"/>
      <w:sz w:val="22"/>
      <w:szCs w:val="22"/>
      <w:lang w:val="en"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46281/aijssr.v5i1.4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nepr.2021.103270" TargetMode="External"/><Relationship Id="rId5" Type="http://schemas.openxmlformats.org/officeDocument/2006/relationships/webSettings" Target="webSettings.xml"/><Relationship Id="rId10" Type="http://schemas.openxmlformats.org/officeDocument/2006/relationships/hyperlink" Target="https://doi.org/10.1016/j.teln.2023.01.008" TargetMode="External"/><Relationship Id="rId4" Type="http://schemas.openxmlformats.org/officeDocument/2006/relationships/settings" Target="settings.xml"/><Relationship Id="rId9" Type="http://schemas.openxmlformats.org/officeDocument/2006/relationships/hyperlink" Target="https://doi.org/10.7860/jcdr/2022/52202.159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Srina</dc:creator>
  <cp:lastModifiedBy>Anita Tomas</cp:lastModifiedBy>
  <cp:revision>4</cp:revision>
  <dcterms:created xsi:type="dcterms:W3CDTF">2026-06-17T01:52:00Z</dcterms:created>
  <dcterms:modified xsi:type="dcterms:W3CDTF">2026-06-22T03:11:00Z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eyJoZGlkIjoiNGY2MmFjYmMyNTU1MTZlNDg4NDYzN2EwNWY0ZmM2NmEiLCJ1c2VySWQiOiI3MDQ3MDcyNTg0ODgifQ==</vt:lpwstr>
  </property>
  <property fmtid="{D5CDD505-2E9C-101B-9397-08002B2CF9AE}" pid="3" name="KSOProductBuildVer">
    <vt:lpwstr>1033-12.1.0.26880</vt:lpwstr>
  </property>
  <property fmtid="{D5CDD505-2E9C-101B-9397-08002B2CF9AE}" pid="4" name="ICV">
    <vt:lpwstr>8FB91268E2194322A9B6D1CDA3361ABE_13</vt:lpwstr>
  </property>
</Properties>
</file>