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C11D8">
      <w:pPr>
        <w:shd w:val="clear" w:fill="1F4E79"/>
        <w:spacing w:before="0" w:after="60" w:line="360" w:lineRule="auto"/>
        <w:jc w:val="center"/>
        <w:rPr>
          <w:rFonts w:hint="default" w:ascii="Georgia" w:hAnsi="Georgia" w:cs="Georgia"/>
        </w:rPr>
      </w:pPr>
      <w:r>
        <w:rPr>
          <w:rFonts w:hint="default" w:ascii="Georgia" w:hAnsi="Georgia" w:cs="Georgia"/>
          <w:sz w:val="6"/>
          <w:szCs w:val="6"/>
        </w:rPr>
        <w:t xml:space="preserve">  </w:t>
      </w:r>
    </w:p>
    <w:p w14:paraId="64FF7074">
      <w:pPr>
        <w:shd w:val="clear" w:fill="1F4E79"/>
        <w:spacing w:before="0" w:after="0" w:line="360" w:lineRule="auto"/>
        <w:jc w:val="center"/>
        <w:rPr>
          <w:rFonts w:hint="default" w:ascii="Georgia" w:hAnsi="Georgia" w:cs="Georgia"/>
          <w:sz w:val="24"/>
          <w:szCs w:val="24"/>
        </w:rPr>
      </w:pPr>
      <w:r>
        <w:rPr>
          <w:rFonts w:hint="default" w:ascii="Georgia" w:hAnsi="Georgia" w:eastAsia="Arial" w:cs="Georgia"/>
          <w:b/>
          <w:bCs/>
          <w:color w:val="FFFFFF"/>
          <w:sz w:val="44"/>
          <w:szCs w:val="44"/>
        </w:rPr>
        <w:t>Involuntary Cloud Dependencies:</w:t>
      </w:r>
    </w:p>
    <w:p w14:paraId="156DE1E8">
      <w:pPr>
        <w:shd w:val="clear" w:fill="1F4E79"/>
        <w:spacing w:before="0" w:after="0" w:line="360" w:lineRule="auto"/>
        <w:jc w:val="center"/>
        <w:rPr>
          <w:rFonts w:hint="default" w:ascii="Georgia" w:hAnsi="Georgia" w:cs="Georgia"/>
          <w:sz w:val="24"/>
          <w:szCs w:val="24"/>
        </w:rPr>
      </w:pPr>
      <w:r>
        <w:rPr>
          <w:rFonts w:hint="default" w:ascii="Georgia" w:hAnsi="Georgia" w:eastAsia="Arial" w:cs="Georgia"/>
          <w:b w:val="0"/>
          <w:bCs w:val="0"/>
          <w:color w:val="D6E4F0"/>
          <w:sz w:val="28"/>
          <w:szCs w:val="28"/>
        </w:rPr>
        <w:t>How Major Technology Platforms Create Storage Lock-in Through Dark Patterns</w:t>
      </w:r>
    </w:p>
    <w:p w14:paraId="4224EE0C">
      <w:pPr>
        <w:spacing w:before="200" w:after="0" w:line="360" w:lineRule="auto"/>
        <w:rPr>
          <w:rFonts w:hint="default" w:ascii="Georgia" w:hAnsi="Georgia" w:cs="Georgia"/>
        </w:rPr>
      </w:pPr>
    </w:p>
    <w:p w14:paraId="1D368C5F">
      <w:pPr>
        <w:pBdr>
          <w:top w:val="single" w:color="2E7D8A" w:sz="12" w:space="0"/>
          <w:left w:val="single" w:color="2E7D8A" w:sz="24" w:space="0"/>
          <w:bottom w:val="single" w:color="2E7D8A" w:sz="12" w:space="0"/>
          <w:right w:val="none" w:color="auto" w:sz="0" w:space="0"/>
        </w:pBdr>
        <w:shd w:val="clear" w:fill="D6E4F0"/>
        <w:spacing w:before="60" w:after="60" w:line="360" w:lineRule="auto"/>
        <w:ind w:left="360" w:right="360"/>
        <w:rPr>
          <w:rFonts w:hint="default" w:ascii="Georgia" w:hAnsi="Georgia" w:cs="Georgia"/>
        </w:rPr>
      </w:pPr>
      <w:r>
        <w:rPr>
          <w:rFonts w:hint="default" w:ascii="Georgia" w:hAnsi="Georgia" w:eastAsia="Arial" w:cs="Georgia"/>
          <w:b/>
          <w:bCs/>
          <w:color w:val="1F4E79"/>
          <w:sz w:val="20"/>
          <w:szCs w:val="20"/>
        </w:rPr>
        <w:t>ABSTRACT</w:t>
      </w:r>
    </w:p>
    <w:p w14:paraId="5B35FB45">
      <w:pPr>
        <w:pBdr>
          <w:left w:val="single" w:color="2E7D8A" w:sz="24" w:space="0"/>
          <w:right w:val="none" w:color="auto" w:sz="0" w:space="0"/>
        </w:pBdr>
        <w:shd w:val="clear" w:fill="D6E4F0"/>
        <w:spacing w:before="0" w:after="80" w:line="360" w:lineRule="auto"/>
        <w:ind w:left="360" w:right="360"/>
        <w:jc w:val="both"/>
        <w:rPr>
          <w:rFonts w:hint="default" w:ascii="Georgia" w:hAnsi="Georgia" w:cs="Georgia"/>
        </w:rPr>
      </w:pPr>
      <w:bookmarkStart w:id="0" w:name="_GoBack"/>
      <w:r>
        <w:rPr>
          <w:rFonts w:hint="default" w:ascii="Georgia" w:hAnsi="Georgia" w:eastAsia="Arial" w:cs="Georgia"/>
          <w:sz w:val="20"/>
          <w:szCs w:val="20"/>
        </w:rPr>
        <w:t>This paper documents recurrent interface and synchronisation behaviours across major cloud storage platforms that may contribute to persistent user dependence on paid subscription services. Drawing on 306 measurements across 180 experimental conditions and five independent device configurations, we identify a five-stage pattern of cloud dependency formation: (1) Silent Capture—files accumulate in cloud storage without explicit user instruction; (2) Shared Quota Pooling—multiple services draw from a single allocation; (3) Asymmetric Penalty Visibility—storage warnings are prominently displayed while consumption sources remain obscured; (4) Frictional Exit—disabling cloud features produces collateral functional damage; (5) Subscription Stabilisation—payment pressure emerges under certain synchronisation configurations. We document the phenomenon of 'ghost files' (zero-byte placeholders accessible only after authentication), metadata inflation averaging 43.4% per save operation, and auto-backup enabled without informed consent. Extending beyond Microsoft OneDrive, we document analogous behaviours in Google Drive and Photos, including a 'scroll-triggered file resurrection' phenomenon and a cross-service notification asymmetry we term the 'Hostage Service Pattern'. These behaviours are classified against established dark-pattern taxonomies and examined under relevant consumer protection frameworks. Estimated affected population exceeds one billion users; indicative lifetime user costs range from USD 2,000 to 4,000.</w:t>
      </w:r>
    </w:p>
    <w:bookmarkEnd w:id="0"/>
    <w:p w14:paraId="2256C498">
      <w:pPr>
        <w:pBdr>
          <w:left w:val="single" w:color="2E7D8A" w:sz="24" w:space="0"/>
          <w:bottom w:val="none" w:color="auto" w:sz="0" w:space="0"/>
        </w:pBdr>
        <w:shd w:val="clear" w:fill="D6E4F0"/>
        <w:spacing w:before="0" w:after="120" w:line="360" w:lineRule="auto"/>
        <w:ind w:left="360" w:right="360"/>
        <w:rPr>
          <w:rFonts w:hint="default" w:ascii="Georgia" w:hAnsi="Georgia" w:cs="Georgia"/>
        </w:rPr>
      </w:pPr>
      <w:r>
        <w:rPr>
          <w:rFonts w:hint="default" w:ascii="Georgia" w:hAnsi="Georgia" w:eastAsia="Arial" w:cs="Georgia"/>
          <w:b/>
          <w:bCs/>
          <w:color w:val="2E7D8A"/>
          <w:sz w:val="20"/>
          <w:szCs w:val="20"/>
        </w:rPr>
        <w:t xml:space="preserve">Keywords: </w:t>
      </w:r>
      <w:r>
        <w:rPr>
          <w:rFonts w:hint="default" w:ascii="Georgia" w:hAnsi="Georgia" w:eastAsia="Arial" w:cs="Georgia"/>
          <w:i/>
          <w:iCs/>
          <w:sz w:val="20"/>
          <w:szCs w:val="20"/>
        </w:rPr>
        <w:t>dark patterns, cloud storage, consumer protection, digital autonomy, platform lock-in, subscription economy, interface design, regulatory compliance</w:t>
      </w:r>
    </w:p>
    <w:p w14:paraId="7DCF908B">
      <w:pPr>
        <w:spacing w:before="200" w:after="0" w:line="360" w:lineRule="auto"/>
        <w:rPr>
          <w:rFonts w:hint="default" w:ascii="Georgia" w:hAnsi="Georgia" w:cs="Georgia"/>
        </w:rPr>
      </w:pPr>
    </w:p>
    <w:p w14:paraId="19B3445F">
      <w:pPr>
        <w:pStyle w:val="2"/>
        <w:pBdr>
          <w:bottom w:val="single" w:color="2E7D8A" w:sz="8" w:space="4"/>
        </w:pBdr>
        <w:spacing w:before="360" w:after="180" w:line="360" w:lineRule="auto"/>
        <w:rPr>
          <w:rFonts w:hint="default" w:ascii="Georgia" w:hAnsi="Georgia" w:cs="Georgia"/>
        </w:rPr>
      </w:pPr>
      <w:r>
        <w:rPr>
          <w:rFonts w:hint="default" w:ascii="Georgia" w:hAnsi="Georgia" w:eastAsia="Arial" w:cs="Georgia"/>
          <w:b/>
          <w:bCs/>
          <w:color w:val="1F4E79"/>
          <w:sz w:val="28"/>
          <w:szCs w:val="28"/>
        </w:rPr>
        <w:t>I. Introduction</w:t>
      </w:r>
    </w:p>
    <w:p w14:paraId="4337FE73">
      <w:pPr>
        <w:spacing w:before="60" w:after="0" w:line="360" w:lineRule="auto"/>
        <w:rPr>
          <w:rFonts w:hint="default" w:ascii="Georgia" w:hAnsi="Georgia" w:cs="Georgia"/>
        </w:rPr>
      </w:pPr>
    </w:p>
    <w:p w14:paraId="44A9ABAC">
      <w:pPr>
        <w:spacing w:before="80" w:after="120" w:line="360" w:lineRule="auto"/>
        <w:jc w:val="both"/>
        <w:rPr>
          <w:rFonts w:hint="default" w:ascii="Georgia" w:hAnsi="Georgia" w:cs="Georgia"/>
        </w:rPr>
      </w:pPr>
      <w:r>
        <w:rPr>
          <w:rFonts w:hint="default" w:ascii="Georgia" w:hAnsi="Georgia" w:eastAsia="Arial" w:cs="Georgia"/>
          <w:sz w:val="22"/>
          <w:szCs w:val="22"/>
        </w:rPr>
        <w:t>The transition from perpetual software licences to subscription-based service models has substantially altered the incentive structures governing technology platform design. Where a traditional software vendor earned revenue once at the point of sale, a subscription platform benefits from sustained user engagement—and, crucially, from the difficulty of disengagement. This paper investigates how cloud storage integration may function not merely as a user convenience, but as a structural mechanism through which continued subscription payment is made to appear necessary.</w:t>
      </w:r>
    </w:p>
    <w:p w14:paraId="15B237C7">
      <w:pPr>
        <w:spacing w:before="80" w:after="120" w:line="360" w:lineRule="auto"/>
        <w:jc w:val="both"/>
        <w:rPr>
          <w:rFonts w:hint="default" w:ascii="Georgia" w:hAnsi="Georgia" w:cs="Georgia"/>
        </w:rPr>
      </w:pPr>
      <w:r>
        <w:rPr>
          <w:rFonts w:hint="default" w:ascii="Georgia" w:hAnsi="Georgia" w:eastAsia="Arial" w:cs="Georgia"/>
          <w:sz w:val="22"/>
          <w:szCs w:val="22"/>
        </w:rPr>
        <w:t>Our inquiry originated within a study of document compression efficiency. In the course of recording 306 file-size measurements across 180 experimental conditions, we observed a set of anomalous behaviours: files saved to local storage exhibiting cloud-dependent properties; settings labelled 'disable' that demonstrably failed to disable; and storage warnings appearing within days of cloud sign-in despite years of prior local-only file management. These observations prompted a systematic investigation whose findings are reported here.</w:t>
      </w:r>
    </w:p>
    <w:p w14:paraId="6DEC8E09">
      <w:pPr>
        <w:spacing w:before="80" w:after="120" w:line="360" w:lineRule="auto"/>
        <w:jc w:val="both"/>
        <w:rPr>
          <w:rFonts w:hint="default" w:ascii="Georgia" w:hAnsi="Georgia" w:cs="Georgia"/>
        </w:rPr>
      </w:pPr>
      <w:r>
        <w:rPr>
          <w:rFonts w:hint="default" w:ascii="Georgia" w:hAnsi="Georgia" w:eastAsia="Arial" w:cs="Georgia"/>
          <w:sz w:val="22"/>
          <w:szCs w:val="22"/>
        </w:rPr>
        <w:t>The study subsequently expanded to encompass Google's cloud ecosystem, where analogous interface behaviours were documented. This cross-platform evidence strengthens the case that observed patterns reflect industry-wide structural tendencies rather than idiosyncratic choices by any single company. We note throughout this paper that our observations are correlational in character; we document interface effects and user-facing outcomes, but do not claim direct evidence of platform intent.</w:t>
      </w:r>
    </w:p>
    <w:p w14:paraId="492A4F01">
      <w:pPr>
        <w:spacing w:before="80" w:after="0" w:line="360" w:lineRule="auto"/>
        <w:rPr>
          <w:rFonts w:hint="default" w:ascii="Georgia" w:hAnsi="Georgia" w:cs="Georgia"/>
        </w:rPr>
      </w:pPr>
    </w:p>
    <w:p w14:paraId="206C0420">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A. Research Objectives</w:t>
      </w:r>
    </w:p>
    <w:p w14:paraId="599B0BB4">
      <w:pPr>
        <w:spacing w:before="40" w:after="0" w:line="360" w:lineRule="auto"/>
        <w:rPr>
          <w:rFonts w:hint="default" w:ascii="Georgia" w:hAnsi="Georgia" w:cs="Georgia"/>
        </w:rPr>
      </w:pPr>
    </w:p>
    <w:p w14:paraId="7A846DD8">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To identify and classify interface and synchronisation behaviours that may contribute to unintended cloud storage dependency.</w:t>
      </w:r>
    </w:p>
    <w:p w14:paraId="00A4BDBF">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To examine how established dark-pattern taxonomies apply to cloud storage integration contexts.</w:t>
      </w:r>
    </w:p>
    <w:p w14:paraId="13FCEB94">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To propose formalised definitions for two novel pattern categories: Sisyphean Deletion and the Hostage Service Pattern.</w:t>
      </w:r>
    </w:p>
    <w:p w14:paraId="36FBA18D">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To assess the potential consumer harm at population scale and consider relevant regulatory frameworks.</w:t>
      </w:r>
    </w:p>
    <w:p w14:paraId="42D74B27">
      <w:pPr>
        <w:spacing w:before="100" w:after="0" w:line="360" w:lineRule="auto"/>
        <w:rPr>
          <w:rFonts w:hint="default" w:ascii="Georgia" w:hAnsi="Georgia" w:cs="Georgia"/>
        </w:rPr>
      </w:pPr>
    </w:p>
    <w:p w14:paraId="371E84A2">
      <w:pPr>
        <w:spacing w:before="80" w:after="120" w:line="360" w:lineRule="auto"/>
        <w:jc w:val="both"/>
        <w:rPr>
          <w:rFonts w:hint="default" w:ascii="Georgia" w:hAnsi="Georgia" w:cs="Georgia"/>
        </w:rPr>
      </w:pPr>
      <w:r>
        <w:rPr>
          <w:rFonts w:hint="default" w:ascii="Georgia" w:hAnsi="Georgia" w:eastAsia="Arial" w:cs="Georgia"/>
          <w:sz w:val="22"/>
          <w:szCs w:val="22"/>
        </w:rPr>
        <w:t>Prior dark-pattern research has addressed e-commerce interfaces (Mathur et al., 2019), social media consent flows (Gray et al., 2018), and cookie consent dialogs (Nouwens et al., 2020). Cloud storage integration—with its layered technical complexity, operating system entanglement, and cross-service quota architecture—remains comparatively understudied. This paper addresses that gap.</w:t>
      </w:r>
    </w:p>
    <w:p w14:paraId="28962ED0">
      <w:pPr>
        <w:spacing w:before="160" w:after="0" w:line="360" w:lineRule="auto"/>
        <w:rPr>
          <w:rFonts w:hint="default" w:ascii="Georgia" w:hAnsi="Georgia" w:cs="Georgia"/>
        </w:rPr>
      </w:pPr>
    </w:p>
    <w:p w14:paraId="2A10A794">
      <w:pPr>
        <w:pStyle w:val="2"/>
        <w:pBdr>
          <w:bottom w:val="single" w:color="2E7D8A" w:sz="8" w:space="4"/>
        </w:pBdr>
        <w:spacing w:before="360" w:after="180" w:line="360" w:lineRule="auto"/>
        <w:rPr>
          <w:rFonts w:hint="default" w:ascii="Georgia" w:hAnsi="Georgia" w:cs="Georgia"/>
        </w:rPr>
      </w:pPr>
      <w:r>
        <w:rPr>
          <w:rFonts w:hint="default" w:ascii="Georgia" w:hAnsi="Georgia" w:eastAsia="Arial" w:cs="Georgia"/>
          <w:b/>
          <w:bCs/>
          <w:color w:val="1F4E79"/>
          <w:sz w:val="28"/>
          <w:szCs w:val="28"/>
        </w:rPr>
        <w:t>II. Theoretical Framework</w:t>
      </w:r>
    </w:p>
    <w:p w14:paraId="59F40F02">
      <w:pPr>
        <w:spacing w:before="60" w:after="0" w:line="360" w:lineRule="auto"/>
        <w:rPr>
          <w:rFonts w:hint="default" w:ascii="Georgia" w:hAnsi="Georgia" w:cs="Georgia"/>
        </w:rPr>
      </w:pPr>
    </w:p>
    <w:p w14:paraId="0E6700E3">
      <w:pPr>
        <w:spacing w:before="80" w:after="120" w:line="360" w:lineRule="auto"/>
        <w:jc w:val="both"/>
        <w:rPr>
          <w:rFonts w:hint="default" w:ascii="Georgia" w:hAnsi="Georgia" w:cs="Georgia"/>
        </w:rPr>
      </w:pPr>
      <w:r>
        <w:rPr>
          <w:rFonts w:hint="default" w:ascii="Georgia" w:hAnsi="Georgia" w:eastAsia="Arial" w:cs="Georgia"/>
          <w:sz w:val="22"/>
          <w:szCs w:val="22"/>
        </w:rPr>
        <w:t>Dark patterns, as defined by Brignull (2010) and subsequently formalised in academic literature, are user interface design choices that guide users towards actions benefiting the platform, often at the user's expense. The taxonomy employed throughout this paper follows Gray et al. (2018), encompassing six categories: Nagging, Obstruction, Sneaking, Forced Action, Interface Interference, and Social Engineering. We supplement this with Mathur et al.'s (2019) operationalisation and apply both frameworks to cloud storage contexts.</w:t>
      </w:r>
    </w:p>
    <w:p w14:paraId="1120A3E5">
      <w:pPr>
        <w:spacing w:before="80" w:after="120" w:line="360" w:lineRule="auto"/>
        <w:jc w:val="both"/>
        <w:rPr>
          <w:rFonts w:hint="default" w:ascii="Georgia" w:hAnsi="Georgia" w:cs="Georgia"/>
        </w:rPr>
      </w:pPr>
      <w:r>
        <w:rPr>
          <w:rFonts w:hint="default" w:ascii="Georgia" w:hAnsi="Georgia" w:eastAsia="Arial" w:cs="Georgia"/>
          <w:sz w:val="22"/>
          <w:szCs w:val="22"/>
        </w:rPr>
        <w:t>An important conceptual distinction is relevant here. Not every frustrating or suboptimal interface decision constitutes a dark pattern. Brignull's original formulation and subsequent academic refinements require that the design choice produce outcomes systematically skewed in favour of the platform and against the user's stated preferences. We apply this test to each observed behaviour before classification.</w:t>
      </w:r>
    </w:p>
    <w:p w14:paraId="1F8C3949">
      <w:pPr>
        <w:spacing w:before="80" w:after="120" w:line="360" w:lineRule="auto"/>
        <w:jc w:val="both"/>
        <w:rPr>
          <w:rFonts w:hint="default" w:ascii="Georgia" w:hAnsi="Georgia" w:cs="Georgia"/>
        </w:rPr>
      </w:pPr>
      <w:r>
        <w:rPr>
          <w:rFonts w:hint="default" w:ascii="Georgia" w:hAnsi="Georgia" w:eastAsia="Arial" w:cs="Georgia"/>
          <w:sz w:val="22"/>
          <w:szCs w:val="22"/>
        </w:rPr>
        <w:t>The concept of platform lock-in—drawn from industrial organisation economics and technology management literature—provides a complementary analytical lens. Lock-in occurs when switching costs (technical, financial, or cognitive) are sufficiently high that users remain on a platform despite preferring alternatives. The mechanisms documented in this paper may function, in aggregate, to raise effective switching costs beyond what would otherwise exist.</w:t>
      </w:r>
    </w:p>
    <w:p w14:paraId="69BBC202">
      <w:pPr>
        <w:spacing w:before="80" w:after="120" w:line="360" w:lineRule="auto"/>
        <w:jc w:val="both"/>
        <w:rPr>
          <w:rFonts w:hint="default" w:ascii="Georgia" w:hAnsi="Georgia" w:cs="Georgia"/>
        </w:rPr>
      </w:pPr>
      <w:r>
        <w:rPr>
          <w:rFonts w:hint="default" w:ascii="Georgia" w:hAnsi="Georgia" w:eastAsia="Arial" w:cs="Georgia"/>
          <w:sz w:val="22"/>
          <w:szCs w:val="22"/>
        </w:rPr>
        <w:t>We also draw on Bundeskartellamt (2019) and EU Digital Markets Act (2022) frameworks treating major technology platforms as 'gatekeepers', for whom special obligations apply regarding default settings, bundling, and user autonomy. This framing informs the regulatory discussion in Section VI, though we note that legal interpretation in this paper is illustrative rather than definitive.</w:t>
      </w:r>
    </w:p>
    <w:p w14:paraId="12861F47">
      <w:pPr>
        <w:spacing w:before="160" w:after="0" w:line="360" w:lineRule="auto"/>
        <w:rPr>
          <w:rFonts w:hint="default" w:ascii="Georgia" w:hAnsi="Georgia" w:cs="Georgia"/>
        </w:rPr>
      </w:pPr>
    </w:p>
    <w:p w14:paraId="74AED52F">
      <w:pPr>
        <w:pStyle w:val="2"/>
        <w:pBdr>
          <w:bottom w:val="single" w:color="2E7D8A" w:sz="8" w:space="4"/>
        </w:pBdr>
        <w:spacing w:before="360" w:after="180" w:line="360" w:lineRule="auto"/>
        <w:rPr>
          <w:rFonts w:hint="default" w:ascii="Georgia" w:hAnsi="Georgia" w:cs="Georgia"/>
        </w:rPr>
      </w:pPr>
      <w:r>
        <w:rPr>
          <w:rFonts w:hint="default" w:ascii="Georgia" w:hAnsi="Georgia" w:eastAsia="Arial" w:cs="Georgia"/>
          <w:b/>
          <w:bCs/>
          <w:color w:val="1F4E79"/>
          <w:sz w:val="28"/>
          <w:szCs w:val="28"/>
        </w:rPr>
        <w:t>III. Methodology</w:t>
      </w:r>
    </w:p>
    <w:p w14:paraId="6CDB0CB7">
      <w:pPr>
        <w:spacing w:before="60" w:after="0" w:line="360" w:lineRule="auto"/>
        <w:rPr>
          <w:rFonts w:hint="default" w:ascii="Georgia" w:hAnsi="Georgia" w:cs="Georgia"/>
        </w:rPr>
      </w:pPr>
    </w:p>
    <w:p w14:paraId="4FD57E52">
      <w:pPr>
        <w:spacing w:before="80" w:after="120" w:line="360" w:lineRule="auto"/>
        <w:jc w:val="both"/>
        <w:rPr>
          <w:rFonts w:hint="default" w:ascii="Georgia" w:hAnsi="Georgia" w:cs="Georgia"/>
        </w:rPr>
      </w:pPr>
      <w:r>
        <w:rPr>
          <w:rFonts w:hint="default" w:ascii="Georgia" w:hAnsi="Georgia" w:eastAsia="Arial" w:cs="Georgia"/>
          <w:sz w:val="22"/>
          <w:szCs w:val="22"/>
        </w:rPr>
        <w:t>This investigation employs a structured observational methodology. Quantitative measurements were obtained across 306 file-size observations under 180 experimental conditions, conducted on five independent Windows 11 devices. Qualitative observations of interface behaviour were recorded systematically over seven-day observation periods per device. A supplementary user-experience log, provided by an independent observer, supplied first-hand accounts of Google Photos behaviour that were subsequently triangulated against our own interface observations.</w:t>
      </w:r>
    </w:p>
    <w:p w14:paraId="5D251D8E">
      <w:pPr>
        <w:spacing w:before="80" w:after="0" w:line="360" w:lineRule="auto"/>
        <w:rPr>
          <w:rFonts w:hint="default" w:ascii="Georgia" w:hAnsi="Georgia" w:cs="Georgia"/>
        </w:rPr>
      </w:pPr>
    </w:p>
    <w:p w14:paraId="6EE87139">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A. Device Configuration</w:t>
      </w:r>
    </w:p>
    <w:p w14:paraId="0726916D">
      <w:pPr>
        <w:spacing w:before="40" w:after="0" w:line="360" w:lineRule="auto"/>
        <w:rPr>
          <w:rFonts w:hint="default" w:ascii="Georgia" w:hAnsi="Georgia" w:cs="Georgia"/>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0"/>
        <w:gridCol w:w="2500"/>
        <w:gridCol w:w="2500"/>
        <w:gridCol w:w="2360"/>
      </w:tblGrid>
      <w:tr w14:paraId="7735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0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4055223B">
            <w:pPr>
              <w:spacing w:line="360" w:lineRule="auto"/>
              <w:jc w:val="center"/>
              <w:rPr>
                <w:rFonts w:hint="default" w:ascii="Georgia" w:hAnsi="Georgia" w:cs="Georgia"/>
              </w:rPr>
            </w:pPr>
            <w:r>
              <w:rPr>
                <w:rFonts w:hint="default" w:ascii="Georgia" w:hAnsi="Georgia" w:eastAsia="Arial" w:cs="Georgia"/>
                <w:b/>
                <w:bCs/>
                <w:color w:val="FFFFFF"/>
                <w:sz w:val="18"/>
                <w:szCs w:val="18"/>
              </w:rPr>
              <w:t>Device</w:t>
            </w:r>
          </w:p>
        </w:tc>
        <w:tc>
          <w:tcPr>
            <w:tcW w:w="25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671249CA">
            <w:pPr>
              <w:spacing w:line="360" w:lineRule="auto"/>
              <w:jc w:val="center"/>
              <w:rPr>
                <w:rFonts w:hint="default" w:ascii="Georgia" w:hAnsi="Georgia" w:cs="Georgia"/>
              </w:rPr>
            </w:pPr>
            <w:r>
              <w:rPr>
                <w:rFonts w:hint="default" w:ascii="Georgia" w:hAnsi="Georgia" w:eastAsia="Arial" w:cs="Georgia"/>
                <w:b/>
                <w:bCs/>
                <w:color w:val="FFFFFF"/>
                <w:sz w:val="18"/>
                <w:szCs w:val="18"/>
              </w:rPr>
              <w:t>OS Version</w:t>
            </w:r>
          </w:p>
        </w:tc>
        <w:tc>
          <w:tcPr>
            <w:tcW w:w="25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0F90B58E">
            <w:pPr>
              <w:spacing w:line="360" w:lineRule="auto"/>
              <w:jc w:val="center"/>
              <w:rPr>
                <w:rFonts w:hint="default" w:ascii="Georgia" w:hAnsi="Georgia" w:cs="Georgia"/>
              </w:rPr>
            </w:pPr>
            <w:r>
              <w:rPr>
                <w:rFonts w:hint="default" w:ascii="Georgia" w:hAnsi="Georgia" w:eastAsia="Arial" w:cs="Georgia"/>
                <w:b/>
                <w:bCs/>
                <w:color w:val="FFFFFF"/>
                <w:sz w:val="18"/>
                <w:szCs w:val="18"/>
              </w:rPr>
              <w:t>Office Version</w:t>
            </w:r>
          </w:p>
        </w:tc>
        <w:tc>
          <w:tcPr>
            <w:tcW w:w="236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41382143">
            <w:pPr>
              <w:spacing w:line="360" w:lineRule="auto"/>
              <w:jc w:val="center"/>
              <w:rPr>
                <w:rFonts w:hint="default" w:ascii="Georgia" w:hAnsi="Georgia" w:cs="Georgia"/>
              </w:rPr>
            </w:pPr>
            <w:r>
              <w:rPr>
                <w:rFonts w:hint="default" w:ascii="Georgia" w:hAnsi="Georgia" w:eastAsia="Arial" w:cs="Georgia"/>
                <w:b/>
                <w:bCs/>
                <w:color w:val="FFFFFF"/>
                <w:sz w:val="18"/>
                <w:szCs w:val="18"/>
              </w:rPr>
              <w:t>OneDrive State</w:t>
            </w:r>
          </w:p>
        </w:tc>
      </w:tr>
      <w:tr w14:paraId="0616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77A6873B">
            <w:pPr>
              <w:spacing w:line="360" w:lineRule="auto"/>
              <w:jc w:val="left"/>
              <w:rPr>
                <w:rFonts w:hint="default" w:ascii="Georgia" w:hAnsi="Georgia" w:cs="Georgia"/>
              </w:rPr>
            </w:pPr>
            <w:r>
              <w:rPr>
                <w:rFonts w:hint="default" w:ascii="Georgia" w:hAnsi="Georgia" w:eastAsia="Arial" w:cs="Georgia"/>
                <w:sz w:val="18"/>
                <w:szCs w:val="18"/>
              </w:rPr>
              <w:t>D1</w:t>
            </w:r>
          </w:p>
        </w:tc>
        <w:tc>
          <w:tcPr>
            <w:tcW w:w="25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46A31135">
            <w:pPr>
              <w:spacing w:line="360" w:lineRule="auto"/>
              <w:jc w:val="center"/>
              <w:rPr>
                <w:rFonts w:hint="default" w:ascii="Georgia" w:hAnsi="Georgia" w:cs="Georgia"/>
              </w:rPr>
            </w:pPr>
            <w:r>
              <w:rPr>
                <w:rFonts w:hint="default" w:ascii="Georgia" w:hAnsi="Georgia" w:eastAsia="Arial" w:cs="Georgia"/>
                <w:sz w:val="18"/>
                <w:szCs w:val="18"/>
              </w:rPr>
              <w:t>Windows 11 22H2</w:t>
            </w:r>
          </w:p>
        </w:tc>
        <w:tc>
          <w:tcPr>
            <w:tcW w:w="25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A042A13">
            <w:pPr>
              <w:spacing w:line="360" w:lineRule="auto"/>
              <w:jc w:val="center"/>
              <w:rPr>
                <w:rFonts w:hint="default" w:ascii="Georgia" w:hAnsi="Georgia" w:cs="Georgia"/>
              </w:rPr>
            </w:pPr>
            <w:r>
              <w:rPr>
                <w:rFonts w:hint="default" w:ascii="Georgia" w:hAnsi="Georgia" w:eastAsia="Arial" w:cs="Georgia"/>
                <w:sz w:val="18"/>
                <w:szCs w:val="18"/>
              </w:rPr>
              <w:t>Microsoft 365 (current)</w:t>
            </w:r>
          </w:p>
        </w:tc>
        <w:tc>
          <w:tcPr>
            <w:tcW w:w="23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17A6F0DC">
            <w:pPr>
              <w:spacing w:line="360" w:lineRule="auto"/>
              <w:jc w:val="center"/>
              <w:rPr>
                <w:rFonts w:hint="default" w:ascii="Georgia" w:hAnsi="Georgia" w:cs="Georgia"/>
              </w:rPr>
            </w:pPr>
            <w:r>
              <w:rPr>
                <w:rFonts w:hint="default" w:ascii="Georgia" w:hAnsi="Georgia" w:eastAsia="Arial" w:cs="Georgia"/>
                <w:sz w:val="18"/>
                <w:szCs w:val="18"/>
              </w:rPr>
              <w:t>Signed in, sync active</w:t>
            </w:r>
          </w:p>
        </w:tc>
      </w:tr>
      <w:tr w14:paraId="2F6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4228639">
            <w:pPr>
              <w:spacing w:line="360" w:lineRule="auto"/>
              <w:jc w:val="left"/>
              <w:rPr>
                <w:rFonts w:hint="default" w:ascii="Georgia" w:hAnsi="Georgia" w:cs="Georgia"/>
              </w:rPr>
            </w:pPr>
            <w:r>
              <w:rPr>
                <w:rFonts w:hint="default" w:ascii="Georgia" w:hAnsi="Georgia" w:eastAsia="Arial" w:cs="Georgia"/>
                <w:sz w:val="18"/>
                <w:szCs w:val="18"/>
              </w:rPr>
              <w:t>D2</w:t>
            </w:r>
          </w:p>
        </w:tc>
        <w:tc>
          <w:tcPr>
            <w:tcW w:w="25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103F2125">
            <w:pPr>
              <w:spacing w:line="360" w:lineRule="auto"/>
              <w:jc w:val="center"/>
              <w:rPr>
                <w:rFonts w:hint="default" w:ascii="Georgia" w:hAnsi="Georgia" w:cs="Georgia"/>
              </w:rPr>
            </w:pPr>
            <w:r>
              <w:rPr>
                <w:rFonts w:hint="default" w:ascii="Georgia" w:hAnsi="Georgia" w:eastAsia="Arial" w:cs="Georgia"/>
                <w:sz w:val="18"/>
                <w:szCs w:val="18"/>
              </w:rPr>
              <w:t>Windows 11 22H2</w:t>
            </w:r>
          </w:p>
        </w:tc>
        <w:tc>
          <w:tcPr>
            <w:tcW w:w="25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4B5620AF">
            <w:pPr>
              <w:spacing w:line="360" w:lineRule="auto"/>
              <w:jc w:val="center"/>
              <w:rPr>
                <w:rFonts w:hint="default" w:ascii="Georgia" w:hAnsi="Georgia" w:cs="Georgia"/>
              </w:rPr>
            </w:pPr>
            <w:r>
              <w:rPr>
                <w:rFonts w:hint="default" w:ascii="Georgia" w:hAnsi="Georgia" w:eastAsia="Arial" w:cs="Georgia"/>
                <w:sz w:val="18"/>
                <w:szCs w:val="18"/>
              </w:rPr>
              <w:t>Office 2019</w:t>
            </w:r>
          </w:p>
        </w:tc>
        <w:tc>
          <w:tcPr>
            <w:tcW w:w="23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108C88AE">
            <w:pPr>
              <w:spacing w:line="360" w:lineRule="auto"/>
              <w:jc w:val="center"/>
              <w:rPr>
                <w:rFonts w:hint="default" w:ascii="Georgia" w:hAnsi="Georgia" w:cs="Georgia"/>
              </w:rPr>
            </w:pPr>
            <w:r>
              <w:rPr>
                <w:rFonts w:hint="default" w:ascii="Georgia" w:hAnsi="Georgia" w:eastAsia="Arial" w:cs="Georgia"/>
                <w:sz w:val="18"/>
                <w:szCs w:val="18"/>
              </w:rPr>
              <w:t>Installed, not signed in</w:t>
            </w:r>
          </w:p>
        </w:tc>
      </w:tr>
      <w:tr w14:paraId="0B88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735A2543">
            <w:pPr>
              <w:spacing w:line="360" w:lineRule="auto"/>
              <w:jc w:val="left"/>
              <w:rPr>
                <w:rFonts w:hint="default" w:ascii="Georgia" w:hAnsi="Georgia" w:cs="Georgia"/>
              </w:rPr>
            </w:pPr>
            <w:r>
              <w:rPr>
                <w:rFonts w:hint="default" w:ascii="Georgia" w:hAnsi="Georgia" w:eastAsia="Arial" w:cs="Georgia"/>
                <w:sz w:val="18"/>
                <w:szCs w:val="18"/>
              </w:rPr>
              <w:t>D3</w:t>
            </w:r>
          </w:p>
        </w:tc>
        <w:tc>
          <w:tcPr>
            <w:tcW w:w="25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336A2268">
            <w:pPr>
              <w:spacing w:line="360" w:lineRule="auto"/>
              <w:jc w:val="center"/>
              <w:rPr>
                <w:rFonts w:hint="default" w:ascii="Georgia" w:hAnsi="Georgia" w:cs="Georgia"/>
              </w:rPr>
            </w:pPr>
            <w:r>
              <w:rPr>
                <w:rFonts w:hint="default" w:ascii="Georgia" w:hAnsi="Georgia" w:eastAsia="Arial" w:cs="Georgia"/>
                <w:sz w:val="18"/>
                <w:szCs w:val="18"/>
              </w:rPr>
              <w:t>Windows 11 21H2</w:t>
            </w:r>
          </w:p>
        </w:tc>
        <w:tc>
          <w:tcPr>
            <w:tcW w:w="25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2D2587E7">
            <w:pPr>
              <w:spacing w:line="360" w:lineRule="auto"/>
              <w:jc w:val="center"/>
              <w:rPr>
                <w:rFonts w:hint="default" w:ascii="Georgia" w:hAnsi="Georgia" w:cs="Georgia"/>
              </w:rPr>
            </w:pPr>
            <w:r>
              <w:rPr>
                <w:rFonts w:hint="default" w:ascii="Georgia" w:hAnsi="Georgia" w:eastAsia="Arial" w:cs="Georgia"/>
                <w:sz w:val="18"/>
                <w:szCs w:val="18"/>
              </w:rPr>
              <w:t>LibreOffice 7.5</w:t>
            </w:r>
          </w:p>
        </w:tc>
        <w:tc>
          <w:tcPr>
            <w:tcW w:w="23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7F16D223">
            <w:pPr>
              <w:spacing w:line="360" w:lineRule="auto"/>
              <w:jc w:val="center"/>
              <w:rPr>
                <w:rFonts w:hint="default" w:ascii="Georgia" w:hAnsi="Georgia" w:cs="Georgia"/>
              </w:rPr>
            </w:pPr>
            <w:r>
              <w:rPr>
                <w:rFonts w:hint="default" w:ascii="Georgia" w:hAnsi="Georgia" w:eastAsia="Arial" w:cs="Georgia"/>
                <w:sz w:val="18"/>
                <w:szCs w:val="18"/>
              </w:rPr>
              <w:t>Installed, not authenticated</w:t>
            </w:r>
          </w:p>
        </w:tc>
      </w:tr>
      <w:tr w14:paraId="0640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792BC8B">
            <w:pPr>
              <w:spacing w:line="360" w:lineRule="auto"/>
              <w:jc w:val="left"/>
              <w:rPr>
                <w:rFonts w:hint="default" w:ascii="Georgia" w:hAnsi="Georgia" w:cs="Georgia"/>
              </w:rPr>
            </w:pPr>
            <w:r>
              <w:rPr>
                <w:rFonts w:hint="default" w:ascii="Georgia" w:hAnsi="Georgia" w:eastAsia="Arial" w:cs="Georgia"/>
                <w:sz w:val="18"/>
                <w:szCs w:val="18"/>
              </w:rPr>
              <w:t>D4</w:t>
            </w:r>
          </w:p>
        </w:tc>
        <w:tc>
          <w:tcPr>
            <w:tcW w:w="25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015252EA">
            <w:pPr>
              <w:spacing w:line="360" w:lineRule="auto"/>
              <w:jc w:val="center"/>
              <w:rPr>
                <w:rFonts w:hint="default" w:ascii="Georgia" w:hAnsi="Georgia" w:cs="Georgia"/>
              </w:rPr>
            </w:pPr>
            <w:r>
              <w:rPr>
                <w:rFonts w:hint="default" w:ascii="Georgia" w:hAnsi="Georgia" w:eastAsia="Arial" w:cs="Georgia"/>
                <w:sz w:val="18"/>
                <w:szCs w:val="18"/>
              </w:rPr>
              <w:t>Windows 10 22H2</w:t>
            </w:r>
          </w:p>
        </w:tc>
        <w:tc>
          <w:tcPr>
            <w:tcW w:w="25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4AEE2AC9">
            <w:pPr>
              <w:spacing w:line="360" w:lineRule="auto"/>
              <w:jc w:val="center"/>
              <w:rPr>
                <w:rFonts w:hint="default" w:ascii="Georgia" w:hAnsi="Georgia" w:cs="Georgia"/>
              </w:rPr>
            </w:pPr>
            <w:r>
              <w:rPr>
                <w:rFonts w:hint="default" w:ascii="Georgia" w:hAnsi="Georgia" w:eastAsia="Arial" w:cs="Georgia"/>
                <w:sz w:val="18"/>
                <w:szCs w:val="18"/>
              </w:rPr>
              <w:t>Microsoft 365 (current)</w:t>
            </w:r>
          </w:p>
        </w:tc>
        <w:tc>
          <w:tcPr>
            <w:tcW w:w="23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56B35DC1">
            <w:pPr>
              <w:spacing w:line="360" w:lineRule="auto"/>
              <w:jc w:val="center"/>
              <w:rPr>
                <w:rFonts w:hint="default" w:ascii="Georgia" w:hAnsi="Georgia" w:cs="Georgia"/>
              </w:rPr>
            </w:pPr>
            <w:r>
              <w:rPr>
                <w:rFonts w:hint="default" w:ascii="Georgia" w:hAnsi="Georgia" w:eastAsia="Arial" w:cs="Georgia"/>
                <w:sz w:val="18"/>
                <w:szCs w:val="18"/>
              </w:rPr>
              <w:t>Uninstalled</w:t>
            </w:r>
          </w:p>
        </w:tc>
      </w:tr>
      <w:tr w14:paraId="7B13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0ACD901">
            <w:pPr>
              <w:spacing w:line="360" w:lineRule="auto"/>
              <w:jc w:val="left"/>
              <w:rPr>
                <w:rFonts w:hint="default" w:ascii="Georgia" w:hAnsi="Georgia" w:cs="Georgia"/>
              </w:rPr>
            </w:pPr>
            <w:r>
              <w:rPr>
                <w:rFonts w:hint="default" w:ascii="Georgia" w:hAnsi="Georgia" w:eastAsia="Arial" w:cs="Georgia"/>
                <w:sz w:val="18"/>
                <w:szCs w:val="18"/>
              </w:rPr>
              <w:t>D5</w:t>
            </w:r>
          </w:p>
        </w:tc>
        <w:tc>
          <w:tcPr>
            <w:tcW w:w="25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4025A51A">
            <w:pPr>
              <w:spacing w:line="360" w:lineRule="auto"/>
              <w:jc w:val="center"/>
              <w:rPr>
                <w:rFonts w:hint="default" w:ascii="Georgia" w:hAnsi="Georgia" w:cs="Georgia"/>
              </w:rPr>
            </w:pPr>
            <w:r>
              <w:rPr>
                <w:rFonts w:hint="default" w:ascii="Georgia" w:hAnsi="Georgia" w:eastAsia="Arial" w:cs="Georgia"/>
                <w:sz w:val="18"/>
                <w:szCs w:val="18"/>
              </w:rPr>
              <w:t>Windows 11 22H2</w:t>
            </w:r>
          </w:p>
        </w:tc>
        <w:tc>
          <w:tcPr>
            <w:tcW w:w="25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8938F7A">
            <w:pPr>
              <w:spacing w:line="360" w:lineRule="auto"/>
              <w:jc w:val="center"/>
              <w:rPr>
                <w:rFonts w:hint="default" w:ascii="Georgia" w:hAnsi="Georgia" w:cs="Georgia"/>
              </w:rPr>
            </w:pPr>
            <w:r>
              <w:rPr>
                <w:rFonts w:hint="default" w:ascii="Georgia" w:hAnsi="Georgia" w:eastAsia="Arial" w:cs="Georgia"/>
                <w:sz w:val="18"/>
                <w:szCs w:val="18"/>
              </w:rPr>
              <w:t>Office 365 Family</w:t>
            </w:r>
          </w:p>
        </w:tc>
        <w:tc>
          <w:tcPr>
            <w:tcW w:w="23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6B583EB4">
            <w:pPr>
              <w:spacing w:line="360" w:lineRule="auto"/>
              <w:jc w:val="center"/>
              <w:rPr>
                <w:rFonts w:hint="default" w:ascii="Georgia" w:hAnsi="Georgia" w:cs="Georgia"/>
              </w:rPr>
            </w:pPr>
            <w:r>
              <w:rPr>
                <w:rFonts w:hint="default" w:ascii="Georgia" w:hAnsi="Georgia" w:eastAsia="Arial" w:cs="Georgia"/>
                <w:sz w:val="18"/>
                <w:szCs w:val="18"/>
              </w:rPr>
              <w:t>Signed in, backup enabled</w:t>
            </w:r>
          </w:p>
        </w:tc>
      </w:tr>
    </w:tbl>
    <w:p w14:paraId="46C07271">
      <w:pPr>
        <w:spacing w:before="60" w:after="180" w:line="360" w:lineRule="auto"/>
        <w:jc w:val="center"/>
        <w:rPr>
          <w:rFonts w:hint="default" w:ascii="Georgia" w:hAnsi="Georgia" w:cs="Georgia"/>
        </w:rPr>
      </w:pPr>
      <w:r>
        <w:rPr>
          <w:rFonts w:hint="default" w:ascii="Georgia" w:hAnsi="Georgia" w:eastAsia="Arial" w:cs="Georgia"/>
          <w:i/>
          <w:iCs/>
          <w:color w:val="606060"/>
          <w:sz w:val="18"/>
          <w:szCs w:val="18"/>
        </w:rPr>
        <w:t>Table 1: Device configurations used in the study. D3 and D4 served as controls for OneDrive-independent behaviour.</w:t>
      </w:r>
    </w:p>
    <w:p w14:paraId="72B316AC">
      <w:pPr>
        <w:spacing w:before="80" w:after="0" w:line="360" w:lineRule="auto"/>
        <w:rPr>
          <w:rFonts w:hint="default" w:ascii="Georgia" w:hAnsi="Georgia" w:cs="Georgia"/>
        </w:rPr>
      </w:pPr>
    </w:p>
    <w:p w14:paraId="16D19481">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B. Measurement Procedures</w:t>
      </w:r>
    </w:p>
    <w:p w14:paraId="7FA99FF4">
      <w:pPr>
        <w:spacing w:before="40" w:after="0" w:line="360" w:lineRule="auto"/>
        <w:rPr>
          <w:rFonts w:hint="default" w:ascii="Georgia" w:hAnsi="Georgia" w:cs="Georgia"/>
        </w:rPr>
      </w:pPr>
    </w:p>
    <w:p w14:paraId="60B2738A">
      <w:pPr>
        <w:spacing w:before="80" w:after="120" w:line="360" w:lineRule="auto"/>
        <w:jc w:val="both"/>
        <w:rPr>
          <w:rFonts w:hint="default" w:ascii="Georgia" w:hAnsi="Georgia" w:cs="Georgia"/>
        </w:rPr>
      </w:pPr>
      <w:r>
        <w:rPr>
          <w:rFonts w:hint="default" w:ascii="Georgia" w:hAnsi="Georgia" w:eastAsia="Arial" w:cs="Georgia"/>
          <w:sz w:val="22"/>
          <w:szCs w:val="22"/>
        </w:rPr>
        <w:t>File sizes were recorded using Windows File Properties (Properties → General) and cross-verified with PowerShell Get-Item commands to mitigate rounding artefacts. Metadata overhead was calculated as the difference between a content-equivalent plain-text file and the corresponding .docx file across identical content units. Statistical reporting follows standard conventions: means, 95% confidence intervals, and effect sizes where applicable.</w:t>
      </w:r>
    </w:p>
    <w:p w14:paraId="37B732FE">
      <w:pPr>
        <w:spacing w:before="80" w:after="120" w:line="360" w:lineRule="auto"/>
        <w:jc w:val="both"/>
        <w:rPr>
          <w:rFonts w:hint="default" w:ascii="Georgia" w:hAnsi="Georgia" w:cs="Georgia"/>
        </w:rPr>
      </w:pPr>
      <w:r>
        <w:rPr>
          <w:rFonts w:hint="default" w:ascii="Georgia" w:hAnsi="Georgia" w:eastAsia="Arial" w:cs="Georgia"/>
          <w:sz w:val="22"/>
          <w:szCs w:val="22"/>
        </w:rPr>
        <w:t>Synchronisation states were logged at 15-minute intervals during active sessions and at session start/end during passive monitoring. Storage dashboard readings were captured via screenshot at standardised intervals and manually transcribed for tabulation.</w:t>
      </w:r>
    </w:p>
    <w:p w14:paraId="5ED7C96D">
      <w:pPr>
        <w:spacing w:before="80" w:after="0" w:line="360" w:lineRule="auto"/>
        <w:rPr>
          <w:rFonts w:hint="default" w:ascii="Georgia" w:hAnsi="Georgia" w:cs="Georgia"/>
        </w:rPr>
      </w:pPr>
    </w:p>
    <w:p w14:paraId="37187EB6">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C. Limitations and Threats to Validity</w:t>
      </w:r>
    </w:p>
    <w:p w14:paraId="1DA11297">
      <w:pPr>
        <w:spacing w:before="40" w:after="0" w:line="360" w:lineRule="auto"/>
        <w:rPr>
          <w:rFonts w:hint="default" w:ascii="Georgia" w:hAnsi="Georgia" w:cs="Georgia"/>
        </w:rPr>
      </w:pPr>
    </w:p>
    <w:p w14:paraId="3965CBD0">
      <w:pPr>
        <w:spacing w:before="80" w:after="120" w:line="360" w:lineRule="auto"/>
        <w:jc w:val="both"/>
        <w:rPr>
          <w:rFonts w:hint="default" w:ascii="Georgia" w:hAnsi="Georgia" w:cs="Georgia"/>
        </w:rPr>
      </w:pPr>
      <w:r>
        <w:rPr>
          <w:rFonts w:hint="default" w:ascii="Georgia" w:hAnsi="Georgia" w:eastAsia="Arial" w:cs="Georgia"/>
          <w:sz w:val="22"/>
          <w:szCs w:val="22"/>
        </w:rPr>
        <w:t>We acknowledge several important limitations. First, cloud synchronisation mechanisms are proprietary and not directly observable; all interpretations of mechanism are inferred from user-facing effects rather than internal platform telemetry. Second, several observations in the Google Photos section derive from a single user's reported experience; these are treated as exploratory observations requiring independent replication rather than confirmed findings. Third, platform software is updated frequently; observed behaviours may change with subsequent releases. Fourth, our device sample represents a specific regional and hardware configuration; cross-regional variation has not been tested.</w:t>
      </w:r>
    </w:p>
    <w:p w14:paraId="570ED5A3">
      <w:pPr>
        <w:spacing w:before="80" w:after="120" w:line="360" w:lineRule="auto"/>
        <w:jc w:val="both"/>
        <w:rPr>
          <w:rFonts w:hint="default" w:ascii="Georgia" w:hAnsi="Georgia" w:cs="Georgia"/>
        </w:rPr>
      </w:pPr>
      <w:r>
        <w:rPr>
          <w:rFonts w:hint="default" w:ascii="Georgia" w:hAnsi="Georgia" w:eastAsia="Arial" w:cs="Georgia"/>
          <w:sz w:val="22"/>
          <w:szCs w:val="22"/>
        </w:rPr>
        <w:t>We also note the possibility of alternative explanations for some observed phenomena. Scroll-triggered file reappearance in Google Photos, for instance, could in principle reflect cache behaviour, multi-device sync lag, or misinterpretation of trash retention rules. We present our interpretation as the most parsimonious account consistent with the observed sequence of events, while acknowledging these alternatives.</w:t>
      </w:r>
    </w:p>
    <w:p w14:paraId="197BD238">
      <w:pPr>
        <w:spacing w:before="160" w:after="0" w:line="360" w:lineRule="auto"/>
        <w:rPr>
          <w:rFonts w:hint="default" w:ascii="Georgia" w:hAnsi="Georgia" w:cs="Georgia"/>
        </w:rPr>
      </w:pPr>
    </w:p>
    <w:p w14:paraId="1F0B2E39">
      <w:pPr>
        <w:pStyle w:val="2"/>
        <w:pBdr>
          <w:bottom w:val="single" w:color="2E7D8A" w:sz="8" w:space="4"/>
        </w:pBdr>
        <w:spacing w:before="360" w:after="180" w:line="360" w:lineRule="auto"/>
        <w:rPr>
          <w:rFonts w:hint="default" w:ascii="Georgia" w:hAnsi="Georgia" w:cs="Georgia"/>
        </w:rPr>
      </w:pPr>
      <w:r>
        <w:rPr>
          <w:rFonts w:hint="default" w:ascii="Georgia" w:hAnsi="Georgia" w:eastAsia="Arial" w:cs="Georgia"/>
          <w:b/>
          <w:bCs/>
          <w:color w:val="1F4E79"/>
          <w:sz w:val="28"/>
          <w:szCs w:val="28"/>
        </w:rPr>
        <w:t>IV. Findings — Microsoft OneDrive</w:t>
      </w:r>
    </w:p>
    <w:p w14:paraId="2A2BF1AB">
      <w:pPr>
        <w:spacing w:before="60" w:after="0" w:line="360" w:lineRule="auto"/>
        <w:rPr>
          <w:rFonts w:hint="default" w:ascii="Georgia" w:hAnsi="Georgia" w:cs="Georgia"/>
        </w:rPr>
      </w:pPr>
    </w:p>
    <w:p w14:paraId="7D4B3A13">
      <w:pPr>
        <w:spacing w:before="80" w:after="120" w:line="360" w:lineRule="auto"/>
        <w:jc w:val="both"/>
        <w:rPr>
          <w:rFonts w:hint="default" w:ascii="Georgia" w:hAnsi="Georgia" w:cs="Georgia"/>
        </w:rPr>
      </w:pPr>
      <w:r>
        <w:rPr>
          <w:rFonts w:hint="default" w:ascii="Georgia" w:hAnsi="Georgia" w:eastAsia="Arial" w:cs="Georgia"/>
          <w:sz w:val="22"/>
          <w:szCs w:val="22"/>
        </w:rPr>
        <w:t>The following subsections present the core empirical findings from the OneDrive investigation. Findings are structured as: Empirical Observation, Interpretation, and Possible Alternative Explanations, in accordance with reviewer guidance to separate measurement from inference.</w:t>
      </w:r>
    </w:p>
    <w:p w14:paraId="6AF5E24D">
      <w:pPr>
        <w:spacing w:before="80" w:after="0" w:line="360" w:lineRule="auto"/>
        <w:rPr>
          <w:rFonts w:hint="default" w:ascii="Georgia" w:hAnsi="Georgia" w:cs="Georgia"/>
        </w:rPr>
      </w:pPr>
    </w:p>
    <w:p w14:paraId="6A736C08">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A. Five-Stage Dependency Formation</w:t>
      </w:r>
    </w:p>
    <w:p w14:paraId="502BA6D5">
      <w:pPr>
        <w:spacing w:before="40" w:after="0" w:line="360" w:lineRule="auto"/>
        <w:rPr>
          <w:rFonts w:hint="default" w:ascii="Georgia" w:hAnsi="Georgia" w:cs="Georgia"/>
        </w:rPr>
      </w:pPr>
    </w:p>
    <w:p w14:paraId="6A006D6F">
      <w:pPr>
        <w:spacing w:before="80" w:after="120" w:line="360" w:lineRule="auto"/>
        <w:jc w:val="both"/>
        <w:rPr>
          <w:rFonts w:hint="default" w:ascii="Georgia" w:hAnsi="Georgia" w:cs="Georgia"/>
        </w:rPr>
      </w:pPr>
      <w:r>
        <w:rPr>
          <w:rFonts w:hint="default" w:ascii="Georgia" w:hAnsi="Georgia" w:eastAsia="Arial" w:cs="Georgia"/>
          <w:sz w:val="22"/>
          <w:szCs w:val="22"/>
        </w:rPr>
        <w:t>Across our 306 measurements, we identified a recurring five-stage sequence through which cloud storage dependency appeared to form. We present this as a descriptive model of the observed trajectory rather than as a claim of deliberate architectural intent.</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00"/>
        <w:gridCol w:w="2200"/>
        <w:gridCol w:w="3400"/>
        <w:gridCol w:w="2360"/>
      </w:tblGrid>
      <w:tr w14:paraId="3F3D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4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7565D060">
            <w:pPr>
              <w:spacing w:line="360" w:lineRule="auto"/>
              <w:jc w:val="center"/>
              <w:rPr>
                <w:rFonts w:hint="default" w:ascii="Georgia" w:hAnsi="Georgia" w:cs="Georgia"/>
              </w:rPr>
            </w:pPr>
            <w:r>
              <w:rPr>
                <w:rFonts w:hint="default" w:ascii="Georgia" w:hAnsi="Georgia" w:eastAsia="Arial" w:cs="Georgia"/>
                <w:b/>
                <w:bCs/>
                <w:color w:val="FFFFFF"/>
                <w:sz w:val="18"/>
                <w:szCs w:val="18"/>
              </w:rPr>
              <w:t>Stage</w:t>
            </w:r>
          </w:p>
        </w:tc>
        <w:tc>
          <w:tcPr>
            <w:tcW w:w="22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036024BC">
            <w:pPr>
              <w:spacing w:line="360" w:lineRule="auto"/>
              <w:jc w:val="center"/>
              <w:rPr>
                <w:rFonts w:hint="default" w:ascii="Georgia" w:hAnsi="Georgia" w:cs="Georgia"/>
              </w:rPr>
            </w:pPr>
            <w:r>
              <w:rPr>
                <w:rFonts w:hint="default" w:ascii="Georgia" w:hAnsi="Georgia" w:eastAsia="Arial" w:cs="Georgia"/>
                <w:b/>
                <w:bCs/>
                <w:color w:val="FFFFFF"/>
                <w:sz w:val="18"/>
                <w:szCs w:val="18"/>
              </w:rPr>
              <w:t>Label</w:t>
            </w:r>
          </w:p>
        </w:tc>
        <w:tc>
          <w:tcPr>
            <w:tcW w:w="34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5D30F512">
            <w:pPr>
              <w:spacing w:line="360" w:lineRule="auto"/>
              <w:jc w:val="center"/>
              <w:rPr>
                <w:rFonts w:hint="default" w:ascii="Georgia" w:hAnsi="Georgia" w:cs="Georgia"/>
              </w:rPr>
            </w:pPr>
            <w:r>
              <w:rPr>
                <w:rFonts w:hint="default" w:ascii="Georgia" w:hAnsi="Georgia" w:eastAsia="Arial" w:cs="Georgia"/>
                <w:b/>
                <w:bCs/>
                <w:color w:val="FFFFFF"/>
                <w:sz w:val="18"/>
                <w:szCs w:val="18"/>
              </w:rPr>
              <w:t>Observed Behaviour</w:t>
            </w:r>
          </w:p>
        </w:tc>
        <w:tc>
          <w:tcPr>
            <w:tcW w:w="236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3C14C3B4">
            <w:pPr>
              <w:spacing w:line="360" w:lineRule="auto"/>
              <w:jc w:val="center"/>
              <w:rPr>
                <w:rFonts w:hint="default" w:ascii="Georgia" w:hAnsi="Georgia" w:cs="Georgia"/>
              </w:rPr>
            </w:pPr>
            <w:r>
              <w:rPr>
                <w:rFonts w:hint="default" w:ascii="Georgia" w:hAnsi="Georgia" w:eastAsia="Arial" w:cs="Georgia"/>
                <w:b/>
                <w:bCs/>
                <w:color w:val="FFFFFF"/>
                <w:sz w:val="18"/>
                <w:szCs w:val="18"/>
              </w:rPr>
              <w:t>Pattern Category</w:t>
            </w:r>
          </w:p>
        </w:tc>
      </w:tr>
      <w:tr w14:paraId="3BDC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693C42DA">
            <w:pPr>
              <w:spacing w:line="360" w:lineRule="auto"/>
              <w:jc w:val="left"/>
              <w:rPr>
                <w:rFonts w:hint="default" w:ascii="Georgia" w:hAnsi="Georgia" w:cs="Georgia"/>
              </w:rPr>
            </w:pPr>
            <w:r>
              <w:rPr>
                <w:rFonts w:hint="default" w:ascii="Georgia" w:hAnsi="Georgia" w:eastAsia="Arial" w:cs="Georgia"/>
                <w:sz w:val="18"/>
                <w:szCs w:val="18"/>
              </w:rPr>
              <w:t>1</w:t>
            </w:r>
          </w:p>
        </w:tc>
        <w:tc>
          <w:tcPr>
            <w:tcW w:w="22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DD119DD">
            <w:pPr>
              <w:spacing w:line="360" w:lineRule="auto"/>
              <w:jc w:val="center"/>
              <w:rPr>
                <w:rFonts w:hint="default" w:ascii="Georgia" w:hAnsi="Georgia" w:cs="Georgia"/>
              </w:rPr>
            </w:pPr>
            <w:r>
              <w:rPr>
                <w:rFonts w:hint="default" w:ascii="Georgia" w:hAnsi="Georgia" w:eastAsia="Arial" w:cs="Georgia"/>
                <w:sz w:val="18"/>
                <w:szCs w:val="18"/>
              </w:rPr>
              <w:t>Silent Capture</w:t>
            </w:r>
          </w:p>
        </w:tc>
        <w:tc>
          <w:tcPr>
            <w:tcW w:w="3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3478BF88">
            <w:pPr>
              <w:spacing w:line="360" w:lineRule="auto"/>
              <w:jc w:val="center"/>
              <w:rPr>
                <w:rFonts w:hint="default" w:ascii="Georgia" w:hAnsi="Georgia" w:cs="Georgia"/>
              </w:rPr>
            </w:pPr>
            <w:r>
              <w:rPr>
                <w:rFonts w:hint="default" w:ascii="Georgia" w:hAnsi="Georgia" w:eastAsia="Arial" w:cs="Georgia"/>
                <w:sz w:val="18"/>
                <w:szCs w:val="18"/>
              </w:rPr>
              <w:t>Files accumulate in cloud without explicit instruction; ghost files appear pre-authentication</w:t>
            </w:r>
          </w:p>
        </w:tc>
        <w:tc>
          <w:tcPr>
            <w:tcW w:w="23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32827E9F">
            <w:pPr>
              <w:spacing w:line="360" w:lineRule="auto"/>
              <w:jc w:val="center"/>
              <w:rPr>
                <w:rFonts w:hint="default" w:ascii="Georgia" w:hAnsi="Georgia" w:cs="Georgia"/>
              </w:rPr>
            </w:pPr>
            <w:r>
              <w:rPr>
                <w:rFonts w:hint="default" w:ascii="Georgia" w:hAnsi="Georgia" w:eastAsia="Arial" w:cs="Georgia"/>
                <w:sz w:val="18"/>
                <w:szCs w:val="18"/>
              </w:rPr>
              <w:t>Sneaking</w:t>
            </w:r>
          </w:p>
        </w:tc>
      </w:tr>
      <w:tr w14:paraId="4353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87A1AE7">
            <w:pPr>
              <w:spacing w:line="360" w:lineRule="auto"/>
              <w:jc w:val="left"/>
              <w:rPr>
                <w:rFonts w:hint="default" w:ascii="Georgia" w:hAnsi="Georgia" w:cs="Georgia"/>
              </w:rPr>
            </w:pPr>
            <w:r>
              <w:rPr>
                <w:rFonts w:hint="default" w:ascii="Georgia" w:hAnsi="Georgia" w:eastAsia="Arial" w:cs="Georgia"/>
                <w:sz w:val="18"/>
                <w:szCs w:val="18"/>
              </w:rPr>
              <w:t>2</w:t>
            </w:r>
          </w:p>
        </w:tc>
        <w:tc>
          <w:tcPr>
            <w:tcW w:w="22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D6AF0AA">
            <w:pPr>
              <w:spacing w:line="360" w:lineRule="auto"/>
              <w:jc w:val="center"/>
              <w:rPr>
                <w:rFonts w:hint="default" w:ascii="Georgia" w:hAnsi="Georgia" w:cs="Georgia"/>
              </w:rPr>
            </w:pPr>
            <w:r>
              <w:rPr>
                <w:rFonts w:hint="default" w:ascii="Georgia" w:hAnsi="Georgia" w:eastAsia="Arial" w:cs="Georgia"/>
                <w:sz w:val="18"/>
                <w:szCs w:val="18"/>
              </w:rPr>
              <w:t>Quota Pooling</w:t>
            </w:r>
          </w:p>
        </w:tc>
        <w:tc>
          <w:tcPr>
            <w:tcW w:w="3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3AF109EA">
            <w:pPr>
              <w:spacing w:line="360" w:lineRule="auto"/>
              <w:jc w:val="center"/>
              <w:rPr>
                <w:rFonts w:hint="default" w:ascii="Georgia" w:hAnsi="Georgia" w:cs="Georgia"/>
              </w:rPr>
            </w:pPr>
            <w:r>
              <w:rPr>
                <w:rFonts w:hint="default" w:ascii="Georgia" w:hAnsi="Georgia" w:eastAsia="Arial" w:cs="Georgia"/>
                <w:sz w:val="18"/>
                <w:szCs w:val="18"/>
              </w:rPr>
              <w:t>Multiple services (OneDrive, Desktop backup, Outlook, Settings sync) draw from single 5 GB allocation</w:t>
            </w:r>
          </w:p>
        </w:tc>
        <w:tc>
          <w:tcPr>
            <w:tcW w:w="23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289CA070">
            <w:pPr>
              <w:spacing w:line="360" w:lineRule="auto"/>
              <w:jc w:val="center"/>
              <w:rPr>
                <w:rFonts w:hint="default" w:ascii="Georgia" w:hAnsi="Georgia" w:cs="Georgia"/>
              </w:rPr>
            </w:pPr>
            <w:r>
              <w:rPr>
                <w:rFonts w:hint="default" w:ascii="Georgia" w:hAnsi="Georgia" w:eastAsia="Arial" w:cs="Georgia"/>
                <w:sz w:val="18"/>
                <w:szCs w:val="18"/>
              </w:rPr>
              <w:t>Forced Action</w:t>
            </w:r>
          </w:p>
        </w:tc>
      </w:tr>
      <w:tr w14:paraId="5789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4990AF57">
            <w:pPr>
              <w:spacing w:line="360" w:lineRule="auto"/>
              <w:jc w:val="left"/>
              <w:rPr>
                <w:rFonts w:hint="default" w:ascii="Georgia" w:hAnsi="Georgia" w:cs="Georgia"/>
              </w:rPr>
            </w:pPr>
            <w:r>
              <w:rPr>
                <w:rFonts w:hint="default" w:ascii="Georgia" w:hAnsi="Georgia" w:eastAsia="Arial" w:cs="Georgia"/>
                <w:sz w:val="18"/>
                <w:szCs w:val="18"/>
              </w:rPr>
              <w:t>3</w:t>
            </w:r>
          </w:p>
        </w:tc>
        <w:tc>
          <w:tcPr>
            <w:tcW w:w="22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2DEA0D76">
            <w:pPr>
              <w:spacing w:line="360" w:lineRule="auto"/>
              <w:jc w:val="center"/>
              <w:rPr>
                <w:rFonts w:hint="default" w:ascii="Georgia" w:hAnsi="Georgia" w:cs="Georgia"/>
              </w:rPr>
            </w:pPr>
            <w:r>
              <w:rPr>
                <w:rFonts w:hint="default" w:ascii="Georgia" w:hAnsi="Georgia" w:eastAsia="Arial" w:cs="Georgia"/>
                <w:sz w:val="18"/>
                <w:szCs w:val="18"/>
              </w:rPr>
              <w:t>Asymmetric Visibility</w:t>
            </w:r>
          </w:p>
        </w:tc>
        <w:tc>
          <w:tcPr>
            <w:tcW w:w="3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407967DD">
            <w:pPr>
              <w:spacing w:line="360" w:lineRule="auto"/>
              <w:jc w:val="center"/>
              <w:rPr>
                <w:rFonts w:hint="default" w:ascii="Georgia" w:hAnsi="Georgia" w:cs="Georgia"/>
              </w:rPr>
            </w:pPr>
            <w:r>
              <w:rPr>
                <w:rFonts w:hint="default" w:ascii="Georgia" w:hAnsi="Georgia" w:eastAsia="Arial" w:cs="Georgia"/>
                <w:sz w:val="18"/>
                <w:szCs w:val="18"/>
              </w:rPr>
              <w:t>Storage warnings are prominent and daily; consumption sources require multi-step investigation to locate</w:t>
            </w:r>
          </w:p>
        </w:tc>
        <w:tc>
          <w:tcPr>
            <w:tcW w:w="23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601169C">
            <w:pPr>
              <w:spacing w:line="360" w:lineRule="auto"/>
              <w:jc w:val="center"/>
              <w:rPr>
                <w:rFonts w:hint="default" w:ascii="Georgia" w:hAnsi="Georgia" w:cs="Georgia"/>
              </w:rPr>
            </w:pPr>
            <w:r>
              <w:rPr>
                <w:rFonts w:hint="default" w:ascii="Georgia" w:hAnsi="Georgia" w:eastAsia="Arial" w:cs="Georgia"/>
                <w:sz w:val="18"/>
                <w:szCs w:val="18"/>
              </w:rPr>
              <w:t>Interface Interference</w:t>
            </w:r>
          </w:p>
        </w:tc>
      </w:tr>
      <w:tr w14:paraId="5D2F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56F34909">
            <w:pPr>
              <w:spacing w:line="360" w:lineRule="auto"/>
              <w:jc w:val="left"/>
              <w:rPr>
                <w:rFonts w:hint="default" w:ascii="Georgia" w:hAnsi="Georgia" w:cs="Georgia"/>
              </w:rPr>
            </w:pPr>
            <w:r>
              <w:rPr>
                <w:rFonts w:hint="default" w:ascii="Georgia" w:hAnsi="Georgia" w:eastAsia="Arial" w:cs="Georgia"/>
                <w:sz w:val="18"/>
                <w:szCs w:val="18"/>
              </w:rPr>
              <w:t>4</w:t>
            </w:r>
          </w:p>
        </w:tc>
        <w:tc>
          <w:tcPr>
            <w:tcW w:w="22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1BA83DD0">
            <w:pPr>
              <w:spacing w:line="360" w:lineRule="auto"/>
              <w:jc w:val="center"/>
              <w:rPr>
                <w:rFonts w:hint="default" w:ascii="Georgia" w:hAnsi="Georgia" w:cs="Georgia"/>
              </w:rPr>
            </w:pPr>
            <w:r>
              <w:rPr>
                <w:rFonts w:hint="default" w:ascii="Georgia" w:hAnsi="Georgia" w:eastAsia="Arial" w:cs="Georgia"/>
                <w:sz w:val="18"/>
                <w:szCs w:val="18"/>
              </w:rPr>
              <w:t>Frictional Exit</w:t>
            </w:r>
          </w:p>
        </w:tc>
        <w:tc>
          <w:tcPr>
            <w:tcW w:w="3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488F0999">
            <w:pPr>
              <w:spacing w:line="360" w:lineRule="auto"/>
              <w:jc w:val="center"/>
              <w:rPr>
                <w:rFonts w:hint="default" w:ascii="Georgia" w:hAnsi="Georgia" w:cs="Georgia"/>
              </w:rPr>
            </w:pPr>
            <w:r>
              <w:rPr>
                <w:rFonts w:hint="default" w:ascii="Georgia" w:hAnsi="Georgia" w:eastAsia="Arial" w:cs="Georgia"/>
                <w:sz w:val="18"/>
                <w:szCs w:val="18"/>
              </w:rPr>
              <w:t>Disabling sync causes collateral damage to Microsoft account, Office licence, and email functionality</w:t>
            </w:r>
          </w:p>
        </w:tc>
        <w:tc>
          <w:tcPr>
            <w:tcW w:w="23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43D3C2B3">
            <w:pPr>
              <w:spacing w:line="360" w:lineRule="auto"/>
              <w:jc w:val="center"/>
              <w:rPr>
                <w:rFonts w:hint="default" w:ascii="Georgia" w:hAnsi="Georgia" w:cs="Georgia"/>
              </w:rPr>
            </w:pPr>
            <w:r>
              <w:rPr>
                <w:rFonts w:hint="default" w:ascii="Georgia" w:hAnsi="Georgia" w:eastAsia="Arial" w:cs="Georgia"/>
                <w:sz w:val="18"/>
                <w:szCs w:val="18"/>
              </w:rPr>
              <w:t>Obstruction</w:t>
            </w:r>
          </w:p>
        </w:tc>
      </w:tr>
      <w:tr w14:paraId="7BA5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9B8FFA9">
            <w:pPr>
              <w:spacing w:line="360" w:lineRule="auto"/>
              <w:jc w:val="left"/>
              <w:rPr>
                <w:rFonts w:hint="default" w:ascii="Georgia" w:hAnsi="Georgia" w:cs="Georgia"/>
              </w:rPr>
            </w:pPr>
            <w:r>
              <w:rPr>
                <w:rFonts w:hint="default" w:ascii="Georgia" w:hAnsi="Georgia" w:eastAsia="Arial" w:cs="Georgia"/>
                <w:sz w:val="18"/>
                <w:szCs w:val="18"/>
              </w:rPr>
              <w:t>5</w:t>
            </w:r>
          </w:p>
        </w:tc>
        <w:tc>
          <w:tcPr>
            <w:tcW w:w="22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1825D623">
            <w:pPr>
              <w:spacing w:line="360" w:lineRule="auto"/>
              <w:jc w:val="center"/>
              <w:rPr>
                <w:rFonts w:hint="default" w:ascii="Georgia" w:hAnsi="Georgia" w:cs="Georgia"/>
              </w:rPr>
            </w:pPr>
            <w:r>
              <w:rPr>
                <w:rFonts w:hint="default" w:ascii="Georgia" w:hAnsi="Georgia" w:eastAsia="Arial" w:cs="Georgia"/>
                <w:sz w:val="18"/>
                <w:szCs w:val="18"/>
              </w:rPr>
              <w:t>Subscription Stabilisation</w:t>
            </w:r>
          </w:p>
        </w:tc>
        <w:tc>
          <w:tcPr>
            <w:tcW w:w="3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2ED12DA">
            <w:pPr>
              <w:spacing w:line="360" w:lineRule="auto"/>
              <w:jc w:val="center"/>
              <w:rPr>
                <w:rFonts w:hint="default" w:ascii="Georgia" w:hAnsi="Georgia" w:cs="Georgia"/>
              </w:rPr>
            </w:pPr>
            <w:r>
              <w:rPr>
                <w:rFonts w:hint="default" w:ascii="Georgia" w:hAnsi="Georgia" w:eastAsia="Arial" w:cs="Georgia"/>
                <w:sz w:val="18"/>
                <w:szCs w:val="18"/>
              </w:rPr>
              <w:t>Payment pressure emerges within 48–72 hours of sign-in; one-click upgrade, multi-step alternative</w:t>
            </w:r>
          </w:p>
        </w:tc>
        <w:tc>
          <w:tcPr>
            <w:tcW w:w="23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9CDB92F">
            <w:pPr>
              <w:spacing w:line="360" w:lineRule="auto"/>
              <w:jc w:val="center"/>
              <w:rPr>
                <w:rFonts w:hint="default" w:ascii="Georgia" w:hAnsi="Georgia" w:cs="Georgia"/>
              </w:rPr>
            </w:pPr>
            <w:r>
              <w:rPr>
                <w:rFonts w:hint="default" w:ascii="Georgia" w:hAnsi="Georgia" w:eastAsia="Arial" w:cs="Georgia"/>
                <w:sz w:val="18"/>
                <w:szCs w:val="18"/>
              </w:rPr>
              <w:t>Nagging + Obstruction</w:t>
            </w:r>
          </w:p>
        </w:tc>
      </w:tr>
    </w:tbl>
    <w:p w14:paraId="7DDAF09E">
      <w:pPr>
        <w:spacing w:before="60" w:after="180" w:line="360" w:lineRule="auto"/>
        <w:jc w:val="center"/>
        <w:rPr>
          <w:rFonts w:hint="default" w:ascii="Georgia" w:hAnsi="Georgia" w:cs="Georgia"/>
        </w:rPr>
      </w:pPr>
      <w:r>
        <w:rPr>
          <w:rFonts w:hint="default" w:ascii="Georgia" w:hAnsi="Georgia" w:eastAsia="Arial" w:cs="Georgia"/>
          <w:i/>
          <w:iCs/>
          <w:color w:val="606060"/>
          <w:sz w:val="18"/>
          <w:szCs w:val="18"/>
        </w:rPr>
        <w:t>Table 2: Five-stage dependency formation pattern observed across 306 measurements. Pattern categories follow Gray et al. (2018) taxonomy.</w:t>
      </w:r>
    </w:p>
    <w:p w14:paraId="7B852103">
      <w:pPr>
        <w:spacing w:before="80" w:after="0" w:line="360" w:lineRule="auto"/>
        <w:rPr>
          <w:rFonts w:hint="default" w:ascii="Georgia" w:hAnsi="Georgia" w:cs="Georgia"/>
        </w:rPr>
      </w:pPr>
    </w:p>
    <w:p w14:paraId="329AD97B">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B. Ghost Files and Pre-Authentication Dependencies</w:t>
      </w:r>
    </w:p>
    <w:p w14:paraId="5AA80F4A">
      <w:pPr>
        <w:spacing w:before="40" w:after="0" w:line="360" w:lineRule="auto"/>
        <w:rPr>
          <w:rFonts w:hint="default" w:ascii="Georgia" w:hAnsi="Georgia" w:cs="Georgia"/>
        </w:rPr>
      </w:pPr>
    </w:p>
    <w:p w14:paraId="7C0577DF">
      <w:pPr>
        <w:spacing w:before="80" w:after="120" w:line="360" w:lineRule="auto"/>
        <w:jc w:val="both"/>
        <w:rPr>
          <w:rFonts w:hint="default" w:ascii="Georgia" w:hAnsi="Georgia" w:cs="Georgia"/>
        </w:rPr>
      </w:pPr>
      <w:r>
        <w:rPr>
          <w:rFonts w:hint="default" w:ascii="Georgia" w:hAnsi="Georgia" w:eastAsia="Arial" w:cs="Georgia"/>
          <w:sz w:val="22"/>
          <w:szCs w:val="22"/>
        </w:rPr>
        <w:t>Observation: On devices with OneDrive installed but not authenticated (D2, D3), files saved to local NTFS storage exhibited cloud-placeholder properties. These files showed 0-byte size in Windows File Properties, blank modification timestamps, and content inaccessibility without OneDrive sign-in. Prevalence across pre-authentication measurements: 25.8% of files.</w:t>
      </w:r>
    </w:p>
    <w:p w14:paraId="44A7117B">
      <w:pPr>
        <w:spacing w:before="80" w:after="120" w:line="360" w:lineRule="auto"/>
        <w:jc w:val="both"/>
        <w:rPr>
          <w:rFonts w:hint="default" w:ascii="Georgia" w:hAnsi="Georgia" w:cs="Georgia"/>
        </w:rPr>
      </w:pPr>
      <w:r>
        <w:rPr>
          <w:rFonts w:hint="default" w:ascii="Georgia" w:hAnsi="Georgia" w:eastAsia="Arial" w:cs="Georgia"/>
          <w:sz w:val="22"/>
          <w:szCs w:val="22"/>
        </w:rPr>
        <w:t>Interpretation: This behaviour may reflect OneDrive's use of Windows Shell integration, which creates cloud-referenced entries in the file system prior to user authentication. The practical effect is that users who have not chosen to use cloud storage find their local files in a cloud-dependent state.</w:t>
      </w:r>
    </w:p>
    <w:p w14:paraId="082B8189">
      <w:pPr>
        <w:spacing w:before="80" w:after="120" w:line="360" w:lineRule="auto"/>
        <w:jc w:val="both"/>
        <w:rPr>
          <w:rFonts w:hint="default" w:ascii="Georgia" w:hAnsi="Georgia" w:cs="Georgia"/>
        </w:rPr>
      </w:pPr>
      <w:r>
        <w:rPr>
          <w:rFonts w:hint="default" w:ascii="Georgia" w:hAnsi="Georgia" w:eastAsia="Arial" w:cs="Georgia"/>
          <w:sz w:val="22"/>
          <w:szCs w:val="22"/>
        </w:rPr>
        <w:t>Alternative explanations: Files may have been inadvertently saved to an OneDrive-mirrored folder. Shell integration stubs may be a side-effect of Windows 11 file indexing rather than a designed dependency mechanism. We cannot rule out these alternatives from our observational data.</w:t>
      </w:r>
    </w:p>
    <w:p w14:paraId="50E7262D">
      <w:pPr>
        <w:spacing w:before="80" w:after="0" w:line="360" w:lineRule="auto"/>
        <w:rPr>
          <w:rFonts w:hint="default" w:ascii="Georgia" w:hAnsi="Georgia" w:cs="Georgia"/>
        </w:rPr>
      </w:pPr>
    </w:p>
    <w:p w14:paraId="4B52151F">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C. Metadata Inflation</w:t>
      </w:r>
    </w:p>
    <w:p w14:paraId="099AC430">
      <w:pPr>
        <w:spacing w:before="40" w:after="0" w:line="360" w:lineRule="auto"/>
        <w:rPr>
          <w:rFonts w:hint="default" w:ascii="Georgia" w:hAnsi="Georgia" w:cs="Georgia"/>
        </w:rPr>
      </w:pPr>
    </w:p>
    <w:p w14:paraId="6514ED7C">
      <w:pPr>
        <w:spacing w:before="80" w:after="120" w:line="360" w:lineRule="auto"/>
        <w:jc w:val="both"/>
        <w:rPr>
          <w:rFonts w:hint="default" w:ascii="Georgia" w:hAnsi="Georgia" w:cs="Georgia"/>
        </w:rPr>
      </w:pPr>
      <w:r>
        <w:rPr>
          <w:rFonts w:hint="default" w:ascii="Georgia" w:hAnsi="Georgia" w:eastAsia="Arial" w:cs="Georgia"/>
          <w:sz w:val="22"/>
          <w:szCs w:val="22"/>
        </w:rPr>
        <w:t>Observation: Microsoft Word adds systematic overhead to every saved .docx file averaging 9.6 KB (95% CI: [9.1, 10.1] KB), representing a 43.4% increase relative to content-equivalent plain-text files. This overhead was consistent across all 306 measured files regardless of content volume.</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20"/>
        <w:gridCol w:w="2080"/>
        <w:gridCol w:w="2080"/>
        <w:gridCol w:w="2080"/>
      </w:tblGrid>
      <w:tr w14:paraId="3D03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312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33F1DA28">
            <w:pPr>
              <w:spacing w:line="360" w:lineRule="auto"/>
              <w:jc w:val="center"/>
              <w:rPr>
                <w:rFonts w:hint="default" w:ascii="Georgia" w:hAnsi="Georgia" w:cs="Georgia"/>
              </w:rPr>
            </w:pPr>
            <w:r>
              <w:rPr>
                <w:rFonts w:hint="default" w:ascii="Georgia" w:hAnsi="Georgia" w:eastAsia="Arial" w:cs="Georgia"/>
                <w:b/>
                <w:bCs/>
                <w:color w:val="FFFFFF"/>
                <w:sz w:val="18"/>
                <w:szCs w:val="18"/>
              </w:rPr>
              <w:t>Metric</w:t>
            </w:r>
          </w:p>
        </w:tc>
        <w:tc>
          <w:tcPr>
            <w:tcW w:w="208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266EB15D">
            <w:pPr>
              <w:spacing w:line="360" w:lineRule="auto"/>
              <w:jc w:val="center"/>
              <w:rPr>
                <w:rFonts w:hint="default" w:ascii="Georgia" w:hAnsi="Georgia" w:cs="Georgia"/>
              </w:rPr>
            </w:pPr>
            <w:r>
              <w:rPr>
                <w:rFonts w:hint="default" w:ascii="Georgia" w:hAnsi="Georgia" w:eastAsia="Arial" w:cs="Georgia"/>
                <w:b/>
                <w:bCs/>
                <w:color w:val="FFFFFF"/>
                <w:sz w:val="18"/>
                <w:szCs w:val="18"/>
              </w:rPr>
              <w:t>Mean</w:t>
            </w:r>
          </w:p>
        </w:tc>
        <w:tc>
          <w:tcPr>
            <w:tcW w:w="208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23C5A67A">
            <w:pPr>
              <w:spacing w:line="360" w:lineRule="auto"/>
              <w:jc w:val="center"/>
              <w:rPr>
                <w:rFonts w:hint="default" w:ascii="Georgia" w:hAnsi="Georgia" w:cs="Georgia"/>
              </w:rPr>
            </w:pPr>
            <w:r>
              <w:rPr>
                <w:rFonts w:hint="default" w:ascii="Georgia" w:hAnsi="Georgia" w:eastAsia="Arial" w:cs="Georgia"/>
                <w:b/>
                <w:bCs/>
                <w:color w:val="FFFFFF"/>
                <w:sz w:val="18"/>
                <w:szCs w:val="18"/>
              </w:rPr>
              <w:t>95% CI Lower</w:t>
            </w:r>
          </w:p>
        </w:tc>
        <w:tc>
          <w:tcPr>
            <w:tcW w:w="208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54EFF93A">
            <w:pPr>
              <w:spacing w:line="360" w:lineRule="auto"/>
              <w:jc w:val="center"/>
              <w:rPr>
                <w:rFonts w:hint="default" w:ascii="Georgia" w:hAnsi="Georgia" w:cs="Georgia"/>
              </w:rPr>
            </w:pPr>
            <w:r>
              <w:rPr>
                <w:rFonts w:hint="default" w:ascii="Georgia" w:hAnsi="Georgia" w:eastAsia="Arial" w:cs="Georgia"/>
                <w:b/>
                <w:bCs/>
                <w:color w:val="FFFFFF"/>
                <w:sz w:val="18"/>
                <w:szCs w:val="18"/>
              </w:rPr>
              <w:t>95% CI Upper</w:t>
            </w:r>
          </w:p>
        </w:tc>
      </w:tr>
      <w:tr w14:paraId="6389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3D753619">
            <w:pPr>
              <w:spacing w:line="360" w:lineRule="auto"/>
              <w:jc w:val="left"/>
              <w:rPr>
                <w:rFonts w:hint="default" w:ascii="Georgia" w:hAnsi="Georgia" w:cs="Georgia"/>
              </w:rPr>
            </w:pPr>
            <w:r>
              <w:rPr>
                <w:rFonts w:hint="default" w:ascii="Georgia" w:hAnsi="Georgia" w:eastAsia="Arial" w:cs="Georgia"/>
                <w:sz w:val="18"/>
                <w:szCs w:val="18"/>
              </w:rPr>
              <w:t>Overhead per save (KB)</w:t>
            </w:r>
          </w:p>
        </w:tc>
        <w:tc>
          <w:tcPr>
            <w:tcW w:w="208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64DC7D06">
            <w:pPr>
              <w:spacing w:line="360" w:lineRule="auto"/>
              <w:jc w:val="center"/>
              <w:rPr>
                <w:rFonts w:hint="default" w:ascii="Georgia" w:hAnsi="Georgia" w:cs="Georgia"/>
              </w:rPr>
            </w:pPr>
            <w:r>
              <w:rPr>
                <w:rFonts w:hint="default" w:ascii="Georgia" w:hAnsi="Georgia" w:eastAsia="Arial" w:cs="Georgia"/>
                <w:sz w:val="18"/>
                <w:szCs w:val="18"/>
              </w:rPr>
              <w:t>9.6</w:t>
            </w:r>
          </w:p>
        </w:tc>
        <w:tc>
          <w:tcPr>
            <w:tcW w:w="208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6CD5A401">
            <w:pPr>
              <w:spacing w:line="360" w:lineRule="auto"/>
              <w:jc w:val="center"/>
              <w:rPr>
                <w:rFonts w:hint="default" w:ascii="Georgia" w:hAnsi="Georgia" w:cs="Georgia"/>
              </w:rPr>
            </w:pPr>
            <w:r>
              <w:rPr>
                <w:rFonts w:hint="default" w:ascii="Georgia" w:hAnsi="Georgia" w:eastAsia="Arial" w:cs="Georgia"/>
                <w:sz w:val="18"/>
                <w:szCs w:val="18"/>
              </w:rPr>
              <w:t>9.1</w:t>
            </w:r>
          </w:p>
        </w:tc>
        <w:tc>
          <w:tcPr>
            <w:tcW w:w="208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272576E1">
            <w:pPr>
              <w:spacing w:line="360" w:lineRule="auto"/>
              <w:jc w:val="center"/>
              <w:rPr>
                <w:rFonts w:hint="default" w:ascii="Georgia" w:hAnsi="Georgia" w:cs="Georgia"/>
              </w:rPr>
            </w:pPr>
            <w:r>
              <w:rPr>
                <w:rFonts w:hint="default" w:ascii="Georgia" w:hAnsi="Georgia" w:eastAsia="Arial" w:cs="Georgia"/>
                <w:sz w:val="18"/>
                <w:szCs w:val="18"/>
              </w:rPr>
              <w:t>10.1</w:t>
            </w:r>
          </w:p>
        </w:tc>
      </w:tr>
      <w:tr w14:paraId="2E00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5C5F1A8">
            <w:pPr>
              <w:spacing w:line="360" w:lineRule="auto"/>
              <w:jc w:val="left"/>
              <w:rPr>
                <w:rFonts w:hint="default" w:ascii="Georgia" w:hAnsi="Georgia" w:cs="Georgia"/>
              </w:rPr>
            </w:pPr>
            <w:r>
              <w:rPr>
                <w:rFonts w:hint="default" w:ascii="Georgia" w:hAnsi="Georgia" w:eastAsia="Arial" w:cs="Georgia"/>
                <w:sz w:val="18"/>
                <w:szCs w:val="18"/>
              </w:rPr>
              <w:t>Overhead as % of base size</w:t>
            </w:r>
          </w:p>
        </w:tc>
        <w:tc>
          <w:tcPr>
            <w:tcW w:w="208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68ED7977">
            <w:pPr>
              <w:spacing w:line="360" w:lineRule="auto"/>
              <w:jc w:val="center"/>
              <w:rPr>
                <w:rFonts w:hint="default" w:ascii="Georgia" w:hAnsi="Georgia" w:cs="Georgia"/>
              </w:rPr>
            </w:pPr>
            <w:r>
              <w:rPr>
                <w:rFonts w:hint="default" w:ascii="Georgia" w:hAnsi="Georgia" w:eastAsia="Arial" w:cs="Georgia"/>
                <w:sz w:val="18"/>
                <w:szCs w:val="18"/>
              </w:rPr>
              <w:t>43.4%</w:t>
            </w:r>
          </w:p>
        </w:tc>
        <w:tc>
          <w:tcPr>
            <w:tcW w:w="208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40CECA87">
            <w:pPr>
              <w:spacing w:line="360" w:lineRule="auto"/>
              <w:jc w:val="center"/>
              <w:rPr>
                <w:rFonts w:hint="default" w:ascii="Georgia" w:hAnsi="Georgia" w:cs="Georgia"/>
              </w:rPr>
            </w:pPr>
            <w:r>
              <w:rPr>
                <w:rFonts w:hint="default" w:ascii="Georgia" w:hAnsi="Georgia" w:eastAsia="Arial" w:cs="Georgia"/>
                <w:sz w:val="18"/>
                <w:szCs w:val="18"/>
              </w:rPr>
              <w:t>41.2%</w:t>
            </w:r>
          </w:p>
        </w:tc>
        <w:tc>
          <w:tcPr>
            <w:tcW w:w="208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3E45F038">
            <w:pPr>
              <w:spacing w:line="360" w:lineRule="auto"/>
              <w:jc w:val="center"/>
              <w:rPr>
                <w:rFonts w:hint="default" w:ascii="Georgia" w:hAnsi="Georgia" w:cs="Georgia"/>
              </w:rPr>
            </w:pPr>
            <w:r>
              <w:rPr>
                <w:rFonts w:hint="default" w:ascii="Georgia" w:hAnsi="Georgia" w:eastAsia="Arial" w:cs="Georgia"/>
                <w:sz w:val="18"/>
                <w:szCs w:val="18"/>
              </w:rPr>
              <w:t>45.6%</w:t>
            </w:r>
          </w:p>
        </w:tc>
      </w:tr>
      <w:tr w14:paraId="6AA9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78BCA754">
            <w:pPr>
              <w:spacing w:line="360" w:lineRule="auto"/>
              <w:jc w:val="left"/>
              <w:rPr>
                <w:rFonts w:hint="default" w:ascii="Georgia" w:hAnsi="Georgia" w:cs="Georgia"/>
              </w:rPr>
            </w:pPr>
            <w:r>
              <w:rPr>
                <w:rFonts w:hint="default" w:ascii="Georgia" w:hAnsi="Georgia" w:eastAsia="Arial" w:cs="Georgia"/>
                <w:sz w:val="18"/>
                <w:szCs w:val="18"/>
              </w:rPr>
              <w:t>Files measured</w:t>
            </w:r>
          </w:p>
        </w:tc>
        <w:tc>
          <w:tcPr>
            <w:tcW w:w="208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B1DDB4E">
            <w:pPr>
              <w:spacing w:line="360" w:lineRule="auto"/>
              <w:jc w:val="center"/>
              <w:rPr>
                <w:rFonts w:hint="default" w:ascii="Georgia" w:hAnsi="Georgia" w:cs="Georgia"/>
              </w:rPr>
            </w:pPr>
            <w:r>
              <w:rPr>
                <w:rFonts w:hint="default" w:ascii="Georgia" w:hAnsi="Georgia" w:eastAsia="Arial" w:cs="Georgia"/>
                <w:sz w:val="18"/>
                <w:szCs w:val="18"/>
              </w:rPr>
              <w:t>306</w:t>
            </w:r>
          </w:p>
        </w:tc>
        <w:tc>
          <w:tcPr>
            <w:tcW w:w="208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6F6C53E">
            <w:pPr>
              <w:spacing w:line="360" w:lineRule="auto"/>
              <w:jc w:val="center"/>
              <w:rPr>
                <w:rFonts w:hint="default" w:ascii="Georgia" w:hAnsi="Georgia" w:cs="Georgia"/>
              </w:rPr>
            </w:pPr>
            <w:r>
              <w:rPr>
                <w:rFonts w:hint="default" w:ascii="Georgia" w:hAnsi="Georgia" w:eastAsia="Arial" w:cs="Georgia"/>
                <w:sz w:val="18"/>
                <w:szCs w:val="18"/>
              </w:rPr>
              <w:t>—</w:t>
            </w:r>
          </w:p>
        </w:tc>
        <w:tc>
          <w:tcPr>
            <w:tcW w:w="208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71002FC3">
            <w:pPr>
              <w:spacing w:line="360" w:lineRule="auto"/>
              <w:jc w:val="center"/>
              <w:rPr>
                <w:rFonts w:hint="default" w:ascii="Georgia" w:hAnsi="Georgia" w:cs="Georgia"/>
              </w:rPr>
            </w:pPr>
            <w:r>
              <w:rPr>
                <w:rFonts w:hint="default" w:ascii="Georgia" w:hAnsi="Georgia" w:eastAsia="Arial" w:cs="Georgia"/>
                <w:sz w:val="18"/>
                <w:szCs w:val="18"/>
              </w:rPr>
              <w:t>—</w:t>
            </w:r>
          </w:p>
        </w:tc>
      </w:tr>
      <w:tr w14:paraId="5592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35CD24CD">
            <w:pPr>
              <w:spacing w:line="360" w:lineRule="auto"/>
              <w:jc w:val="left"/>
              <w:rPr>
                <w:rFonts w:hint="default" w:ascii="Georgia" w:hAnsi="Georgia" w:cs="Georgia"/>
              </w:rPr>
            </w:pPr>
            <w:r>
              <w:rPr>
                <w:rFonts w:hint="default" w:ascii="Georgia" w:hAnsi="Georgia" w:eastAsia="Arial" w:cs="Georgia"/>
                <w:sz w:val="18"/>
                <w:szCs w:val="18"/>
              </w:rPr>
              <w:t>Storage impact over 1,000 saves</w:t>
            </w:r>
          </w:p>
        </w:tc>
        <w:tc>
          <w:tcPr>
            <w:tcW w:w="208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44550F10">
            <w:pPr>
              <w:spacing w:line="360" w:lineRule="auto"/>
              <w:jc w:val="center"/>
              <w:rPr>
                <w:rFonts w:hint="default" w:ascii="Georgia" w:hAnsi="Georgia" w:cs="Georgia"/>
              </w:rPr>
            </w:pPr>
            <w:r>
              <w:rPr>
                <w:rFonts w:hint="default" w:ascii="Georgia" w:hAnsi="Georgia" w:eastAsia="Arial" w:cs="Georgia"/>
                <w:sz w:val="18"/>
                <w:szCs w:val="18"/>
              </w:rPr>
              <w:t>~9.6 MB</w:t>
            </w:r>
          </w:p>
        </w:tc>
        <w:tc>
          <w:tcPr>
            <w:tcW w:w="208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6C463A31">
            <w:pPr>
              <w:spacing w:line="360" w:lineRule="auto"/>
              <w:jc w:val="center"/>
              <w:rPr>
                <w:rFonts w:hint="default" w:ascii="Georgia" w:hAnsi="Georgia" w:cs="Georgia"/>
              </w:rPr>
            </w:pPr>
            <w:r>
              <w:rPr>
                <w:rFonts w:hint="default" w:ascii="Georgia" w:hAnsi="Georgia" w:eastAsia="Arial" w:cs="Georgia"/>
                <w:sz w:val="18"/>
                <w:szCs w:val="18"/>
              </w:rPr>
              <w:t>9.1 MB</w:t>
            </w:r>
          </w:p>
        </w:tc>
        <w:tc>
          <w:tcPr>
            <w:tcW w:w="208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1EA7A61F">
            <w:pPr>
              <w:spacing w:line="360" w:lineRule="auto"/>
              <w:jc w:val="center"/>
              <w:rPr>
                <w:rFonts w:hint="default" w:ascii="Georgia" w:hAnsi="Georgia" w:cs="Georgia"/>
              </w:rPr>
            </w:pPr>
            <w:r>
              <w:rPr>
                <w:rFonts w:hint="default" w:ascii="Georgia" w:hAnsi="Georgia" w:eastAsia="Arial" w:cs="Georgia"/>
                <w:sz w:val="18"/>
                <w:szCs w:val="18"/>
              </w:rPr>
              <w:t>10.1 MB</w:t>
            </w:r>
          </w:p>
        </w:tc>
      </w:tr>
    </w:tbl>
    <w:p w14:paraId="52814AC1">
      <w:pPr>
        <w:spacing w:before="60" w:after="180" w:line="360" w:lineRule="auto"/>
        <w:jc w:val="center"/>
        <w:rPr>
          <w:rFonts w:hint="default" w:ascii="Georgia" w:hAnsi="Georgia" w:cs="Georgia"/>
        </w:rPr>
      </w:pPr>
      <w:r>
        <w:rPr>
          <w:rFonts w:hint="default" w:ascii="Georgia" w:hAnsi="Georgia" w:eastAsia="Arial" w:cs="Georgia"/>
          <w:i/>
          <w:iCs/>
          <w:color w:val="606060"/>
          <w:sz w:val="18"/>
          <w:szCs w:val="18"/>
        </w:rPr>
        <w:t>Table 3: Metadata inflation statistics from 306 .docx file measurements. Overhead accumulates with each save operation.</w:t>
      </w:r>
    </w:p>
    <w:p w14:paraId="6CC77C28">
      <w:pPr>
        <w:spacing w:before="80" w:after="0" w:line="360" w:lineRule="auto"/>
        <w:rPr>
          <w:rFonts w:hint="default" w:ascii="Georgia" w:hAnsi="Georgia" w:cs="Georgia"/>
        </w:rPr>
      </w:pPr>
    </w:p>
    <w:p w14:paraId="55080941">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D. Settings Non-Functionality</w:t>
      </w:r>
    </w:p>
    <w:p w14:paraId="03CFCFAE">
      <w:pPr>
        <w:spacing w:before="40" w:after="0" w:line="360" w:lineRule="auto"/>
        <w:rPr>
          <w:rFonts w:hint="default" w:ascii="Georgia" w:hAnsi="Georgia" w:cs="Georgia"/>
        </w:rPr>
      </w:pPr>
    </w:p>
    <w:p w14:paraId="20342FD0">
      <w:pPr>
        <w:spacing w:before="80" w:after="120" w:line="360" w:lineRule="auto"/>
        <w:jc w:val="both"/>
        <w:rPr>
          <w:rFonts w:hint="default" w:ascii="Georgia" w:hAnsi="Georgia" w:cs="Georgia"/>
        </w:rPr>
      </w:pPr>
      <w:r>
        <w:rPr>
          <w:rFonts w:hint="default" w:ascii="Georgia" w:hAnsi="Georgia" w:eastAsia="Arial" w:cs="Georgia"/>
          <w:sz w:val="22"/>
          <w:szCs w:val="22"/>
        </w:rPr>
        <w:t>Observation: Interface controls labelled 'AutoSave to OneDrive OFF' and 'Folder backup OFF' did not produce complete cessation of cloud-related behaviour in our observations. After ostensibly disabling backup on D1 and D5, previously backed-up files continued to consume quota. OneDrive sign-out on D1 rendered files that had previously appeared as local inaccessible.</w:t>
      </w:r>
    </w:p>
    <w:p w14:paraId="2FF5CF5F">
      <w:pPr>
        <w:spacing w:before="80" w:after="120" w:line="360" w:lineRule="auto"/>
        <w:jc w:val="both"/>
        <w:rPr>
          <w:rFonts w:hint="default" w:ascii="Georgia" w:hAnsi="Georgia" w:cs="Georgia"/>
        </w:rPr>
      </w:pPr>
      <w:r>
        <w:rPr>
          <w:rFonts w:hint="default" w:ascii="Georgia" w:hAnsi="Georgia" w:eastAsia="Arial" w:cs="Georgia"/>
          <w:sz w:val="22"/>
          <w:szCs w:val="22"/>
        </w:rPr>
        <w:t>Interpretation: The 'disable' controls may operate prospectively—halting new uploads—without retrospectively removing already-uploaded content from quota calculations. The inaccessibility of files post-sign-out may reflect that those files had been converted to cloud-only placeholders prior to the settings change.</w:t>
      </w:r>
    </w:p>
    <w:p w14:paraId="49FA698D">
      <w:pPr>
        <w:spacing w:before="160" w:after="0" w:line="360" w:lineRule="auto"/>
        <w:rPr>
          <w:rFonts w:hint="default" w:ascii="Georgia" w:hAnsi="Georgia" w:cs="Georgia"/>
        </w:rPr>
      </w:pPr>
    </w:p>
    <w:p w14:paraId="0E8785E3">
      <w:pPr>
        <w:pStyle w:val="2"/>
        <w:pBdr>
          <w:bottom w:val="single" w:color="2E7D8A" w:sz="8" w:space="4"/>
        </w:pBdr>
        <w:spacing w:before="360" w:after="180" w:line="360" w:lineRule="auto"/>
        <w:rPr>
          <w:rFonts w:hint="default" w:ascii="Georgia" w:hAnsi="Georgia" w:cs="Georgia"/>
        </w:rPr>
      </w:pPr>
      <w:r>
        <w:rPr>
          <w:rFonts w:hint="default" w:ascii="Georgia" w:hAnsi="Georgia" w:eastAsia="Arial" w:cs="Georgia"/>
          <w:b/>
          <w:bCs/>
          <w:color w:val="1F4E79"/>
          <w:sz w:val="28"/>
          <w:szCs w:val="28"/>
        </w:rPr>
        <w:t>V. Findings — Google Drive and Photos</w:t>
      </w:r>
    </w:p>
    <w:p w14:paraId="5C21C1B8">
      <w:pPr>
        <w:spacing w:before="60" w:after="0" w:line="360" w:lineRule="auto"/>
        <w:rPr>
          <w:rFonts w:hint="default" w:ascii="Georgia" w:hAnsi="Georgia" w:cs="Georgia"/>
        </w:rPr>
      </w:pPr>
    </w:p>
    <w:p w14:paraId="005EA089">
      <w:pPr>
        <w:spacing w:before="80" w:after="120" w:line="360" w:lineRule="auto"/>
        <w:jc w:val="both"/>
        <w:rPr>
          <w:rFonts w:hint="default" w:ascii="Georgia" w:hAnsi="Georgia" w:cs="Georgia"/>
        </w:rPr>
      </w:pPr>
      <w:r>
        <w:rPr>
          <w:rFonts w:hint="default" w:ascii="Georgia" w:hAnsi="Georgia" w:eastAsia="Arial" w:cs="Georgia"/>
          <w:sz w:val="22"/>
          <w:szCs w:val="22"/>
        </w:rPr>
        <w:t>The following findings arise from an expanded investigation of Google's cloud ecosystem, initially prompted by an independent user report and subsequently verified through direct interface observation. These findings are presented as exploratory observations. Replication by independent researchers using controlled conditions is needed to establish their generalisability.</w:t>
      </w:r>
    </w:p>
    <w:p w14:paraId="69C06DBE">
      <w:pPr>
        <w:spacing w:before="80" w:after="0" w:line="360" w:lineRule="auto"/>
        <w:rPr>
          <w:rFonts w:hint="default" w:ascii="Georgia" w:hAnsi="Georgia" w:cs="Georgia"/>
        </w:rPr>
      </w:pPr>
    </w:p>
    <w:p w14:paraId="34526C48">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A. Storage Consumption Distribution</w:t>
      </w:r>
    </w:p>
    <w:p w14:paraId="6C45C950">
      <w:pPr>
        <w:spacing w:before="40" w:after="0" w:line="360" w:lineRule="auto"/>
        <w:rPr>
          <w:rFonts w:hint="default" w:ascii="Georgia" w:hAnsi="Georgia" w:cs="Georgia"/>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00"/>
        <w:gridCol w:w="1800"/>
        <w:gridCol w:w="1560"/>
        <w:gridCol w:w="3400"/>
      </w:tblGrid>
      <w:tr w14:paraId="65D5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6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07E5BD32">
            <w:pPr>
              <w:spacing w:line="360" w:lineRule="auto"/>
              <w:jc w:val="center"/>
              <w:rPr>
                <w:rFonts w:hint="default" w:ascii="Georgia" w:hAnsi="Georgia" w:cs="Georgia"/>
              </w:rPr>
            </w:pPr>
            <w:r>
              <w:rPr>
                <w:rFonts w:hint="default" w:ascii="Georgia" w:hAnsi="Georgia" w:eastAsia="Arial" w:cs="Georgia"/>
                <w:b/>
                <w:bCs/>
                <w:color w:val="FFFFFF"/>
                <w:sz w:val="18"/>
                <w:szCs w:val="18"/>
              </w:rPr>
              <w:t>Service</w:t>
            </w:r>
          </w:p>
        </w:tc>
        <w:tc>
          <w:tcPr>
            <w:tcW w:w="18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437451AC">
            <w:pPr>
              <w:spacing w:line="360" w:lineRule="auto"/>
              <w:jc w:val="center"/>
              <w:rPr>
                <w:rFonts w:hint="default" w:ascii="Georgia" w:hAnsi="Georgia" w:cs="Georgia"/>
              </w:rPr>
            </w:pPr>
            <w:r>
              <w:rPr>
                <w:rFonts w:hint="default" w:ascii="Georgia" w:hAnsi="Georgia" w:eastAsia="Arial" w:cs="Georgia"/>
                <w:b/>
                <w:bCs/>
                <w:color w:val="FFFFFF"/>
                <w:sz w:val="18"/>
                <w:szCs w:val="18"/>
              </w:rPr>
              <w:t>Storage Used</w:t>
            </w:r>
          </w:p>
        </w:tc>
        <w:tc>
          <w:tcPr>
            <w:tcW w:w="156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2E0E9434">
            <w:pPr>
              <w:spacing w:line="360" w:lineRule="auto"/>
              <w:jc w:val="center"/>
              <w:rPr>
                <w:rFonts w:hint="default" w:ascii="Georgia" w:hAnsi="Georgia" w:cs="Georgia"/>
              </w:rPr>
            </w:pPr>
            <w:r>
              <w:rPr>
                <w:rFonts w:hint="default" w:ascii="Georgia" w:hAnsi="Georgia" w:eastAsia="Arial" w:cs="Georgia"/>
                <w:b/>
                <w:bCs/>
                <w:color w:val="FFFFFF"/>
                <w:sz w:val="18"/>
                <w:szCs w:val="18"/>
              </w:rPr>
              <w:t>% of Total</w:t>
            </w:r>
          </w:p>
        </w:tc>
        <w:tc>
          <w:tcPr>
            <w:tcW w:w="34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75937F02">
            <w:pPr>
              <w:spacing w:line="360" w:lineRule="auto"/>
              <w:jc w:val="center"/>
              <w:rPr>
                <w:rFonts w:hint="default" w:ascii="Georgia" w:hAnsi="Georgia" w:cs="Georgia"/>
              </w:rPr>
            </w:pPr>
            <w:r>
              <w:rPr>
                <w:rFonts w:hint="default" w:ascii="Georgia" w:hAnsi="Georgia" w:eastAsia="Arial" w:cs="Georgia"/>
                <w:b/>
                <w:bCs/>
                <w:color w:val="FFFFFF"/>
                <w:sz w:val="18"/>
                <w:szCs w:val="18"/>
              </w:rPr>
              <w:t>User Instruction?</w:t>
            </w:r>
          </w:p>
        </w:tc>
      </w:tr>
      <w:tr w14:paraId="5E03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6D344ECD">
            <w:pPr>
              <w:spacing w:line="360" w:lineRule="auto"/>
              <w:jc w:val="left"/>
              <w:rPr>
                <w:rFonts w:hint="default" w:ascii="Georgia" w:hAnsi="Georgia" w:cs="Georgia"/>
              </w:rPr>
            </w:pPr>
            <w:r>
              <w:rPr>
                <w:rFonts w:hint="default" w:ascii="Georgia" w:hAnsi="Georgia" w:eastAsia="Arial" w:cs="Georgia"/>
                <w:sz w:val="18"/>
                <w:szCs w:val="18"/>
              </w:rPr>
              <w:t>Google Photos</w:t>
            </w:r>
          </w:p>
        </w:tc>
        <w:tc>
          <w:tcPr>
            <w:tcW w:w="18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60B5B7E3">
            <w:pPr>
              <w:spacing w:line="360" w:lineRule="auto"/>
              <w:jc w:val="center"/>
              <w:rPr>
                <w:rFonts w:hint="default" w:ascii="Georgia" w:hAnsi="Georgia" w:cs="Georgia"/>
              </w:rPr>
            </w:pPr>
            <w:r>
              <w:rPr>
                <w:rFonts w:hint="default" w:ascii="Georgia" w:hAnsi="Georgia" w:eastAsia="Arial" w:cs="Georgia"/>
                <w:sz w:val="18"/>
                <w:szCs w:val="18"/>
              </w:rPr>
              <w:t>48.47 GB</w:t>
            </w:r>
          </w:p>
        </w:tc>
        <w:tc>
          <w:tcPr>
            <w:tcW w:w="15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6A706006">
            <w:pPr>
              <w:spacing w:line="360" w:lineRule="auto"/>
              <w:jc w:val="center"/>
              <w:rPr>
                <w:rFonts w:hint="default" w:ascii="Georgia" w:hAnsi="Georgia" w:cs="Georgia"/>
              </w:rPr>
            </w:pPr>
            <w:r>
              <w:rPr>
                <w:rFonts w:hint="default" w:ascii="Georgia" w:hAnsi="Georgia" w:eastAsia="Arial" w:cs="Georgia"/>
                <w:sz w:val="18"/>
                <w:szCs w:val="18"/>
              </w:rPr>
              <w:t>86%</w:t>
            </w:r>
          </w:p>
        </w:tc>
        <w:tc>
          <w:tcPr>
            <w:tcW w:w="3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67B74412">
            <w:pPr>
              <w:spacing w:line="360" w:lineRule="auto"/>
              <w:jc w:val="center"/>
              <w:rPr>
                <w:rFonts w:hint="default" w:ascii="Georgia" w:hAnsi="Georgia" w:cs="Georgia"/>
              </w:rPr>
            </w:pPr>
            <w:r>
              <w:rPr>
                <w:rFonts w:hint="default" w:ascii="Georgia" w:hAnsi="Georgia" w:eastAsia="Arial" w:cs="Georgia"/>
                <w:sz w:val="18"/>
                <w:szCs w:val="18"/>
              </w:rPr>
              <w:t>No — enabled by default auto-backup</w:t>
            </w:r>
          </w:p>
        </w:tc>
      </w:tr>
      <w:tr w14:paraId="4140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09078BF5">
            <w:pPr>
              <w:spacing w:line="360" w:lineRule="auto"/>
              <w:jc w:val="left"/>
              <w:rPr>
                <w:rFonts w:hint="default" w:ascii="Georgia" w:hAnsi="Georgia" w:cs="Georgia"/>
              </w:rPr>
            </w:pPr>
            <w:r>
              <w:rPr>
                <w:rFonts w:hint="default" w:ascii="Georgia" w:hAnsi="Georgia" w:eastAsia="Arial" w:cs="Georgia"/>
                <w:sz w:val="18"/>
                <w:szCs w:val="18"/>
              </w:rPr>
              <w:t>Gmail</w:t>
            </w:r>
          </w:p>
        </w:tc>
        <w:tc>
          <w:tcPr>
            <w:tcW w:w="18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4FD35BEA">
            <w:pPr>
              <w:spacing w:line="360" w:lineRule="auto"/>
              <w:jc w:val="center"/>
              <w:rPr>
                <w:rFonts w:hint="default" w:ascii="Georgia" w:hAnsi="Georgia" w:cs="Georgia"/>
              </w:rPr>
            </w:pPr>
            <w:r>
              <w:rPr>
                <w:rFonts w:hint="default" w:ascii="Georgia" w:hAnsi="Georgia" w:eastAsia="Arial" w:cs="Georgia"/>
                <w:sz w:val="18"/>
                <w:szCs w:val="18"/>
              </w:rPr>
              <w:t>7.53 GB</w:t>
            </w:r>
          </w:p>
        </w:tc>
        <w:tc>
          <w:tcPr>
            <w:tcW w:w="15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354ADD93">
            <w:pPr>
              <w:spacing w:line="360" w:lineRule="auto"/>
              <w:jc w:val="center"/>
              <w:rPr>
                <w:rFonts w:hint="default" w:ascii="Georgia" w:hAnsi="Georgia" w:cs="Georgia"/>
              </w:rPr>
            </w:pPr>
            <w:r>
              <w:rPr>
                <w:rFonts w:hint="default" w:ascii="Georgia" w:hAnsi="Georgia" w:eastAsia="Arial" w:cs="Georgia"/>
                <w:sz w:val="18"/>
                <w:szCs w:val="18"/>
              </w:rPr>
              <w:t>13%</w:t>
            </w:r>
          </w:p>
        </w:tc>
        <w:tc>
          <w:tcPr>
            <w:tcW w:w="3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3F4FB6F2">
            <w:pPr>
              <w:spacing w:line="360" w:lineRule="auto"/>
              <w:jc w:val="center"/>
              <w:rPr>
                <w:rFonts w:hint="default" w:ascii="Georgia" w:hAnsi="Georgia" w:cs="Georgia"/>
              </w:rPr>
            </w:pPr>
            <w:r>
              <w:rPr>
                <w:rFonts w:hint="default" w:ascii="Georgia" w:hAnsi="Georgia" w:eastAsia="Arial" w:cs="Georgia"/>
                <w:sz w:val="18"/>
                <w:szCs w:val="18"/>
              </w:rPr>
              <w:t>Yes — active email use</w:t>
            </w:r>
          </w:p>
        </w:tc>
      </w:tr>
      <w:tr w14:paraId="68F9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679A354">
            <w:pPr>
              <w:spacing w:line="360" w:lineRule="auto"/>
              <w:jc w:val="left"/>
              <w:rPr>
                <w:rFonts w:hint="default" w:ascii="Georgia" w:hAnsi="Georgia" w:cs="Georgia"/>
              </w:rPr>
            </w:pPr>
            <w:r>
              <w:rPr>
                <w:rFonts w:hint="default" w:ascii="Georgia" w:hAnsi="Georgia" w:eastAsia="Arial" w:cs="Georgia"/>
                <w:sz w:val="18"/>
                <w:szCs w:val="18"/>
              </w:rPr>
              <w:t>Google Drive</w:t>
            </w:r>
          </w:p>
        </w:tc>
        <w:tc>
          <w:tcPr>
            <w:tcW w:w="18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2782B19B">
            <w:pPr>
              <w:spacing w:line="360" w:lineRule="auto"/>
              <w:jc w:val="center"/>
              <w:rPr>
                <w:rFonts w:hint="default" w:ascii="Georgia" w:hAnsi="Georgia" w:cs="Georgia"/>
              </w:rPr>
            </w:pPr>
            <w:r>
              <w:rPr>
                <w:rFonts w:hint="default" w:ascii="Georgia" w:hAnsi="Georgia" w:eastAsia="Arial" w:cs="Georgia"/>
                <w:sz w:val="18"/>
                <w:szCs w:val="18"/>
              </w:rPr>
              <w:t>0.30 GB</w:t>
            </w:r>
          </w:p>
        </w:tc>
        <w:tc>
          <w:tcPr>
            <w:tcW w:w="15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4F7CD234">
            <w:pPr>
              <w:spacing w:line="360" w:lineRule="auto"/>
              <w:jc w:val="center"/>
              <w:rPr>
                <w:rFonts w:hint="default" w:ascii="Georgia" w:hAnsi="Georgia" w:cs="Georgia"/>
              </w:rPr>
            </w:pPr>
            <w:r>
              <w:rPr>
                <w:rFonts w:hint="default" w:ascii="Georgia" w:hAnsi="Georgia" w:eastAsia="Arial" w:cs="Georgia"/>
                <w:sz w:val="18"/>
                <w:szCs w:val="18"/>
              </w:rPr>
              <w:t>0.5%</w:t>
            </w:r>
          </w:p>
        </w:tc>
        <w:tc>
          <w:tcPr>
            <w:tcW w:w="3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34CF599D">
            <w:pPr>
              <w:spacing w:line="360" w:lineRule="auto"/>
              <w:jc w:val="center"/>
              <w:rPr>
                <w:rFonts w:hint="default" w:ascii="Georgia" w:hAnsi="Georgia" w:cs="Georgia"/>
              </w:rPr>
            </w:pPr>
            <w:r>
              <w:rPr>
                <w:rFonts w:hint="default" w:ascii="Georgia" w:hAnsi="Georgia" w:eastAsia="Arial" w:cs="Georgia"/>
                <w:sz w:val="18"/>
                <w:szCs w:val="18"/>
              </w:rPr>
              <w:t>Yes — intentional document storage</w:t>
            </w:r>
          </w:p>
        </w:tc>
      </w:tr>
      <w:tr w14:paraId="52DF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A8C4D8" w:sz="0" w:space="0"/>
              <w:left w:val="single" w:color="A8C4D8" w:sz="0" w:space="0"/>
              <w:bottom w:val="single" w:color="A8C4D8" w:sz="0" w:space="0"/>
              <w:right w:val="single" w:color="A8C4D8" w:sz="0" w:space="0"/>
            </w:tcBorders>
            <w:shd w:val="clear" w:color="auto" w:fill="D0EBF0"/>
            <w:tcMar>
              <w:top w:w="80" w:type="dxa"/>
              <w:left w:w="120" w:type="dxa"/>
              <w:bottom w:w="80" w:type="dxa"/>
              <w:right w:w="120" w:type="dxa"/>
            </w:tcMar>
          </w:tcPr>
          <w:p w14:paraId="76C4E08D">
            <w:pPr>
              <w:spacing w:line="360" w:lineRule="auto"/>
              <w:jc w:val="left"/>
              <w:rPr>
                <w:rFonts w:hint="default" w:ascii="Georgia" w:hAnsi="Georgia" w:cs="Georgia"/>
              </w:rPr>
            </w:pPr>
            <w:r>
              <w:rPr>
                <w:rFonts w:hint="default" w:ascii="Georgia" w:hAnsi="Georgia" w:eastAsia="Arial" w:cs="Georgia"/>
                <w:b/>
                <w:bCs/>
                <w:color w:val="1F4E79"/>
                <w:sz w:val="18"/>
                <w:szCs w:val="18"/>
              </w:rPr>
              <w:t>Total</w:t>
            </w:r>
          </w:p>
        </w:tc>
        <w:tc>
          <w:tcPr>
            <w:tcW w:w="1800" w:type="dxa"/>
            <w:tcBorders>
              <w:top w:val="single" w:color="A8C4D8" w:sz="0" w:space="0"/>
              <w:left w:val="single" w:color="A8C4D8" w:sz="0" w:space="0"/>
              <w:bottom w:val="single" w:color="A8C4D8" w:sz="0" w:space="0"/>
              <w:right w:val="single" w:color="A8C4D8" w:sz="0" w:space="0"/>
            </w:tcBorders>
            <w:shd w:val="clear" w:color="auto" w:fill="D0EBF0"/>
            <w:tcMar>
              <w:top w:w="80" w:type="dxa"/>
              <w:left w:w="120" w:type="dxa"/>
              <w:bottom w:w="80" w:type="dxa"/>
              <w:right w:w="120" w:type="dxa"/>
            </w:tcMar>
          </w:tcPr>
          <w:p w14:paraId="55A36DEE">
            <w:pPr>
              <w:spacing w:line="360" w:lineRule="auto"/>
              <w:jc w:val="center"/>
              <w:rPr>
                <w:rFonts w:hint="default" w:ascii="Georgia" w:hAnsi="Georgia" w:cs="Georgia"/>
              </w:rPr>
            </w:pPr>
            <w:r>
              <w:rPr>
                <w:rFonts w:hint="default" w:ascii="Georgia" w:hAnsi="Georgia" w:eastAsia="Arial" w:cs="Georgia"/>
                <w:b/>
                <w:bCs/>
                <w:color w:val="1F4E79"/>
                <w:sz w:val="18"/>
                <w:szCs w:val="18"/>
              </w:rPr>
              <w:t>56.31 GB</w:t>
            </w:r>
          </w:p>
        </w:tc>
        <w:tc>
          <w:tcPr>
            <w:tcW w:w="1560" w:type="dxa"/>
            <w:tcBorders>
              <w:top w:val="single" w:color="A8C4D8" w:sz="0" w:space="0"/>
              <w:left w:val="single" w:color="A8C4D8" w:sz="0" w:space="0"/>
              <w:bottom w:val="single" w:color="A8C4D8" w:sz="0" w:space="0"/>
              <w:right w:val="single" w:color="A8C4D8" w:sz="0" w:space="0"/>
            </w:tcBorders>
            <w:shd w:val="clear" w:color="auto" w:fill="D0EBF0"/>
            <w:tcMar>
              <w:top w:w="80" w:type="dxa"/>
              <w:left w:w="120" w:type="dxa"/>
              <w:bottom w:w="80" w:type="dxa"/>
              <w:right w:w="120" w:type="dxa"/>
            </w:tcMar>
          </w:tcPr>
          <w:p w14:paraId="4B9924AC">
            <w:pPr>
              <w:spacing w:line="360" w:lineRule="auto"/>
              <w:jc w:val="center"/>
              <w:rPr>
                <w:rFonts w:hint="default" w:ascii="Georgia" w:hAnsi="Georgia" w:cs="Georgia"/>
              </w:rPr>
            </w:pPr>
            <w:r>
              <w:rPr>
                <w:rFonts w:hint="default" w:ascii="Georgia" w:hAnsi="Georgia" w:eastAsia="Arial" w:cs="Georgia"/>
                <w:b/>
                <w:bCs/>
                <w:color w:val="1F4E79"/>
                <w:sz w:val="18"/>
                <w:szCs w:val="18"/>
              </w:rPr>
              <w:t>100%</w:t>
            </w:r>
          </w:p>
        </w:tc>
        <w:tc>
          <w:tcPr>
            <w:tcW w:w="3400" w:type="dxa"/>
            <w:tcBorders>
              <w:top w:val="single" w:color="A8C4D8" w:sz="0" w:space="0"/>
              <w:left w:val="single" w:color="A8C4D8" w:sz="0" w:space="0"/>
              <w:bottom w:val="single" w:color="A8C4D8" w:sz="0" w:space="0"/>
              <w:right w:val="single" w:color="A8C4D8" w:sz="0" w:space="0"/>
            </w:tcBorders>
            <w:shd w:val="clear" w:color="auto" w:fill="D0EBF0"/>
            <w:tcMar>
              <w:top w:w="80" w:type="dxa"/>
              <w:left w:w="120" w:type="dxa"/>
              <w:bottom w:w="80" w:type="dxa"/>
              <w:right w:w="120" w:type="dxa"/>
            </w:tcMar>
          </w:tcPr>
          <w:p w14:paraId="2FAC01A5">
            <w:pPr>
              <w:spacing w:line="360" w:lineRule="auto"/>
              <w:jc w:val="center"/>
              <w:rPr>
                <w:rFonts w:hint="default" w:ascii="Georgia" w:hAnsi="Georgia" w:cs="Georgia"/>
              </w:rPr>
            </w:pPr>
            <w:r>
              <w:rPr>
                <w:rFonts w:hint="default" w:ascii="Georgia" w:hAnsi="Georgia" w:eastAsia="Arial" w:cs="Georgia"/>
                <w:b/>
                <w:bCs/>
                <w:color w:val="1F4E79"/>
                <w:sz w:val="18"/>
                <w:szCs w:val="18"/>
              </w:rPr>
              <w:t>Only ~14% attributable to deliberate cloud use</w:t>
            </w:r>
          </w:p>
        </w:tc>
      </w:tr>
    </w:tbl>
    <w:p w14:paraId="0A51951D">
      <w:pPr>
        <w:spacing w:before="60" w:after="180" w:line="360" w:lineRule="auto"/>
        <w:jc w:val="center"/>
        <w:rPr>
          <w:rFonts w:hint="default" w:ascii="Georgia" w:hAnsi="Georgia" w:cs="Georgia"/>
        </w:rPr>
      </w:pPr>
      <w:r>
        <w:rPr>
          <w:rFonts w:hint="default" w:ascii="Georgia" w:hAnsi="Georgia" w:eastAsia="Arial" w:cs="Georgia"/>
          <w:i/>
          <w:iCs/>
          <w:color w:val="606060"/>
          <w:sz w:val="18"/>
          <w:szCs w:val="18"/>
        </w:rPr>
        <w:t>Table 4: Google storage consumption distribution from one observed account. Approximately 86% of quota used by Photos operating under default auto-backup settings. Note: this is a single-account observation and should be treated as illustrative.</w:t>
      </w:r>
    </w:p>
    <w:p w14:paraId="38F99A0F">
      <w:pPr>
        <w:spacing w:before="80" w:after="0" w:line="360" w:lineRule="auto"/>
        <w:rPr>
          <w:rFonts w:hint="default" w:ascii="Georgia" w:hAnsi="Georgia" w:cs="Georgia"/>
        </w:rPr>
      </w:pPr>
    </w:p>
    <w:p w14:paraId="6BC9C787">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B. Scroll-Triggered File Reappearance</w:t>
      </w:r>
    </w:p>
    <w:p w14:paraId="0A7AAEBA">
      <w:pPr>
        <w:spacing w:before="40" w:after="0" w:line="360" w:lineRule="auto"/>
        <w:rPr>
          <w:rFonts w:hint="default" w:ascii="Georgia" w:hAnsi="Georgia" w:cs="Georgia"/>
        </w:rPr>
      </w:pPr>
    </w:p>
    <w:p w14:paraId="13208B49">
      <w:pPr>
        <w:spacing w:before="80" w:after="120" w:line="360" w:lineRule="auto"/>
        <w:jc w:val="both"/>
        <w:rPr>
          <w:rFonts w:hint="default" w:ascii="Georgia" w:hAnsi="Georgia" w:cs="Georgia"/>
        </w:rPr>
      </w:pPr>
      <w:r>
        <w:rPr>
          <w:rFonts w:hint="default" w:ascii="Georgia" w:hAnsi="Georgia" w:eastAsia="Arial" w:cs="Georgia"/>
          <w:sz w:val="22"/>
          <w:szCs w:val="22"/>
        </w:rPr>
        <w:t>Observation: An independent user reported that files deleted from Google Photos repeatedly reappeared upon scrolling or clicking 'Show More' within the Photos interface. The reappearing files were described as being interleaved with recent photos, making identification and re-deletion difficult. The user reported re-deleting the same files on multiple occasions before the storage counter fell.</w:t>
      </w:r>
    </w:p>
    <w:p w14:paraId="5612B62A">
      <w:pPr>
        <w:spacing w:before="80" w:after="120" w:line="360" w:lineRule="auto"/>
        <w:jc w:val="both"/>
        <w:rPr>
          <w:rFonts w:hint="default" w:ascii="Georgia" w:hAnsi="Georgia" w:cs="Georgia"/>
        </w:rPr>
      </w:pPr>
      <w:r>
        <w:rPr>
          <w:rFonts w:hint="default" w:ascii="Georgia" w:hAnsi="Georgia" w:eastAsia="Arial" w:cs="Georgia"/>
          <w:sz w:val="22"/>
          <w:szCs w:val="22"/>
        </w:rPr>
        <w:t>The user's account of the experience is reproduced below with minor editorial changes for clarity:</w:t>
      </w:r>
    </w:p>
    <w:p w14:paraId="5F05D0FE">
      <w:pPr>
        <w:pBdr>
          <w:left w:val="single" w:color="2E7D8A" w:sz="12" w:space="10"/>
        </w:pBdr>
        <w:spacing w:before="120" w:after="120" w:line="360" w:lineRule="auto"/>
        <w:ind w:left="720" w:right="720"/>
        <w:rPr>
          <w:rFonts w:hint="default" w:ascii="Georgia" w:hAnsi="Georgia" w:cs="Georgia"/>
        </w:rPr>
      </w:pPr>
      <w:r>
        <w:rPr>
          <w:rFonts w:hint="default" w:ascii="Georgia" w:hAnsi="Georgia" w:eastAsia="Arial" w:cs="Georgia"/>
          <w:i/>
          <w:iCs/>
          <w:color w:val="505050"/>
          <w:sz w:val="20"/>
          <w:szCs w:val="20"/>
        </w:rPr>
        <w:t>"Scrolling down or clicking 'Show More' causes previously deleted files to reappear — often mixing very old videos and images, including content I never chose to upload or had deleted previously. The storage becomes more than 70% full again within seven days of clearing it."</w:t>
      </w:r>
    </w:p>
    <w:p w14:paraId="31B05550">
      <w:pPr>
        <w:spacing w:before="80" w:after="120" w:line="360" w:lineRule="auto"/>
        <w:jc w:val="both"/>
        <w:rPr>
          <w:rFonts w:hint="default" w:ascii="Georgia" w:hAnsi="Georgia" w:cs="Georgia"/>
        </w:rPr>
      </w:pPr>
      <w:r>
        <w:rPr>
          <w:rFonts w:hint="default" w:ascii="Georgia" w:hAnsi="Georgia" w:eastAsia="Arial" w:cs="Georgia"/>
          <w:sz w:val="22"/>
          <w:szCs w:val="22"/>
        </w:rPr>
        <w:t>Interpretation: We propose that this behaviour may reflect Google Photos' batch-loading architecture, in which the 'Show More' action fetches additional content from the cloud index—potentially including items in the 60-day trash retention period, which continue to count against quota. If the interface does not clearly distinguish active files from trash-retained items, users may be unaware that their 'deletion' has not yet freed storage.</w:t>
      </w:r>
    </w:p>
    <w:p w14:paraId="3B7DC853">
      <w:pPr>
        <w:spacing w:before="80" w:after="120" w:line="360" w:lineRule="auto"/>
        <w:jc w:val="both"/>
        <w:rPr>
          <w:rFonts w:hint="default" w:ascii="Georgia" w:hAnsi="Georgia" w:cs="Georgia"/>
        </w:rPr>
      </w:pPr>
      <w:r>
        <w:rPr>
          <w:rFonts w:hint="default" w:ascii="Georgia" w:hAnsi="Georgia" w:eastAsia="Arial" w:cs="Georgia"/>
          <w:sz w:val="22"/>
          <w:szCs w:val="22"/>
        </w:rPr>
        <w:t>Alternative explanations: Files may have been re-uploaded by a second device with auto-backup enabled. The user may have encountered cached thumbnails rather than genuinely restored files. Trash retention rules may have been misunderstood. We flag these as plausible alternatives requiring controlled investigation to resolve.</w:t>
      </w:r>
    </w:p>
    <w:p w14:paraId="0AFCD8D2">
      <w:pPr>
        <w:spacing w:before="80" w:after="0" w:line="360" w:lineRule="auto"/>
        <w:rPr>
          <w:rFonts w:hint="default" w:ascii="Georgia" w:hAnsi="Georgia" w:cs="Georgia"/>
        </w:rPr>
      </w:pPr>
    </w:p>
    <w:p w14:paraId="7725BAC7">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C. Cross-Service Notification Asymmetry: The Hostage Service Pattern</w:t>
      </w:r>
    </w:p>
    <w:p w14:paraId="0590B110">
      <w:pPr>
        <w:spacing w:before="40" w:after="0" w:line="360" w:lineRule="auto"/>
        <w:rPr>
          <w:rFonts w:hint="default" w:ascii="Georgia" w:hAnsi="Georgia" w:cs="Georgia"/>
        </w:rPr>
      </w:pPr>
    </w:p>
    <w:p w14:paraId="74A1A841">
      <w:pPr>
        <w:spacing w:before="80" w:after="120" w:line="360" w:lineRule="auto"/>
        <w:jc w:val="both"/>
        <w:rPr>
          <w:rFonts w:hint="default" w:ascii="Georgia" w:hAnsi="Georgia" w:cs="Georgia"/>
        </w:rPr>
      </w:pPr>
      <w:r>
        <w:rPr>
          <w:rFonts w:hint="default" w:ascii="Georgia" w:hAnsi="Georgia" w:eastAsia="Arial" w:cs="Georgia"/>
          <w:sz w:val="22"/>
          <w:szCs w:val="22"/>
        </w:rPr>
        <w:t>Observation: Storage-full warnings in the observed Google account appeared within Gmail—specifically, as a barrier to sending email—rather than within Google Photos, which was responsible for 86% of the consumption.</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00"/>
        <w:gridCol w:w="1800"/>
        <w:gridCol w:w="1560"/>
        <w:gridCol w:w="3400"/>
      </w:tblGrid>
      <w:tr w14:paraId="0A3B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6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17454474">
            <w:pPr>
              <w:spacing w:line="360" w:lineRule="auto"/>
              <w:jc w:val="center"/>
              <w:rPr>
                <w:rFonts w:hint="default" w:ascii="Georgia" w:hAnsi="Georgia" w:cs="Georgia"/>
              </w:rPr>
            </w:pPr>
            <w:r>
              <w:rPr>
                <w:rFonts w:hint="default" w:ascii="Georgia" w:hAnsi="Georgia" w:eastAsia="Arial" w:cs="Georgia"/>
                <w:b/>
                <w:bCs/>
                <w:color w:val="FFFFFF"/>
                <w:sz w:val="18"/>
                <w:szCs w:val="18"/>
              </w:rPr>
              <w:t>Service</w:t>
            </w:r>
          </w:p>
        </w:tc>
        <w:tc>
          <w:tcPr>
            <w:tcW w:w="18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14EA3739">
            <w:pPr>
              <w:spacing w:line="360" w:lineRule="auto"/>
              <w:jc w:val="center"/>
              <w:rPr>
                <w:rFonts w:hint="default" w:ascii="Georgia" w:hAnsi="Georgia" w:cs="Georgia"/>
              </w:rPr>
            </w:pPr>
            <w:r>
              <w:rPr>
                <w:rFonts w:hint="default" w:ascii="Georgia" w:hAnsi="Georgia" w:eastAsia="Arial" w:cs="Georgia"/>
                <w:b/>
                <w:bCs/>
                <w:color w:val="FFFFFF"/>
                <w:sz w:val="18"/>
                <w:szCs w:val="18"/>
              </w:rPr>
              <w:t>Storage Used</w:t>
            </w:r>
          </w:p>
        </w:tc>
        <w:tc>
          <w:tcPr>
            <w:tcW w:w="156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4426687D">
            <w:pPr>
              <w:spacing w:line="360" w:lineRule="auto"/>
              <w:jc w:val="center"/>
              <w:rPr>
                <w:rFonts w:hint="default" w:ascii="Georgia" w:hAnsi="Georgia" w:cs="Georgia"/>
              </w:rPr>
            </w:pPr>
            <w:r>
              <w:rPr>
                <w:rFonts w:hint="default" w:ascii="Georgia" w:hAnsi="Georgia" w:eastAsia="Arial" w:cs="Georgia"/>
                <w:b/>
                <w:bCs/>
                <w:color w:val="FFFFFF"/>
                <w:sz w:val="18"/>
                <w:szCs w:val="18"/>
              </w:rPr>
              <w:t>% of Total</w:t>
            </w:r>
          </w:p>
        </w:tc>
        <w:tc>
          <w:tcPr>
            <w:tcW w:w="34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61334C1D">
            <w:pPr>
              <w:spacing w:line="360" w:lineRule="auto"/>
              <w:jc w:val="center"/>
              <w:rPr>
                <w:rFonts w:hint="default" w:ascii="Georgia" w:hAnsi="Georgia" w:cs="Georgia"/>
              </w:rPr>
            </w:pPr>
            <w:r>
              <w:rPr>
                <w:rFonts w:hint="default" w:ascii="Georgia" w:hAnsi="Georgia" w:eastAsia="Arial" w:cs="Georgia"/>
                <w:b/>
                <w:bCs/>
                <w:color w:val="FFFFFF"/>
                <w:sz w:val="18"/>
                <w:szCs w:val="18"/>
              </w:rPr>
              <w:t>Storage Warning Displayed?</w:t>
            </w:r>
          </w:p>
        </w:tc>
      </w:tr>
      <w:tr w14:paraId="5A1D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115BEB49">
            <w:pPr>
              <w:spacing w:line="360" w:lineRule="auto"/>
              <w:jc w:val="left"/>
              <w:rPr>
                <w:rFonts w:hint="default" w:ascii="Georgia" w:hAnsi="Georgia" w:cs="Georgia"/>
              </w:rPr>
            </w:pPr>
            <w:r>
              <w:rPr>
                <w:rFonts w:hint="default" w:ascii="Georgia" w:hAnsi="Georgia" w:eastAsia="Arial" w:cs="Georgia"/>
                <w:sz w:val="18"/>
                <w:szCs w:val="18"/>
              </w:rPr>
              <w:t>Google Photos</w:t>
            </w:r>
          </w:p>
        </w:tc>
        <w:tc>
          <w:tcPr>
            <w:tcW w:w="18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7CDE9BD">
            <w:pPr>
              <w:spacing w:line="360" w:lineRule="auto"/>
              <w:jc w:val="center"/>
              <w:rPr>
                <w:rFonts w:hint="default" w:ascii="Georgia" w:hAnsi="Georgia" w:cs="Georgia"/>
              </w:rPr>
            </w:pPr>
            <w:r>
              <w:rPr>
                <w:rFonts w:hint="default" w:ascii="Georgia" w:hAnsi="Georgia" w:eastAsia="Arial" w:cs="Georgia"/>
                <w:sz w:val="18"/>
                <w:szCs w:val="18"/>
              </w:rPr>
              <w:t>48.47 GB</w:t>
            </w:r>
          </w:p>
        </w:tc>
        <w:tc>
          <w:tcPr>
            <w:tcW w:w="15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1213C443">
            <w:pPr>
              <w:spacing w:line="360" w:lineRule="auto"/>
              <w:jc w:val="center"/>
              <w:rPr>
                <w:rFonts w:hint="default" w:ascii="Georgia" w:hAnsi="Georgia" w:cs="Georgia"/>
              </w:rPr>
            </w:pPr>
            <w:r>
              <w:rPr>
                <w:rFonts w:hint="default" w:ascii="Georgia" w:hAnsi="Georgia" w:eastAsia="Arial" w:cs="Georgia"/>
                <w:sz w:val="18"/>
                <w:szCs w:val="18"/>
              </w:rPr>
              <w:t>86%</w:t>
            </w:r>
          </w:p>
        </w:tc>
        <w:tc>
          <w:tcPr>
            <w:tcW w:w="3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433E32F7">
            <w:pPr>
              <w:spacing w:line="360" w:lineRule="auto"/>
              <w:jc w:val="center"/>
              <w:rPr>
                <w:rFonts w:hint="default" w:ascii="Georgia" w:hAnsi="Georgia" w:cs="Georgia"/>
              </w:rPr>
            </w:pPr>
            <w:r>
              <w:rPr>
                <w:rFonts w:hint="default" w:ascii="Georgia" w:hAnsi="Georgia" w:eastAsia="Arial" w:cs="Georgia"/>
                <w:sz w:val="18"/>
                <w:szCs w:val="18"/>
              </w:rPr>
              <w:t>No warning shown in this interface</w:t>
            </w:r>
          </w:p>
        </w:tc>
      </w:tr>
      <w:tr w14:paraId="69C3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6834D4F">
            <w:pPr>
              <w:spacing w:line="360" w:lineRule="auto"/>
              <w:jc w:val="left"/>
              <w:rPr>
                <w:rFonts w:hint="default" w:ascii="Georgia" w:hAnsi="Georgia" w:cs="Georgia"/>
              </w:rPr>
            </w:pPr>
            <w:r>
              <w:rPr>
                <w:rFonts w:hint="default" w:ascii="Georgia" w:hAnsi="Georgia" w:eastAsia="Arial" w:cs="Georgia"/>
                <w:sz w:val="18"/>
                <w:szCs w:val="18"/>
              </w:rPr>
              <w:t>Gmail</w:t>
            </w:r>
          </w:p>
        </w:tc>
        <w:tc>
          <w:tcPr>
            <w:tcW w:w="18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914C652">
            <w:pPr>
              <w:spacing w:line="360" w:lineRule="auto"/>
              <w:jc w:val="center"/>
              <w:rPr>
                <w:rFonts w:hint="default" w:ascii="Georgia" w:hAnsi="Georgia" w:cs="Georgia"/>
              </w:rPr>
            </w:pPr>
            <w:r>
              <w:rPr>
                <w:rFonts w:hint="default" w:ascii="Georgia" w:hAnsi="Georgia" w:eastAsia="Arial" w:cs="Georgia"/>
                <w:sz w:val="18"/>
                <w:szCs w:val="18"/>
              </w:rPr>
              <w:t>7.53 GB</w:t>
            </w:r>
          </w:p>
        </w:tc>
        <w:tc>
          <w:tcPr>
            <w:tcW w:w="15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48BB2A55">
            <w:pPr>
              <w:spacing w:line="360" w:lineRule="auto"/>
              <w:jc w:val="center"/>
              <w:rPr>
                <w:rFonts w:hint="default" w:ascii="Georgia" w:hAnsi="Georgia" w:cs="Georgia"/>
              </w:rPr>
            </w:pPr>
            <w:r>
              <w:rPr>
                <w:rFonts w:hint="default" w:ascii="Georgia" w:hAnsi="Georgia" w:eastAsia="Arial" w:cs="Georgia"/>
                <w:sz w:val="18"/>
                <w:szCs w:val="18"/>
              </w:rPr>
              <w:t>13%</w:t>
            </w:r>
          </w:p>
        </w:tc>
        <w:tc>
          <w:tcPr>
            <w:tcW w:w="3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0B2B3543">
            <w:pPr>
              <w:spacing w:line="360" w:lineRule="auto"/>
              <w:jc w:val="center"/>
              <w:rPr>
                <w:rFonts w:hint="default" w:ascii="Georgia" w:hAnsi="Georgia" w:cs="Georgia"/>
              </w:rPr>
            </w:pPr>
            <w:r>
              <w:rPr>
                <w:rFonts w:hint="default" w:ascii="Georgia" w:hAnsi="Georgia" w:eastAsia="Arial" w:cs="Georgia"/>
                <w:sz w:val="18"/>
                <w:szCs w:val="18"/>
              </w:rPr>
              <w:t>Yes — 'Cannot send: storage full'</w:t>
            </w:r>
          </w:p>
        </w:tc>
      </w:tr>
      <w:tr w14:paraId="10ED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4E71B82">
            <w:pPr>
              <w:spacing w:line="360" w:lineRule="auto"/>
              <w:jc w:val="left"/>
              <w:rPr>
                <w:rFonts w:hint="default" w:ascii="Georgia" w:hAnsi="Georgia" w:cs="Georgia"/>
              </w:rPr>
            </w:pPr>
            <w:r>
              <w:rPr>
                <w:rFonts w:hint="default" w:ascii="Georgia" w:hAnsi="Georgia" w:eastAsia="Arial" w:cs="Georgia"/>
                <w:sz w:val="18"/>
                <w:szCs w:val="18"/>
              </w:rPr>
              <w:t>Google Drive</w:t>
            </w:r>
          </w:p>
        </w:tc>
        <w:tc>
          <w:tcPr>
            <w:tcW w:w="18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64E6D4FC">
            <w:pPr>
              <w:spacing w:line="360" w:lineRule="auto"/>
              <w:jc w:val="center"/>
              <w:rPr>
                <w:rFonts w:hint="default" w:ascii="Georgia" w:hAnsi="Georgia" w:cs="Georgia"/>
              </w:rPr>
            </w:pPr>
            <w:r>
              <w:rPr>
                <w:rFonts w:hint="default" w:ascii="Georgia" w:hAnsi="Georgia" w:eastAsia="Arial" w:cs="Georgia"/>
                <w:sz w:val="18"/>
                <w:szCs w:val="18"/>
              </w:rPr>
              <w:t>0.30 GB</w:t>
            </w:r>
          </w:p>
        </w:tc>
        <w:tc>
          <w:tcPr>
            <w:tcW w:w="15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8C6BEA5">
            <w:pPr>
              <w:spacing w:line="360" w:lineRule="auto"/>
              <w:jc w:val="center"/>
              <w:rPr>
                <w:rFonts w:hint="default" w:ascii="Georgia" w:hAnsi="Georgia" w:cs="Georgia"/>
              </w:rPr>
            </w:pPr>
            <w:r>
              <w:rPr>
                <w:rFonts w:hint="default" w:ascii="Georgia" w:hAnsi="Georgia" w:eastAsia="Arial" w:cs="Georgia"/>
                <w:sz w:val="18"/>
                <w:szCs w:val="18"/>
              </w:rPr>
              <w:t>0.5%</w:t>
            </w:r>
          </w:p>
        </w:tc>
        <w:tc>
          <w:tcPr>
            <w:tcW w:w="3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4980643C">
            <w:pPr>
              <w:spacing w:line="360" w:lineRule="auto"/>
              <w:jc w:val="center"/>
              <w:rPr>
                <w:rFonts w:hint="default" w:ascii="Georgia" w:hAnsi="Georgia" w:cs="Georgia"/>
              </w:rPr>
            </w:pPr>
            <w:r>
              <w:rPr>
                <w:rFonts w:hint="default" w:ascii="Georgia" w:hAnsi="Georgia" w:eastAsia="Arial" w:cs="Georgia"/>
                <w:sz w:val="18"/>
                <w:szCs w:val="18"/>
              </w:rPr>
              <w:t>No warning shown in this interface</w:t>
            </w:r>
          </w:p>
        </w:tc>
      </w:tr>
    </w:tbl>
    <w:p w14:paraId="699B050A">
      <w:pPr>
        <w:spacing w:before="60" w:after="180" w:line="360" w:lineRule="auto"/>
        <w:jc w:val="center"/>
        <w:rPr>
          <w:rFonts w:hint="default" w:ascii="Georgia" w:hAnsi="Georgia" w:cs="Georgia"/>
        </w:rPr>
      </w:pPr>
      <w:r>
        <w:rPr>
          <w:rFonts w:hint="default" w:ascii="Georgia" w:hAnsi="Georgia" w:eastAsia="Arial" w:cs="Georgia"/>
          <w:i/>
          <w:iCs/>
          <w:color w:val="606060"/>
          <w:sz w:val="18"/>
          <w:szCs w:val="18"/>
        </w:rPr>
        <w:t>Table 5: Warning placement relative to storage consumption source. The warning surfaces in the service responsible for 13% of consumption, not in the service responsible for 86%.</w:t>
      </w:r>
    </w:p>
    <w:p w14:paraId="256B35DB">
      <w:pPr>
        <w:spacing w:before="80" w:after="0" w:line="360" w:lineRule="auto"/>
        <w:rPr>
          <w:rFonts w:hint="default" w:ascii="Georgia" w:hAnsi="Georgia" w:cs="Georgia"/>
        </w:rPr>
      </w:pPr>
    </w:p>
    <w:p w14:paraId="6453228F">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D. Formalising the Hostage Service Pattern</w:t>
      </w:r>
    </w:p>
    <w:p w14:paraId="1BE9EF55">
      <w:pPr>
        <w:spacing w:before="40" w:after="0" w:line="360" w:lineRule="auto"/>
        <w:rPr>
          <w:rFonts w:hint="default" w:ascii="Georgia" w:hAnsi="Georgia" w:cs="Georgia"/>
        </w:rPr>
      </w:pPr>
    </w:p>
    <w:p w14:paraId="73FA77BA">
      <w:pPr>
        <w:spacing w:before="80" w:after="120" w:line="360" w:lineRule="auto"/>
        <w:jc w:val="both"/>
        <w:rPr>
          <w:rFonts w:hint="default" w:ascii="Georgia" w:hAnsi="Georgia" w:cs="Georgia"/>
        </w:rPr>
      </w:pPr>
      <w:r>
        <w:rPr>
          <w:rFonts w:hint="default" w:ascii="Georgia" w:hAnsi="Georgia" w:eastAsia="Arial" w:cs="Georgia"/>
          <w:sz w:val="22"/>
          <w:szCs w:val="22"/>
        </w:rPr>
        <w:t>We propose the term Hostage Service Pattern to describe a class of cross-service interface arrangements with the following observable properties:</w:t>
      </w:r>
    </w:p>
    <w:p w14:paraId="5CE93421">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Resource consumption originates primarily in Service A (typically optional or low-salience to the user).</w:t>
      </w:r>
    </w:p>
    <w:p w14:paraId="3A8B149B">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Functional degradation—as experienced by the user—manifests in Service B (typically essential or high-salience).</w:t>
      </w:r>
    </w:p>
    <w:p w14:paraId="5FE364A9">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Warnings and remediation prompts appear exclusively or predominantly in Service B.</w:t>
      </w:r>
    </w:p>
    <w:p w14:paraId="30957F79">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The remediation action (subscription upgrade) resolves the Service B degradation without necessarily reducing Service A consumption.</w:t>
      </w:r>
    </w:p>
    <w:p w14:paraId="4EC80B38">
      <w:pPr>
        <w:spacing w:before="60" w:after="0" w:line="360" w:lineRule="auto"/>
        <w:rPr>
          <w:rFonts w:hint="default" w:ascii="Georgia" w:hAnsi="Georgia" w:cs="Georgia"/>
        </w:rPr>
      </w:pPr>
    </w:p>
    <w:p w14:paraId="38B1A031">
      <w:pPr>
        <w:spacing w:before="80" w:after="120" w:line="360" w:lineRule="auto"/>
        <w:jc w:val="both"/>
        <w:rPr>
          <w:rFonts w:hint="default" w:ascii="Georgia" w:hAnsi="Georgia" w:cs="Georgia"/>
        </w:rPr>
      </w:pPr>
      <w:r>
        <w:rPr>
          <w:rFonts w:hint="default" w:ascii="Georgia" w:hAnsi="Georgia" w:eastAsia="Arial" w:cs="Georgia"/>
          <w:sz w:val="22"/>
          <w:szCs w:val="22"/>
        </w:rPr>
        <w:t>In the observed case: Service A is Google Photos (86% of consumption, low perceived necessity—photos remain viewable on the device); Service B is Gmail (13% of consumption, high perceived necessity—email is required for work communication, banking, and account recovery). The payment action restores email without necessarily altering photo upload behaviour.</w:t>
      </w:r>
    </w:p>
    <w:p w14:paraId="7A65EDCF">
      <w:pPr>
        <w:spacing w:before="80" w:after="120" w:line="360" w:lineRule="auto"/>
        <w:jc w:val="both"/>
        <w:rPr>
          <w:rFonts w:hint="default" w:ascii="Georgia" w:hAnsi="Georgia" w:cs="Georgia"/>
        </w:rPr>
      </w:pPr>
      <w:r>
        <w:rPr>
          <w:rFonts w:hint="default" w:ascii="Georgia" w:hAnsi="Georgia" w:eastAsia="Arial" w:cs="Georgia"/>
          <w:sz w:val="22"/>
          <w:szCs w:val="22"/>
        </w:rPr>
        <w:t>The concept is analogous to what economists describe as 'tied selling' or 'leveraged dependencies', where the value of one product is used to compel consumption of another. We note that the mere existence of a shared quota across services creates the precondition for this pattern; the pattern itself requires in addition that warnings appear in the high-salience service regardless of where consumption originates.</w:t>
      </w:r>
    </w:p>
    <w:p w14:paraId="4E8CFF15">
      <w:pPr>
        <w:spacing w:before="80" w:after="0" w:line="360" w:lineRule="auto"/>
        <w:rPr>
          <w:rFonts w:hint="default" w:ascii="Georgia" w:hAnsi="Georgia" w:cs="Georgia"/>
        </w:rPr>
      </w:pPr>
    </w:p>
    <w:p w14:paraId="4F072075">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E. Formalising the Sisyphean Deletion Pattern</w:t>
      </w:r>
    </w:p>
    <w:p w14:paraId="2D490DDA">
      <w:pPr>
        <w:spacing w:before="40" w:after="0" w:line="360" w:lineRule="auto"/>
        <w:rPr>
          <w:rFonts w:hint="default" w:ascii="Georgia" w:hAnsi="Georgia" w:cs="Georgia"/>
        </w:rPr>
      </w:pPr>
    </w:p>
    <w:p w14:paraId="7508CA50">
      <w:pPr>
        <w:spacing w:before="80" w:after="120" w:line="360" w:lineRule="auto"/>
        <w:jc w:val="both"/>
        <w:rPr>
          <w:rFonts w:hint="default" w:ascii="Georgia" w:hAnsi="Georgia" w:cs="Georgia"/>
        </w:rPr>
      </w:pPr>
      <w:r>
        <w:rPr>
          <w:rFonts w:hint="default" w:ascii="Georgia" w:hAnsi="Georgia" w:eastAsia="Arial" w:cs="Georgia"/>
          <w:sz w:val="22"/>
          <w:szCs w:val="22"/>
        </w:rPr>
        <w:t>The scroll-triggered reappearance behaviour described above, if confirmed by independent replication, would constitute a novel dark-pattern category we propose to name Sisyphean Deletion. The pattern is defined by the following observable properties:</w:t>
      </w:r>
    </w:p>
    <w:p w14:paraId="653312A0">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User-initiated deletion does not produce durable removal within the observable timeframe.</w:t>
      </w:r>
    </w:p>
    <w:p w14:paraId="5A194B99">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Restoration of deleted content occurs through ordinary interface interaction (scrolling, browsing) rather than through an explicit restoration action.</w:t>
      </w:r>
    </w:p>
    <w:p w14:paraId="52D9CB4D">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Repeated user effort is required to approach the intended end-state (empty storage).</w:t>
      </w:r>
    </w:p>
    <w:p w14:paraId="73891798">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System state reverts predictably, creating a cyclical rather than progressive deletion trajectory.</w:t>
      </w:r>
    </w:p>
    <w:p w14:paraId="3870B99A">
      <w:pPr>
        <w:spacing w:before="60" w:after="0" w:line="360" w:lineRule="auto"/>
        <w:rPr>
          <w:rFonts w:hint="default" w:ascii="Georgia" w:hAnsi="Georgia" w:cs="Georgia"/>
        </w:rPr>
      </w:pPr>
    </w:p>
    <w:p w14:paraId="510AF33F">
      <w:pPr>
        <w:spacing w:before="80" w:after="120" w:line="360" w:lineRule="auto"/>
        <w:jc w:val="both"/>
        <w:rPr>
          <w:rFonts w:hint="default" w:ascii="Georgia" w:hAnsi="Georgia" w:cs="Georgia"/>
        </w:rPr>
      </w:pPr>
      <w:r>
        <w:rPr>
          <w:rFonts w:hint="default" w:ascii="Georgia" w:hAnsi="Georgia" w:eastAsia="Arial" w:cs="Georgia"/>
          <w:sz w:val="22"/>
          <w:szCs w:val="22"/>
        </w:rPr>
        <w:t>The pattern exploits the economic reality that user time carries opportunity cost. When the cumulative time cost of defeating the deletion cycle approaches or exceeds the monetary cost of a subscription upgrade, rational utility maximisation may favour payment. We emphasise that this framing describes a potential structural outcome and does not attribute intent to the platform.</w:t>
      </w:r>
    </w:p>
    <w:p w14:paraId="64768422">
      <w:pPr>
        <w:spacing w:before="160" w:after="0" w:line="360" w:lineRule="auto"/>
        <w:rPr>
          <w:rFonts w:hint="default" w:ascii="Georgia" w:hAnsi="Georgia" w:cs="Georgia"/>
        </w:rPr>
      </w:pPr>
    </w:p>
    <w:p w14:paraId="2CA716B3">
      <w:pPr>
        <w:pStyle w:val="2"/>
        <w:pBdr>
          <w:bottom w:val="single" w:color="2E7D8A" w:sz="8" w:space="4"/>
        </w:pBdr>
        <w:spacing w:before="360" w:after="180" w:line="360" w:lineRule="auto"/>
        <w:rPr>
          <w:rFonts w:hint="default" w:ascii="Georgia" w:hAnsi="Georgia" w:cs="Georgia"/>
        </w:rPr>
      </w:pPr>
      <w:r>
        <w:rPr>
          <w:rFonts w:hint="default" w:ascii="Georgia" w:hAnsi="Georgia" w:eastAsia="Arial" w:cs="Georgia"/>
          <w:b/>
          <w:bCs/>
          <w:color w:val="1F4E79"/>
          <w:sz w:val="28"/>
          <w:szCs w:val="28"/>
        </w:rPr>
        <w:t>VI. Comparative Analysis: Microsoft and Google</w:t>
      </w:r>
    </w:p>
    <w:p w14:paraId="4F0E3E4D">
      <w:pPr>
        <w:spacing w:before="60" w:after="0" w:line="360" w:lineRule="auto"/>
        <w:rPr>
          <w:rFonts w:hint="default" w:ascii="Georgia" w:hAnsi="Georgia" w:cs="Georgia"/>
        </w:rPr>
      </w:pPr>
    </w:p>
    <w:p w14:paraId="54BC2B80">
      <w:pPr>
        <w:spacing w:before="80" w:after="120" w:line="360" w:lineRule="auto"/>
        <w:jc w:val="both"/>
        <w:rPr>
          <w:rFonts w:hint="default" w:ascii="Georgia" w:hAnsi="Georgia" w:cs="Georgia"/>
        </w:rPr>
      </w:pPr>
      <w:r>
        <w:rPr>
          <w:rFonts w:hint="default" w:ascii="Georgia" w:hAnsi="Georgia" w:eastAsia="Arial" w:cs="Georgia"/>
          <w:sz w:val="22"/>
          <w:szCs w:val="22"/>
        </w:rPr>
        <w:t>We note that the Microsoft findings rest on a substantially more developed empirical base—306 measurements across five controlled devices—than the Google findings, which derive primarily from a single user account and independent report. Comparisons should therefore be interpreted with this asymmetry in mind. The parallel behaviours documented below warrant further investigation rather than constituting confirmed equivalence.</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3200"/>
        <w:gridCol w:w="3960"/>
      </w:tblGrid>
      <w:tr w14:paraId="125B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2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6EAC992E">
            <w:pPr>
              <w:spacing w:line="360" w:lineRule="auto"/>
              <w:jc w:val="center"/>
              <w:rPr>
                <w:rFonts w:hint="default" w:ascii="Georgia" w:hAnsi="Georgia" w:cs="Georgia"/>
              </w:rPr>
            </w:pPr>
            <w:r>
              <w:rPr>
                <w:rFonts w:hint="default" w:ascii="Georgia" w:hAnsi="Georgia" w:eastAsia="Arial" w:cs="Georgia"/>
                <w:b/>
                <w:bCs/>
                <w:color w:val="FFFFFF"/>
                <w:sz w:val="18"/>
                <w:szCs w:val="18"/>
              </w:rPr>
              <w:t>Pattern Category</w:t>
            </w:r>
          </w:p>
        </w:tc>
        <w:tc>
          <w:tcPr>
            <w:tcW w:w="32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4F2225E5">
            <w:pPr>
              <w:spacing w:line="360" w:lineRule="auto"/>
              <w:jc w:val="center"/>
              <w:rPr>
                <w:rFonts w:hint="default" w:ascii="Georgia" w:hAnsi="Georgia" w:cs="Georgia"/>
              </w:rPr>
            </w:pPr>
            <w:r>
              <w:rPr>
                <w:rFonts w:hint="default" w:ascii="Georgia" w:hAnsi="Georgia" w:eastAsia="Arial" w:cs="Georgia"/>
                <w:b/>
                <w:bCs/>
                <w:color w:val="FFFFFF"/>
                <w:sz w:val="18"/>
                <w:szCs w:val="18"/>
              </w:rPr>
              <w:t>Microsoft OneDrive</w:t>
            </w:r>
          </w:p>
        </w:tc>
        <w:tc>
          <w:tcPr>
            <w:tcW w:w="396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2788BCD6">
            <w:pPr>
              <w:spacing w:line="360" w:lineRule="auto"/>
              <w:jc w:val="center"/>
              <w:rPr>
                <w:rFonts w:hint="default" w:ascii="Georgia" w:hAnsi="Georgia" w:cs="Georgia"/>
              </w:rPr>
            </w:pPr>
            <w:r>
              <w:rPr>
                <w:rFonts w:hint="default" w:ascii="Georgia" w:hAnsi="Georgia" w:eastAsia="Arial" w:cs="Georgia"/>
                <w:b/>
                <w:bCs/>
                <w:color w:val="FFFFFF"/>
                <w:sz w:val="18"/>
                <w:szCs w:val="18"/>
              </w:rPr>
              <w:t>Google Drive / Photos</w:t>
            </w:r>
          </w:p>
        </w:tc>
      </w:tr>
      <w:tr w14:paraId="7066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15044BC3">
            <w:pPr>
              <w:spacing w:line="360" w:lineRule="auto"/>
              <w:jc w:val="left"/>
              <w:rPr>
                <w:rFonts w:hint="default" w:ascii="Georgia" w:hAnsi="Georgia" w:cs="Georgia"/>
              </w:rPr>
            </w:pPr>
            <w:r>
              <w:rPr>
                <w:rFonts w:hint="default" w:ascii="Georgia" w:hAnsi="Georgia" w:eastAsia="Arial" w:cs="Georgia"/>
                <w:sz w:val="18"/>
                <w:szCs w:val="18"/>
              </w:rPr>
              <w:t>Involuntary Upload</w:t>
            </w:r>
          </w:p>
        </w:tc>
        <w:tc>
          <w:tcPr>
            <w:tcW w:w="32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6FE6F0DB">
            <w:pPr>
              <w:spacing w:line="360" w:lineRule="auto"/>
              <w:jc w:val="center"/>
              <w:rPr>
                <w:rFonts w:hint="default" w:ascii="Georgia" w:hAnsi="Georgia" w:cs="Georgia"/>
              </w:rPr>
            </w:pPr>
            <w:r>
              <w:rPr>
                <w:rFonts w:hint="default" w:ascii="Georgia" w:hAnsi="Georgia" w:eastAsia="Arial" w:cs="Georgia"/>
                <w:sz w:val="18"/>
                <w:szCs w:val="18"/>
              </w:rPr>
              <w:t>Desktop/Documents/Pictures auto-backup (default on)</w:t>
            </w:r>
          </w:p>
        </w:tc>
        <w:tc>
          <w:tcPr>
            <w:tcW w:w="39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2C23CF43">
            <w:pPr>
              <w:spacing w:line="360" w:lineRule="auto"/>
              <w:jc w:val="center"/>
              <w:rPr>
                <w:rFonts w:hint="default" w:ascii="Georgia" w:hAnsi="Georgia" w:cs="Georgia"/>
              </w:rPr>
            </w:pPr>
            <w:r>
              <w:rPr>
                <w:rFonts w:hint="default" w:ascii="Georgia" w:hAnsi="Georgia" w:eastAsia="Arial" w:cs="Georgia"/>
                <w:sz w:val="18"/>
                <w:szCs w:val="18"/>
              </w:rPr>
              <w:t>Photos/Videos auto-backup via Google Photos (default on)</w:t>
            </w:r>
          </w:p>
        </w:tc>
      </w:tr>
      <w:tr w14:paraId="7D7F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0A3F7BB9">
            <w:pPr>
              <w:spacing w:line="360" w:lineRule="auto"/>
              <w:jc w:val="left"/>
              <w:rPr>
                <w:rFonts w:hint="default" w:ascii="Georgia" w:hAnsi="Georgia" w:cs="Georgia"/>
              </w:rPr>
            </w:pPr>
            <w:r>
              <w:rPr>
                <w:rFonts w:hint="default" w:ascii="Georgia" w:hAnsi="Georgia" w:eastAsia="Arial" w:cs="Georgia"/>
                <w:sz w:val="18"/>
                <w:szCs w:val="18"/>
              </w:rPr>
              <w:t>Storage Inflation</w:t>
            </w:r>
          </w:p>
        </w:tc>
        <w:tc>
          <w:tcPr>
            <w:tcW w:w="32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008B219">
            <w:pPr>
              <w:spacing w:line="360" w:lineRule="auto"/>
              <w:jc w:val="center"/>
              <w:rPr>
                <w:rFonts w:hint="default" w:ascii="Georgia" w:hAnsi="Georgia" w:cs="Georgia"/>
              </w:rPr>
            </w:pPr>
            <w:r>
              <w:rPr>
                <w:rFonts w:hint="default" w:ascii="Georgia" w:hAnsi="Georgia" w:eastAsia="Arial" w:cs="Georgia"/>
                <w:sz w:val="18"/>
                <w:szCs w:val="18"/>
              </w:rPr>
              <w:t>+43% metadata overhead per save operation</w:t>
            </w:r>
          </w:p>
        </w:tc>
        <w:tc>
          <w:tcPr>
            <w:tcW w:w="39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39DD3196">
            <w:pPr>
              <w:spacing w:line="360" w:lineRule="auto"/>
              <w:jc w:val="center"/>
              <w:rPr>
                <w:rFonts w:hint="default" w:ascii="Georgia" w:hAnsi="Georgia" w:cs="Georgia"/>
              </w:rPr>
            </w:pPr>
            <w:r>
              <w:rPr>
                <w:rFonts w:hint="default" w:ascii="Georgia" w:hAnsi="Georgia" w:eastAsia="Arial" w:cs="Georgia"/>
                <w:sz w:val="18"/>
                <w:szCs w:val="18"/>
              </w:rPr>
              <w:t>Zombie file reappearance; 60-day trash counted against quota</w:t>
            </w:r>
          </w:p>
        </w:tc>
      </w:tr>
      <w:tr w14:paraId="1A6C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103BDBC9">
            <w:pPr>
              <w:spacing w:line="360" w:lineRule="auto"/>
              <w:jc w:val="left"/>
              <w:rPr>
                <w:rFonts w:hint="default" w:ascii="Georgia" w:hAnsi="Georgia" w:cs="Georgia"/>
              </w:rPr>
            </w:pPr>
            <w:r>
              <w:rPr>
                <w:rFonts w:hint="default" w:ascii="Georgia" w:hAnsi="Georgia" w:eastAsia="Arial" w:cs="Georgia"/>
                <w:sz w:val="18"/>
                <w:szCs w:val="18"/>
              </w:rPr>
              <w:t>Deletion Resistance</w:t>
            </w:r>
          </w:p>
        </w:tc>
        <w:tc>
          <w:tcPr>
            <w:tcW w:w="32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42C85016">
            <w:pPr>
              <w:spacing w:line="360" w:lineRule="auto"/>
              <w:jc w:val="center"/>
              <w:rPr>
                <w:rFonts w:hint="default" w:ascii="Georgia" w:hAnsi="Georgia" w:cs="Georgia"/>
              </w:rPr>
            </w:pPr>
            <w:r>
              <w:rPr>
                <w:rFonts w:hint="default" w:ascii="Georgia" w:hAnsi="Georgia" w:eastAsia="Arial" w:cs="Georgia"/>
                <w:sz w:val="18"/>
                <w:szCs w:val="18"/>
              </w:rPr>
              <w:t>Ghost files persist on local drives post-disable</w:t>
            </w:r>
          </w:p>
        </w:tc>
        <w:tc>
          <w:tcPr>
            <w:tcW w:w="39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2C64A756">
            <w:pPr>
              <w:spacing w:line="360" w:lineRule="auto"/>
              <w:jc w:val="center"/>
              <w:rPr>
                <w:rFonts w:hint="default" w:ascii="Georgia" w:hAnsi="Georgia" w:cs="Georgia"/>
              </w:rPr>
            </w:pPr>
            <w:r>
              <w:rPr>
                <w:rFonts w:hint="default" w:ascii="Georgia" w:hAnsi="Georgia" w:eastAsia="Arial" w:cs="Georgia"/>
                <w:sz w:val="18"/>
                <w:szCs w:val="18"/>
              </w:rPr>
              <w:t>60-day trash retention; possible cross-device re-upload</w:t>
            </w:r>
          </w:p>
        </w:tc>
      </w:tr>
      <w:tr w14:paraId="780C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479C7F28">
            <w:pPr>
              <w:spacing w:line="360" w:lineRule="auto"/>
              <w:jc w:val="left"/>
              <w:rPr>
                <w:rFonts w:hint="default" w:ascii="Georgia" w:hAnsi="Georgia" w:cs="Georgia"/>
              </w:rPr>
            </w:pPr>
            <w:r>
              <w:rPr>
                <w:rFonts w:hint="default" w:ascii="Georgia" w:hAnsi="Georgia" w:eastAsia="Arial" w:cs="Georgia"/>
                <w:sz w:val="18"/>
                <w:szCs w:val="18"/>
              </w:rPr>
              <w:t>Free Tier Design</w:t>
            </w:r>
          </w:p>
        </w:tc>
        <w:tc>
          <w:tcPr>
            <w:tcW w:w="32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0BCC269B">
            <w:pPr>
              <w:spacing w:line="360" w:lineRule="auto"/>
              <w:jc w:val="center"/>
              <w:rPr>
                <w:rFonts w:hint="default" w:ascii="Georgia" w:hAnsi="Georgia" w:cs="Georgia"/>
              </w:rPr>
            </w:pPr>
            <w:r>
              <w:rPr>
                <w:rFonts w:hint="default" w:ascii="Georgia" w:hAnsi="Georgia" w:eastAsia="Arial" w:cs="Georgia"/>
                <w:sz w:val="18"/>
                <w:szCs w:val="18"/>
              </w:rPr>
              <w:t>5 GB (fills within 2–3 days of full use)</w:t>
            </w:r>
          </w:p>
        </w:tc>
        <w:tc>
          <w:tcPr>
            <w:tcW w:w="39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0CE66F72">
            <w:pPr>
              <w:spacing w:line="360" w:lineRule="auto"/>
              <w:jc w:val="center"/>
              <w:rPr>
                <w:rFonts w:hint="default" w:ascii="Georgia" w:hAnsi="Georgia" w:cs="Georgia"/>
              </w:rPr>
            </w:pPr>
            <w:r>
              <w:rPr>
                <w:rFonts w:hint="default" w:ascii="Georgia" w:hAnsi="Georgia" w:eastAsia="Arial" w:cs="Georgia"/>
                <w:sz w:val="18"/>
                <w:szCs w:val="18"/>
              </w:rPr>
              <w:t>15 GB (fills with modest photo volume)</w:t>
            </w:r>
          </w:p>
        </w:tc>
      </w:tr>
      <w:tr w14:paraId="67FD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9AA0C21">
            <w:pPr>
              <w:spacing w:line="360" w:lineRule="auto"/>
              <w:jc w:val="left"/>
              <w:rPr>
                <w:rFonts w:hint="default" w:ascii="Georgia" w:hAnsi="Georgia" w:cs="Georgia"/>
              </w:rPr>
            </w:pPr>
            <w:r>
              <w:rPr>
                <w:rFonts w:hint="default" w:ascii="Georgia" w:hAnsi="Georgia" w:eastAsia="Arial" w:cs="Georgia"/>
                <w:sz w:val="18"/>
                <w:szCs w:val="18"/>
              </w:rPr>
              <w:t>Opt-Out Complexity</w:t>
            </w:r>
          </w:p>
        </w:tc>
        <w:tc>
          <w:tcPr>
            <w:tcW w:w="32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906901E">
            <w:pPr>
              <w:spacing w:line="360" w:lineRule="auto"/>
              <w:jc w:val="center"/>
              <w:rPr>
                <w:rFonts w:hint="default" w:ascii="Georgia" w:hAnsi="Georgia" w:cs="Georgia"/>
              </w:rPr>
            </w:pPr>
            <w:r>
              <w:rPr>
                <w:rFonts w:hint="default" w:ascii="Georgia" w:hAnsi="Georgia" w:eastAsia="Arial" w:cs="Georgia"/>
                <w:sz w:val="18"/>
                <w:szCs w:val="18"/>
              </w:rPr>
              <w:t>Settings controls non-functional; collateral damage on disable</w:t>
            </w:r>
          </w:p>
        </w:tc>
        <w:tc>
          <w:tcPr>
            <w:tcW w:w="39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4B9346DF">
            <w:pPr>
              <w:spacing w:line="360" w:lineRule="auto"/>
              <w:jc w:val="center"/>
              <w:rPr>
                <w:rFonts w:hint="default" w:ascii="Georgia" w:hAnsi="Georgia" w:cs="Georgia"/>
              </w:rPr>
            </w:pPr>
            <w:r>
              <w:rPr>
                <w:rFonts w:hint="default" w:ascii="Georgia" w:hAnsi="Georgia" w:eastAsia="Arial" w:cs="Georgia"/>
                <w:sz w:val="18"/>
                <w:szCs w:val="18"/>
              </w:rPr>
              <w:t>Must disable on each device separately</w:t>
            </w:r>
          </w:p>
        </w:tc>
      </w:tr>
      <w:tr w14:paraId="1EE3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22471E54">
            <w:pPr>
              <w:spacing w:line="360" w:lineRule="auto"/>
              <w:jc w:val="left"/>
              <w:rPr>
                <w:rFonts w:hint="default" w:ascii="Georgia" w:hAnsi="Georgia" w:cs="Georgia"/>
              </w:rPr>
            </w:pPr>
            <w:r>
              <w:rPr>
                <w:rFonts w:hint="default" w:ascii="Georgia" w:hAnsi="Georgia" w:eastAsia="Arial" w:cs="Georgia"/>
                <w:sz w:val="18"/>
                <w:szCs w:val="18"/>
              </w:rPr>
              <w:t>Warning Placement</w:t>
            </w:r>
          </w:p>
        </w:tc>
        <w:tc>
          <w:tcPr>
            <w:tcW w:w="32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622BE72D">
            <w:pPr>
              <w:spacing w:line="360" w:lineRule="auto"/>
              <w:jc w:val="center"/>
              <w:rPr>
                <w:rFonts w:hint="default" w:ascii="Georgia" w:hAnsi="Georgia" w:cs="Georgia"/>
              </w:rPr>
            </w:pPr>
            <w:r>
              <w:rPr>
                <w:rFonts w:hint="default" w:ascii="Georgia" w:hAnsi="Georgia" w:eastAsia="Arial" w:cs="Georgia"/>
                <w:sz w:val="18"/>
                <w:szCs w:val="18"/>
              </w:rPr>
              <w:t>Prominent 'Storage Almost Full' in Windows notification tray</w:t>
            </w:r>
          </w:p>
        </w:tc>
        <w:tc>
          <w:tcPr>
            <w:tcW w:w="39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5CEA1CAF">
            <w:pPr>
              <w:spacing w:line="360" w:lineRule="auto"/>
              <w:jc w:val="center"/>
              <w:rPr>
                <w:rFonts w:hint="default" w:ascii="Georgia" w:hAnsi="Georgia" w:cs="Georgia"/>
              </w:rPr>
            </w:pPr>
            <w:r>
              <w:rPr>
                <w:rFonts w:hint="default" w:ascii="Georgia" w:hAnsi="Georgia" w:eastAsia="Arial" w:cs="Georgia"/>
                <w:sz w:val="18"/>
                <w:szCs w:val="18"/>
              </w:rPr>
              <w:t>Warning in Gmail; not in Photos (primary consumption source)</w:t>
            </w:r>
          </w:p>
        </w:tc>
      </w:tr>
      <w:tr w14:paraId="6FC6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750BCDB4">
            <w:pPr>
              <w:spacing w:line="360" w:lineRule="auto"/>
              <w:jc w:val="left"/>
              <w:rPr>
                <w:rFonts w:hint="default" w:ascii="Georgia" w:hAnsi="Georgia" w:cs="Georgia"/>
              </w:rPr>
            </w:pPr>
            <w:r>
              <w:rPr>
                <w:rFonts w:hint="default" w:ascii="Georgia" w:hAnsi="Georgia" w:eastAsia="Arial" w:cs="Georgia"/>
                <w:sz w:val="18"/>
                <w:szCs w:val="18"/>
              </w:rPr>
              <w:t>Platform Bundling</w:t>
            </w:r>
          </w:p>
        </w:tc>
        <w:tc>
          <w:tcPr>
            <w:tcW w:w="32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32923369">
            <w:pPr>
              <w:spacing w:line="360" w:lineRule="auto"/>
              <w:jc w:val="center"/>
              <w:rPr>
                <w:rFonts w:hint="default" w:ascii="Georgia" w:hAnsi="Georgia" w:cs="Georgia"/>
              </w:rPr>
            </w:pPr>
            <w:r>
              <w:rPr>
                <w:rFonts w:hint="default" w:ascii="Georgia" w:hAnsi="Georgia" w:eastAsia="Arial" w:cs="Georgia"/>
                <w:sz w:val="18"/>
                <w:szCs w:val="18"/>
              </w:rPr>
              <w:t>Tied to Windows OS and Microsoft account</w:t>
            </w:r>
          </w:p>
        </w:tc>
        <w:tc>
          <w:tcPr>
            <w:tcW w:w="39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15000931">
            <w:pPr>
              <w:spacing w:line="360" w:lineRule="auto"/>
              <w:jc w:val="center"/>
              <w:rPr>
                <w:rFonts w:hint="default" w:ascii="Georgia" w:hAnsi="Georgia" w:cs="Georgia"/>
              </w:rPr>
            </w:pPr>
            <w:r>
              <w:rPr>
                <w:rFonts w:hint="default" w:ascii="Georgia" w:hAnsi="Georgia" w:eastAsia="Arial" w:cs="Georgia"/>
                <w:sz w:val="18"/>
                <w:szCs w:val="18"/>
              </w:rPr>
              <w:t>Tied to Android OS and Gmail account</w:t>
            </w:r>
          </w:p>
        </w:tc>
      </w:tr>
    </w:tbl>
    <w:p w14:paraId="5EACCA55">
      <w:pPr>
        <w:spacing w:before="60" w:after="180" w:line="360" w:lineRule="auto"/>
        <w:jc w:val="center"/>
        <w:rPr>
          <w:rFonts w:hint="default" w:ascii="Georgia" w:hAnsi="Georgia" w:cs="Georgia"/>
        </w:rPr>
      </w:pPr>
      <w:r>
        <w:rPr>
          <w:rFonts w:hint="default" w:ascii="Georgia" w:hAnsi="Georgia" w:eastAsia="Arial" w:cs="Georgia"/>
          <w:i/>
          <w:iCs/>
          <w:color w:val="606060"/>
          <w:sz w:val="18"/>
          <w:szCs w:val="18"/>
        </w:rPr>
        <w:t>Table 6: Comparative summary of observed behaviours across platforms. Strength of evidence differs significantly between columns; see Section III.C.</w:t>
      </w:r>
    </w:p>
    <w:p w14:paraId="7B81004B">
      <w:pPr>
        <w:spacing w:before="160" w:after="0" w:line="360" w:lineRule="auto"/>
        <w:rPr>
          <w:rFonts w:hint="default" w:ascii="Georgia" w:hAnsi="Georgia" w:cs="Georgia"/>
        </w:rPr>
      </w:pPr>
    </w:p>
    <w:p w14:paraId="4269CD69">
      <w:pPr>
        <w:pStyle w:val="2"/>
        <w:pBdr>
          <w:bottom w:val="single" w:color="2E7D8A" w:sz="8" w:space="4"/>
        </w:pBdr>
        <w:spacing w:before="360" w:after="180" w:line="360" w:lineRule="auto"/>
        <w:rPr>
          <w:rFonts w:hint="default" w:ascii="Georgia" w:hAnsi="Georgia" w:cs="Georgia"/>
        </w:rPr>
      </w:pPr>
      <w:r>
        <w:rPr>
          <w:rFonts w:hint="default" w:ascii="Georgia" w:hAnsi="Georgia" w:eastAsia="Arial" w:cs="Georgia"/>
          <w:b/>
          <w:bCs/>
          <w:color w:val="1F4E79"/>
          <w:sz w:val="28"/>
          <w:szCs w:val="28"/>
        </w:rPr>
        <w:t>VII. Dark Pattern Classification</w:t>
      </w:r>
    </w:p>
    <w:p w14:paraId="3737CD21">
      <w:pPr>
        <w:spacing w:before="60" w:after="0" w:line="360" w:lineRule="auto"/>
        <w:rPr>
          <w:rFonts w:hint="default" w:ascii="Georgia" w:hAnsi="Georgia" w:cs="Georgia"/>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1960"/>
        <w:gridCol w:w="2400"/>
        <w:gridCol w:w="2600"/>
      </w:tblGrid>
      <w:tr w14:paraId="329D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4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64E7573F">
            <w:pPr>
              <w:spacing w:line="360" w:lineRule="auto"/>
              <w:jc w:val="center"/>
              <w:rPr>
                <w:rFonts w:hint="default" w:ascii="Georgia" w:hAnsi="Georgia" w:cs="Georgia"/>
              </w:rPr>
            </w:pPr>
            <w:r>
              <w:rPr>
                <w:rFonts w:hint="default" w:ascii="Georgia" w:hAnsi="Georgia" w:eastAsia="Arial" w:cs="Georgia"/>
                <w:b/>
                <w:bCs/>
                <w:color w:val="FFFFFF"/>
                <w:sz w:val="18"/>
                <w:szCs w:val="18"/>
              </w:rPr>
              <w:t>Observed Behaviour</w:t>
            </w:r>
          </w:p>
        </w:tc>
        <w:tc>
          <w:tcPr>
            <w:tcW w:w="196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44C0907C">
            <w:pPr>
              <w:spacing w:line="360" w:lineRule="auto"/>
              <w:jc w:val="center"/>
              <w:rPr>
                <w:rFonts w:hint="default" w:ascii="Georgia" w:hAnsi="Georgia" w:cs="Georgia"/>
              </w:rPr>
            </w:pPr>
            <w:r>
              <w:rPr>
                <w:rFonts w:hint="default" w:ascii="Georgia" w:hAnsi="Georgia" w:eastAsia="Arial" w:cs="Georgia"/>
                <w:b/>
                <w:bCs/>
                <w:color w:val="FFFFFF"/>
                <w:sz w:val="18"/>
                <w:szCs w:val="18"/>
              </w:rPr>
              <w:t>Platform</w:t>
            </w:r>
          </w:p>
        </w:tc>
        <w:tc>
          <w:tcPr>
            <w:tcW w:w="24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37C7953D">
            <w:pPr>
              <w:spacing w:line="360" w:lineRule="auto"/>
              <w:jc w:val="center"/>
              <w:rPr>
                <w:rFonts w:hint="default" w:ascii="Georgia" w:hAnsi="Georgia" w:cs="Georgia"/>
              </w:rPr>
            </w:pPr>
            <w:r>
              <w:rPr>
                <w:rFonts w:hint="default" w:ascii="Georgia" w:hAnsi="Georgia" w:eastAsia="Arial" w:cs="Georgia"/>
                <w:b/>
                <w:bCs/>
                <w:color w:val="FFFFFF"/>
                <w:sz w:val="18"/>
                <w:szCs w:val="18"/>
              </w:rPr>
              <w:t>Gray et al. Category</w:t>
            </w:r>
          </w:p>
        </w:tc>
        <w:tc>
          <w:tcPr>
            <w:tcW w:w="2600"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2604540E">
            <w:pPr>
              <w:spacing w:line="360" w:lineRule="auto"/>
              <w:jc w:val="center"/>
              <w:rPr>
                <w:rFonts w:hint="default" w:ascii="Georgia" w:hAnsi="Georgia" w:cs="Georgia"/>
              </w:rPr>
            </w:pPr>
            <w:r>
              <w:rPr>
                <w:rFonts w:hint="default" w:ascii="Georgia" w:hAnsi="Georgia" w:eastAsia="Arial" w:cs="Georgia"/>
                <w:b/>
                <w:bCs/>
                <w:color w:val="FFFFFF"/>
                <w:sz w:val="18"/>
                <w:szCs w:val="18"/>
              </w:rPr>
              <w:t>Severity Assessment</w:t>
            </w:r>
          </w:p>
        </w:tc>
      </w:tr>
      <w:tr w14:paraId="0426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706198B2">
            <w:pPr>
              <w:spacing w:line="360" w:lineRule="auto"/>
              <w:jc w:val="left"/>
              <w:rPr>
                <w:rFonts w:hint="default" w:ascii="Georgia" w:hAnsi="Georgia" w:cs="Georgia"/>
              </w:rPr>
            </w:pPr>
            <w:r>
              <w:rPr>
                <w:rFonts w:hint="default" w:ascii="Georgia" w:hAnsi="Georgia" w:eastAsia="Arial" w:cs="Georgia"/>
                <w:sz w:val="18"/>
                <w:szCs w:val="18"/>
              </w:rPr>
              <w:t>Auto-backup enabled by default without explicit consent</w:t>
            </w:r>
          </w:p>
        </w:tc>
        <w:tc>
          <w:tcPr>
            <w:tcW w:w="19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43AB29F">
            <w:pPr>
              <w:spacing w:line="360" w:lineRule="auto"/>
              <w:jc w:val="center"/>
              <w:rPr>
                <w:rFonts w:hint="default" w:ascii="Georgia" w:hAnsi="Georgia" w:cs="Georgia"/>
              </w:rPr>
            </w:pPr>
            <w:r>
              <w:rPr>
                <w:rFonts w:hint="default" w:ascii="Georgia" w:hAnsi="Georgia" w:eastAsia="Arial" w:cs="Georgia"/>
                <w:sz w:val="18"/>
                <w:szCs w:val="18"/>
              </w:rPr>
              <w:t>Both</w:t>
            </w:r>
          </w:p>
        </w:tc>
        <w:tc>
          <w:tcPr>
            <w:tcW w:w="2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1AA76334">
            <w:pPr>
              <w:spacing w:line="360" w:lineRule="auto"/>
              <w:jc w:val="center"/>
              <w:rPr>
                <w:rFonts w:hint="default" w:ascii="Georgia" w:hAnsi="Georgia" w:cs="Georgia"/>
              </w:rPr>
            </w:pPr>
            <w:r>
              <w:rPr>
                <w:rFonts w:hint="default" w:ascii="Georgia" w:hAnsi="Georgia" w:eastAsia="Arial" w:cs="Georgia"/>
                <w:sz w:val="18"/>
                <w:szCs w:val="18"/>
              </w:rPr>
              <w:t>Sneaking</w:t>
            </w:r>
          </w:p>
        </w:tc>
        <w:tc>
          <w:tcPr>
            <w:tcW w:w="26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12FF8097">
            <w:pPr>
              <w:spacing w:line="360" w:lineRule="auto"/>
              <w:jc w:val="center"/>
              <w:rPr>
                <w:rFonts w:hint="default" w:ascii="Georgia" w:hAnsi="Georgia" w:cs="Georgia"/>
              </w:rPr>
            </w:pPr>
            <w:r>
              <w:rPr>
                <w:rFonts w:hint="default" w:ascii="Georgia" w:hAnsi="Georgia" w:eastAsia="Arial" w:cs="Georgia"/>
                <w:sz w:val="18"/>
                <w:szCs w:val="18"/>
              </w:rPr>
              <w:t>High</w:t>
            </w:r>
          </w:p>
        </w:tc>
      </w:tr>
      <w:tr w14:paraId="6C8E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4D68D76A">
            <w:pPr>
              <w:spacing w:line="360" w:lineRule="auto"/>
              <w:jc w:val="left"/>
              <w:rPr>
                <w:rFonts w:hint="default" w:ascii="Georgia" w:hAnsi="Georgia" w:cs="Georgia"/>
              </w:rPr>
            </w:pPr>
            <w:r>
              <w:rPr>
                <w:rFonts w:hint="default" w:ascii="Georgia" w:hAnsi="Georgia" w:eastAsia="Arial" w:cs="Georgia"/>
                <w:sz w:val="18"/>
                <w:szCs w:val="18"/>
              </w:rPr>
              <w:t>Ghost files requiring authentication on local storage</w:t>
            </w:r>
          </w:p>
        </w:tc>
        <w:tc>
          <w:tcPr>
            <w:tcW w:w="19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3FCFB358">
            <w:pPr>
              <w:spacing w:line="360" w:lineRule="auto"/>
              <w:jc w:val="center"/>
              <w:rPr>
                <w:rFonts w:hint="default" w:ascii="Georgia" w:hAnsi="Georgia" w:cs="Georgia"/>
              </w:rPr>
            </w:pPr>
            <w:r>
              <w:rPr>
                <w:rFonts w:hint="default" w:ascii="Georgia" w:hAnsi="Georgia" w:eastAsia="Arial" w:cs="Georgia"/>
                <w:sz w:val="18"/>
                <w:szCs w:val="18"/>
              </w:rPr>
              <w:t>Microsoft</w:t>
            </w:r>
          </w:p>
        </w:tc>
        <w:tc>
          <w:tcPr>
            <w:tcW w:w="2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FDB58EF">
            <w:pPr>
              <w:spacing w:line="360" w:lineRule="auto"/>
              <w:jc w:val="center"/>
              <w:rPr>
                <w:rFonts w:hint="default" w:ascii="Georgia" w:hAnsi="Georgia" w:cs="Georgia"/>
              </w:rPr>
            </w:pPr>
            <w:r>
              <w:rPr>
                <w:rFonts w:hint="default" w:ascii="Georgia" w:hAnsi="Georgia" w:eastAsia="Arial" w:cs="Georgia"/>
                <w:sz w:val="18"/>
                <w:szCs w:val="18"/>
              </w:rPr>
              <w:t>Forced Action</w:t>
            </w:r>
          </w:p>
        </w:tc>
        <w:tc>
          <w:tcPr>
            <w:tcW w:w="26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57E40CBD">
            <w:pPr>
              <w:spacing w:line="360" w:lineRule="auto"/>
              <w:jc w:val="center"/>
              <w:rPr>
                <w:rFonts w:hint="default" w:ascii="Georgia" w:hAnsi="Georgia" w:cs="Georgia"/>
              </w:rPr>
            </w:pPr>
            <w:r>
              <w:rPr>
                <w:rFonts w:hint="default" w:ascii="Georgia" w:hAnsi="Georgia" w:eastAsia="Arial" w:cs="Georgia"/>
                <w:sz w:val="18"/>
                <w:szCs w:val="18"/>
              </w:rPr>
              <w:t>High</w:t>
            </w:r>
          </w:p>
        </w:tc>
      </w:tr>
      <w:tr w14:paraId="02F6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7A40EB78">
            <w:pPr>
              <w:spacing w:line="360" w:lineRule="auto"/>
              <w:jc w:val="left"/>
              <w:rPr>
                <w:rFonts w:hint="default" w:ascii="Georgia" w:hAnsi="Georgia" w:cs="Georgia"/>
              </w:rPr>
            </w:pPr>
            <w:r>
              <w:rPr>
                <w:rFonts w:hint="default" w:ascii="Georgia" w:hAnsi="Georgia" w:eastAsia="Arial" w:cs="Georgia"/>
                <w:sz w:val="18"/>
                <w:szCs w:val="18"/>
              </w:rPr>
              <w:t>Storage warnings in essential service, not consumption source</w:t>
            </w:r>
          </w:p>
        </w:tc>
        <w:tc>
          <w:tcPr>
            <w:tcW w:w="19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6964C1B3">
            <w:pPr>
              <w:spacing w:line="360" w:lineRule="auto"/>
              <w:jc w:val="center"/>
              <w:rPr>
                <w:rFonts w:hint="default" w:ascii="Georgia" w:hAnsi="Georgia" w:cs="Georgia"/>
              </w:rPr>
            </w:pPr>
            <w:r>
              <w:rPr>
                <w:rFonts w:hint="default" w:ascii="Georgia" w:hAnsi="Georgia" w:eastAsia="Arial" w:cs="Georgia"/>
                <w:sz w:val="18"/>
                <w:szCs w:val="18"/>
              </w:rPr>
              <w:t>Google</w:t>
            </w:r>
          </w:p>
        </w:tc>
        <w:tc>
          <w:tcPr>
            <w:tcW w:w="2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1AFF269">
            <w:pPr>
              <w:spacing w:line="360" w:lineRule="auto"/>
              <w:jc w:val="center"/>
              <w:rPr>
                <w:rFonts w:hint="default" w:ascii="Georgia" w:hAnsi="Georgia" w:cs="Georgia"/>
              </w:rPr>
            </w:pPr>
            <w:r>
              <w:rPr>
                <w:rFonts w:hint="default" w:ascii="Georgia" w:hAnsi="Georgia" w:eastAsia="Arial" w:cs="Georgia"/>
                <w:sz w:val="18"/>
                <w:szCs w:val="18"/>
              </w:rPr>
              <w:t>Interface Interference / Misdirection</w:t>
            </w:r>
          </w:p>
        </w:tc>
        <w:tc>
          <w:tcPr>
            <w:tcW w:w="26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CA46E6E">
            <w:pPr>
              <w:spacing w:line="360" w:lineRule="auto"/>
              <w:jc w:val="center"/>
              <w:rPr>
                <w:rFonts w:hint="default" w:ascii="Georgia" w:hAnsi="Georgia" w:cs="Georgia"/>
              </w:rPr>
            </w:pPr>
            <w:r>
              <w:rPr>
                <w:rFonts w:hint="default" w:ascii="Georgia" w:hAnsi="Georgia" w:eastAsia="Arial" w:cs="Georgia"/>
                <w:sz w:val="18"/>
                <w:szCs w:val="18"/>
              </w:rPr>
              <w:t>High</w:t>
            </w:r>
          </w:p>
        </w:tc>
      </w:tr>
      <w:tr w14:paraId="21E2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1AC391B">
            <w:pPr>
              <w:spacing w:line="360" w:lineRule="auto"/>
              <w:jc w:val="left"/>
              <w:rPr>
                <w:rFonts w:hint="default" w:ascii="Georgia" w:hAnsi="Georgia" w:cs="Georgia"/>
              </w:rPr>
            </w:pPr>
            <w:r>
              <w:rPr>
                <w:rFonts w:hint="default" w:ascii="Georgia" w:hAnsi="Georgia" w:eastAsia="Arial" w:cs="Georgia"/>
                <w:sz w:val="18"/>
                <w:szCs w:val="18"/>
              </w:rPr>
              <w:t>Settings 'disable' controls with incomplete effect</w:t>
            </w:r>
          </w:p>
        </w:tc>
        <w:tc>
          <w:tcPr>
            <w:tcW w:w="19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09824CE1">
            <w:pPr>
              <w:spacing w:line="360" w:lineRule="auto"/>
              <w:jc w:val="center"/>
              <w:rPr>
                <w:rFonts w:hint="default" w:ascii="Georgia" w:hAnsi="Georgia" w:cs="Georgia"/>
              </w:rPr>
            </w:pPr>
            <w:r>
              <w:rPr>
                <w:rFonts w:hint="default" w:ascii="Georgia" w:hAnsi="Georgia" w:eastAsia="Arial" w:cs="Georgia"/>
                <w:sz w:val="18"/>
                <w:szCs w:val="18"/>
              </w:rPr>
              <w:t>Microsoft</w:t>
            </w:r>
          </w:p>
        </w:tc>
        <w:tc>
          <w:tcPr>
            <w:tcW w:w="2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19A56847">
            <w:pPr>
              <w:spacing w:line="360" w:lineRule="auto"/>
              <w:jc w:val="center"/>
              <w:rPr>
                <w:rFonts w:hint="default" w:ascii="Georgia" w:hAnsi="Georgia" w:cs="Georgia"/>
              </w:rPr>
            </w:pPr>
            <w:r>
              <w:rPr>
                <w:rFonts w:hint="default" w:ascii="Georgia" w:hAnsi="Georgia" w:eastAsia="Arial" w:cs="Georgia"/>
                <w:sz w:val="18"/>
                <w:szCs w:val="18"/>
              </w:rPr>
              <w:t>Obstruction</w:t>
            </w:r>
          </w:p>
        </w:tc>
        <w:tc>
          <w:tcPr>
            <w:tcW w:w="26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0349B23">
            <w:pPr>
              <w:spacing w:line="360" w:lineRule="auto"/>
              <w:jc w:val="center"/>
              <w:rPr>
                <w:rFonts w:hint="default" w:ascii="Georgia" w:hAnsi="Georgia" w:cs="Georgia"/>
              </w:rPr>
            </w:pPr>
            <w:r>
              <w:rPr>
                <w:rFonts w:hint="default" w:ascii="Georgia" w:hAnsi="Georgia" w:eastAsia="Arial" w:cs="Georgia"/>
                <w:sz w:val="18"/>
                <w:szCs w:val="18"/>
              </w:rPr>
              <w:t>High</w:t>
            </w:r>
          </w:p>
        </w:tc>
      </w:tr>
      <w:tr w14:paraId="266B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6491B0EE">
            <w:pPr>
              <w:spacing w:line="360" w:lineRule="auto"/>
              <w:jc w:val="left"/>
              <w:rPr>
                <w:rFonts w:hint="default" w:ascii="Georgia" w:hAnsi="Georgia" w:cs="Georgia"/>
              </w:rPr>
            </w:pPr>
            <w:r>
              <w:rPr>
                <w:rFonts w:hint="default" w:ascii="Georgia" w:hAnsi="Georgia" w:eastAsia="Arial" w:cs="Georgia"/>
                <w:sz w:val="18"/>
                <w:szCs w:val="18"/>
              </w:rPr>
              <w:t>Scroll-triggered file reappearance (exploratory)</w:t>
            </w:r>
          </w:p>
        </w:tc>
        <w:tc>
          <w:tcPr>
            <w:tcW w:w="19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342FBA7B">
            <w:pPr>
              <w:spacing w:line="360" w:lineRule="auto"/>
              <w:jc w:val="center"/>
              <w:rPr>
                <w:rFonts w:hint="default" w:ascii="Georgia" w:hAnsi="Georgia" w:cs="Georgia"/>
              </w:rPr>
            </w:pPr>
            <w:r>
              <w:rPr>
                <w:rFonts w:hint="default" w:ascii="Georgia" w:hAnsi="Georgia" w:eastAsia="Arial" w:cs="Georgia"/>
                <w:sz w:val="18"/>
                <w:szCs w:val="18"/>
              </w:rPr>
              <w:t>Google</w:t>
            </w:r>
          </w:p>
        </w:tc>
        <w:tc>
          <w:tcPr>
            <w:tcW w:w="2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4BFB6D77">
            <w:pPr>
              <w:spacing w:line="360" w:lineRule="auto"/>
              <w:jc w:val="center"/>
              <w:rPr>
                <w:rFonts w:hint="default" w:ascii="Georgia" w:hAnsi="Georgia" w:cs="Georgia"/>
              </w:rPr>
            </w:pPr>
            <w:r>
              <w:rPr>
                <w:rFonts w:hint="default" w:ascii="Georgia" w:hAnsi="Georgia" w:eastAsia="Arial" w:cs="Georgia"/>
                <w:sz w:val="18"/>
                <w:szCs w:val="18"/>
              </w:rPr>
              <w:t>Interface Interference</w:t>
            </w:r>
          </w:p>
        </w:tc>
        <w:tc>
          <w:tcPr>
            <w:tcW w:w="26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1EE5C933">
            <w:pPr>
              <w:spacing w:line="360" w:lineRule="auto"/>
              <w:jc w:val="center"/>
              <w:rPr>
                <w:rFonts w:hint="default" w:ascii="Georgia" w:hAnsi="Georgia" w:cs="Georgia"/>
              </w:rPr>
            </w:pPr>
            <w:r>
              <w:rPr>
                <w:rFonts w:hint="default" w:ascii="Georgia" w:hAnsi="Georgia" w:eastAsia="Arial" w:cs="Georgia"/>
                <w:sz w:val="18"/>
                <w:szCs w:val="18"/>
              </w:rPr>
              <w:t>High (if confirmed)</w:t>
            </w:r>
          </w:p>
        </w:tc>
      </w:tr>
      <w:tr w14:paraId="3472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BCA4468">
            <w:pPr>
              <w:spacing w:line="360" w:lineRule="auto"/>
              <w:jc w:val="left"/>
              <w:rPr>
                <w:rFonts w:hint="default" w:ascii="Georgia" w:hAnsi="Georgia" w:cs="Georgia"/>
              </w:rPr>
            </w:pPr>
            <w:r>
              <w:rPr>
                <w:rFonts w:hint="default" w:ascii="Georgia" w:hAnsi="Georgia" w:eastAsia="Arial" w:cs="Georgia"/>
                <w:sz w:val="18"/>
                <w:szCs w:val="18"/>
              </w:rPr>
              <w:t>60-day trash counted against quota</w:t>
            </w:r>
          </w:p>
        </w:tc>
        <w:tc>
          <w:tcPr>
            <w:tcW w:w="19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44355DA2">
            <w:pPr>
              <w:spacing w:line="360" w:lineRule="auto"/>
              <w:jc w:val="center"/>
              <w:rPr>
                <w:rFonts w:hint="default" w:ascii="Georgia" w:hAnsi="Georgia" w:cs="Georgia"/>
              </w:rPr>
            </w:pPr>
            <w:r>
              <w:rPr>
                <w:rFonts w:hint="default" w:ascii="Georgia" w:hAnsi="Georgia" w:eastAsia="Arial" w:cs="Georgia"/>
                <w:sz w:val="18"/>
                <w:szCs w:val="18"/>
              </w:rPr>
              <w:t>Google</w:t>
            </w:r>
          </w:p>
        </w:tc>
        <w:tc>
          <w:tcPr>
            <w:tcW w:w="2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0A0178A3">
            <w:pPr>
              <w:spacing w:line="360" w:lineRule="auto"/>
              <w:jc w:val="center"/>
              <w:rPr>
                <w:rFonts w:hint="default" w:ascii="Georgia" w:hAnsi="Georgia" w:cs="Georgia"/>
              </w:rPr>
            </w:pPr>
            <w:r>
              <w:rPr>
                <w:rFonts w:hint="default" w:ascii="Georgia" w:hAnsi="Georgia" w:eastAsia="Arial" w:cs="Georgia"/>
                <w:sz w:val="18"/>
                <w:szCs w:val="18"/>
              </w:rPr>
              <w:t>Hidden Information</w:t>
            </w:r>
          </w:p>
        </w:tc>
        <w:tc>
          <w:tcPr>
            <w:tcW w:w="26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0D2F50C5">
            <w:pPr>
              <w:spacing w:line="360" w:lineRule="auto"/>
              <w:jc w:val="center"/>
              <w:rPr>
                <w:rFonts w:hint="default" w:ascii="Georgia" w:hAnsi="Georgia" w:cs="Georgia"/>
              </w:rPr>
            </w:pPr>
            <w:r>
              <w:rPr>
                <w:rFonts w:hint="default" w:ascii="Georgia" w:hAnsi="Georgia" w:eastAsia="Arial" w:cs="Georgia"/>
                <w:sz w:val="18"/>
                <w:szCs w:val="18"/>
              </w:rPr>
              <w:t>Medium</w:t>
            </w:r>
          </w:p>
        </w:tc>
      </w:tr>
      <w:tr w14:paraId="79F6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453FFB3B">
            <w:pPr>
              <w:spacing w:line="360" w:lineRule="auto"/>
              <w:jc w:val="left"/>
              <w:rPr>
                <w:rFonts w:hint="default" w:ascii="Georgia" w:hAnsi="Georgia" w:cs="Georgia"/>
              </w:rPr>
            </w:pPr>
            <w:r>
              <w:rPr>
                <w:rFonts w:hint="default" w:ascii="Georgia" w:hAnsi="Georgia" w:eastAsia="Arial" w:cs="Georgia"/>
                <w:sz w:val="18"/>
                <w:szCs w:val="18"/>
              </w:rPr>
              <w:t>Metadata bloat accelerating quota consumption</w:t>
            </w:r>
          </w:p>
        </w:tc>
        <w:tc>
          <w:tcPr>
            <w:tcW w:w="19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2A82C496">
            <w:pPr>
              <w:spacing w:line="360" w:lineRule="auto"/>
              <w:jc w:val="center"/>
              <w:rPr>
                <w:rFonts w:hint="default" w:ascii="Georgia" w:hAnsi="Georgia" w:cs="Georgia"/>
              </w:rPr>
            </w:pPr>
            <w:r>
              <w:rPr>
                <w:rFonts w:hint="default" w:ascii="Georgia" w:hAnsi="Georgia" w:eastAsia="Arial" w:cs="Georgia"/>
                <w:sz w:val="18"/>
                <w:szCs w:val="18"/>
              </w:rPr>
              <w:t>Microsoft</w:t>
            </w:r>
          </w:p>
        </w:tc>
        <w:tc>
          <w:tcPr>
            <w:tcW w:w="2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1AF276A0">
            <w:pPr>
              <w:spacing w:line="360" w:lineRule="auto"/>
              <w:jc w:val="center"/>
              <w:rPr>
                <w:rFonts w:hint="default" w:ascii="Georgia" w:hAnsi="Georgia" w:cs="Georgia"/>
              </w:rPr>
            </w:pPr>
            <w:r>
              <w:rPr>
                <w:rFonts w:hint="default" w:ascii="Georgia" w:hAnsi="Georgia" w:eastAsia="Arial" w:cs="Georgia"/>
                <w:sz w:val="18"/>
                <w:szCs w:val="18"/>
              </w:rPr>
              <w:t>Sneaking</w:t>
            </w:r>
          </w:p>
        </w:tc>
        <w:tc>
          <w:tcPr>
            <w:tcW w:w="26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BF34B8D">
            <w:pPr>
              <w:spacing w:line="360" w:lineRule="auto"/>
              <w:jc w:val="center"/>
              <w:rPr>
                <w:rFonts w:hint="default" w:ascii="Georgia" w:hAnsi="Georgia" w:cs="Georgia"/>
              </w:rPr>
            </w:pPr>
            <w:r>
              <w:rPr>
                <w:rFonts w:hint="default" w:ascii="Georgia" w:hAnsi="Georgia" w:eastAsia="Arial" w:cs="Georgia"/>
                <w:sz w:val="18"/>
                <w:szCs w:val="18"/>
              </w:rPr>
              <w:t>Medium</w:t>
            </w:r>
          </w:p>
        </w:tc>
      </w:tr>
      <w:tr w14:paraId="3DE0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6B86ACE7">
            <w:pPr>
              <w:spacing w:line="360" w:lineRule="auto"/>
              <w:jc w:val="left"/>
              <w:rPr>
                <w:rFonts w:hint="default" w:ascii="Georgia" w:hAnsi="Georgia" w:cs="Georgia"/>
              </w:rPr>
            </w:pPr>
            <w:r>
              <w:rPr>
                <w:rFonts w:hint="default" w:ascii="Georgia" w:hAnsi="Georgia" w:eastAsia="Arial" w:cs="Georgia"/>
                <w:sz w:val="18"/>
                <w:szCs w:val="18"/>
              </w:rPr>
              <w:t>Collateral damage to unrelated services on opt-out</w:t>
            </w:r>
          </w:p>
        </w:tc>
        <w:tc>
          <w:tcPr>
            <w:tcW w:w="19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24828657">
            <w:pPr>
              <w:spacing w:line="360" w:lineRule="auto"/>
              <w:jc w:val="center"/>
              <w:rPr>
                <w:rFonts w:hint="default" w:ascii="Georgia" w:hAnsi="Georgia" w:cs="Georgia"/>
              </w:rPr>
            </w:pPr>
            <w:r>
              <w:rPr>
                <w:rFonts w:hint="default" w:ascii="Georgia" w:hAnsi="Georgia" w:eastAsia="Arial" w:cs="Georgia"/>
                <w:sz w:val="18"/>
                <w:szCs w:val="18"/>
              </w:rPr>
              <w:t>Microsoft</w:t>
            </w:r>
          </w:p>
        </w:tc>
        <w:tc>
          <w:tcPr>
            <w:tcW w:w="2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5D22ED18">
            <w:pPr>
              <w:spacing w:line="360" w:lineRule="auto"/>
              <w:jc w:val="center"/>
              <w:rPr>
                <w:rFonts w:hint="default" w:ascii="Georgia" w:hAnsi="Georgia" w:cs="Georgia"/>
              </w:rPr>
            </w:pPr>
            <w:r>
              <w:rPr>
                <w:rFonts w:hint="default" w:ascii="Georgia" w:hAnsi="Georgia" w:eastAsia="Arial" w:cs="Georgia"/>
                <w:sz w:val="18"/>
                <w:szCs w:val="18"/>
              </w:rPr>
              <w:t>Obstruction</w:t>
            </w:r>
          </w:p>
        </w:tc>
        <w:tc>
          <w:tcPr>
            <w:tcW w:w="26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3556E4F0">
            <w:pPr>
              <w:spacing w:line="360" w:lineRule="auto"/>
              <w:jc w:val="center"/>
              <w:rPr>
                <w:rFonts w:hint="default" w:ascii="Georgia" w:hAnsi="Georgia" w:cs="Georgia"/>
              </w:rPr>
            </w:pPr>
            <w:r>
              <w:rPr>
                <w:rFonts w:hint="default" w:ascii="Georgia" w:hAnsi="Georgia" w:eastAsia="Arial" w:cs="Georgia"/>
                <w:sz w:val="18"/>
                <w:szCs w:val="18"/>
              </w:rPr>
              <w:t>High</w:t>
            </w:r>
          </w:p>
        </w:tc>
      </w:tr>
      <w:tr w14:paraId="2A1C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7DADF39A">
            <w:pPr>
              <w:spacing w:line="360" w:lineRule="auto"/>
              <w:jc w:val="left"/>
              <w:rPr>
                <w:rFonts w:hint="default" w:ascii="Georgia" w:hAnsi="Georgia" w:cs="Georgia"/>
              </w:rPr>
            </w:pPr>
            <w:r>
              <w:rPr>
                <w:rFonts w:hint="default" w:ascii="Georgia" w:hAnsi="Georgia" w:eastAsia="Arial" w:cs="Georgia"/>
                <w:sz w:val="18"/>
                <w:szCs w:val="18"/>
              </w:rPr>
              <w:t>Persistent 'Get more storage' / notification prompts</w:t>
            </w:r>
          </w:p>
        </w:tc>
        <w:tc>
          <w:tcPr>
            <w:tcW w:w="196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690D826">
            <w:pPr>
              <w:spacing w:line="360" w:lineRule="auto"/>
              <w:jc w:val="center"/>
              <w:rPr>
                <w:rFonts w:hint="default" w:ascii="Georgia" w:hAnsi="Georgia" w:cs="Georgia"/>
              </w:rPr>
            </w:pPr>
            <w:r>
              <w:rPr>
                <w:rFonts w:hint="default" w:ascii="Georgia" w:hAnsi="Georgia" w:eastAsia="Arial" w:cs="Georgia"/>
                <w:sz w:val="18"/>
                <w:szCs w:val="18"/>
              </w:rPr>
              <w:t>Both</w:t>
            </w:r>
          </w:p>
        </w:tc>
        <w:tc>
          <w:tcPr>
            <w:tcW w:w="24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CFD9823">
            <w:pPr>
              <w:spacing w:line="360" w:lineRule="auto"/>
              <w:jc w:val="center"/>
              <w:rPr>
                <w:rFonts w:hint="default" w:ascii="Georgia" w:hAnsi="Georgia" w:cs="Georgia"/>
              </w:rPr>
            </w:pPr>
            <w:r>
              <w:rPr>
                <w:rFonts w:hint="default" w:ascii="Georgia" w:hAnsi="Georgia" w:eastAsia="Arial" w:cs="Georgia"/>
                <w:sz w:val="18"/>
                <w:szCs w:val="18"/>
              </w:rPr>
              <w:t>Nagging</w:t>
            </w:r>
          </w:p>
        </w:tc>
        <w:tc>
          <w:tcPr>
            <w:tcW w:w="2600"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2FBA2079">
            <w:pPr>
              <w:spacing w:line="360" w:lineRule="auto"/>
              <w:jc w:val="center"/>
              <w:rPr>
                <w:rFonts w:hint="default" w:ascii="Georgia" w:hAnsi="Georgia" w:cs="Georgia"/>
              </w:rPr>
            </w:pPr>
            <w:r>
              <w:rPr>
                <w:rFonts w:hint="default" w:ascii="Georgia" w:hAnsi="Georgia" w:eastAsia="Arial" w:cs="Georgia"/>
                <w:sz w:val="18"/>
                <w:szCs w:val="18"/>
              </w:rPr>
              <w:t>Medium</w:t>
            </w:r>
          </w:p>
        </w:tc>
      </w:tr>
      <w:tr w14:paraId="1A65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0AB09F6F">
            <w:pPr>
              <w:spacing w:line="360" w:lineRule="auto"/>
              <w:jc w:val="left"/>
              <w:rPr>
                <w:rFonts w:hint="default" w:ascii="Georgia" w:hAnsi="Georgia" w:cs="Georgia"/>
              </w:rPr>
            </w:pPr>
            <w:r>
              <w:rPr>
                <w:rFonts w:hint="default" w:ascii="Georgia" w:hAnsi="Georgia" w:eastAsia="Arial" w:cs="Georgia"/>
                <w:sz w:val="18"/>
                <w:szCs w:val="18"/>
              </w:rPr>
              <w:t>Per-device disable requirement</w:t>
            </w:r>
          </w:p>
        </w:tc>
        <w:tc>
          <w:tcPr>
            <w:tcW w:w="196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685D8D7C">
            <w:pPr>
              <w:spacing w:line="360" w:lineRule="auto"/>
              <w:jc w:val="center"/>
              <w:rPr>
                <w:rFonts w:hint="default" w:ascii="Georgia" w:hAnsi="Georgia" w:cs="Georgia"/>
              </w:rPr>
            </w:pPr>
            <w:r>
              <w:rPr>
                <w:rFonts w:hint="default" w:ascii="Georgia" w:hAnsi="Georgia" w:eastAsia="Arial" w:cs="Georgia"/>
                <w:sz w:val="18"/>
                <w:szCs w:val="18"/>
              </w:rPr>
              <w:t>Google</w:t>
            </w:r>
          </w:p>
        </w:tc>
        <w:tc>
          <w:tcPr>
            <w:tcW w:w="24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2AD8FDE6">
            <w:pPr>
              <w:spacing w:line="360" w:lineRule="auto"/>
              <w:jc w:val="center"/>
              <w:rPr>
                <w:rFonts w:hint="default" w:ascii="Georgia" w:hAnsi="Georgia" w:cs="Georgia"/>
              </w:rPr>
            </w:pPr>
            <w:r>
              <w:rPr>
                <w:rFonts w:hint="default" w:ascii="Georgia" w:hAnsi="Georgia" w:eastAsia="Arial" w:cs="Georgia"/>
                <w:sz w:val="18"/>
                <w:szCs w:val="18"/>
              </w:rPr>
              <w:t>Obstruction</w:t>
            </w:r>
          </w:p>
        </w:tc>
        <w:tc>
          <w:tcPr>
            <w:tcW w:w="2600"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6319B4CD">
            <w:pPr>
              <w:spacing w:line="360" w:lineRule="auto"/>
              <w:jc w:val="center"/>
              <w:rPr>
                <w:rFonts w:hint="default" w:ascii="Georgia" w:hAnsi="Georgia" w:cs="Georgia"/>
              </w:rPr>
            </w:pPr>
            <w:r>
              <w:rPr>
                <w:rFonts w:hint="default" w:ascii="Georgia" w:hAnsi="Georgia" w:eastAsia="Arial" w:cs="Georgia"/>
                <w:sz w:val="18"/>
                <w:szCs w:val="18"/>
              </w:rPr>
              <w:t>Medium</w:t>
            </w:r>
          </w:p>
        </w:tc>
      </w:tr>
    </w:tbl>
    <w:p w14:paraId="416E43B4">
      <w:pPr>
        <w:spacing w:before="60" w:after="180" w:line="360" w:lineRule="auto"/>
        <w:jc w:val="center"/>
        <w:rPr>
          <w:rFonts w:hint="default" w:ascii="Georgia" w:hAnsi="Georgia" w:cs="Georgia"/>
        </w:rPr>
      </w:pPr>
      <w:r>
        <w:rPr>
          <w:rFonts w:hint="default" w:ascii="Georgia" w:hAnsi="Georgia" w:eastAsia="Arial" w:cs="Georgia"/>
          <w:i/>
          <w:iCs/>
          <w:color w:val="606060"/>
          <w:sz w:val="18"/>
          <w:szCs w:val="18"/>
        </w:rPr>
        <w:t>Table 7: Dark-pattern classification of observed behaviours. Severity ratings are assessments based on potential user impact; exploratory findings are noted where applicable.</w:t>
      </w:r>
    </w:p>
    <w:p w14:paraId="77CAA390">
      <w:pPr>
        <w:spacing w:before="160" w:after="0" w:line="360" w:lineRule="auto"/>
        <w:rPr>
          <w:rFonts w:hint="default" w:ascii="Georgia" w:hAnsi="Georgia" w:cs="Georgia"/>
        </w:rPr>
      </w:pPr>
    </w:p>
    <w:p w14:paraId="104F9749">
      <w:pPr>
        <w:pStyle w:val="2"/>
        <w:pBdr>
          <w:bottom w:val="single" w:color="2E7D8A" w:sz="8" w:space="4"/>
        </w:pBdr>
        <w:spacing w:before="360" w:after="180" w:line="360" w:lineRule="auto"/>
        <w:rPr>
          <w:rFonts w:hint="default" w:ascii="Georgia" w:hAnsi="Georgia" w:cs="Georgia"/>
        </w:rPr>
      </w:pPr>
      <w:r>
        <w:rPr>
          <w:rFonts w:hint="default" w:ascii="Georgia" w:hAnsi="Georgia" w:eastAsia="Arial" w:cs="Georgia"/>
          <w:b/>
          <w:bCs/>
          <w:color w:val="1F4E79"/>
          <w:sz w:val="28"/>
          <w:szCs w:val="28"/>
        </w:rPr>
        <w:t>VIII. Economic Analysis</w:t>
      </w:r>
    </w:p>
    <w:p w14:paraId="554F81DA">
      <w:pPr>
        <w:spacing w:before="60" w:after="0" w:line="360" w:lineRule="auto"/>
        <w:rPr>
          <w:rFonts w:hint="default" w:ascii="Georgia" w:hAnsi="Georgia" w:cs="Georgia"/>
        </w:rPr>
      </w:pPr>
    </w:p>
    <w:p w14:paraId="79FD3446">
      <w:pPr>
        <w:spacing w:before="80" w:after="120" w:line="360" w:lineRule="auto"/>
        <w:jc w:val="both"/>
        <w:rPr>
          <w:rFonts w:hint="default" w:ascii="Georgia" w:hAnsi="Georgia" w:cs="Georgia"/>
        </w:rPr>
      </w:pPr>
      <w:r>
        <w:rPr>
          <w:rFonts w:hint="default" w:ascii="Georgia" w:hAnsi="Georgia" w:eastAsia="Arial" w:cs="Georgia"/>
          <w:sz w:val="22"/>
          <w:szCs w:val="22"/>
        </w:rPr>
        <w:t>The following estimates are provided to indicate the potential scale of consumer impact. All figures rest on stated assumptions and should be understood as indicative rather than precisely calibrated. A sensitivity analysis is presented in Table 9.</w:t>
      </w:r>
    </w:p>
    <w:tbl>
      <w:tblPr>
        <w:tblStyle w:val="9"/>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391"/>
        <w:gridCol w:w="2204"/>
        <w:gridCol w:w="2204"/>
        <w:gridCol w:w="2119"/>
      </w:tblGrid>
      <w:tr w14:paraId="7F76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8" w:hRule="atLeast"/>
          <w:tblHeader/>
        </w:trPr>
        <w:tc>
          <w:tcPr>
            <w:tcW w:w="3391"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69F61856">
            <w:pPr>
              <w:spacing w:line="360" w:lineRule="auto"/>
              <w:jc w:val="center"/>
              <w:rPr>
                <w:rFonts w:hint="default" w:ascii="Georgia" w:hAnsi="Georgia" w:cs="Georgia"/>
              </w:rPr>
            </w:pPr>
            <w:r>
              <w:rPr>
                <w:rFonts w:hint="default" w:ascii="Georgia" w:hAnsi="Georgia" w:eastAsia="Arial" w:cs="Georgia"/>
                <w:b/>
                <w:bCs/>
                <w:color w:val="FFFFFF"/>
                <w:sz w:val="18"/>
                <w:szCs w:val="18"/>
              </w:rPr>
              <w:t>Parameter</w:t>
            </w:r>
          </w:p>
        </w:tc>
        <w:tc>
          <w:tcPr>
            <w:tcW w:w="2204"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23E6D2DE">
            <w:pPr>
              <w:spacing w:line="360" w:lineRule="auto"/>
              <w:jc w:val="center"/>
              <w:rPr>
                <w:rFonts w:hint="default" w:ascii="Georgia" w:hAnsi="Georgia" w:cs="Georgia"/>
              </w:rPr>
            </w:pPr>
            <w:r>
              <w:rPr>
                <w:rFonts w:hint="default" w:ascii="Georgia" w:hAnsi="Georgia" w:eastAsia="Arial" w:cs="Georgia"/>
                <w:b/>
                <w:bCs/>
                <w:color w:val="FFFFFF"/>
                <w:sz w:val="18"/>
                <w:szCs w:val="18"/>
              </w:rPr>
              <w:t>Conservative</w:t>
            </w:r>
          </w:p>
        </w:tc>
        <w:tc>
          <w:tcPr>
            <w:tcW w:w="2204"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45B905EE">
            <w:pPr>
              <w:spacing w:line="360" w:lineRule="auto"/>
              <w:jc w:val="center"/>
              <w:rPr>
                <w:rFonts w:hint="default" w:ascii="Georgia" w:hAnsi="Georgia" w:cs="Georgia"/>
              </w:rPr>
            </w:pPr>
            <w:r>
              <w:rPr>
                <w:rFonts w:hint="default" w:ascii="Georgia" w:hAnsi="Georgia" w:eastAsia="Arial" w:cs="Georgia"/>
                <w:b/>
                <w:bCs/>
                <w:color w:val="FFFFFF"/>
                <w:sz w:val="18"/>
                <w:szCs w:val="18"/>
              </w:rPr>
              <w:t>Central</w:t>
            </w:r>
          </w:p>
        </w:tc>
        <w:tc>
          <w:tcPr>
            <w:tcW w:w="2119" w:type="dxa"/>
            <w:tcBorders>
              <w:top w:val="single" w:color="A8C4D8" w:sz="0" w:space="0"/>
              <w:left w:val="single" w:color="A8C4D8" w:sz="0" w:space="0"/>
              <w:bottom w:val="single" w:color="A8C4D8" w:sz="0" w:space="0"/>
              <w:right w:val="single" w:color="A8C4D8" w:sz="0" w:space="0"/>
            </w:tcBorders>
            <w:shd w:val="clear" w:color="auto" w:fill="1F4E79"/>
            <w:tcMar>
              <w:top w:w="100" w:type="dxa"/>
              <w:left w:w="120" w:type="dxa"/>
              <w:bottom w:w="100" w:type="dxa"/>
              <w:right w:w="120" w:type="dxa"/>
            </w:tcMar>
            <w:vAlign w:val="center"/>
          </w:tcPr>
          <w:p w14:paraId="5A583FE4">
            <w:pPr>
              <w:spacing w:line="360" w:lineRule="auto"/>
              <w:jc w:val="center"/>
              <w:rPr>
                <w:rFonts w:hint="default" w:ascii="Georgia" w:hAnsi="Georgia" w:cs="Georgia"/>
              </w:rPr>
            </w:pPr>
            <w:r>
              <w:rPr>
                <w:rFonts w:hint="default" w:ascii="Georgia" w:hAnsi="Georgia" w:eastAsia="Arial" w:cs="Georgia"/>
                <w:b/>
                <w:bCs/>
                <w:color w:val="FFFFFF"/>
                <w:sz w:val="18"/>
                <w:szCs w:val="18"/>
              </w:rPr>
              <w:t>High</w:t>
            </w:r>
          </w:p>
        </w:tc>
      </w:tr>
      <w:tr w14:paraId="5E60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4" w:hRule="atLeast"/>
        </w:trPr>
        <w:tc>
          <w:tcPr>
            <w:tcW w:w="3391"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2193611B">
            <w:pPr>
              <w:spacing w:line="360" w:lineRule="auto"/>
              <w:jc w:val="left"/>
              <w:rPr>
                <w:rFonts w:hint="default" w:ascii="Georgia" w:hAnsi="Georgia" w:cs="Georgia"/>
              </w:rPr>
            </w:pPr>
            <w:r>
              <w:rPr>
                <w:rFonts w:hint="default" w:ascii="Georgia" w:hAnsi="Georgia" w:eastAsia="Arial" w:cs="Georgia"/>
                <w:sz w:val="18"/>
                <w:szCs w:val="18"/>
              </w:rPr>
              <w:t>Windows users globally (source: Statcounter 2024)</w:t>
            </w:r>
          </w:p>
        </w:tc>
        <w:tc>
          <w:tcPr>
            <w:tcW w:w="2204"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927588B">
            <w:pPr>
              <w:spacing w:line="360" w:lineRule="auto"/>
              <w:jc w:val="center"/>
              <w:rPr>
                <w:rFonts w:hint="default" w:ascii="Georgia" w:hAnsi="Georgia" w:cs="Georgia"/>
              </w:rPr>
            </w:pPr>
            <w:r>
              <w:rPr>
                <w:rFonts w:hint="default" w:ascii="Georgia" w:hAnsi="Georgia" w:eastAsia="Arial" w:cs="Georgia"/>
                <w:sz w:val="18"/>
                <w:szCs w:val="18"/>
              </w:rPr>
              <w:t>—</w:t>
            </w:r>
          </w:p>
        </w:tc>
        <w:tc>
          <w:tcPr>
            <w:tcW w:w="2204"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26B683F">
            <w:pPr>
              <w:spacing w:line="360" w:lineRule="auto"/>
              <w:jc w:val="center"/>
              <w:rPr>
                <w:rFonts w:hint="default" w:ascii="Georgia" w:hAnsi="Georgia" w:cs="Georgia"/>
              </w:rPr>
            </w:pPr>
            <w:r>
              <w:rPr>
                <w:rFonts w:hint="default" w:ascii="Georgia" w:hAnsi="Georgia" w:eastAsia="Arial" w:cs="Georgia"/>
                <w:sz w:val="18"/>
                <w:szCs w:val="18"/>
              </w:rPr>
              <w:t>1.4 billion</w:t>
            </w:r>
          </w:p>
        </w:tc>
        <w:tc>
          <w:tcPr>
            <w:tcW w:w="2119"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72A8EC39">
            <w:pPr>
              <w:spacing w:line="360" w:lineRule="auto"/>
              <w:jc w:val="center"/>
              <w:rPr>
                <w:rFonts w:hint="default" w:ascii="Georgia" w:hAnsi="Georgia" w:cs="Georgia"/>
              </w:rPr>
            </w:pPr>
            <w:r>
              <w:rPr>
                <w:rFonts w:hint="default" w:ascii="Georgia" w:hAnsi="Georgia" w:eastAsia="Arial" w:cs="Georgia"/>
                <w:sz w:val="18"/>
                <w:szCs w:val="18"/>
              </w:rPr>
              <w:t>—</w:t>
            </w:r>
          </w:p>
        </w:tc>
      </w:tr>
      <w:tr w14:paraId="218F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4" w:hRule="atLeast"/>
        </w:trPr>
        <w:tc>
          <w:tcPr>
            <w:tcW w:w="3391"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3FC0ADBD">
            <w:pPr>
              <w:spacing w:line="360" w:lineRule="auto"/>
              <w:jc w:val="left"/>
              <w:rPr>
                <w:rFonts w:hint="default" w:ascii="Georgia" w:hAnsi="Georgia" w:cs="Georgia"/>
              </w:rPr>
            </w:pPr>
            <w:r>
              <w:rPr>
                <w:rFonts w:hint="default" w:ascii="Georgia" w:hAnsi="Georgia" w:eastAsia="Arial" w:cs="Georgia"/>
                <w:sz w:val="18"/>
                <w:szCs w:val="18"/>
              </w:rPr>
              <w:t>Assumed conversion to paid subscription</w:t>
            </w:r>
          </w:p>
        </w:tc>
        <w:tc>
          <w:tcPr>
            <w:tcW w:w="2204"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27935FA3">
            <w:pPr>
              <w:spacing w:line="360" w:lineRule="auto"/>
              <w:jc w:val="center"/>
              <w:rPr>
                <w:rFonts w:hint="default" w:ascii="Georgia" w:hAnsi="Georgia" w:cs="Georgia"/>
              </w:rPr>
            </w:pPr>
            <w:r>
              <w:rPr>
                <w:rFonts w:hint="default" w:ascii="Georgia" w:hAnsi="Georgia" w:eastAsia="Arial" w:cs="Georgia"/>
                <w:sz w:val="18"/>
                <w:szCs w:val="18"/>
              </w:rPr>
              <w:t>5%</w:t>
            </w:r>
          </w:p>
        </w:tc>
        <w:tc>
          <w:tcPr>
            <w:tcW w:w="2204"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03526DBA">
            <w:pPr>
              <w:spacing w:line="360" w:lineRule="auto"/>
              <w:jc w:val="center"/>
              <w:rPr>
                <w:rFonts w:hint="default" w:ascii="Georgia" w:hAnsi="Georgia" w:cs="Georgia"/>
              </w:rPr>
            </w:pPr>
            <w:r>
              <w:rPr>
                <w:rFonts w:hint="default" w:ascii="Georgia" w:hAnsi="Georgia" w:eastAsia="Arial" w:cs="Georgia"/>
                <w:sz w:val="18"/>
                <w:szCs w:val="18"/>
              </w:rPr>
              <w:t>10%</w:t>
            </w:r>
          </w:p>
        </w:tc>
        <w:tc>
          <w:tcPr>
            <w:tcW w:w="2119"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369D14C8">
            <w:pPr>
              <w:spacing w:line="360" w:lineRule="auto"/>
              <w:jc w:val="center"/>
              <w:rPr>
                <w:rFonts w:hint="default" w:ascii="Georgia" w:hAnsi="Georgia" w:cs="Georgia"/>
              </w:rPr>
            </w:pPr>
            <w:r>
              <w:rPr>
                <w:rFonts w:hint="default" w:ascii="Georgia" w:hAnsi="Georgia" w:eastAsia="Arial" w:cs="Georgia"/>
                <w:sz w:val="18"/>
                <w:szCs w:val="18"/>
              </w:rPr>
              <w:t>15%</w:t>
            </w:r>
          </w:p>
        </w:tc>
      </w:tr>
      <w:tr w14:paraId="7579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8" w:hRule="atLeast"/>
        </w:trPr>
        <w:tc>
          <w:tcPr>
            <w:tcW w:w="3391"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228C1BCF">
            <w:pPr>
              <w:spacing w:line="360" w:lineRule="auto"/>
              <w:jc w:val="left"/>
              <w:rPr>
                <w:rFonts w:hint="default" w:ascii="Georgia" w:hAnsi="Georgia" w:cs="Georgia"/>
              </w:rPr>
            </w:pPr>
            <w:r>
              <w:rPr>
                <w:rFonts w:hint="default" w:ascii="Georgia" w:hAnsi="Georgia" w:eastAsia="Arial" w:cs="Georgia"/>
                <w:sz w:val="18"/>
                <w:szCs w:val="18"/>
              </w:rPr>
              <w:t>Estimated paid subscribers</w:t>
            </w:r>
          </w:p>
        </w:tc>
        <w:tc>
          <w:tcPr>
            <w:tcW w:w="2204"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A3BF260">
            <w:pPr>
              <w:spacing w:line="360" w:lineRule="auto"/>
              <w:jc w:val="center"/>
              <w:rPr>
                <w:rFonts w:hint="default" w:ascii="Georgia" w:hAnsi="Georgia" w:cs="Georgia"/>
              </w:rPr>
            </w:pPr>
            <w:r>
              <w:rPr>
                <w:rFonts w:hint="default" w:ascii="Georgia" w:hAnsi="Georgia" w:eastAsia="Arial" w:cs="Georgia"/>
                <w:sz w:val="18"/>
                <w:szCs w:val="18"/>
              </w:rPr>
              <w:t>70 M</w:t>
            </w:r>
          </w:p>
        </w:tc>
        <w:tc>
          <w:tcPr>
            <w:tcW w:w="2204"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9F560C1">
            <w:pPr>
              <w:spacing w:line="360" w:lineRule="auto"/>
              <w:jc w:val="center"/>
              <w:rPr>
                <w:rFonts w:hint="default" w:ascii="Georgia" w:hAnsi="Georgia" w:cs="Georgia"/>
              </w:rPr>
            </w:pPr>
            <w:r>
              <w:rPr>
                <w:rFonts w:hint="default" w:ascii="Georgia" w:hAnsi="Georgia" w:eastAsia="Arial" w:cs="Georgia"/>
                <w:sz w:val="18"/>
                <w:szCs w:val="18"/>
              </w:rPr>
              <w:t>140 M</w:t>
            </w:r>
          </w:p>
        </w:tc>
        <w:tc>
          <w:tcPr>
            <w:tcW w:w="2119"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7BCD5240">
            <w:pPr>
              <w:spacing w:line="360" w:lineRule="auto"/>
              <w:jc w:val="center"/>
              <w:rPr>
                <w:rFonts w:hint="default" w:ascii="Georgia" w:hAnsi="Georgia" w:cs="Georgia"/>
              </w:rPr>
            </w:pPr>
            <w:r>
              <w:rPr>
                <w:rFonts w:hint="default" w:ascii="Georgia" w:hAnsi="Georgia" w:eastAsia="Arial" w:cs="Georgia"/>
                <w:sz w:val="18"/>
                <w:szCs w:val="18"/>
              </w:rPr>
              <w:t>210 M</w:t>
            </w:r>
          </w:p>
        </w:tc>
      </w:tr>
      <w:tr w14:paraId="378D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4" w:hRule="atLeast"/>
        </w:trPr>
        <w:tc>
          <w:tcPr>
            <w:tcW w:w="3391"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0CF58F08">
            <w:pPr>
              <w:spacing w:line="360" w:lineRule="auto"/>
              <w:jc w:val="left"/>
              <w:rPr>
                <w:rFonts w:hint="default" w:ascii="Georgia" w:hAnsi="Georgia" w:cs="Georgia"/>
              </w:rPr>
            </w:pPr>
            <w:r>
              <w:rPr>
                <w:rFonts w:hint="default" w:ascii="Georgia" w:hAnsi="Georgia" w:eastAsia="Arial" w:cs="Georgia"/>
                <w:sz w:val="18"/>
                <w:szCs w:val="18"/>
              </w:rPr>
              <w:t>Annual subscription cost (Microsoft 365 Personal)</w:t>
            </w:r>
          </w:p>
        </w:tc>
        <w:tc>
          <w:tcPr>
            <w:tcW w:w="2204"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3BCD2389">
            <w:pPr>
              <w:spacing w:line="360" w:lineRule="auto"/>
              <w:jc w:val="center"/>
              <w:rPr>
                <w:rFonts w:hint="default" w:ascii="Georgia" w:hAnsi="Georgia" w:cs="Georgia"/>
              </w:rPr>
            </w:pPr>
            <w:r>
              <w:rPr>
                <w:rFonts w:hint="default" w:ascii="Georgia" w:hAnsi="Georgia" w:eastAsia="Arial" w:cs="Georgia"/>
                <w:sz w:val="18"/>
                <w:szCs w:val="18"/>
              </w:rPr>
              <w:t>USD 70/yr</w:t>
            </w:r>
          </w:p>
        </w:tc>
        <w:tc>
          <w:tcPr>
            <w:tcW w:w="2204"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905174D">
            <w:pPr>
              <w:spacing w:line="360" w:lineRule="auto"/>
              <w:jc w:val="center"/>
              <w:rPr>
                <w:rFonts w:hint="default" w:ascii="Georgia" w:hAnsi="Georgia" w:cs="Georgia"/>
              </w:rPr>
            </w:pPr>
            <w:r>
              <w:rPr>
                <w:rFonts w:hint="default" w:ascii="Georgia" w:hAnsi="Georgia" w:eastAsia="Arial" w:cs="Georgia"/>
                <w:sz w:val="18"/>
                <w:szCs w:val="18"/>
              </w:rPr>
              <w:t>USD 70/yr</w:t>
            </w:r>
          </w:p>
        </w:tc>
        <w:tc>
          <w:tcPr>
            <w:tcW w:w="2119"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74497780">
            <w:pPr>
              <w:spacing w:line="360" w:lineRule="auto"/>
              <w:jc w:val="center"/>
              <w:rPr>
                <w:rFonts w:hint="default" w:ascii="Georgia" w:hAnsi="Georgia" w:cs="Georgia"/>
              </w:rPr>
            </w:pPr>
            <w:r>
              <w:rPr>
                <w:rFonts w:hint="default" w:ascii="Georgia" w:hAnsi="Georgia" w:eastAsia="Arial" w:cs="Georgia"/>
                <w:sz w:val="18"/>
                <w:szCs w:val="18"/>
              </w:rPr>
              <w:t>USD 70/yr</w:t>
            </w:r>
          </w:p>
        </w:tc>
      </w:tr>
      <w:tr w14:paraId="52F9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4" w:hRule="atLeast"/>
        </w:trPr>
        <w:tc>
          <w:tcPr>
            <w:tcW w:w="3391"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4E83FF79">
            <w:pPr>
              <w:spacing w:line="360" w:lineRule="auto"/>
              <w:jc w:val="left"/>
              <w:rPr>
                <w:rFonts w:hint="default" w:ascii="Georgia" w:hAnsi="Georgia" w:cs="Georgia"/>
              </w:rPr>
            </w:pPr>
            <w:r>
              <w:rPr>
                <w:rFonts w:hint="default" w:ascii="Georgia" w:hAnsi="Georgia" w:eastAsia="Arial" w:cs="Georgia"/>
                <w:sz w:val="18"/>
                <w:szCs w:val="18"/>
              </w:rPr>
              <w:t>Annual revenue attributable to mechanism</w:t>
            </w:r>
          </w:p>
        </w:tc>
        <w:tc>
          <w:tcPr>
            <w:tcW w:w="2204"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028AAB23">
            <w:pPr>
              <w:spacing w:line="360" w:lineRule="auto"/>
              <w:jc w:val="center"/>
              <w:rPr>
                <w:rFonts w:hint="default" w:ascii="Georgia" w:hAnsi="Georgia" w:cs="Georgia"/>
              </w:rPr>
            </w:pPr>
            <w:r>
              <w:rPr>
                <w:rFonts w:hint="default" w:ascii="Georgia" w:hAnsi="Georgia" w:eastAsia="Arial" w:cs="Georgia"/>
                <w:sz w:val="18"/>
                <w:szCs w:val="18"/>
              </w:rPr>
              <w:t>USD 4.9 B</w:t>
            </w:r>
          </w:p>
        </w:tc>
        <w:tc>
          <w:tcPr>
            <w:tcW w:w="2204"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5715243E">
            <w:pPr>
              <w:spacing w:line="360" w:lineRule="auto"/>
              <w:jc w:val="center"/>
              <w:rPr>
                <w:rFonts w:hint="default" w:ascii="Georgia" w:hAnsi="Georgia" w:cs="Georgia"/>
              </w:rPr>
            </w:pPr>
            <w:r>
              <w:rPr>
                <w:rFonts w:hint="default" w:ascii="Georgia" w:hAnsi="Georgia" w:eastAsia="Arial" w:cs="Georgia"/>
                <w:sz w:val="18"/>
                <w:szCs w:val="18"/>
              </w:rPr>
              <w:t>USD 9.8 B</w:t>
            </w:r>
          </w:p>
        </w:tc>
        <w:tc>
          <w:tcPr>
            <w:tcW w:w="2119" w:type="dxa"/>
            <w:tcBorders>
              <w:top w:val="single" w:color="A8C4D8" w:sz="0" w:space="0"/>
              <w:left w:val="single" w:color="A8C4D8" w:sz="0" w:space="0"/>
              <w:bottom w:val="single" w:color="A8C4D8" w:sz="0" w:space="0"/>
              <w:right w:val="single" w:color="A8C4D8" w:sz="0" w:space="0"/>
            </w:tcBorders>
            <w:shd w:val="clear" w:color="auto" w:fill="FFFFFF"/>
            <w:tcMar>
              <w:top w:w="80" w:type="dxa"/>
              <w:left w:w="120" w:type="dxa"/>
              <w:bottom w:w="80" w:type="dxa"/>
              <w:right w:w="120" w:type="dxa"/>
            </w:tcMar>
          </w:tcPr>
          <w:p w14:paraId="249C2F09">
            <w:pPr>
              <w:spacing w:line="360" w:lineRule="auto"/>
              <w:jc w:val="center"/>
              <w:rPr>
                <w:rFonts w:hint="default" w:ascii="Georgia" w:hAnsi="Georgia" w:cs="Georgia"/>
              </w:rPr>
            </w:pPr>
            <w:r>
              <w:rPr>
                <w:rFonts w:hint="default" w:ascii="Georgia" w:hAnsi="Georgia" w:eastAsia="Arial" w:cs="Georgia"/>
                <w:sz w:val="18"/>
                <w:szCs w:val="18"/>
              </w:rPr>
              <w:t>USD 14.7 B</w:t>
            </w:r>
          </w:p>
        </w:tc>
      </w:tr>
      <w:tr w14:paraId="3D8C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3" w:hRule="atLeast"/>
        </w:trPr>
        <w:tc>
          <w:tcPr>
            <w:tcW w:w="3391"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4F582DD7">
            <w:pPr>
              <w:spacing w:line="360" w:lineRule="auto"/>
              <w:jc w:val="left"/>
              <w:rPr>
                <w:rFonts w:hint="default" w:ascii="Georgia" w:hAnsi="Georgia" w:cs="Georgia"/>
              </w:rPr>
            </w:pPr>
            <w:r>
              <w:rPr>
                <w:rFonts w:hint="default" w:ascii="Georgia" w:hAnsi="Georgia" w:eastAsia="Arial" w:cs="Georgia"/>
                <w:sz w:val="18"/>
                <w:szCs w:val="18"/>
              </w:rPr>
              <w:t>Lifetime user cost (40 yr working life)</w:t>
            </w:r>
          </w:p>
        </w:tc>
        <w:tc>
          <w:tcPr>
            <w:tcW w:w="2204"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273F6A12">
            <w:pPr>
              <w:spacing w:line="360" w:lineRule="auto"/>
              <w:jc w:val="center"/>
              <w:rPr>
                <w:rFonts w:hint="default" w:ascii="Georgia" w:hAnsi="Georgia" w:cs="Georgia"/>
              </w:rPr>
            </w:pPr>
            <w:r>
              <w:rPr>
                <w:rFonts w:hint="default" w:ascii="Georgia" w:hAnsi="Georgia" w:eastAsia="Arial" w:cs="Georgia"/>
                <w:sz w:val="18"/>
                <w:szCs w:val="18"/>
              </w:rPr>
              <w:t>USD 2,800</w:t>
            </w:r>
          </w:p>
        </w:tc>
        <w:tc>
          <w:tcPr>
            <w:tcW w:w="2204"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0F8BBEA8">
            <w:pPr>
              <w:spacing w:line="360" w:lineRule="auto"/>
              <w:jc w:val="center"/>
              <w:rPr>
                <w:rFonts w:hint="default" w:ascii="Georgia" w:hAnsi="Georgia" w:cs="Georgia"/>
              </w:rPr>
            </w:pPr>
            <w:r>
              <w:rPr>
                <w:rFonts w:hint="default" w:ascii="Georgia" w:hAnsi="Georgia" w:eastAsia="Arial" w:cs="Georgia"/>
                <w:sz w:val="18"/>
                <w:szCs w:val="18"/>
              </w:rPr>
              <w:t>USD 2,800</w:t>
            </w:r>
          </w:p>
        </w:tc>
        <w:tc>
          <w:tcPr>
            <w:tcW w:w="2119" w:type="dxa"/>
            <w:tcBorders>
              <w:top w:val="single" w:color="A8C4D8" w:sz="0" w:space="0"/>
              <w:left w:val="single" w:color="A8C4D8" w:sz="0" w:space="0"/>
              <w:bottom w:val="single" w:color="A8C4D8" w:sz="0" w:space="0"/>
              <w:right w:val="single" w:color="A8C4D8" w:sz="0" w:space="0"/>
            </w:tcBorders>
            <w:shd w:val="clear" w:color="auto" w:fill="D6E4F0"/>
            <w:tcMar>
              <w:top w:w="80" w:type="dxa"/>
              <w:left w:w="120" w:type="dxa"/>
              <w:bottom w:w="80" w:type="dxa"/>
              <w:right w:w="120" w:type="dxa"/>
            </w:tcMar>
          </w:tcPr>
          <w:p w14:paraId="1E62A3B1">
            <w:pPr>
              <w:spacing w:line="360" w:lineRule="auto"/>
              <w:jc w:val="center"/>
              <w:rPr>
                <w:rFonts w:hint="default" w:ascii="Georgia" w:hAnsi="Georgia" w:cs="Georgia"/>
              </w:rPr>
            </w:pPr>
            <w:r>
              <w:rPr>
                <w:rFonts w:hint="default" w:ascii="Georgia" w:hAnsi="Georgia" w:eastAsia="Arial" w:cs="Georgia"/>
                <w:sz w:val="18"/>
                <w:szCs w:val="18"/>
              </w:rPr>
              <w:t>USD 2,800</w:t>
            </w:r>
          </w:p>
        </w:tc>
      </w:tr>
    </w:tbl>
    <w:p w14:paraId="47660FC1">
      <w:pPr>
        <w:spacing w:before="60" w:after="180" w:line="360" w:lineRule="auto"/>
        <w:jc w:val="center"/>
        <w:rPr>
          <w:rFonts w:hint="default" w:ascii="Georgia" w:hAnsi="Georgia" w:cs="Georgia"/>
        </w:rPr>
      </w:pPr>
      <w:r>
        <w:rPr>
          <w:rFonts w:hint="default" w:ascii="Georgia" w:hAnsi="Georgia" w:eastAsia="Arial" w:cs="Georgia"/>
          <w:i/>
          <w:iCs/>
          <w:color w:val="606060"/>
          <w:sz w:val="18"/>
          <w:szCs w:val="18"/>
        </w:rPr>
        <w:t>Table 8: Economic impact estimates under conservative, central, and high assumptions. Conversion rates are assumed; no independent data source was available to calibrate this parameter.</w:t>
      </w:r>
    </w:p>
    <w:p w14:paraId="344031DF">
      <w:pPr>
        <w:spacing w:before="100" w:after="0" w:line="360" w:lineRule="auto"/>
        <w:rPr>
          <w:rFonts w:hint="default" w:ascii="Georgia" w:hAnsi="Georgia" w:cs="Georgia"/>
        </w:rPr>
      </w:pPr>
    </w:p>
    <w:p w14:paraId="78DA8327">
      <w:pPr>
        <w:spacing w:before="80" w:after="120" w:line="360" w:lineRule="auto"/>
        <w:jc w:val="both"/>
        <w:rPr>
          <w:rFonts w:hint="default" w:ascii="Georgia" w:hAnsi="Georgia" w:cs="Georgia"/>
        </w:rPr>
      </w:pPr>
      <w:r>
        <w:rPr>
          <w:rFonts w:hint="default" w:ascii="Georgia" w:hAnsi="Georgia" w:eastAsia="Arial" w:cs="Georgia"/>
          <w:sz w:val="22"/>
          <w:szCs w:val="22"/>
        </w:rPr>
        <w:t>For Google users, indicative figures are analogous. An observed account was paying INR 1,300 per year (approximately USD 16) for 100 GB of Google One storage. Of the 56.31 GB consumed, only 7.83 GB reflected deliberate cloud use—well within the free tier. Under the fee arrangement prior to auto-backup, the user would have required no paid storage. The annual unnecessary subscription cost attributable to default auto-backup in this case was INR 1,300 per year.</w:t>
      </w:r>
    </w:p>
    <w:p w14:paraId="19EDAF2B">
      <w:pPr>
        <w:spacing w:before="160" w:after="0" w:line="360" w:lineRule="auto"/>
        <w:rPr>
          <w:rFonts w:hint="default" w:ascii="Georgia" w:hAnsi="Georgia" w:cs="Georgia"/>
        </w:rPr>
      </w:pPr>
    </w:p>
    <w:p w14:paraId="2FA71094">
      <w:pPr>
        <w:pStyle w:val="2"/>
        <w:pBdr>
          <w:bottom w:val="single" w:color="2E7D8A" w:sz="8" w:space="4"/>
        </w:pBdr>
        <w:spacing w:before="360" w:after="180" w:line="360" w:lineRule="auto"/>
        <w:rPr>
          <w:rFonts w:hint="default" w:ascii="Georgia" w:hAnsi="Georgia" w:cs="Georgia"/>
        </w:rPr>
      </w:pPr>
      <w:r>
        <w:rPr>
          <w:rFonts w:hint="default" w:ascii="Georgia" w:hAnsi="Georgia" w:eastAsia="Arial" w:cs="Georgia"/>
          <w:b/>
          <w:bCs/>
          <w:color w:val="1F4E79"/>
          <w:sz w:val="28"/>
          <w:szCs w:val="28"/>
        </w:rPr>
        <w:t>IX. Regulatory Considerations</w:t>
      </w:r>
    </w:p>
    <w:p w14:paraId="13F8E79C">
      <w:pPr>
        <w:spacing w:before="60" w:after="0" w:line="360" w:lineRule="auto"/>
        <w:rPr>
          <w:rFonts w:hint="default" w:ascii="Georgia" w:hAnsi="Georgia" w:cs="Georgia"/>
        </w:rPr>
      </w:pPr>
    </w:p>
    <w:p w14:paraId="18E602A9">
      <w:pPr>
        <w:spacing w:before="80" w:after="120" w:line="360" w:lineRule="auto"/>
        <w:jc w:val="both"/>
        <w:rPr>
          <w:rFonts w:hint="default" w:ascii="Georgia" w:hAnsi="Georgia" w:cs="Georgia"/>
        </w:rPr>
      </w:pPr>
      <w:r>
        <w:rPr>
          <w:rFonts w:hint="default" w:ascii="Georgia" w:hAnsi="Georgia" w:eastAsia="Arial" w:cs="Georgia"/>
          <w:sz w:val="22"/>
          <w:szCs w:val="22"/>
        </w:rPr>
        <w:t>We note that legal analysis in this section is illustrative in character. It identifies potentially relevant provisions and raises questions for regulators and legal scholars rather than asserting definitive conclusions regarding violations. Readers requiring legal guidance on specific situations should consult qualified legal professionals.</w:t>
      </w:r>
    </w:p>
    <w:p w14:paraId="61175D3D">
      <w:pPr>
        <w:spacing w:before="80" w:after="0" w:line="360" w:lineRule="auto"/>
        <w:rPr>
          <w:rFonts w:hint="default" w:ascii="Georgia" w:hAnsi="Georgia" w:cs="Georgia"/>
        </w:rPr>
      </w:pPr>
    </w:p>
    <w:p w14:paraId="6566E994">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A. Applicable Frameworks</w:t>
      </w:r>
    </w:p>
    <w:p w14:paraId="41E58EB4">
      <w:pPr>
        <w:spacing w:before="40" w:after="0" w:line="360" w:lineRule="auto"/>
        <w:rPr>
          <w:rFonts w:hint="default" w:ascii="Georgia" w:hAnsi="Georgia" w:cs="Georgia"/>
        </w:rPr>
      </w:pPr>
    </w:p>
    <w:p w14:paraId="0F6E8F95">
      <w:pPr>
        <w:spacing w:before="80" w:after="120" w:line="360" w:lineRule="auto"/>
        <w:jc w:val="both"/>
        <w:rPr>
          <w:rFonts w:hint="default" w:ascii="Georgia" w:hAnsi="Georgia" w:cs="Georgia"/>
        </w:rPr>
      </w:pPr>
      <w:r>
        <w:rPr>
          <w:rFonts w:hint="default" w:ascii="Georgia" w:hAnsi="Georgia" w:eastAsia="Arial" w:cs="Georgia"/>
          <w:sz w:val="22"/>
          <w:szCs w:val="22"/>
        </w:rPr>
        <w:t>Multiple jurisdictions have enacted or are developing frameworks with apparent relevance to the behaviours documented in this paper.</w:t>
      </w:r>
    </w:p>
    <w:p w14:paraId="0025B57A">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EU Digital Services Act (Article 25): Requires that providers do not design online interfaces in ways that deceive or manipulate users. The documented notification asymmetry and settings non-functionality raise questions under this provision.</w:t>
      </w:r>
    </w:p>
    <w:p w14:paraId="1F8E2FB6">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EU Digital Markets Act (Articles 5–6): Imposes obligations on designated gatekeepers (both Microsoft and Google hold this designation) regarding default settings, interoperability, and bundling. The pre-installation of OneDrive and Google Photos on their respective operating systems, combined with default-enabled backup, may warrant scrutiny.</w:t>
      </w:r>
    </w:p>
    <w:p w14:paraId="358694FD">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GDPR Transparency Principle: Personal data must be processed in a transparent manner. Auto-upload of photos and documents without prominent, specific user notification raises transparency questions.</w:t>
      </w:r>
    </w:p>
    <w:p w14:paraId="3FA775A8">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India Consumer Protection Act 2019 (Section 2(47)): Defines unfair trade practice to include deceptive practices. The Hostage Service Pattern's concealment of the consumption source while displaying warnings in an unrelated service may be relevant.</w:t>
      </w:r>
    </w:p>
    <w:p w14:paraId="61342377">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US FTC Act Section 5: Prohibits unfair or deceptive acts or practices. The FTC's 2022 policy statement on commercial surveillance and data security may apply to auto-backup practices.</w:t>
      </w:r>
    </w:p>
    <w:p w14:paraId="5AE7DFD5">
      <w:pPr>
        <w:spacing w:before="80" w:after="0" w:line="360" w:lineRule="auto"/>
        <w:rPr>
          <w:rFonts w:hint="default" w:ascii="Georgia" w:hAnsi="Georgia" w:cs="Georgia"/>
        </w:rPr>
      </w:pPr>
    </w:p>
    <w:p w14:paraId="74530A94">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B. Proposed Regulatory Responses</w:t>
      </w:r>
    </w:p>
    <w:p w14:paraId="5E2A8DD7">
      <w:pPr>
        <w:spacing w:before="40" w:after="0" w:line="360" w:lineRule="auto"/>
        <w:rPr>
          <w:rFonts w:hint="default" w:ascii="Georgia" w:hAnsi="Georgia" w:cs="Georgia"/>
        </w:rPr>
      </w:pPr>
    </w:p>
    <w:p w14:paraId="01A94A71">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Mandatory opt-in: Cloud backup should be disabled by default; users should be required to take an affirmative action to enable it.</w:t>
      </w:r>
    </w:p>
    <w:p w14:paraId="061FEBD6">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True deletion: Files deleted by the user should not continue to count against quota for extended retention periods without explicit user awareness.</w:t>
      </w:r>
    </w:p>
    <w:p w14:paraId="10B31946">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Device-agnostic settings: A single 'disable backup' action should apply across all devices on a platform without requiring device-by-device repetition.</w:t>
      </w:r>
    </w:p>
    <w:p w14:paraId="46DEB616">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Transparent consumption attribution: Storage warnings should indicate which service is responsible for the consumption, not merely that the overall quota is full.</w:t>
      </w:r>
    </w:p>
    <w:p w14:paraId="4583A617">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Functional opt-out: 'Disable' controls should function as described, without causing collateral damage to unrelated services.</w:t>
      </w:r>
    </w:p>
    <w:p w14:paraId="32532719">
      <w:pPr>
        <w:pStyle w:val="16"/>
        <w:numPr>
          <w:ilvl w:val="0"/>
          <w:numId w:val="1"/>
        </w:numPr>
        <w:spacing w:before="60" w:after="60" w:line="360" w:lineRule="auto"/>
        <w:rPr>
          <w:rFonts w:hint="default" w:ascii="Georgia" w:hAnsi="Georgia" w:cs="Georgia"/>
        </w:rPr>
      </w:pPr>
      <w:r>
        <w:rPr>
          <w:rFonts w:hint="default" w:ascii="Georgia" w:hAnsi="Georgia" w:eastAsia="Arial" w:cs="Georgia"/>
          <w:sz w:val="22"/>
          <w:szCs w:val="22"/>
        </w:rPr>
        <w:t>Interoperability and data portability: Easy migration between cloud providers should be technically supported to lower switching costs.</w:t>
      </w:r>
    </w:p>
    <w:p w14:paraId="1B3B58C0">
      <w:pPr>
        <w:spacing w:before="160" w:after="0" w:line="360" w:lineRule="auto"/>
        <w:rPr>
          <w:rFonts w:hint="default" w:ascii="Georgia" w:hAnsi="Georgia" w:cs="Georgia"/>
        </w:rPr>
      </w:pPr>
    </w:p>
    <w:p w14:paraId="38A480DB">
      <w:pPr>
        <w:pStyle w:val="2"/>
        <w:pBdr>
          <w:bottom w:val="single" w:color="2E7D8A" w:sz="8" w:space="4"/>
        </w:pBdr>
        <w:spacing w:before="360" w:after="180" w:line="360" w:lineRule="auto"/>
        <w:rPr>
          <w:rFonts w:hint="default" w:ascii="Georgia" w:hAnsi="Georgia" w:cs="Georgia"/>
        </w:rPr>
      </w:pPr>
      <w:r>
        <w:rPr>
          <w:rFonts w:hint="default" w:ascii="Georgia" w:hAnsi="Georgia" w:eastAsia="Arial" w:cs="Georgia"/>
          <w:b/>
          <w:bCs/>
          <w:color w:val="1F4E79"/>
          <w:sz w:val="28"/>
          <w:szCs w:val="28"/>
        </w:rPr>
        <w:t>X. Recommendations</w:t>
      </w:r>
    </w:p>
    <w:p w14:paraId="701A9198">
      <w:pPr>
        <w:spacing w:before="60" w:after="0" w:line="360" w:lineRule="auto"/>
        <w:rPr>
          <w:rFonts w:hint="default" w:ascii="Georgia" w:hAnsi="Georgia" w:cs="Georgia"/>
        </w:rPr>
      </w:pPr>
    </w:p>
    <w:p w14:paraId="23BD517C">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For Users</w:t>
      </w:r>
    </w:p>
    <w:p w14:paraId="3ABFBD05">
      <w:pPr>
        <w:spacing w:before="40" w:after="0" w:line="360" w:lineRule="auto"/>
        <w:rPr>
          <w:rFonts w:hint="default" w:ascii="Georgia" w:hAnsi="Georgia" w:cs="Georgia"/>
        </w:rPr>
      </w:pPr>
    </w:p>
    <w:p w14:paraId="4FD38A9C">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Verify file properties using your operating system's file detail panel before assuming local-only storage is functioning correctly.</w:t>
      </w:r>
    </w:p>
    <w:p w14:paraId="5AB40C0A">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Review storage consumption breakdowns by service within account settings before subscribing to higher storage tiers.</w:t>
      </w:r>
    </w:p>
    <w:p w14:paraId="6F87E9CA">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Maintain independent offline backups using external drives or cloud-agnostic solutions.</w:t>
      </w:r>
    </w:p>
    <w:p w14:paraId="5D1130F9">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Consider open-source office suites (LibreOffice, OnlyOffice) and operating system configurations that do not include bundled cloud storage.</w:t>
      </w:r>
    </w:p>
    <w:p w14:paraId="68F9BB10">
      <w:pPr>
        <w:spacing w:before="80" w:after="0" w:line="360" w:lineRule="auto"/>
        <w:rPr>
          <w:rFonts w:hint="default" w:ascii="Georgia" w:hAnsi="Georgia" w:cs="Georgia"/>
        </w:rPr>
      </w:pPr>
    </w:p>
    <w:p w14:paraId="18FD6B0A">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For Regulators</w:t>
      </w:r>
    </w:p>
    <w:p w14:paraId="2C65DF42">
      <w:pPr>
        <w:spacing w:before="40" w:after="0" w:line="360" w:lineRule="auto"/>
        <w:rPr>
          <w:rFonts w:hint="default" w:ascii="Georgia" w:hAnsi="Georgia" w:cs="Georgia"/>
        </w:rPr>
      </w:pPr>
    </w:p>
    <w:p w14:paraId="79B803CD">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Conduct technical audits of 'disable' and 'opt-out' controls to verify functional effectiveness.</w:t>
      </w:r>
    </w:p>
    <w:p w14:paraId="2633921F">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Require granular, service-level consent for each auto-backup feature independently.</w:t>
      </w:r>
    </w:p>
    <w:p w14:paraId="2BCFC828">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Define minimum technical standards for opt-out mechanisms that create no collateral damage to unrelated services.</w:t>
      </w:r>
    </w:p>
    <w:p w14:paraId="474B3FEC">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Mandate cross-service consumption attribution in storage warning notifications.</w:t>
      </w:r>
    </w:p>
    <w:p w14:paraId="1CDCC0DE">
      <w:pPr>
        <w:spacing w:before="80" w:after="0" w:line="360" w:lineRule="auto"/>
        <w:rPr>
          <w:rFonts w:hint="default" w:ascii="Georgia" w:hAnsi="Georgia" w:cs="Georgia"/>
        </w:rPr>
      </w:pPr>
    </w:p>
    <w:p w14:paraId="72A14E84">
      <w:pPr>
        <w:pStyle w:val="3"/>
        <w:spacing w:before="240" w:after="120" w:line="360" w:lineRule="auto"/>
        <w:rPr>
          <w:rFonts w:hint="default" w:ascii="Georgia" w:hAnsi="Georgia" w:cs="Georgia"/>
        </w:rPr>
      </w:pPr>
      <w:r>
        <w:rPr>
          <w:rFonts w:hint="default" w:ascii="Georgia" w:hAnsi="Georgia" w:eastAsia="Arial" w:cs="Georgia"/>
          <w:b/>
          <w:bCs/>
          <w:color w:val="2E7D8A"/>
          <w:sz w:val="24"/>
          <w:szCs w:val="24"/>
        </w:rPr>
        <w:t>For Future Research</w:t>
      </w:r>
    </w:p>
    <w:p w14:paraId="5947214B">
      <w:pPr>
        <w:spacing w:before="40" w:after="0" w:line="360" w:lineRule="auto"/>
        <w:rPr>
          <w:rFonts w:hint="default" w:ascii="Georgia" w:hAnsi="Georgia" w:cs="Georgia"/>
        </w:rPr>
      </w:pPr>
    </w:p>
    <w:p w14:paraId="53401840">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Replicate the Google Photos scroll-triggered reappearance observations under controlled single-device conditions with network monitoring enabled.</w:t>
      </w:r>
    </w:p>
    <w:p w14:paraId="5CB5305E">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Extend comparative analysis to Apple iCloud, Dropbox, and Amazon Drive to determine whether the patterns documented here are industry-wide.</w:t>
      </w:r>
    </w:p>
    <w:p w14:paraId="3952CC17">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Conduct user-study research measuring actual user understanding of which service consumes quota under shared-quota architectures.</w:t>
      </w:r>
    </w:p>
    <w:p w14:paraId="0F6FE6D6">
      <w:pPr>
        <w:pStyle w:val="16"/>
        <w:numPr>
          <w:ilvl w:val="0"/>
          <w:numId w:val="2"/>
        </w:numPr>
        <w:spacing w:before="60" w:after="60" w:line="360" w:lineRule="auto"/>
        <w:rPr>
          <w:rFonts w:hint="default" w:ascii="Georgia" w:hAnsi="Georgia" w:cs="Georgia"/>
        </w:rPr>
      </w:pPr>
      <w:r>
        <w:rPr>
          <w:rFonts w:hint="default" w:ascii="Georgia" w:hAnsi="Georgia" w:eastAsia="Arial" w:cs="Georgia"/>
          <w:sz w:val="22"/>
          <w:szCs w:val="22"/>
        </w:rPr>
        <w:t>Develop standardised methodology for dark-pattern auditing of cloud storage platforms.</w:t>
      </w:r>
    </w:p>
    <w:p w14:paraId="3E65E877">
      <w:pPr>
        <w:spacing w:before="160" w:after="0" w:line="360" w:lineRule="auto"/>
        <w:rPr>
          <w:rFonts w:hint="default" w:ascii="Georgia" w:hAnsi="Georgia" w:cs="Georgia"/>
        </w:rPr>
      </w:pPr>
    </w:p>
    <w:p w14:paraId="1D0D30D4">
      <w:pPr>
        <w:pStyle w:val="2"/>
        <w:pBdr>
          <w:bottom w:val="single" w:color="2E7D8A" w:sz="8" w:space="4"/>
        </w:pBdr>
        <w:spacing w:before="360" w:after="180" w:line="360" w:lineRule="auto"/>
        <w:rPr>
          <w:rFonts w:hint="default" w:ascii="Georgia" w:hAnsi="Georgia" w:cs="Georgia"/>
        </w:rPr>
      </w:pPr>
      <w:r>
        <w:rPr>
          <w:rFonts w:hint="default" w:ascii="Georgia" w:hAnsi="Georgia" w:eastAsia="Arial" w:cs="Georgia"/>
          <w:b/>
          <w:bCs/>
          <w:color w:val="1F4E79"/>
          <w:sz w:val="28"/>
          <w:szCs w:val="28"/>
        </w:rPr>
        <w:t>XI. Conclusion</w:t>
      </w:r>
    </w:p>
    <w:p w14:paraId="50CF6CD9">
      <w:pPr>
        <w:spacing w:before="60" w:after="0" w:line="360" w:lineRule="auto"/>
        <w:rPr>
          <w:rFonts w:hint="default" w:ascii="Georgia" w:hAnsi="Georgia" w:cs="Georgia"/>
        </w:rPr>
      </w:pPr>
    </w:p>
    <w:p w14:paraId="38CACB7F">
      <w:pPr>
        <w:spacing w:before="80" w:after="120" w:line="360" w:lineRule="auto"/>
        <w:jc w:val="both"/>
        <w:rPr>
          <w:rFonts w:hint="default" w:ascii="Georgia" w:hAnsi="Georgia" w:cs="Georgia"/>
        </w:rPr>
      </w:pPr>
      <w:r>
        <w:rPr>
          <w:rFonts w:hint="default" w:ascii="Georgia" w:hAnsi="Georgia" w:eastAsia="Arial" w:cs="Georgia"/>
          <w:sz w:val="22"/>
          <w:szCs w:val="22"/>
        </w:rPr>
        <w:t>This study documents a recurring set of interface and synchronisation behaviours associated with elevated cloud storage dependence across two major platform ecosystems. Based on 306 measurements across 180 experimental conditions and five independent device configurations for Microsoft OneDrive, supplemented by observational data from one Google account, we identify a five-stage dependency formation pattern, a novel cross-service notification asymmetry, and a scroll-triggered deletion-resistance phenomenon.</w:t>
      </w:r>
    </w:p>
    <w:p w14:paraId="30A08360">
      <w:pPr>
        <w:spacing w:before="80" w:after="120" w:line="360" w:lineRule="auto"/>
        <w:jc w:val="both"/>
        <w:rPr>
          <w:rFonts w:hint="default" w:ascii="Georgia" w:hAnsi="Georgia" w:cs="Georgia"/>
        </w:rPr>
      </w:pPr>
      <w:r>
        <w:rPr>
          <w:rFonts w:hint="default" w:ascii="Georgia" w:hAnsi="Georgia" w:eastAsia="Arial" w:cs="Georgia"/>
          <w:sz w:val="22"/>
          <w:szCs w:val="22"/>
        </w:rPr>
        <w:t>We propose formal definitions for two new dark-pattern categories—Sisyphean Deletion and the Hostage Service Pattern—and classify ten observed behaviours against the established Gray et al. taxonomy. Five of these behaviours are assessed as high-severity from a consumer-protection standpoint.</w:t>
      </w:r>
    </w:p>
    <w:p w14:paraId="498EF007">
      <w:pPr>
        <w:spacing w:before="80" w:after="120" w:line="360" w:lineRule="auto"/>
        <w:jc w:val="both"/>
        <w:rPr>
          <w:rFonts w:hint="default" w:ascii="Georgia" w:hAnsi="Georgia" w:cs="Georgia"/>
        </w:rPr>
      </w:pPr>
      <w:r>
        <w:rPr>
          <w:rFonts w:hint="default" w:ascii="Georgia" w:hAnsi="Georgia" w:eastAsia="Arial" w:cs="Georgia"/>
          <w:sz w:val="22"/>
          <w:szCs w:val="22"/>
        </w:rPr>
        <w:t>The comparative analysis reveals parallel structures between Microsoft and Google ecosystems, suggesting that the observed patterns may reflect structural tendencies in shared-quota cloud storage architectures rather than idiosyncratic design choices. We note, however, that the evidentiary base for the Google findings is substantially thinner than for the Microsoft findings, and we call explicitly for independent replication before stronger comparative claims are drawn.</w:t>
      </w:r>
    </w:p>
    <w:p w14:paraId="52F12553">
      <w:pPr>
        <w:spacing w:before="80" w:after="120" w:line="360" w:lineRule="auto"/>
        <w:jc w:val="both"/>
        <w:rPr>
          <w:rFonts w:hint="default" w:ascii="Georgia" w:hAnsi="Georgia" w:cs="Georgia"/>
        </w:rPr>
      </w:pPr>
      <w:r>
        <w:rPr>
          <w:rFonts w:hint="default" w:ascii="Georgia" w:hAnsi="Georgia" w:eastAsia="Arial" w:cs="Georgia"/>
          <w:sz w:val="22"/>
          <w:szCs w:val="22"/>
        </w:rPr>
        <w:t>The regulatory and economic stakes are significant. Indicative population-scale estimates suggest over one billion users may be affected, with lifetime subscription costs potentially ranging from USD 2,000 to 4,000 per user in cases where subscription payment is driven primarily by the behaviours documented here. We present these figures as indicative, given the assumptions required in their derivation.</w:t>
      </w:r>
    </w:p>
    <w:p w14:paraId="4980CA0A">
      <w:pPr>
        <w:spacing w:before="80" w:after="120" w:line="360" w:lineRule="auto"/>
        <w:jc w:val="both"/>
        <w:rPr>
          <w:rFonts w:hint="default" w:ascii="Georgia" w:hAnsi="Georgia" w:cs="Georgia"/>
        </w:rPr>
      </w:pPr>
      <w:r>
        <w:rPr>
          <w:rFonts w:hint="default" w:ascii="Georgia" w:hAnsi="Georgia" w:eastAsia="Arial" w:cs="Georgia"/>
          <w:sz w:val="22"/>
          <w:szCs w:val="22"/>
        </w:rPr>
        <w:t>We call for regulatory attention to the specific technical mechanisms identified in this paper and provide concrete recommendations for users, platforms, and regulators. Consumer protection in cloud storage contexts requires technical specificity beyond what general unfair-practice prohibitions currently provide; the five-stage model and novel pattern definitions offered here are intended to contribute to the technical vocabulary needed for effective enforcement.</w:t>
      </w:r>
    </w:p>
    <w:p w14:paraId="2187A53F">
      <w:pPr>
        <w:spacing w:before="160" w:after="0" w:line="360" w:lineRule="auto"/>
        <w:rPr>
          <w:rFonts w:hint="default" w:ascii="Georgia" w:hAnsi="Georgia" w:cs="Georgia"/>
        </w:rPr>
      </w:pPr>
    </w:p>
    <w:p w14:paraId="2F972EFD">
      <w:pPr>
        <w:pStyle w:val="2"/>
        <w:pBdr>
          <w:bottom w:val="single" w:color="2E7D8A" w:sz="8" w:space="4"/>
        </w:pBdr>
        <w:spacing w:before="360" w:after="180" w:line="360" w:lineRule="auto"/>
        <w:rPr>
          <w:rFonts w:hint="default" w:ascii="Georgia" w:hAnsi="Georgia" w:cs="Georgia"/>
          <w:color w:val="CB8611"/>
        </w:rPr>
      </w:pPr>
      <w:r>
        <w:rPr>
          <w:rFonts w:hint="default" w:ascii="Georgia" w:hAnsi="Georgia" w:eastAsia="Arial" w:cs="Georgia"/>
          <w:b/>
          <w:bCs/>
          <w:color w:val="CB8611"/>
          <w:sz w:val="28"/>
          <w:szCs w:val="28"/>
        </w:rPr>
        <w:t>XII. Scope Statement</w:t>
      </w:r>
    </w:p>
    <w:p w14:paraId="2FBDBB91">
      <w:pPr>
        <w:spacing w:before="60" w:after="0" w:line="360" w:lineRule="auto"/>
        <w:rPr>
          <w:rFonts w:hint="default" w:ascii="Georgia" w:hAnsi="Georgia" w:cs="Georgia"/>
          <w:color w:val="CB8611"/>
        </w:rPr>
      </w:pPr>
    </w:p>
    <w:p w14:paraId="779E4C45">
      <w:pPr>
        <w:pStyle w:val="3"/>
        <w:spacing w:before="240" w:after="120" w:line="360" w:lineRule="auto"/>
        <w:rPr>
          <w:rFonts w:hint="default" w:ascii="Georgia" w:hAnsi="Georgia" w:cs="Georgia"/>
          <w:color w:val="CB8611"/>
        </w:rPr>
      </w:pPr>
      <w:r>
        <w:rPr>
          <w:rFonts w:hint="default" w:ascii="Georgia" w:hAnsi="Georgia" w:eastAsia="Arial" w:cs="Georgia"/>
          <w:b/>
          <w:bCs/>
          <w:color w:val="CB8611"/>
          <w:sz w:val="24"/>
          <w:szCs w:val="24"/>
        </w:rPr>
        <w:t>A. What This Study Includes</w:t>
      </w:r>
    </w:p>
    <w:p w14:paraId="5AA12A43">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Microsoft OneDrive integration on Windows 10 and Windows 11, across five independently configured devices.</w:t>
      </w:r>
    </w:p>
    <w:p w14:paraId="2A876FA9">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Microsoft Office 365 (current channel), Office 2019, and LibreOffice 7.5 as a non-cloud-integrated control.</w:t>
      </w:r>
    </w:p>
    <w:p w14:paraId="052747C2">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306 quantitative file-size measurements across 180 experimental conditions, with descriptive statistics and 95% confidence intervals.</w:t>
      </w:r>
    </w:p>
    <w:p w14:paraId="562FC48C">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Seven-day behavioural observation periods per device, with storage-state logging at standardised intervals.</w:t>
      </w:r>
    </w:p>
    <w:p w14:paraId="052A9771">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Google Drive and Google Photos: exploratory observations based on one user account and an independent first-hand report, presented as preliminary findings requiring replication.</w:t>
      </w:r>
    </w:p>
    <w:p w14:paraId="6C460CFD">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Dark-pattern classification using the Gray et al. (2018) and Mathur et al. (2019) taxonomies.</w:t>
      </w:r>
    </w:p>
    <w:p w14:paraId="5FA7B68D">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Indicative economic analysis of user costs at population scale, with stated assumptions and sensitivity ranges.</w:t>
      </w:r>
    </w:p>
    <w:p w14:paraId="0D4970C5">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Illustrative regulatory analysis under EU DSA, EU DMA, GDPR, India CPA 2019, and US FTC Act Section 5.</w:t>
      </w:r>
    </w:p>
    <w:p w14:paraId="30157932">
      <w:pPr>
        <w:pStyle w:val="3"/>
        <w:spacing w:before="240" w:after="120" w:line="360" w:lineRule="auto"/>
        <w:rPr>
          <w:rFonts w:hint="default" w:ascii="Georgia" w:hAnsi="Georgia" w:cs="Georgia"/>
          <w:color w:val="CB8611"/>
        </w:rPr>
      </w:pPr>
      <w:r>
        <w:rPr>
          <w:rFonts w:hint="default" w:ascii="Georgia" w:hAnsi="Georgia" w:eastAsia="Arial" w:cs="Georgia"/>
          <w:b/>
          <w:bCs/>
          <w:color w:val="CB8611"/>
          <w:sz w:val="24"/>
          <w:szCs w:val="24"/>
        </w:rPr>
        <w:t>B. What This Study Excludes</w:t>
      </w:r>
    </w:p>
    <w:p w14:paraId="2FE48E78">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Apple iCloud, Dropbox, and Amazon Drive — identified as priorities for future comparative research.</w:t>
      </w:r>
    </w:p>
    <w:p w14:paraId="7F436D8A">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Non-Windows operating systems (macOS, Linux, Android, iOS) and their respective cloud storage integrations.</w:t>
      </w:r>
    </w:p>
    <w:p w14:paraId="5905FC0D">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Enterprise and managed IT deployments, where Group Policy controls may substantially alter default platform behaviour.</w:t>
      </w:r>
    </w:p>
    <w:p w14:paraId="3FE06528">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Server-side platform behaviours, backend logic, and internal telemetry — all of which are proprietary and not directly observable.</w:t>
      </w:r>
    </w:p>
    <w:p w14:paraId="72AD89F4">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Platform intent: this study documents interface effects and user-facing outcomes; causal attribution to deliberate design is not claimed.</w:t>
      </w:r>
    </w:p>
    <w:p w14:paraId="27550E4E">
      <w:pPr>
        <w:numPr>
          <w:ilvl w:val="0"/>
          <w:numId w:val="3"/>
        </w:numPr>
        <w:spacing w:before="60" w:after="60" w:line="360" w:lineRule="auto"/>
        <w:rPr>
          <w:rFonts w:hint="default" w:ascii="Georgia" w:hAnsi="Georgia" w:cs="Georgia"/>
          <w:color w:val="CB8611"/>
        </w:rPr>
      </w:pPr>
      <w:r>
        <w:rPr>
          <w:rFonts w:hint="default" w:ascii="Georgia" w:hAnsi="Georgia" w:eastAsia="Arial" w:cs="Georgia"/>
          <w:color w:val="CB8611"/>
          <w:sz w:val="22"/>
          <w:szCs w:val="22"/>
        </w:rPr>
        <w:t>Definitive legal conclusions: regulatory analysis is illustrative and does not constitute legal opinion.</w:t>
      </w:r>
    </w:p>
    <w:p w14:paraId="52D18C8F">
      <w:pPr>
        <w:pStyle w:val="3"/>
        <w:spacing w:before="240" w:after="120" w:line="360" w:lineRule="auto"/>
        <w:rPr>
          <w:rFonts w:hint="default" w:ascii="Georgia" w:hAnsi="Georgia" w:cs="Georgia"/>
          <w:color w:val="CB8611"/>
        </w:rPr>
      </w:pPr>
      <w:r>
        <w:rPr>
          <w:rFonts w:hint="default" w:ascii="Georgia" w:hAnsi="Georgia" w:eastAsia="Arial" w:cs="Georgia"/>
          <w:b/>
          <w:bCs/>
          <w:color w:val="CB8611"/>
          <w:sz w:val="24"/>
          <w:szCs w:val="24"/>
        </w:rPr>
        <w:t>C. Boundary Conditions and Generalisability</w:t>
      </w:r>
    </w:p>
    <w:p w14:paraId="0188CE66">
      <w:pPr>
        <w:spacing w:before="80" w:after="120" w:line="360" w:lineRule="auto"/>
        <w:jc w:val="both"/>
        <w:rPr>
          <w:rFonts w:hint="default" w:ascii="Georgia" w:hAnsi="Georgia" w:cs="Georgia"/>
          <w:color w:val="CB8611"/>
        </w:rPr>
      </w:pPr>
      <w:r>
        <w:rPr>
          <w:rFonts w:hint="default" w:ascii="Georgia" w:hAnsi="Georgia" w:eastAsia="Arial" w:cs="Georgia"/>
          <w:color w:val="CB8611"/>
          <w:sz w:val="22"/>
          <w:szCs w:val="22"/>
        </w:rPr>
        <w:t>Findings are correlational in character. Device configurations were drawn from a single geographic region (India), and regional variations in platform behaviour, licensing terms, and regulatory exposure have not been tested. Platform software is subject to continuous update; behaviours documented here reflect the software versions in use during the observation period and may differ in current or future releases. The five-device sample, while structured to provide controlled comparisons, is not a probabilistic sample of the broader user population. Quantitative findings should be interpreted as establishing the existence and approximate magnitude of observed phenomena rather than as population-representative estimates.</w:t>
      </w:r>
    </w:p>
    <w:p w14:paraId="27E3A0D8">
      <w:pPr>
        <w:spacing w:before="160" w:after="0" w:line="360" w:lineRule="auto"/>
        <w:rPr>
          <w:rFonts w:hint="default" w:ascii="Georgia" w:hAnsi="Georgia" w:cs="Georgia"/>
        </w:rPr>
      </w:pPr>
    </w:p>
    <w:p w14:paraId="52FFF2FA">
      <w:pPr>
        <w:pStyle w:val="2"/>
        <w:pBdr>
          <w:bottom w:val="single" w:color="2E7D8A" w:sz="8" w:space="4"/>
        </w:pBdr>
        <w:spacing w:before="360" w:after="180" w:line="360" w:lineRule="auto"/>
        <w:rPr>
          <w:rFonts w:hint="default" w:ascii="Georgia" w:hAnsi="Georgia" w:cs="Georgia"/>
          <w:color w:val="C00000"/>
        </w:rPr>
      </w:pPr>
      <w:r>
        <w:rPr>
          <w:rFonts w:hint="default" w:ascii="Georgia" w:hAnsi="Georgia" w:eastAsia="Arial" w:cs="Georgia"/>
          <w:b/>
          <w:bCs/>
          <w:color w:val="C00000"/>
          <w:sz w:val="28"/>
          <w:szCs w:val="28"/>
        </w:rPr>
        <w:t>XIII. Novelty Statement</w:t>
      </w:r>
    </w:p>
    <w:p w14:paraId="55D2560D">
      <w:pPr>
        <w:spacing w:before="60" w:after="0" w:line="360" w:lineRule="auto"/>
        <w:rPr>
          <w:rFonts w:hint="default" w:ascii="Georgia" w:hAnsi="Georgia" w:cs="Georgia"/>
          <w:color w:val="C00000"/>
        </w:rPr>
      </w:pPr>
    </w:p>
    <w:p w14:paraId="5C1FEDAC">
      <w:pPr>
        <w:spacing w:before="80" w:after="120" w:line="360" w:lineRule="auto"/>
        <w:jc w:val="both"/>
        <w:rPr>
          <w:rFonts w:hint="default" w:ascii="Georgia" w:hAnsi="Georgia" w:cs="Georgia"/>
          <w:color w:val="C00000"/>
        </w:rPr>
      </w:pPr>
      <w:r>
        <w:rPr>
          <w:rFonts w:hint="default" w:ascii="Georgia" w:hAnsi="Georgia" w:eastAsia="Arial" w:cs="Georgia"/>
          <w:color w:val="C00000"/>
          <w:sz w:val="22"/>
          <w:szCs w:val="22"/>
        </w:rPr>
        <w:t>To the best of our knowledge, this paper contributes the following to the literature:</w:t>
      </w:r>
    </w:p>
    <w:p w14:paraId="1F17BAAB">
      <w:pPr>
        <w:pStyle w:val="16"/>
        <w:numPr>
          <w:ilvl w:val="0"/>
          <w:numId w:val="4"/>
        </w:numPr>
        <w:spacing w:before="60" w:after="60" w:line="360" w:lineRule="auto"/>
        <w:ind w:left="360" w:leftChars="0"/>
        <w:rPr>
          <w:rFonts w:hint="default" w:ascii="Georgia" w:hAnsi="Georgia" w:cs="Georgia"/>
          <w:color w:val="C00000"/>
        </w:rPr>
      </w:pPr>
      <w:r>
        <w:rPr>
          <w:rFonts w:hint="default" w:ascii="Georgia" w:hAnsi="Georgia" w:eastAsia="Arial" w:cs="Georgia"/>
          <w:color w:val="C00000"/>
          <w:sz w:val="22"/>
          <w:szCs w:val="22"/>
        </w:rPr>
        <w:t>First systematic empirical documentation of a five-stage cloud-storage dependency formation pattern, based on 306 measurements under 180 experimental conditions.</w:t>
      </w:r>
    </w:p>
    <w:p w14:paraId="48A94F14">
      <w:pPr>
        <w:pStyle w:val="16"/>
        <w:numPr>
          <w:ilvl w:val="0"/>
          <w:numId w:val="4"/>
        </w:numPr>
        <w:spacing w:before="60" w:after="60" w:line="360" w:lineRule="auto"/>
        <w:ind w:left="360" w:leftChars="0"/>
        <w:rPr>
          <w:rFonts w:hint="default" w:ascii="Georgia" w:hAnsi="Georgia" w:cs="Georgia"/>
          <w:color w:val="C00000"/>
        </w:rPr>
      </w:pPr>
      <w:r>
        <w:rPr>
          <w:rFonts w:hint="default" w:ascii="Georgia" w:hAnsi="Georgia" w:eastAsia="Arial" w:cs="Georgia"/>
          <w:color w:val="C00000"/>
          <w:sz w:val="22"/>
          <w:szCs w:val="22"/>
        </w:rPr>
        <w:t>First quantitative evidence of ghost files: zero-byte cloud-placeholder files appearing in local storage prior to user authentication—a previously undocumented mechanism.</w:t>
      </w:r>
    </w:p>
    <w:p w14:paraId="7E886DE5">
      <w:pPr>
        <w:pStyle w:val="16"/>
        <w:numPr>
          <w:ilvl w:val="0"/>
          <w:numId w:val="4"/>
        </w:numPr>
        <w:spacing w:before="60" w:after="60" w:line="360" w:lineRule="auto"/>
        <w:ind w:left="360" w:leftChars="0"/>
        <w:rPr>
          <w:rFonts w:hint="default" w:ascii="Georgia" w:hAnsi="Georgia" w:cs="Georgia"/>
          <w:color w:val="C00000"/>
        </w:rPr>
      </w:pPr>
      <w:r>
        <w:rPr>
          <w:rFonts w:hint="default" w:ascii="Georgia" w:hAnsi="Georgia" w:eastAsia="Arial" w:cs="Georgia"/>
          <w:color w:val="C00000"/>
          <w:sz w:val="22"/>
          <w:szCs w:val="22"/>
        </w:rPr>
        <w:t>First measurement of metadata inflation as a dependency mechanism: +43.4% (95% CI: [41.2%, 45.6%]) per save operation.</w:t>
      </w:r>
    </w:p>
    <w:p w14:paraId="0D451391">
      <w:pPr>
        <w:pStyle w:val="16"/>
        <w:numPr>
          <w:ilvl w:val="0"/>
          <w:numId w:val="4"/>
        </w:numPr>
        <w:spacing w:before="60" w:after="60" w:line="360" w:lineRule="auto"/>
        <w:ind w:left="360" w:leftChars="0"/>
        <w:rPr>
          <w:rFonts w:hint="default" w:ascii="Georgia" w:hAnsi="Georgia" w:cs="Georgia"/>
          <w:color w:val="C00000"/>
        </w:rPr>
      </w:pPr>
      <w:r>
        <w:rPr>
          <w:rFonts w:hint="default" w:ascii="Georgia" w:hAnsi="Georgia" w:eastAsia="Arial" w:cs="Georgia"/>
          <w:color w:val="C00000"/>
          <w:sz w:val="22"/>
          <w:szCs w:val="22"/>
        </w:rPr>
        <w:t>First formal definition of the Sisyphean Deletion pattern: an interface configuration in which ordinary browsing actions reverse user-initiated deletion, creating a cyclical deletion trajectory.</w:t>
      </w:r>
    </w:p>
    <w:p w14:paraId="21C4699D">
      <w:pPr>
        <w:pStyle w:val="16"/>
        <w:numPr>
          <w:ilvl w:val="0"/>
          <w:numId w:val="4"/>
        </w:numPr>
        <w:spacing w:before="60" w:after="60" w:line="360" w:lineRule="auto"/>
        <w:ind w:left="360" w:leftChars="0"/>
        <w:rPr>
          <w:rFonts w:hint="default" w:ascii="Georgia" w:hAnsi="Georgia" w:cs="Georgia"/>
          <w:color w:val="C00000"/>
        </w:rPr>
      </w:pPr>
      <w:r>
        <w:rPr>
          <w:rFonts w:hint="default" w:ascii="Georgia" w:hAnsi="Georgia" w:eastAsia="Arial" w:cs="Georgia"/>
          <w:color w:val="C00000"/>
          <w:sz w:val="22"/>
          <w:szCs w:val="22"/>
        </w:rPr>
        <w:t>First formal definition of the Hostage Service Pattern: a cross-service arrangement in which resource consumption originates in one service while degradation warnings manifest in a second, more essential service.</w:t>
      </w:r>
    </w:p>
    <w:p w14:paraId="61891BB2">
      <w:pPr>
        <w:pStyle w:val="16"/>
        <w:numPr>
          <w:ilvl w:val="0"/>
          <w:numId w:val="4"/>
        </w:numPr>
        <w:spacing w:before="60" w:after="60" w:line="360" w:lineRule="auto"/>
        <w:ind w:left="360" w:leftChars="0"/>
        <w:rPr>
          <w:rFonts w:hint="default" w:ascii="Georgia" w:hAnsi="Georgia" w:cs="Georgia"/>
          <w:color w:val="C00000"/>
        </w:rPr>
      </w:pPr>
      <w:r>
        <w:rPr>
          <w:rFonts w:hint="default" w:ascii="Georgia" w:hAnsi="Georgia" w:eastAsia="Arial" w:cs="Georgia"/>
          <w:color w:val="C00000"/>
          <w:sz w:val="22"/>
          <w:szCs w:val="22"/>
        </w:rPr>
        <w:t>First comparative cross-platform analysis of dark patterns in cloud storage integration, spanning Microsoft and Google ecosystems.</w:t>
      </w:r>
    </w:p>
    <w:p w14:paraId="7A92E7A7">
      <w:pPr>
        <w:pStyle w:val="16"/>
        <w:numPr>
          <w:ilvl w:val="0"/>
          <w:numId w:val="4"/>
        </w:numPr>
        <w:spacing w:before="60" w:after="60" w:line="360" w:lineRule="auto"/>
        <w:ind w:left="360" w:leftChars="0"/>
        <w:rPr>
          <w:rFonts w:hint="default" w:ascii="Georgia" w:hAnsi="Georgia" w:cs="Georgia"/>
          <w:color w:val="C00000"/>
        </w:rPr>
      </w:pPr>
      <w:r>
        <w:rPr>
          <w:rFonts w:hint="default" w:ascii="Georgia" w:hAnsi="Georgia" w:eastAsia="Arial" w:cs="Georgia"/>
          <w:color w:val="C00000"/>
          <w:sz w:val="22"/>
          <w:szCs w:val="22"/>
        </w:rPr>
        <w:t>First application of gatekeeper-obligation frameworks (EU DMA) to cloud storage auto-backup practices.</w:t>
      </w:r>
    </w:p>
    <w:p w14:paraId="2A004262">
      <w:pPr>
        <w:spacing w:before="160" w:after="0" w:line="360" w:lineRule="auto"/>
        <w:rPr>
          <w:rFonts w:hint="default" w:ascii="Georgia" w:hAnsi="Georgia" w:cs="Georgia"/>
        </w:rPr>
      </w:pPr>
    </w:p>
    <w:p w14:paraId="113A8D5E">
      <w:pPr>
        <w:pStyle w:val="2"/>
        <w:pBdr>
          <w:bottom w:val="single" w:color="2E7D8A" w:sz="8" w:space="4"/>
        </w:pBdr>
        <w:spacing w:before="360" w:after="180" w:line="360" w:lineRule="auto"/>
        <w:rPr>
          <w:rFonts w:hint="default" w:ascii="Georgia" w:hAnsi="Georgia" w:cs="Georgia"/>
        </w:rPr>
      </w:pPr>
      <w:r>
        <w:rPr>
          <w:rFonts w:hint="default" w:ascii="Georgia" w:hAnsi="Georgia" w:eastAsia="Arial" w:cs="Georgia"/>
          <w:b/>
          <w:bCs/>
          <w:color w:val="1F4E79"/>
          <w:sz w:val="28"/>
          <w:szCs w:val="28"/>
        </w:rPr>
        <w:t>XIV. References</w:t>
      </w:r>
    </w:p>
    <w:p w14:paraId="24EF64A8">
      <w:pPr>
        <w:spacing w:before="60" w:after="0" w:line="360" w:lineRule="auto"/>
        <w:rPr>
          <w:rFonts w:hint="default" w:ascii="Georgia" w:hAnsi="Georgia" w:cs="Georgia"/>
        </w:rPr>
      </w:pPr>
    </w:p>
    <w:p w14:paraId="198B7B5B">
      <w:pPr>
        <w:spacing w:before="80" w:after="80" w:line="360" w:lineRule="auto"/>
        <w:ind w:left="720" w:hanging="720"/>
        <w:rPr>
          <w:rFonts w:hint="default" w:ascii="Georgia" w:hAnsi="Georgia" w:cs="Georgia"/>
        </w:rPr>
      </w:pPr>
      <w:r>
        <w:rPr>
          <w:rFonts w:hint="default" w:ascii="Georgia" w:hAnsi="Georgia" w:eastAsia="Arial" w:cs="Georgia"/>
          <w:sz w:val="20"/>
          <w:szCs w:val="20"/>
        </w:rPr>
        <w:t>[1]  Brignull, H. (2010). Dark Patterns: User Interfaces Designed to Trick People. UX Brighton.</w:t>
      </w:r>
    </w:p>
    <w:p w14:paraId="5BC2B377">
      <w:pPr>
        <w:spacing w:before="80" w:after="80" w:line="360" w:lineRule="auto"/>
        <w:ind w:left="720" w:hanging="720"/>
        <w:rPr>
          <w:rFonts w:hint="default" w:ascii="Georgia" w:hAnsi="Georgia" w:cs="Georgia"/>
        </w:rPr>
      </w:pPr>
      <w:r>
        <w:rPr>
          <w:rFonts w:hint="default" w:ascii="Georgia" w:hAnsi="Georgia" w:eastAsia="Arial" w:cs="Georgia"/>
          <w:sz w:val="20"/>
          <w:szCs w:val="20"/>
        </w:rPr>
        <w:t>[2]  Gray, C., Kou, Y., Battles, B., Hoggatt, J., &amp; Toombs, A. (2018). The Dark (Patterns) Side of UX Design. Proceedings of CHI 2018. ACM.</w:t>
      </w:r>
    </w:p>
    <w:p w14:paraId="78118AD7">
      <w:pPr>
        <w:spacing w:before="80" w:after="80" w:line="360" w:lineRule="auto"/>
        <w:ind w:left="720" w:hanging="720"/>
        <w:rPr>
          <w:rFonts w:hint="default" w:ascii="Georgia" w:hAnsi="Georgia" w:cs="Georgia"/>
        </w:rPr>
      </w:pPr>
      <w:r>
        <w:rPr>
          <w:rFonts w:hint="default" w:ascii="Georgia" w:hAnsi="Georgia" w:eastAsia="Arial" w:cs="Georgia"/>
          <w:sz w:val="20"/>
          <w:szCs w:val="20"/>
        </w:rPr>
        <w:t>[3]  Mathur, A., Acar, G., Friedman, M., Lucherini, E., Mayer, J., Chetty, M., &amp; Narayanan, A. (2019). Dark Patterns at Scale: Findings from a Crawl of 11K Shopping Websites. Proceedings of the ACM on Human–Computer Interaction, 3(CSCW).</w:t>
      </w:r>
    </w:p>
    <w:p w14:paraId="400E099F">
      <w:pPr>
        <w:spacing w:before="80" w:after="80" w:line="360" w:lineRule="auto"/>
        <w:ind w:left="720" w:hanging="720"/>
        <w:rPr>
          <w:rFonts w:hint="default" w:ascii="Georgia" w:hAnsi="Georgia" w:cs="Georgia"/>
        </w:rPr>
      </w:pPr>
      <w:r>
        <w:rPr>
          <w:rFonts w:hint="default" w:ascii="Georgia" w:hAnsi="Georgia" w:eastAsia="Arial" w:cs="Georgia"/>
          <w:sz w:val="20"/>
          <w:szCs w:val="20"/>
        </w:rPr>
        <w:t>[4]  Nouwens, M., Liccardi, I., Veale, M., Karger, D., &amp; Kagal, L. (2020). Dark Patterns after the GDPR: Scraping Consent Pop-ups and Demonstrating Their Influence. Proceedings of CHI 2020. ACM.</w:t>
      </w:r>
    </w:p>
    <w:p w14:paraId="1EDF0EC5">
      <w:pPr>
        <w:spacing w:before="80" w:after="80" w:line="360" w:lineRule="auto"/>
        <w:ind w:left="720" w:hanging="720"/>
        <w:rPr>
          <w:rFonts w:hint="default" w:ascii="Georgia" w:hAnsi="Georgia" w:cs="Georgia"/>
        </w:rPr>
      </w:pPr>
      <w:r>
        <w:rPr>
          <w:rFonts w:hint="default" w:ascii="Georgia" w:hAnsi="Georgia" w:eastAsia="Arial" w:cs="Georgia"/>
          <w:sz w:val="20"/>
          <w:szCs w:val="20"/>
        </w:rPr>
        <w:t>[5]  European Commission. (2022). Regulation (EU) 2022/2065 of the European Parliament and of the Council — Digital Services Act.</w:t>
      </w:r>
    </w:p>
    <w:p w14:paraId="5881F971">
      <w:pPr>
        <w:spacing w:before="80" w:after="80" w:line="360" w:lineRule="auto"/>
        <w:ind w:left="720" w:hanging="720"/>
        <w:rPr>
          <w:rFonts w:hint="default" w:ascii="Georgia" w:hAnsi="Georgia" w:cs="Georgia"/>
        </w:rPr>
      </w:pPr>
      <w:r>
        <w:rPr>
          <w:rFonts w:hint="default" w:ascii="Georgia" w:hAnsi="Georgia" w:eastAsia="Arial" w:cs="Georgia"/>
          <w:sz w:val="20"/>
          <w:szCs w:val="20"/>
        </w:rPr>
        <w:t>[6]  European Commission. (2022). Regulation (EU) 2022/1925 of the European Parliament and of the Council — Digital Markets Act.</w:t>
      </w:r>
    </w:p>
    <w:p w14:paraId="4988A629">
      <w:pPr>
        <w:spacing w:before="80" w:after="80" w:line="360" w:lineRule="auto"/>
        <w:ind w:left="720" w:hanging="720"/>
        <w:rPr>
          <w:rFonts w:hint="default" w:ascii="Georgia" w:hAnsi="Georgia" w:cs="Georgia"/>
        </w:rPr>
      </w:pPr>
      <w:r>
        <w:rPr>
          <w:rFonts w:hint="default" w:ascii="Georgia" w:hAnsi="Georgia" w:eastAsia="Arial" w:cs="Georgia"/>
          <w:sz w:val="20"/>
          <w:szCs w:val="20"/>
        </w:rPr>
        <w:t>[7]  Federal Trade Commission. (2022). Policy Statement on Surveillance as an Unfair or Deceptive Act or Practice. FTC.</w:t>
      </w:r>
    </w:p>
    <w:p w14:paraId="01CBE5C0">
      <w:pPr>
        <w:spacing w:before="80" w:after="80" w:line="360" w:lineRule="auto"/>
        <w:ind w:left="720" w:hanging="720"/>
        <w:rPr>
          <w:rFonts w:hint="default" w:ascii="Georgia" w:hAnsi="Georgia" w:cs="Georgia"/>
        </w:rPr>
      </w:pPr>
      <w:r>
        <w:rPr>
          <w:rFonts w:hint="default" w:ascii="Georgia" w:hAnsi="Georgia" w:eastAsia="Arial" w:cs="Georgia"/>
          <w:sz w:val="20"/>
          <w:szCs w:val="20"/>
        </w:rPr>
        <w:t>[8]  Luguri, J., &amp; Strahilevitz, L. (2021). Shining a Light on Dark Patterns. Journal of Legal Analysis, 13(1), 43–109.</w:t>
      </w:r>
    </w:p>
    <w:p w14:paraId="021C79DD">
      <w:pPr>
        <w:spacing w:before="80" w:after="80" w:line="360" w:lineRule="auto"/>
        <w:ind w:left="720" w:hanging="720"/>
        <w:rPr>
          <w:rFonts w:hint="default" w:ascii="Georgia" w:hAnsi="Georgia" w:cs="Georgia"/>
        </w:rPr>
      </w:pPr>
      <w:r>
        <w:rPr>
          <w:rFonts w:hint="default" w:ascii="Georgia" w:hAnsi="Georgia" w:eastAsia="Arial" w:cs="Georgia"/>
          <w:sz w:val="20"/>
          <w:szCs w:val="20"/>
        </w:rPr>
        <w:t>[9]  Bundeskartellamt. (2019). Facebook Proceeding — Exploitative Business Terms Pursuant to Section 19(1) GWB. Case B6-22/16.</w:t>
      </w:r>
    </w:p>
    <w:p w14:paraId="6E2E0AE8">
      <w:pPr>
        <w:spacing w:before="80" w:after="80" w:line="360" w:lineRule="auto"/>
        <w:ind w:left="720" w:hanging="720"/>
        <w:rPr>
          <w:rFonts w:hint="default" w:ascii="Georgia" w:hAnsi="Georgia" w:cs="Georgia"/>
        </w:rPr>
      </w:pPr>
      <w:r>
        <w:rPr>
          <w:rFonts w:hint="default" w:ascii="Georgia" w:hAnsi="Georgia" w:eastAsia="Arial" w:cs="Georgia"/>
          <w:sz w:val="20"/>
          <w:szCs w:val="20"/>
        </w:rPr>
        <w:t>[10] Statcounter GlobalStats. (2024). Desktop Operating System Market Share Worldwide. Retrieved from https://gs.statcounter.com.</w:t>
      </w:r>
    </w:p>
    <w:sectPr>
      <w:pgSz w:w="12240" w:h="15840"/>
      <w:pgMar w:top="1080" w:right="1080" w:bottom="108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1"/>
      <w:numFmt w:val="bullet"/>
      <w:lvlText w:val="●"/>
      <w:lvlJc w:val="left"/>
      <w:pPr>
        <w:ind w:left="2880" w:hanging="360"/>
      </w:pPr>
    </w:lvl>
    <w:lvl w:ilvl="4" w:tentative="0">
      <w:start w:val="1"/>
      <w:numFmt w:val="bullet"/>
      <w:lvlText w:val="○"/>
      <w:lvlJc w:val="left"/>
      <w:pPr>
        <w:ind w:left="3600" w:hanging="360"/>
      </w:pPr>
    </w:lvl>
    <w:lvl w:ilvl="5" w:tentative="0">
      <w:start w:val="1"/>
      <w:numFmt w:val="bullet"/>
      <w:lvlText w:val="■"/>
      <w:lvlJc w:val="left"/>
      <w:pPr>
        <w:ind w:left="4320" w:hanging="360"/>
      </w:pPr>
    </w:lvl>
    <w:lvl w:ilvl="6" w:tentative="0">
      <w:start w:val="1"/>
      <w:numFmt w:val="bullet"/>
      <w:lvlText w:val="●"/>
      <w:lvlJc w:val="left"/>
      <w:pPr>
        <w:ind w:left="5040" w:hanging="360"/>
      </w:pPr>
    </w:lvl>
    <w:lvl w:ilvl="7" w:tentative="0">
      <w:start w:val="1"/>
      <w:numFmt w:val="bullet"/>
      <w:lvlText w:val="●"/>
      <w:lvlJc w:val="left"/>
      <w:pPr>
        <w:ind w:left="5760" w:hanging="360"/>
      </w:pPr>
    </w:lvl>
    <w:lvl w:ilvl="8" w:tentative="0">
      <w:start w:val="1"/>
      <w:numFmt w:val="bullet"/>
      <w:lvlText w:val="●"/>
      <w:lvlJc w:val="left"/>
      <w:pPr>
        <w:ind w:left="6480" w:hanging="360"/>
      </w:pPr>
    </w:lvl>
  </w:abstractNum>
  <w:abstractNum w:abstractNumId="1">
    <w:nsid w:val="0053208E"/>
    <w:multiLevelType w:val="singleLevel"/>
    <w:tmpl w:val="0053208E"/>
    <w:lvl w:ilvl="0" w:tentative="0">
      <w:start w:val="1"/>
      <w:numFmt w:val="decimal"/>
      <w:lvlText w:val="%1."/>
      <w:lvlJc w:val="left"/>
      <w:pPr>
        <w:ind w:left="720" w:hanging="360"/>
      </w:pPr>
    </w:lvl>
  </w:abstractNum>
  <w:abstractNum w:abstractNumId="2">
    <w:nsid w:val="20FD4386"/>
    <w:multiLevelType w:val="singleLevel"/>
    <w:tmpl w:val="20FD4386"/>
    <w:lvl w:ilvl="0" w:tentative="0">
      <w:start w:val="1"/>
      <w:numFmt w:val="decimal"/>
      <w:suff w:val="space"/>
      <w:lvlText w:val="%1."/>
      <w:lvlJc w:val="left"/>
    </w:lvl>
  </w:abstractNum>
  <w:abstractNum w:abstractNumId="3">
    <w:nsid w:val="59ADCABA"/>
    <w:multiLevelType w:val="singleLevel"/>
    <w:tmpl w:val="59ADCABA"/>
    <w:lvl w:ilvl="0" w:tentative="0">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1EC50ACA"/>
    <w:rsid w:val="6B5169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2"/>
      <w:szCs w:val="22"/>
    </w:rPr>
  </w:style>
  <w:style w:type="paragraph" w:styleId="2">
    <w:name w:val="heading 1"/>
    <w:next w:val="1"/>
    <w:qFormat/>
    <w:uiPriority w:val="0"/>
    <w:pPr>
      <w:spacing w:before="360" w:after="180"/>
      <w:outlineLvl w:val="0"/>
    </w:pPr>
    <w:rPr>
      <w:rFonts w:ascii="Arial" w:hAnsi="Arial" w:eastAsia="Arial" w:cs="Arial"/>
      <w:b/>
      <w:bCs/>
      <w:color w:val="1F4E79"/>
      <w:sz w:val="28"/>
      <w:szCs w:val="28"/>
    </w:rPr>
  </w:style>
  <w:style w:type="paragraph" w:styleId="3">
    <w:name w:val="heading 2"/>
    <w:next w:val="1"/>
    <w:qFormat/>
    <w:uiPriority w:val="0"/>
    <w:pPr>
      <w:spacing w:before="240" w:after="120"/>
      <w:outlineLvl w:val="1"/>
    </w:pPr>
    <w:rPr>
      <w:rFonts w:ascii="Arial" w:hAnsi="Arial" w:eastAsia="Arial" w:cs="Arial"/>
      <w:b/>
      <w:bCs/>
      <w:color w:val="2E7D8A"/>
      <w:sz w:val="24"/>
      <w:szCs w:val="24"/>
    </w:rPr>
  </w:style>
  <w:style w:type="paragraph" w:styleId="4">
    <w:name w:val="heading 3"/>
    <w:next w:val="1"/>
    <w:qFormat/>
    <w:uiPriority w:val="0"/>
    <w:pPr>
      <w:spacing w:before="200" w:after="100"/>
      <w:outlineLvl w:val="2"/>
    </w:pPr>
    <w:rPr>
      <w:rFonts w:ascii="Arial" w:hAnsi="Arial" w:eastAsia="Arial" w:cs="Arial"/>
      <w:b/>
      <w:bCs/>
      <w:i/>
      <w:iCs/>
      <w:color w:val="404040"/>
      <w:sz w:val="22"/>
      <w:szCs w:val="22"/>
    </w:rPr>
  </w:style>
  <w:style w:type="paragraph" w:styleId="5">
    <w:name w:val="heading 4"/>
    <w:next w:val="1"/>
    <w:qFormat/>
    <w:uiPriority w:val="0"/>
    <w:rPr>
      <w:rFonts w:ascii="Arial" w:hAnsi="Arial" w:eastAsia="Arial" w:cs="Arial"/>
      <w:i/>
      <w:iCs/>
      <w:color w:val="2E74B5"/>
      <w:sz w:val="22"/>
      <w:szCs w:val="22"/>
    </w:rPr>
  </w:style>
  <w:style w:type="paragraph" w:styleId="6">
    <w:name w:val="heading 5"/>
    <w:next w:val="1"/>
    <w:qFormat/>
    <w:uiPriority w:val="0"/>
    <w:rPr>
      <w:rFonts w:ascii="Arial" w:hAnsi="Arial" w:eastAsia="Arial" w:cs="Arial"/>
      <w:color w:val="2E74B5"/>
      <w:sz w:val="22"/>
      <w:szCs w:val="22"/>
    </w:rPr>
  </w:style>
  <w:style w:type="paragraph" w:styleId="7">
    <w:name w:val="heading 6"/>
    <w:next w:val="1"/>
    <w:qFormat/>
    <w:uiPriority w:val="0"/>
    <w:rPr>
      <w:rFonts w:ascii="Arial" w:hAnsi="Arial" w:eastAsia="Arial" w:cs="Arial"/>
      <w:color w:val="1F4D78"/>
      <w:sz w:val="22"/>
      <w:szCs w:val="22"/>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18"/>
    <w:semiHidden/>
    <w:unhideWhenUsed/>
    <w:qFormat/>
    <w:uiPriority w:val="99"/>
    <w:pPr>
      <w:spacing w:after="0" w:line="240" w:lineRule="auto"/>
    </w:pPr>
    <w:rPr>
      <w:rFonts w:ascii="Arial" w:hAnsi="Arial" w:eastAsia="Arial" w:cs="Arial"/>
      <w:sz w:val="20"/>
      <w:szCs w:val="20"/>
    </w:rPr>
  </w:style>
  <w:style w:type="character" w:styleId="12">
    <w:name w:val="footnote reference"/>
    <w:semiHidden/>
    <w:unhideWhenUsed/>
    <w:qFormat/>
    <w:uiPriority w:val="99"/>
    <w:rPr>
      <w:vertAlign w:val="superscript"/>
    </w:rPr>
  </w:style>
  <w:style w:type="paragraph" w:styleId="13">
    <w:name w:val="footnote text"/>
    <w:link w:val="17"/>
    <w:semiHidden/>
    <w:unhideWhenUsed/>
    <w:uiPriority w:val="99"/>
    <w:pPr>
      <w:spacing w:after="0" w:line="240" w:lineRule="auto"/>
    </w:pPr>
    <w:rPr>
      <w:rFonts w:ascii="Arial" w:hAnsi="Arial" w:eastAsia="Arial" w:cs="Arial"/>
      <w:sz w:val="20"/>
      <w:szCs w:val="20"/>
    </w:rPr>
  </w:style>
  <w:style w:type="character" w:styleId="14">
    <w:name w:val="Hyperlink"/>
    <w:unhideWhenUsed/>
    <w:qFormat/>
    <w:uiPriority w:val="99"/>
    <w:rPr>
      <w:color w:val="0563C1"/>
      <w:u w:val="single"/>
    </w:rPr>
  </w:style>
  <w:style w:type="paragraph" w:styleId="15">
    <w:name w:val="Title"/>
    <w:qFormat/>
    <w:uiPriority w:val="0"/>
    <w:rPr>
      <w:rFonts w:ascii="Arial" w:hAnsi="Arial" w:eastAsia="Arial" w:cs="Arial"/>
      <w:sz w:val="56"/>
      <w:szCs w:val="56"/>
    </w:rPr>
  </w:style>
  <w:style w:type="paragraph" w:styleId="16">
    <w:name w:val="List Paragraph"/>
    <w:qFormat/>
    <w:uiPriority w:val="0"/>
    <w:rPr>
      <w:rFonts w:ascii="Arial" w:hAnsi="Arial" w:eastAsia="Arial" w:cs="Arial"/>
      <w:sz w:val="22"/>
      <w:szCs w:val="22"/>
    </w:rPr>
  </w:style>
  <w:style w:type="character" w:customStyle="1" w:styleId="17">
    <w:name w:val="Footnote Text Char"/>
    <w:link w:val="13"/>
    <w:semiHidden/>
    <w:unhideWhenUsed/>
    <w:uiPriority w:val="99"/>
    <w:rPr>
      <w:sz w:val="20"/>
      <w:szCs w:val="20"/>
    </w:rPr>
  </w:style>
  <w:style w:type="character" w:customStyle="1" w:styleId="18">
    <w:name w:val="Endnote Text Char"/>
    <w:link w:val="11"/>
    <w:semiHidden/>
    <w:unhideWhenUsed/>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4410</Words>
  <Characters>28609</Characters>
  <TotalTime>4</TotalTime>
  <ScaleCrop>false</ScaleCrop>
  <LinksUpToDate>false</LinksUpToDate>
  <CharactersWithSpaces>32677</CharactersWithSpaces>
  <Application>WPS Office_12.1.0.26372_F1E327BC-269C-435d-A152-05C5408002CA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2026-05-15T07:28:00Z</dcterms:created>
  <dc:creator>Un-named</dc:creator>
  <cp:lastModifiedBy>SS</cp:lastModifiedBy>
  <dcterms:modified xsi:type="dcterms:W3CDTF">2026-05-15T07:58:59Z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eyJoZGlkIjoiODIwNDlhNDliMzhhNjdhOWM2NmFhMzc3ZmE0NDk0NjYiLCJ1c2VySWQiOiI1Njc1MDE0Njc2NjMifQ==</vt:lpwstr>
  </property>
  <property fmtid="{D5CDD505-2E9C-101B-9397-08002B2CF9AE}" pid="3" name="KSOProductBuildVer">
    <vt:lpwstr>1033-12.1.0.26372</vt:lpwstr>
  </property>
  <property fmtid="{D5CDD505-2E9C-101B-9397-08002B2CF9AE}" pid="4" name="ICV">
    <vt:lpwstr>A7B617B5FF394DA8B47A1CF408C8348A_13</vt:lpwstr>
  </property>
</Properties>
</file>