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both"/>
        <w:rPr>
          <w:rFonts w:ascii="Times New Roman" w:cs="Times New Roman" w:hAnsi="Times New Roman"/>
          <w:b/>
          <w:bCs/>
          <w:sz w:val="44"/>
          <w:szCs w:val="44"/>
        </w:rPr>
      </w:pPr>
      <w:r>
        <w:rPr>
          <w:b/>
          <w:bCs/>
        </w:rPr>
        <w:t xml:space="preserve"> </w:t>
      </w:r>
      <w:r>
        <w:rPr>
          <w:b/>
          <w:bCs/>
        </w:rPr>
        <w:t xml:space="preserve">          </w:t>
      </w:r>
      <w:r>
        <w:rPr>
          <w:b/>
          <w:bCs/>
        </w:rPr>
        <w:t xml:space="preserve">                    </w:t>
      </w:r>
      <w:r>
        <w:rPr>
          <w:b/>
          <w:bCs/>
        </w:rPr>
        <w:t xml:space="preserve">  </w:t>
      </w:r>
      <w:r>
        <w:rPr>
          <w:rFonts w:ascii="Times New Roman" w:cs="Times New Roman" w:hAnsi="Times New Roman"/>
          <w:b/>
          <w:bCs/>
          <w:sz w:val="44"/>
          <w:szCs w:val="44"/>
        </w:rPr>
        <w:t>MULUNGUSHI UNIVERSITY</w:t>
      </w:r>
    </w:p>
    <w:p>
      <w:pPr>
        <w:pStyle w:val="style0"/>
        <w:spacing w:lineRule="auto" w:line="360"/>
        <w:jc w:val="both"/>
        <w:rPr>
          <w:rFonts w:ascii="Times New Roman" w:cs="Times New Roman" w:hAnsi="Times New Roman"/>
          <w:b/>
          <w:bCs/>
          <w:sz w:val="48"/>
          <w:szCs w:val="48"/>
        </w:rPr>
      </w:pPr>
      <w:r>
        <w:rPr>
          <w:rFonts w:ascii="Times New Roman" w:cs="Times New Roman" w:hAnsi="Times New Roman"/>
          <w:b/>
          <w:bCs/>
          <w:sz w:val="48"/>
          <w:szCs w:val="48"/>
        </w:rPr>
        <w:t xml:space="preserve">                 JOURNAL ARTICLE</w:t>
      </w:r>
      <w:r>
        <w:rPr>
          <w:rFonts w:ascii="Times New Roman" w:cs="Times New Roman" w:hAnsi="Times New Roman"/>
          <w:b/>
          <w:bCs/>
          <w:sz w:val="48"/>
          <w:szCs w:val="48"/>
        </w:rPr>
        <w:t>.</w:t>
      </w:r>
      <w:r>
        <w:rPr>
          <w:rFonts w:ascii="Times New Roman" w:cs="Times New Roman" w:hAnsi="Times New Roman"/>
          <w:b/>
          <w:bCs/>
          <w:sz w:val="48"/>
          <w:szCs w:val="48"/>
        </w:rPr>
        <w:t xml:space="preserve">  </w:t>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 xml:space="preserve">EXAMINING THE ROLE OF EMPLOYEE MENTAL WELL-BEING IN ENHANCING WORK ENGAGEMENT AND TASK PERFORMANCE. A CASE OF </w:t>
      </w:r>
      <w:r>
        <w:rPr>
          <w:rFonts w:ascii="Times New Roman" w:cs="Times New Roman" w:hAnsi="Times New Roman"/>
          <w:b/>
          <w:bCs/>
          <w:sz w:val="24"/>
          <w:szCs w:val="24"/>
        </w:rPr>
        <w:t>PUBLIC SECTOR EMPLOYEES IN THE MINISTRY OF HEALTH, CHIBOMBO DISTRICT</w:t>
      </w: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b/>
          <w:bCs/>
          <w:sz w:val="24"/>
          <w:szCs w:val="24"/>
        </w:rPr>
        <w:t xml:space="preserve">      AUTHOR</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                                               LUNGOWE CHINDELE</w:t>
      </w:r>
      <w:r>
        <w:rPr>
          <w:rFonts w:ascii="Times New Roman" w:cs="Times New Roman" w:hAnsi="Times New Roman"/>
          <w:b/>
          <w:bCs/>
          <w:sz w:val="24"/>
          <w:szCs w:val="24"/>
          <w:lang w:val="en-GB"/>
        </w:rPr>
        <w:t>¹</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b/>
          <w:bCs/>
          <w:sz w:val="24"/>
          <w:szCs w:val="24"/>
        </w:rPr>
        <w:t xml:space="preserve">                                  </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                                                          CO- AUTHOR</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                                                  CHILAYI MAYONDI </w:t>
      </w:r>
      <w:r>
        <w:rPr>
          <w:rFonts w:ascii="Times New Roman" w:cs="Times New Roman" w:hAnsi="Times New Roman"/>
          <w:b/>
          <w:bCs/>
          <w:sz w:val="24"/>
          <w:szCs w:val="24"/>
          <w:lang w:val="en-GB"/>
        </w:rPr>
        <w:t>²</w:t>
      </w:r>
    </w:p>
    <w:p>
      <w:pPr>
        <w:pStyle w:val="style0"/>
        <w:tabs>
          <w:tab w:val="left" w:leader="none" w:pos="2835"/>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b/>
          <w:bCs/>
          <w:sz w:val="24"/>
          <w:szCs w:val="24"/>
        </w:rPr>
        <w:t xml:space="preserve">   </w:t>
      </w:r>
    </w:p>
    <w:p>
      <w:pPr>
        <w:pStyle w:val="style0"/>
        <w:spacing w:lineRule="auto" w:line="360"/>
        <w:jc w:val="both"/>
        <w:rPr>
          <w:rFonts w:ascii="Times New Roman" w:cs="Times New Roman" w:hAnsi="Times New Roman"/>
          <w:b/>
          <w:bCs/>
          <w:sz w:val="24"/>
          <w:szCs w:val="24"/>
          <w:lang w:val="en-US"/>
        </w:rPr>
      </w:pPr>
    </w:p>
    <w:p>
      <w:pPr>
        <w:pStyle w:val="style0"/>
        <w:spacing w:lineRule="auto" w:line="360"/>
        <w:jc w:val="both"/>
        <w:rPr>
          <w:rFonts w:ascii="Times New Roman" w:cs="Times New Roman" w:hAnsi="Times New Roman"/>
          <w:b/>
          <w:bCs/>
          <w:sz w:val="24"/>
          <w:szCs w:val="24"/>
          <w:lang w:val="en-US"/>
        </w:rPr>
      </w:pPr>
    </w:p>
    <w:p>
      <w:pPr>
        <w:pStyle w:val="style0"/>
        <w:spacing w:lineRule="auto" w:line="360"/>
        <w:jc w:val="both"/>
        <w:rPr>
          <w:rFonts w:ascii="Times New Roman" w:cs="Times New Roman" w:hAnsi="Times New Roman"/>
          <w:b/>
          <w:bCs/>
          <w:sz w:val="24"/>
          <w:szCs w:val="24"/>
          <w:lang w:val="en-US"/>
        </w:rPr>
      </w:pPr>
    </w:p>
    <w:p>
      <w:pPr>
        <w:pStyle w:val="style0"/>
        <w:spacing w:lineRule="auto" w:line="360"/>
        <w:jc w:val="both"/>
        <w:rPr>
          <w:rFonts w:ascii="Times New Roman" w:cs="Times New Roman" w:hAnsi="Times New Roman"/>
          <w:b/>
          <w:bCs/>
          <w:sz w:val="24"/>
          <w:szCs w:val="24"/>
          <w:lang w:val="en-US"/>
        </w:rPr>
      </w:pPr>
    </w:p>
    <w:p>
      <w:pPr>
        <w:pStyle w:val="style0"/>
        <w:spacing w:lineRule="auto" w:line="360"/>
        <w:jc w:val="both"/>
        <w:rPr>
          <w:rFonts w:ascii="Times New Roman" w:cs="Times New Roman" w:hAnsi="Times New Roman"/>
          <w:b/>
          <w:bCs/>
          <w:sz w:val="24"/>
          <w:szCs w:val="24"/>
          <w:lang w:val="en-US"/>
        </w:rPr>
      </w:pPr>
    </w:p>
    <w:p>
      <w:pPr>
        <w:pStyle w:val="style0"/>
        <w:spacing w:lineRule="auto" w:line="360"/>
        <w:jc w:val="both"/>
        <w:rPr>
          <w:rFonts w:ascii="Times New Roman" w:cs="Times New Roman" w:hAnsi="Times New Roman"/>
          <w:b/>
          <w:bCs/>
          <w:sz w:val="24"/>
          <w:szCs w:val="24"/>
          <w:lang w:val="en-US"/>
        </w:rPr>
      </w:pPr>
    </w:p>
    <w:p>
      <w:pPr>
        <w:pStyle w:val="style0"/>
        <w:spacing w:lineRule="auto" w:line="360"/>
        <w:jc w:val="both"/>
        <w:rPr>
          <w:rFonts w:ascii="Times New Roman" w:cs="Times New Roman" w:hAnsi="Times New Roman"/>
          <w:b/>
          <w:bCs/>
          <w:sz w:val="24"/>
          <w:szCs w:val="24"/>
          <w:lang w:val="en-US"/>
        </w:rPr>
      </w:pPr>
    </w:p>
    <w:p>
      <w:pPr>
        <w:pStyle w:val="style0"/>
        <w:spacing w:lineRule="auto" w:line="360"/>
        <w:jc w:val="both"/>
        <w:rPr>
          <w:rFonts w:ascii="Times New Roman" w:cs="Times New Roman" w:hAnsi="Times New Roman"/>
          <w:b/>
          <w:bCs/>
          <w:sz w:val="24"/>
          <w:szCs w:val="24"/>
          <w:lang w:val="en-US"/>
        </w:rPr>
      </w:pPr>
    </w:p>
    <w:p>
      <w:pPr>
        <w:pStyle w:val="style0"/>
        <w:spacing w:lineRule="auto" w:line="360"/>
        <w:jc w:val="both"/>
        <w:rPr>
          <w:rFonts w:ascii="Times New Roman" w:cs="Times New Roman" w:hAnsi="Times New Roman"/>
          <w:b/>
          <w:bCs/>
          <w:sz w:val="24"/>
          <w:szCs w:val="24"/>
          <w:lang w:val="en-US"/>
        </w:rPr>
      </w:pPr>
    </w:p>
    <w:p>
      <w:pPr>
        <w:pStyle w:val="style0"/>
        <w:spacing w:lineRule="auto" w:line="360"/>
        <w:jc w:val="both"/>
        <w:rPr>
          <w:rFonts w:ascii="Times New Roman" w:cs="Times New Roman" w:hAnsi="Times New Roman"/>
          <w:b/>
          <w:bCs/>
          <w:sz w:val="24"/>
          <w:szCs w:val="24"/>
          <w:lang w:val="en-US"/>
        </w:rPr>
      </w:pPr>
    </w:p>
    <w:p>
      <w:pPr>
        <w:pStyle w:val="style0"/>
        <w:spacing w:lineRule="auto" w:line="360"/>
        <w:jc w:val="both"/>
        <w:rPr>
          <w:rFonts w:ascii="Times New Roman" w:cs="Times New Roman" w:hAnsi="Times New Roman"/>
          <w:b/>
          <w:bCs/>
          <w:sz w:val="24"/>
          <w:szCs w:val="24"/>
          <w:lang w:val="en-US"/>
        </w:rPr>
      </w:pPr>
    </w:p>
    <w:p>
      <w:pPr>
        <w:pStyle w:val="style0"/>
        <w:spacing w:lineRule="auto" w:line="360"/>
        <w:jc w:val="both"/>
        <w:rPr>
          <w:rFonts w:ascii="Times New Roman" w:cs="Times New Roman" w:hAnsi="Times New Roman"/>
          <w:b/>
          <w:bCs/>
          <w:sz w:val="24"/>
          <w:szCs w:val="24"/>
          <w:lang w:val="en-US"/>
        </w:rPr>
      </w:pPr>
    </w:p>
    <w:p>
      <w:pPr>
        <w:pStyle w:val="style0"/>
        <w:spacing w:lineRule="auto" w:line="360"/>
        <w:jc w:val="both"/>
        <w:rPr>
          <w:rFonts w:ascii="Times New Roman" w:cs="Times New Roman" w:hAnsi="Times New Roman"/>
          <w:b/>
          <w:bCs/>
          <w:sz w:val="24"/>
          <w:szCs w:val="24"/>
          <w:lang w:val="en-US"/>
        </w:rPr>
      </w:pPr>
    </w:p>
    <w:p>
      <w:pPr>
        <w:pStyle w:val="style0"/>
        <w:spacing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Abstract </w:t>
      </w:r>
    </w:p>
    <w:p>
      <w:pPr>
        <w:pStyle w:val="style0"/>
        <w:spacing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Employee mental wellbeing is an important aspect that determines how well employees engage with their work and how well they execute their duties, drawing significant attention from researchers globally. This study aimed to investigate the role of employee mental wellbeing in enhancing work engagement and task performance among public sector employees in Zambia. A quantitative research design was used in this study with a simple random sample of 120 (n=120). Three different Likert scale instruments were used to measure employee mental wellbeing, work engagement and task performance.</w:t>
      </w:r>
      <w:r>
        <w:rPr>
          <w:rFonts w:ascii="Times New Roman" w:cs="Times New Roman" w:hAnsi="Times New Roman"/>
          <w:sz w:val="24"/>
          <w:szCs w:val="24"/>
          <w:lang w:val="en-US"/>
        </w:rPr>
        <w:t xml:space="preserve"> Higher reliability coefficient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values for all measuring scales in the study were found. Significant positive correlations were found among employee mental wellbeing, work engagement and task performance. Findings from regression analysis showed that both employee mental well and work engagement had predictive value for task performance. These results suggest that employee mental wellbeing and work engagement </w:t>
      </w:r>
      <w:r>
        <w:rPr>
          <w:rFonts w:ascii="Times New Roman" w:cs="Times New Roman" w:hAnsi="Times New Roman"/>
          <w:sz w:val="24"/>
          <w:szCs w:val="24"/>
          <w:lang w:val="en-US"/>
        </w:rPr>
        <w:t>play a significant role in enhancing task performance.</w:t>
      </w:r>
    </w:p>
    <w:p>
      <w:pPr>
        <w:pStyle w:val="style0"/>
        <w:spacing w:lineRule="auto" w:line="360"/>
        <w:jc w:val="both"/>
        <w:rPr>
          <w:rFonts w:ascii="Times New Roman" w:cs="Times New Roman" w:hAnsi="Times New Roman"/>
          <w:sz w:val="24"/>
          <w:szCs w:val="24"/>
          <w:lang w:val="en-US"/>
        </w:rPr>
      </w:pPr>
      <w:r>
        <w:rPr>
          <w:rFonts w:ascii="Times New Roman" w:cs="Times New Roman" w:hAnsi="Times New Roman"/>
          <w:b/>
          <w:bCs/>
          <w:sz w:val="24"/>
          <w:szCs w:val="24"/>
          <w:lang w:val="en-US"/>
        </w:rPr>
        <w:t xml:space="preserve">Key words: </w:t>
      </w:r>
      <w:r>
        <w:rPr>
          <w:rFonts w:ascii="Times New Roman" w:cs="Times New Roman" w:hAnsi="Times New Roman"/>
          <w:sz w:val="24"/>
          <w:szCs w:val="24"/>
          <w:lang w:val="en-US"/>
        </w:rPr>
        <w:t>employee mental wellbeing, work engagement, task performance</w:t>
      </w:r>
      <w:r>
        <w:rPr>
          <w:rFonts w:ascii="Times New Roman" w:cs="Times New Roman" w:hAnsi="Times New Roman"/>
          <w:sz w:val="24"/>
          <w:szCs w:val="24"/>
          <w:lang w:val="en-US"/>
        </w:rPr>
        <w:t xml:space="preserve">, public sector, </w:t>
      </w:r>
      <w:r>
        <w:rPr>
          <w:rFonts w:ascii="Times New Roman" w:cs="Times New Roman" w:hAnsi="Times New Roman"/>
          <w:sz w:val="24"/>
          <w:szCs w:val="24"/>
          <w:lang w:val="en-US"/>
        </w:rPr>
        <w:t>Zambia</w:t>
      </w:r>
      <w:r>
        <w:rPr>
          <w:rFonts w:ascii="Times New Roman" w:cs="Times New Roman" w:hAnsi="Times New Roman"/>
          <w:sz w:val="24"/>
          <w:szCs w:val="24"/>
          <w:lang w:val="en-US"/>
        </w:rPr>
        <w:t>.</w:t>
      </w:r>
    </w:p>
    <w:p>
      <w:pPr>
        <w:pStyle w:val="style179"/>
        <w:numPr>
          <w:ilvl w:val="0"/>
          <w:numId w:val="1"/>
        </w:numPr>
        <w:spacing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INTRODUCTION</w:t>
      </w:r>
    </w:p>
    <w:p>
      <w:pPr>
        <w:pStyle w:val="style0"/>
        <w:spacing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In recent years employee mental wellbeing has emerged as a critical antecedent of organizational effectiveness and productivity. High demanding work environments, high performance expectations, emotional strain and changing organizational structures characterize modern workplaces. These conditions play a significant role </w:t>
      </w:r>
      <w:r>
        <w:rPr>
          <w:rFonts w:ascii="Times New Roman" w:cs="Times New Roman" w:hAnsi="Times New Roman"/>
          <w:sz w:val="24"/>
          <w:szCs w:val="24"/>
          <w:lang w:val="en-US"/>
        </w:rPr>
        <w:t>in employees psychological wellbeing and their ability to remain productive and engaged at work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(Guest, 2017).</w:t>
      </w:r>
    </w:p>
    <w:p>
      <w:pPr>
        <w:pStyle w:val="style0"/>
        <w:spacing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Task performance is critical measure of organizational success because it directly reflects how effectively employees carry out their assigned duties and responsibilities. </w:t>
      </w:r>
      <w:r>
        <w:rPr>
          <w:rFonts w:ascii="Times New Roman" w:cs="Times New Roman" w:hAnsi="Times New Roman"/>
          <w:sz w:val="24"/>
          <w:szCs w:val="24"/>
          <w:lang w:val="en-US"/>
        </w:rPr>
        <w:t xml:space="preserve">Achieving high task performance among employees often relies on how well they engage with their work and their psychological state. Mentally healthy and engaged employees often tend to invest significant effort in to their work. </w:t>
      </w:r>
      <w:r>
        <w:rPr>
          <w:rFonts w:ascii="Times New Roman" w:cs="Times New Roman" w:hAnsi="Times New Roman"/>
          <w:sz w:val="24"/>
          <w:szCs w:val="24"/>
          <w:lang w:val="en-US"/>
        </w:rPr>
        <w:t>Employees who show high task performance contribute significantly towards organizational growth and service delivery. On the contrary, poor psychological wellbeing may affect employee’s concentration, motivation and overall effectiveness negatively (Bakker &amp; Demerouti, 2017).</w:t>
      </w:r>
    </w:p>
    <w:p>
      <w:pPr>
        <w:pStyle w:val="style0"/>
        <w:spacing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This study aimed to investigate the role of employee mental wellbeing in enhancing work engagement and task performance among public sector employees and to determine whether </w:t>
      </w:r>
      <w:r>
        <w:rPr>
          <w:rFonts w:ascii="Times New Roman" w:cs="Times New Roman" w:hAnsi="Times New Roman"/>
          <w:sz w:val="24"/>
          <w:szCs w:val="24"/>
          <w:lang w:val="en-US"/>
        </w:rPr>
        <w:t>employee mental wellbeing and work engagement hold predictive value for task performance. The study has reported on the predictive value of employee mental wellbeing for task performance. Therefore, the present study has contributed to existing literature</w:t>
      </w:r>
      <w:r>
        <w:rPr>
          <w:rFonts w:ascii="Times New Roman" w:cs="Times New Roman" w:hAnsi="Times New Roman"/>
          <w:sz w:val="24"/>
          <w:szCs w:val="24"/>
          <w:lang w:val="en-US"/>
        </w:rPr>
        <w:t xml:space="preserve"> through an increased insight into how employee mental wellbeing and work engagement can predict task performance. From a practical stand point the findings of this study will help organizations, policy makers and the government. By embracing how the constructs in the study relate, government and policy makers are helped understand how an employee’s psychological </w:t>
      </w:r>
      <w:r>
        <w:rPr>
          <w:rFonts w:ascii="Times New Roman" w:cs="Times New Roman" w:hAnsi="Times New Roman"/>
          <w:sz w:val="24"/>
          <w:szCs w:val="24"/>
          <w:lang w:val="en-US"/>
        </w:rPr>
        <w:t>wellbeing</w:t>
      </w:r>
      <w:r>
        <w:rPr>
          <w:rFonts w:ascii="Times New Roman" w:cs="Times New Roman" w:hAnsi="Times New Roman"/>
          <w:sz w:val="24"/>
          <w:szCs w:val="24"/>
          <w:lang w:val="en-US"/>
        </w:rPr>
        <w:t xml:space="preserve"> affect how employees engage with their work and how well they execute their duties.</w:t>
      </w:r>
    </w:p>
    <w:p>
      <w:pPr>
        <w:pStyle w:val="style179"/>
        <w:numPr>
          <w:ilvl w:val="0"/>
          <w:numId w:val="1"/>
        </w:numPr>
        <w:spacing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LITERATURE REVIEW.</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2.0.</w:t>
      </w:r>
      <w:r>
        <w:rPr>
          <w:rFonts w:ascii="Times New Roman" w:cs="Times New Roman" w:hAnsi="Times New Roman"/>
          <w:b/>
          <w:bCs/>
          <w:sz w:val="24"/>
          <w:szCs w:val="24"/>
        </w:rPr>
        <w:t xml:space="preserve"> </w:t>
      </w:r>
      <w:r>
        <w:rPr>
          <w:rFonts w:ascii="Times New Roman" w:cs="Times New Roman" w:hAnsi="Times New Roman"/>
          <w:b/>
          <w:bCs/>
          <w:sz w:val="24"/>
          <w:szCs w:val="24"/>
        </w:rPr>
        <w:t>CONCEPTUALIZING TASK PERFORMANCE.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Task performance is a notion that has captured the interest of work and organizational psychologists as a concept that they try to understand and analyse (</w:t>
      </w:r>
      <w:r>
        <w:rPr>
          <w:rFonts w:ascii="Times New Roman" w:cs="Times New Roman" w:hAnsi="Times New Roman"/>
          <w:sz w:val="24"/>
          <w:szCs w:val="24"/>
        </w:rPr>
        <w:t>Meijerink</w:t>
      </w:r>
      <w:r>
        <w:rPr>
          <w:rFonts w:ascii="Times New Roman" w:cs="Times New Roman" w:hAnsi="Times New Roman"/>
          <w:sz w:val="24"/>
          <w:szCs w:val="24"/>
        </w:rPr>
        <w:t xml:space="preserve"> et al., 2021). According to Koopman et al. (2019) employee performance refers to the extent to which employees complete their work roles effectively.</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 </w:t>
      </w:r>
      <w:r>
        <w:rPr>
          <w:rFonts w:ascii="Times New Roman" w:cs="Times New Roman" w:hAnsi="Times New Roman"/>
          <w:b/>
          <w:bCs/>
          <w:sz w:val="24"/>
          <w:szCs w:val="24"/>
          <w:lang w:val="en-US"/>
        </w:rPr>
        <w:t xml:space="preserve">2.1. </w:t>
      </w:r>
      <w:r>
        <w:rPr>
          <w:rFonts w:ascii="Times New Roman" w:cs="Times New Roman" w:hAnsi="Times New Roman"/>
          <w:sz w:val="24"/>
          <w:szCs w:val="24"/>
          <w:lang w:val="en-US"/>
        </w:rPr>
        <w:t xml:space="preserve"> </w:t>
      </w:r>
      <w:r>
        <w:rPr>
          <w:rFonts w:ascii="Times New Roman" w:cs="Times New Roman" w:hAnsi="Times New Roman"/>
          <w:b/>
          <w:bCs/>
          <w:sz w:val="24"/>
          <w:szCs w:val="24"/>
        </w:rPr>
        <w:t>CONCEPTUALIZING WORK ENGAGEMENT.</w:t>
      </w:r>
    </w:p>
    <w:p>
      <w:pPr>
        <w:pStyle w:val="style0"/>
        <w:spacing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 xml:space="preserve">Work engagement, since its introduction into the academic and organizational domain   has attracted a lot of interest and is seen as a very </w:t>
      </w:r>
      <w:r>
        <w:rPr>
          <w:rFonts w:ascii="Times New Roman" w:cs="Times New Roman" w:hAnsi="Times New Roman"/>
          <w:sz w:val="24"/>
          <w:szCs w:val="24"/>
        </w:rPr>
        <w:t>crucial</w:t>
      </w:r>
      <w:r>
        <w:rPr>
          <w:rFonts w:ascii="Times New Roman" w:cs="Times New Roman" w:hAnsi="Times New Roman"/>
          <w:sz w:val="24"/>
          <w:szCs w:val="24"/>
        </w:rPr>
        <w:t xml:space="preserve"> factor that relates to work performance. The concept has recently gained a significant momentum in the field of business management as the factor that most affects the results and success of the organization (Saks, 2022).</w:t>
      </w:r>
      <w:r>
        <w:rPr>
          <w:rFonts w:ascii="Times New Roman" w:cs="Times New Roman" w:hAnsi="Times New Roman"/>
          <w:sz w:val="24"/>
          <w:szCs w:val="24"/>
        </w:rPr>
        <w:t xml:space="preserve"> Work engagement is conceptualized as a positive, fulfilling, work-related state of mind characterized by Vigor, dedication, and absorption </w:t>
      </w:r>
      <w:r>
        <w:rPr>
          <w:rFonts w:ascii="Times New Roman" w:cs="Times New Roman" w:hAnsi="Times New Roman"/>
          <w:sz w:val="24"/>
          <w:szCs w:val="24"/>
        </w:rPr>
        <w:t xml:space="preserve">all of which are essential in achieving task performance </w:t>
      </w:r>
      <w:r>
        <w:rPr>
          <w:rFonts w:ascii="Times New Roman" w:cs="Times New Roman" w:hAnsi="Times New Roman"/>
          <w:sz w:val="24"/>
          <w:szCs w:val="24"/>
        </w:rPr>
        <w:t>(Bakker &amp; Demerouti (2017, p. 759). These three components are inter-related: Vigor refers to having a lot of energy and resilience at work, being persistent and making high efforts even when under stress (Bakker &amp; Demerouti, 2008). Dedication has to do with pride in the job, interest in one's work, enthusiasm and belief that the work is meaningful and valuable (Schaufeli &amp; Bakker, 2010). Absorption refers to the state of total immersion in one's work where time flies by so quickly that employees find it hard to pull themselves away from work</w:t>
      </w:r>
      <w:r>
        <w:rPr>
          <w:rFonts w:ascii="Times New Roman" w:cs="Times New Roman" w:hAnsi="Times New Roman"/>
          <w:sz w:val="24"/>
          <w:szCs w:val="24"/>
        </w:rPr>
        <w:t xml:space="preserve"> (Schaufeli et al., 2002).</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b/>
          <w:bCs/>
          <w:sz w:val="24"/>
          <w:szCs w:val="24"/>
        </w:rPr>
      </w:pPr>
      <w:r>
        <w:rPr>
          <w:rFonts w:ascii="Times New Roman" w:cs="Times New Roman" w:hAnsi="Times New Roman"/>
          <w:sz w:val="24"/>
          <w:szCs w:val="24"/>
        </w:rPr>
        <w:t>Studies have indicated that highly engaged employees increase their voluntary efforts and commitment, and therefore can be more innovative and creative, and consequently can enhance performance (Saks, 2022).</w:t>
      </w: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r>
        <w:rPr>
          <w:rFonts w:ascii="Times New Roman" w:cs="Times New Roman" w:hAnsi="Times New Roman"/>
          <w:sz w:val="24"/>
          <w:szCs w:val="24"/>
          <w:lang w:val="en-US"/>
        </w:rPr>
        <w:t>2.2.</w:t>
      </w:r>
      <w:r>
        <w:rPr>
          <w:rFonts w:ascii="Times New Roman" w:cs="Times New Roman" w:hAnsi="Times New Roman"/>
          <w:b/>
          <w:bCs/>
          <w:sz w:val="24"/>
          <w:szCs w:val="24"/>
        </w:rPr>
        <w:t xml:space="preserve"> CONCEPTUALIZING</w:t>
      </w:r>
      <w:r>
        <w:rPr>
          <w:rFonts w:ascii="Times New Roman" w:cs="Times New Roman" w:hAnsi="Times New Roman"/>
          <w:sz w:val="24"/>
          <w:szCs w:val="24"/>
        </w:rPr>
        <w:t xml:space="preserve"> </w:t>
      </w:r>
      <w:r>
        <w:rPr>
          <w:rFonts w:ascii="Times New Roman" w:cs="Times New Roman" w:hAnsi="Times New Roman"/>
          <w:b/>
          <w:bCs/>
          <w:sz w:val="24"/>
          <w:szCs w:val="24"/>
        </w:rPr>
        <w:t>EMPLOYEE MENTAL WELLBEING.</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Mental wellbeing is a complex and multifaceted construct and extremely difficult to conceptualize and measure (Rahmani et al., 2018). The WHO (2022, p.5) defines employee mental wellbeing as 'a positive mental state in which individuals realize their abilities, cope with normal life stressors and contribute to organizational tasks'.</w:t>
      </w:r>
    </w:p>
    <w:p>
      <w:pPr>
        <w:pStyle w:val="style0"/>
        <w:spacing w:lineRule="auto" w:line="360"/>
        <w:jc w:val="both"/>
        <w:rPr>
          <w:rFonts w:ascii="Times New Roman" w:cs="Times New Roman" w:hAnsi="Times New Roman"/>
          <w:b/>
          <w:bCs/>
          <w:sz w:val="24"/>
          <w:szCs w:val="24"/>
        </w:rPr>
      </w:pPr>
      <w:r>
        <w:rPr>
          <w:rFonts w:ascii="Times New Roman" w:cs="Times New Roman" w:hAnsi="Times New Roman"/>
          <w:sz w:val="24"/>
          <w:szCs w:val="24"/>
        </w:rPr>
        <w:t>2.3.</w:t>
      </w:r>
      <w:r>
        <w:rPr>
          <w:rFonts w:ascii="Times New Roman" w:cs="Times New Roman" w:hAnsi="Times New Roman"/>
          <w:b/>
          <w:bCs/>
          <w:sz w:val="24"/>
          <w:szCs w:val="24"/>
        </w:rPr>
        <w:t xml:space="preserve"> RELATIONSHIP BETWEEN EMPLOYEE MENTAL WELLBEING AND WORK ENGAGEMENT.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lang w:val="en-US"/>
        </w:rPr>
        <w:t xml:space="preserve">An employee with good mental wellbeing can effectively face various kinds of stresses and failures and can maintain engagement towards his job. The study involved 120 employees from the ministry of health aimed at understanding how employee mental </w:t>
      </w:r>
      <w:r>
        <w:rPr>
          <w:rFonts w:ascii="Times New Roman" w:cs="Times New Roman" w:hAnsi="Times New Roman"/>
          <w:sz w:val="24"/>
          <w:szCs w:val="24"/>
          <w:lang w:val="en-US"/>
        </w:rPr>
        <w:t>wellbeing</w:t>
      </w:r>
      <w:r>
        <w:rPr>
          <w:rFonts w:ascii="Times New Roman" w:cs="Times New Roman" w:hAnsi="Times New Roman"/>
          <w:sz w:val="24"/>
          <w:szCs w:val="24"/>
          <w:lang w:val="en-US"/>
        </w:rPr>
        <w:t xml:space="preserve"> plays a role in enhancing work engagement.</w:t>
      </w:r>
      <w:r>
        <w:rPr>
          <w:rFonts w:ascii="Times New Roman" w:cs="Times New Roman" w:hAnsi="Times New Roman"/>
          <w:sz w:val="24"/>
          <w:szCs w:val="24"/>
          <w:lang w:val="en-US"/>
        </w:rPr>
        <w:t xml:space="preserve"> A positive correlation was found between employee mental wellbeing and task performance </w:t>
      </w:r>
      <w:r>
        <w:rPr>
          <w:rFonts w:ascii="Times New Roman" w:cs="Times New Roman" w:hAnsi="Times New Roman"/>
          <w:sz w:val="24"/>
          <w:szCs w:val="24"/>
        </w:rPr>
        <w:t>(r= .893; p .000). Based on the above argument, it can therefore be hypothesized that employee mental well being positively influences work engagement.</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2.4. RELATIONSHIP BETWEEN EMPLOYEE MENTAL WELLBEING AND TASK PERFORMANCE.</w:t>
      </w:r>
    </w:p>
    <w:p>
      <w:pPr>
        <w:pStyle w:val="style0"/>
        <w:spacing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Mental wellbeing has been found to be significantly directly related with t</w:t>
      </w:r>
      <w:r>
        <w:rPr>
          <w:rFonts w:ascii="Times New Roman" w:cs="Times New Roman" w:hAnsi="Times New Roman"/>
          <w:sz w:val="24"/>
          <w:szCs w:val="24"/>
          <w:lang w:val="en-US"/>
        </w:rPr>
        <w:t>ask</w:t>
      </w:r>
      <w:r>
        <w:rPr>
          <w:rFonts w:ascii="Times New Roman" w:cs="Times New Roman" w:hAnsi="Times New Roman"/>
          <w:sz w:val="24"/>
          <w:szCs w:val="24"/>
          <w:lang w:val="en-US"/>
        </w:rPr>
        <w:t xml:space="preserve"> performance.</w:t>
      </w:r>
      <w:r>
        <w:rPr>
          <w:rFonts w:ascii="Times New Roman" w:cs="Times New Roman" w:hAnsi="Times New Roman"/>
          <w:sz w:val="24"/>
          <w:szCs w:val="24"/>
          <w:lang w:val="en-US"/>
        </w:rPr>
        <w:t xml:space="preserve"> Employee wellbeing which impacts employees ' welfare, is a critical element for long term success and sustainability of the organizations and it can be observed that there is a great impact of work-related wellbeing on the performance and survival of organization (Grant et al., 2007). Koopmans et al (2014) observed that employees with higher level of mental wellbeing performed their task significantly higher compared to others; their level of task performance was determined by the accuracy, speed, and consistency of completing their core task. Their study highlights significant role that employee mental wellbeing plays, showing how poor employee mental wellbeing can hinder how effectively employee execute their work. It can therefore, be hypothesized that employee mental wellbeing positively influences task performance.</w:t>
      </w:r>
    </w:p>
    <w:p>
      <w:pPr>
        <w:numPr>
          <w:ilvl w:val="0"/>
          <w:numId w:val="0"/>
        </w:numPr>
        <w:spacing w:lineRule="auto" w:line="360"/>
        <w:jc w:val="both"/>
        <w:rPr>
          <w:rFonts w:ascii="Times New Roman" w:cs="Times New Roman" w:hAnsi="Times New Roman"/>
          <w:sz w:val="24"/>
          <w:szCs w:val="24"/>
          <w:lang w:val="en-US"/>
        </w:rPr>
      </w:pPr>
      <w:r>
        <w:rPr>
          <w:rFonts w:ascii="Times New Roman" w:cs="Times New Roman" w:hAnsi="Times New Roman"/>
          <w:b/>
          <w:bCs/>
          <w:sz w:val="24"/>
          <w:szCs w:val="24"/>
        </w:rPr>
        <w:t xml:space="preserve"> </w:t>
      </w:r>
    </w:p>
    <w:p>
      <w:pPr>
        <w:numPr>
          <w:ilvl w:val="0"/>
          <w:numId w:val="0"/>
        </w:numPr>
        <w:spacing w:lineRule="auto" w:line="360"/>
        <w:jc w:val="both"/>
        <w:rPr>
          <w:rFonts w:ascii="Times New Roman" w:cs="Times New Roman" w:hAnsi="Times New Roman"/>
          <w:b/>
          <w:bCs/>
          <w:sz w:val="24"/>
          <w:szCs w:val="24"/>
        </w:rPr>
      </w:pPr>
      <w:r>
        <w:rPr>
          <w:rFonts w:ascii="Times New Roman" w:cs="Times New Roman" w:hAnsi="Times New Roman"/>
          <w:b/>
          <w:bCs/>
          <w:sz w:val="24"/>
          <w:szCs w:val="24"/>
          <w:lang w:val="en-US"/>
        </w:rPr>
        <w:t>3.</w:t>
      </w:r>
      <w:r>
        <w:rPr>
          <w:rFonts w:ascii="Times New Roman" w:cs="Times New Roman" w:hAnsi="Times New Roman"/>
          <w:b/>
          <w:bCs/>
          <w:sz w:val="24"/>
          <w:szCs w:val="24"/>
        </w:rPr>
        <w:t>THEORETICAL FRAMEWORK.</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3.1. JOB-DEMAND RESOURCE MODEL.</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application of the job demand resource model in this study is crucial for understanding </w:t>
      </w:r>
      <w:r>
        <w:rPr>
          <w:rFonts w:ascii="Times New Roman" w:cs="Times New Roman" w:hAnsi="Times New Roman"/>
          <w:sz w:val="24"/>
          <w:szCs w:val="24"/>
        </w:rPr>
        <w:t>how high</w:t>
      </w:r>
      <w:r>
        <w:rPr>
          <w:rFonts w:ascii="Times New Roman" w:cs="Times New Roman" w:hAnsi="Times New Roman"/>
          <w:sz w:val="24"/>
          <w:szCs w:val="24"/>
        </w:rPr>
        <w:t xml:space="preserve"> job demands without adequate job resources can cause employees to experience high levels of stress and burnout leading to decreased work engagement and task performance.</w:t>
      </w:r>
      <w:r>
        <w:rPr>
          <w:rFonts w:ascii="Times New Roman" w:cs="Times New Roman" w:hAnsi="Times New Roman"/>
          <w:sz w:val="24"/>
          <w:szCs w:val="24"/>
        </w:rPr>
        <w:t xml:space="preserve"> This model explains how employee mental well being and performance are </w:t>
      </w:r>
      <w:r>
        <w:rPr>
          <w:rFonts w:ascii="Times New Roman" w:cs="Times New Roman" w:hAnsi="Times New Roman"/>
          <w:sz w:val="24"/>
          <w:szCs w:val="24"/>
        </w:rPr>
        <w:t xml:space="preserve">influenced by a balance between job demand and job resources. Job demands can be defined as "those aspects of the job that require sustained physical and/or psychological effort and are therefore associated with certain physiological and/or psychological costs" (Demerouti et al., 2001) while job resources "those physical, psychological, social, or organizational aspects of the job that are functional in achieving work goals, that reduce job demands and the associated costs, or stimulate growth, learning, and development" (Bakker, 2011). </w:t>
      </w:r>
    </w:p>
    <w:p>
      <w:pPr>
        <w:numPr>
          <w:ilvl w:val="0"/>
          <w:numId w:val="0"/>
        </w:numPr>
        <w:spacing w:lineRule="auto" w:line="36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4. </w:t>
      </w:r>
      <w:r>
        <w:rPr>
          <w:rFonts w:ascii="Times New Roman" w:cs="Times New Roman" w:hAnsi="Times New Roman"/>
          <w:b/>
          <w:bCs/>
          <w:sz w:val="24"/>
          <w:szCs w:val="24"/>
        </w:rPr>
        <w:t>METHODS.</w:t>
      </w:r>
      <w:r>
        <w:rPr>
          <w:rFonts w:ascii="Times New Roman" w:cs="Times New Roman" w:hAnsi="Times New Roman"/>
          <w:b/>
          <w:bCs/>
          <w:sz w:val="24"/>
          <w:szCs w:val="24"/>
        </w:rPr>
        <w:t xml:space="preserve"> </w:t>
      </w:r>
    </w:p>
    <w:p>
      <w:pPr>
        <w:pStyle w:val="style179"/>
        <w:spacing w:lineRule="auto" w:line="360"/>
        <w:ind w:left="360"/>
        <w:jc w:val="both"/>
        <w:rPr>
          <w:rFonts w:ascii="Times New Roman" w:cs="Times New Roman" w:hAnsi="Times New Roman"/>
          <w:b/>
          <w:bCs/>
          <w:sz w:val="24"/>
          <w:szCs w:val="24"/>
        </w:rPr>
      </w:pPr>
      <w:r>
        <w:rPr>
          <w:rFonts w:ascii="Times New Roman" w:cs="Times New Roman" w:hAnsi="Times New Roman"/>
          <w:b/>
          <w:bCs/>
          <w:sz w:val="24"/>
          <w:szCs w:val="24"/>
        </w:rPr>
        <w:t>4.1. Research Design.</w:t>
      </w: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A </w:t>
      </w:r>
      <w:r>
        <w:rPr>
          <w:rFonts w:ascii="Times New Roman" w:cs="Times New Roman" w:hAnsi="Times New Roman"/>
          <w:sz w:val="24"/>
          <w:szCs w:val="24"/>
        </w:rPr>
        <w:t>quantitative research</w:t>
      </w:r>
      <w:r>
        <w:rPr>
          <w:rFonts w:ascii="Times New Roman" w:cs="Times New Roman" w:hAnsi="Times New Roman"/>
          <w:sz w:val="24"/>
          <w:szCs w:val="24"/>
        </w:rPr>
        <w:t xml:space="preserve"> design</w:t>
      </w:r>
      <w:r>
        <w:rPr>
          <w:rFonts w:ascii="Times New Roman" w:cs="Times New Roman" w:hAnsi="Times New Roman"/>
          <w:sz w:val="24"/>
          <w:szCs w:val="24"/>
        </w:rPr>
        <w:t xml:space="preserve"> was employed in </w:t>
      </w:r>
      <w:r>
        <w:rPr>
          <w:rFonts w:ascii="Times New Roman" w:cs="Times New Roman" w:hAnsi="Times New Roman"/>
          <w:sz w:val="24"/>
          <w:szCs w:val="24"/>
        </w:rPr>
        <w:t xml:space="preserve">this study, aligning with the primary objective of investigating the relationship between employee mental well being, work engagement and task performance among public sector employees. This design was deemed appropriate as it facilitates the collection of data at a single point in time, allowing for efficient examination of association between multiple psychological constructs without manipulating any variables. </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b/>
          <w:bCs/>
          <w:sz w:val="24"/>
          <w:szCs w:val="24"/>
        </w:rPr>
      </w:pPr>
      <w:r>
        <w:rPr>
          <w:rFonts w:ascii="Times New Roman" w:cs="Times New Roman" w:hAnsi="Times New Roman"/>
          <w:b/>
          <w:bCs/>
          <w:sz w:val="24"/>
          <w:szCs w:val="24"/>
        </w:rPr>
        <w:t>4.2. Sampling Technique.</w:t>
      </w: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A probability sampling technique specifically </w:t>
      </w:r>
      <w:r>
        <w:rPr>
          <w:rFonts w:ascii="Times New Roman" w:cs="Times New Roman" w:hAnsi="Times New Roman"/>
          <w:sz w:val="24"/>
          <w:szCs w:val="24"/>
        </w:rPr>
        <w:t xml:space="preserve">simple random sampling was utilized. This approach was chosen because every employee had a chance of been selected, enabling </w:t>
      </w:r>
      <w:r>
        <w:rPr>
          <w:rFonts w:ascii="Times New Roman" w:cs="Times New Roman" w:hAnsi="Times New Roman"/>
          <w:sz w:val="24"/>
          <w:szCs w:val="24"/>
        </w:rPr>
        <w:t>the researcher to achieve a high response rate of 100% (120 out of 120 questionnaires distributed).</w:t>
      </w:r>
    </w:p>
    <w:p>
      <w:pPr>
        <w:pStyle w:val="style179"/>
        <w:spacing w:lineRule="auto" w:line="360"/>
        <w:ind w:left="360"/>
        <w:jc w:val="both"/>
        <w:rPr>
          <w:rFonts w:ascii="Times New Roman" w:cs="Times New Roman" w:hAnsi="Times New Roman"/>
          <w:b/>
          <w:bCs/>
          <w:sz w:val="24"/>
          <w:szCs w:val="24"/>
        </w:rPr>
      </w:pPr>
      <w:r>
        <w:rPr>
          <w:rFonts w:ascii="Times New Roman" w:cs="Times New Roman" w:hAnsi="Times New Roman"/>
          <w:b/>
          <w:bCs/>
          <w:sz w:val="24"/>
          <w:szCs w:val="24"/>
        </w:rPr>
        <w:t>4.3. Research Instruments.</w:t>
      </w: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 xml:space="preserve">The study employed established and validated instruments to measure the key variables. Employee mental well being was assessed using </w:t>
      </w:r>
      <w:r>
        <w:rPr>
          <w:rFonts w:ascii="Times New Roman" w:cs="Times New Roman" w:hAnsi="Times New Roman"/>
          <w:sz w:val="24"/>
          <w:szCs w:val="24"/>
        </w:rPr>
        <w:t>the Warwick Edinburgh Mental well being scale which utilizes a five-point Likert scale</w:t>
      </w:r>
      <w:r>
        <w:rPr>
          <w:rFonts w:ascii="Times New Roman" w:cs="Times New Roman" w:hAnsi="Times New Roman"/>
          <w:sz w:val="24"/>
          <w:szCs w:val="24"/>
        </w:rPr>
        <w:t xml:space="preserve"> </w:t>
      </w:r>
      <w:r>
        <w:rPr>
          <w:rFonts w:ascii="Times New Roman" w:cs="Times New Roman" w:hAnsi="Times New Roman"/>
          <w:sz w:val="24"/>
          <w:szCs w:val="24"/>
        </w:rPr>
        <w:t xml:space="preserve">with all items </w:t>
      </w:r>
      <w:r>
        <w:rPr>
          <w:rFonts w:ascii="Times New Roman" w:cs="Times New Roman" w:hAnsi="Times New Roman"/>
          <w:sz w:val="24"/>
          <w:szCs w:val="24"/>
        </w:rPr>
        <w:t>demonstrating good internal consistency of .92. Work engagement was measured using Utrecht work engagement scale rated on a five-point Likert scale comprising of three subscales Vigor, dedication and absorption ranging from 1(never) to 5(always). The Utrecht work engagement scale has been widely validated</w:t>
      </w:r>
      <w:r>
        <w:rPr>
          <w:rFonts w:ascii="Times New Roman" w:cs="Times New Roman" w:hAnsi="Times New Roman"/>
          <w:sz w:val="24"/>
          <w:szCs w:val="24"/>
        </w:rPr>
        <w:t>, exhibiting good internal consistency with a reported Cronbach alpha of .90. Task performance was measured using the individual work performance scale developed by Koopmans et al. (2014), which includes five items with all items demonstrating good internal consistency of .88.</w:t>
      </w:r>
    </w:p>
    <w:p>
      <w:pPr>
        <w:pStyle w:val="style179"/>
        <w:spacing w:lineRule="auto" w:line="360"/>
        <w:ind w:left="360"/>
        <w:jc w:val="both"/>
        <w:rPr>
          <w:rFonts w:ascii="Times New Roman" w:cs="Times New Roman" w:hAnsi="Times New Roman"/>
          <w:b/>
          <w:bCs/>
          <w:sz w:val="24"/>
          <w:szCs w:val="24"/>
        </w:rPr>
      </w:pPr>
      <w:r>
        <w:rPr>
          <w:rFonts w:ascii="Times New Roman" w:cs="Times New Roman" w:hAnsi="Times New Roman"/>
          <w:b/>
          <w:bCs/>
          <w:sz w:val="24"/>
          <w:szCs w:val="24"/>
        </w:rPr>
        <w:t>4.4. Data Gathering Procedure.</w:t>
      </w: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The following steps were undertaken in collecting the data</w:t>
      </w:r>
      <w:r>
        <w:rPr>
          <w:rFonts w:ascii="Times New Roman" w:cs="Times New Roman" w:hAnsi="Times New Roman"/>
          <w:sz w:val="24"/>
          <w:szCs w:val="24"/>
        </w:rPr>
        <w:t xml:space="preserve">. Ethical clearance was obtained from the school’s research ethics committee prior to data collection. Permission from the school was secured by sending a letter of request the district health director and the human resource department to allow the administration of the research instrument. Informed consent was obtained from the </w:t>
      </w:r>
      <w:r>
        <w:rPr>
          <w:rFonts w:ascii="Times New Roman" w:cs="Times New Roman" w:hAnsi="Times New Roman"/>
          <w:sz w:val="24"/>
          <w:szCs w:val="24"/>
        </w:rPr>
        <w:t>participants,</w:t>
      </w:r>
      <w:r>
        <w:rPr>
          <w:rFonts w:ascii="Times New Roman" w:cs="Times New Roman" w:hAnsi="Times New Roman"/>
          <w:sz w:val="24"/>
          <w:szCs w:val="24"/>
        </w:rPr>
        <w:t xml:space="preserve"> outlining the purpose of the study, their rights and assurance of confidentiality</w:t>
      </w:r>
      <w:r>
        <w:rPr>
          <w:rFonts w:ascii="Times New Roman" w:cs="Times New Roman" w:hAnsi="Times New Roman"/>
          <w:sz w:val="24"/>
          <w:szCs w:val="24"/>
        </w:rPr>
        <w:t xml:space="preserve">. Printed and digital versions of the questionnaire were then distributed to the selected participants. Completed questionnaires were collected. Finally, the responses were encoded into SPSS for statical analysis.  </w:t>
      </w:r>
    </w:p>
    <w:p>
      <w:pPr>
        <w:pStyle w:val="style179"/>
        <w:numPr>
          <w:ilvl w:val="0"/>
          <w:numId w:val="0"/>
        </w:numPr>
        <w:spacing w:lineRule="auto" w:line="360"/>
        <w:ind w:left="360" w:firstLine="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5. </w:t>
      </w:r>
      <w:r>
        <w:rPr>
          <w:rFonts w:ascii="Times New Roman" w:cs="Times New Roman" w:hAnsi="Times New Roman"/>
          <w:b/>
          <w:bCs/>
          <w:sz w:val="24"/>
          <w:szCs w:val="24"/>
        </w:rPr>
        <w:t>RESULTS.</w:t>
      </w:r>
      <w:r>
        <w:rPr>
          <w:rFonts w:ascii="Times New Roman" w:cs="Times New Roman" w:hAnsi="Times New Roman"/>
          <w:b/>
          <w:bCs/>
          <w:sz w:val="24"/>
          <w:szCs w:val="24"/>
        </w:rPr>
        <w:t xml:space="preserve">  </w:t>
      </w: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Table 1 presents the descriptive statistics for the study variables, including employee mental wellbeing, work engagement and task performance. In this study mean score interpretation was based on the following criteria: where 1.00 - 1.80 reflects very low mean score, 1.81- 2.60 reflects a low mean score, 2.61 - 3.40 reflects </w:t>
      </w:r>
      <w:r>
        <w:rPr>
          <w:rFonts w:ascii="Times New Roman" w:cs="Times New Roman" w:hAnsi="Times New Roman"/>
          <w:sz w:val="24"/>
          <w:szCs w:val="24"/>
        </w:rPr>
        <w:t>a moderate mean score, 3.41 – 4.20 reflects high mean score, and 4.21 – 5.00 reflects very high mean score.</w:t>
      </w:r>
    </w:p>
    <w:p>
      <w:pPr>
        <w:pStyle w:val="style0"/>
        <w:spacing w:lineRule="auto" w:line="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b/>
          <w:bCs/>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Table 1 descriptive statistics</w:t>
      </w:r>
    </w:p>
    <w:tbl>
      <w:tblPr>
        <w:tblW w:w="0" w:type="auto"/>
        <w:tblInd w:w="42" w:type="dxa"/>
        <w:tblBorders>
          <w:top w:val="single" w:sz="4" w:space="0" w:color="auto"/>
        </w:tblBorders>
        <w:tblLook w:val="0000" w:firstRow="0" w:lastRow="0" w:firstColumn="0" w:lastColumn="0" w:noHBand="0" w:noVBand="0"/>
      </w:tblPr>
      <w:tblGrid>
        <w:gridCol w:w="8889"/>
      </w:tblGrid>
      <w:tr>
        <w:trPr>
          <w:trHeight w:val="88" w:hRule="atLeast"/>
        </w:trPr>
        <w:tc>
          <w:tcPr>
            <w:tcW w:w="8889" w:type="dxa"/>
            <w:tcBorders>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Variables                   </w:t>
            </w:r>
            <w:r>
              <w:rPr>
                <w:rFonts w:ascii="Times New Roman" w:cs="Times New Roman" w:hAnsi="Times New Roman"/>
                <w:sz w:val="24"/>
                <w:szCs w:val="24"/>
              </w:rPr>
              <w:t xml:space="preserve">                      </w:t>
            </w:r>
            <w:r>
              <w:rPr>
                <w:rFonts w:ascii="Times New Roman" w:cs="Times New Roman" w:hAnsi="Times New Roman"/>
                <w:sz w:val="24"/>
                <w:szCs w:val="24"/>
              </w:rPr>
              <w:t>rank</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mean                    </w:t>
            </w:r>
            <w:r>
              <w:rPr>
                <w:rFonts w:ascii="Times New Roman" w:cs="Times New Roman" w:hAnsi="Times New Roman"/>
                <w:sz w:val="24"/>
                <w:szCs w:val="24"/>
              </w:rPr>
              <w:t xml:space="preserve">           </w:t>
            </w:r>
            <w:r>
              <w:rPr>
                <w:rFonts w:ascii="Times New Roman" w:cs="Times New Roman" w:hAnsi="Times New Roman"/>
                <w:sz w:val="24"/>
                <w:szCs w:val="24"/>
              </w:rPr>
              <w:t xml:space="preserve"> standard</w:t>
            </w:r>
            <w:r>
              <w:rPr>
                <w:rFonts w:ascii="Times New Roman" w:cs="Times New Roman" w:hAnsi="Times New Roman"/>
                <w:sz w:val="24"/>
                <w:szCs w:val="24"/>
              </w:rPr>
              <w:t xml:space="preserve"> </w:t>
            </w:r>
            <w:r>
              <w:rPr>
                <w:rFonts w:ascii="Times New Roman" w:cs="Times New Roman" w:hAnsi="Times New Roman"/>
                <w:sz w:val="24"/>
                <w:szCs w:val="24"/>
              </w:rPr>
              <w:t xml:space="preserve">deviation             </w:t>
            </w:r>
          </w:p>
        </w:tc>
      </w:tr>
      <w:tr>
        <w:tblPrEx/>
        <w:trPr>
          <w:trHeight w:val="88" w:hRule="atLeast"/>
        </w:trPr>
        <w:tc>
          <w:tcPr>
            <w:tcW w:w="8889" w:type="dxa"/>
            <w:tcBorders>
              <w:top w:val="single" w:sz="4" w:space="0" w:color="auto"/>
            </w:tcBorders>
          </w:tcPr>
          <w:p>
            <w:pPr>
              <w:pStyle w:val="style0"/>
              <w:spacing w:lineRule="auto" w:line="360"/>
              <w:jc w:val="both"/>
              <w:rPr>
                <w:rFonts w:ascii="Times New Roman" w:cs="Times New Roman" w:hAnsi="Times New Roman"/>
                <w:sz w:val="24"/>
                <w:szCs w:val="24"/>
              </w:rPr>
            </w:pPr>
          </w:p>
        </w:tc>
      </w:tr>
      <w:tr>
        <w:tblPrEx/>
        <w:trPr>
          <w:trHeight w:val="1779" w:hRule="atLeast"/>
        </w:trPr>
        <w:tc>
          <w:tcPr>
            <w:tcW w:w="8889" w:type="dxa"/>
            <w:tcBorders>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Employee mental well being           </w:t>
            </w:r>
            <w:r>
              <w:rPr>
                <w:rFonts w:ascii="Times New Roman" w:cs="Times New Roman" w:hAnsi="Times New Roman"/>
                <w:sz w:val="24"/>
                <w:szCs w:val="24"/>
              </w:rPr>
              <w:t>3</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3.363                                  1.237                                               </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Work engagement                           </w:t>
            </w:r>
            <w:r>
              <w:rPr>
                <w:rFonts w:ascii="Times New Roman" w:cs="Times New Roman" w:hAnsi="Times New Roman"/>
                <w:sz w:val="24"/>
                <w:szCs w:val="24"/>
              </w:rPr>
              <w:t xml:space="preserve"> 2</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3.430                                  1.218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Task performance                            </w:t>
            </w:r>
            <w:r>
              <w:rPr>
                <w:rFonts w:ascii="Times New Roman" w:cs="Times New Roman" w:hAnsi="Times New Roman"/>
                <w:sz w:val="24"/>
                <w:szCs w:val="24"/>
              </w:rPr>
              <w:t>1</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3.525                                  1.276                                              </w:t>
            </w:r>
          </w:p>
          <w:p>
            <w:pPr>
              <w:pStyle w:val="style0"/>
              <w:spacing w:lineRule="auto" w:line="360"/>
              <w:jc w:val="both"/>
              <w:rPr>
                <w:rFonts w:ascii="Times New Roman" w:cs="Times New Roman" w:hAnsi="Times New Roman"/>
                <w:sz w:val="24"/>
                <w:szCs w:val="24"/>
              </w:rPr>
            </w:pPr>
          </w:p>
        </w:tc>
      </w:tr>
      <w:tr>
        <w:tblPrEx/>
        <w:trPr>
          <w:trHeight w:val="462" w:hRule="atLeast"/>
        </w:trPr>
        <w:tc>
          <w:tcPr>
            <w:tcW w:w="8889" w:type="dxa"/>
            <w:tcBorders>
              <w:top w:val="single" w:sz="4" w:space="0" w:color="auto"/>
            </w:tcBorders>
          </w:tcPr>
          <w:p>
            <w:pPr>
              <w:pStyle w:val="style0"/>
              <w:spacing w:lineRule="auto" w:line="360"/>
              <w:jc w:val="both"/>
              <w:rPr>
                <w:rFonts w:ascii="Times New Roman" w:cs="Times New Roman" w:hAnsi="Times New Roman"/>
                <w:sz w:val="24"/>
                <w:szCs w:val="24"/>
              </w:rPr>
            </w:pPr>
          </w:p>
        </w:tc>
      </w:tr>
      <w:tr>
        <w:tblPrEx/>
        <w:trPr>
          <w:trHeight w:val="74" w:hRule="atLeast"/>
        </w:trPr>
        <w:tc>
          <w:tcPr>
            <w:tcW w:w="8889"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To asses the internal consistency of the measuring instruments used in this study, Cronbach’s alpha coefficients were computed. The results indicated that generally, the reliability of the three scales was satisfactory. They all met the benchmark reliability standard of </w:t>
            </w:r>
            <w:r>
              <w:rPr>
                <w:rFonts w:ascii="Times New Roman" w:cs="Times New Roman" w:hAnsi="Times New Roman"/>
                <w:sz w:val="24"/>
                <w:szCs w:val="24"/>
              </w:rPr>
              <w:t>α ≥ 0.7</w:t>
            </w:r>
            <w:r>
              <w:rPr>
                <w:rFonts w:ascii="Times New Roman" w:cs="Times New Roman" w:hAnsi="Times New Roman"/>
                <w:sz w:val="24"/>
                <w:szCs w:val="24"/>
              </w:rPr>
              <w:t>0 (</w:t>
            </w:r>
            <w:r>
              <w:rPr>
                <w:rFonts w:ascii="Times New Roman" w:cs="Times New Roman" w:hAnsi="Times New Roman"/>
                <w:sz w:val="24"/>
                <w:szCs w:val="24"/>
              </w:rPr>
              <w:t>Darmayanti</w:t>
            </w:r>
            <w:r>
              <w:rPr>
                <w:rFonts w:ascii="Times New Roman" w:cs="Times New Roman" w:hAnsi="Times New Roman"/>
                <w:sz w:val="24"/>
                <w:szCs w:val="24"/>
              </w:rPr>
              <w:t xml:space="preserve"> et al, 2020). Employee mental wellbeing had a Cronbach’s value of 0.92, work engagement had a value of 0.90 and task performance had a value of 0.88 as shown in table 2.</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                                                   Table 2 Reliability results </w:t>
            </w:r>
          </w:p>
          <w:tbl>
            <w:tblPr>
              <w:tblStyle w:val="style154"/>
              <w:tblW w:w="0" w:type="auto"/>
              <w:tblLook w:val="04A0" w:firstRow="1" w:lastRow="0" w:firstColumn="1" w:lastColumn="0" w:noHBand="0" w:noVBand="1"/>
            </w:tblPr>
            <w:tblGrid>
              <w:gridCol w:w="2905"/>
              <w:gridCol w:w="2865"/>
              <w:gridCol w:w="2905"/>
            </w:tblGrid>
            <w:tr>
              <w:trPr>
                <w:trHeight w:val="654" w:hRule="atLeast"/>
              </w:trPr>
              <w:tc>
                <w:tcPr>
                  <w:tcW w:w="3005" w:type="dxa"/>
                  <w:tcBorders/>
                </w:tcPr>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Variable</w:t>
                  </w:r>
                </w:p>
              </w:tc>
              <w:tc>
                <w:tcPr>
                  <w:tcW w:w="3005" w:type="dxa"/>
                  <w:tcBorders/>
                </w:tcPr>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Sample size</w:t>
                  </w:r>
                </w:p>
              </w:tc>
              <w:tc>
                <w:tcPr>
                  <w:tcW w:w="3006" w:type="dxa"/>
                  <w:tcBorders/>
                </w:tcPr>
                <w:p>
                  <w:pPr>
                    <w:pStyle w:val="style0"/>
                    <w:spacing w:lineRule="auto" w:line="360"/>
                    <w:jc w:val="both"/>
                    <w:rPr>
                      <w:rFonts w:ascii="Times New Roman" w:cs="Times New Roman" w:hAnsi="Times New Roman"/>
                      <w:sz w:val="24"/>
                      <w:szCs w:val="24"/>
                    </w:rPr>
                  </w:pPr>
                  <w:r>
                    <w:rPr>
                      <w:rFonts w:ascii="Times New Roman" w:cs="Times New Roman" w:eastAsia="Times New Roman" w:hAnsi="Times New Roman"/>
                      <w:b/>
                      <w:sz w:val="24"/>
                      <w:szCs w:val="24"/>
                    </w:rPr>
                    <w:t>Chronbach’s</w:t>
                  </w:r>
                  <w:r>
                    <w:rPr>
                      <w:rFonts w:ascii="Times New Roman" w:cs="Times New Roman" w:eastAsia="Times New Roman" w:hAnsi="Times New Roman"/>
                      <w:b/>
                      <w:sz w:val="24"/>
                      <w:szCs w:val="24"/>
                    </w:rPr>
                    <w:t xml:space="preserve"> Alpha</w:t>
                  </w:r>
                </w:p>
              </w:tc>
            </w:tr>
            <w:tr>
              <w:tblPrEx/>
              <w:trPr>
                <w:trHeight w:val="706" w:hRule="atLeast"/>
              </w:trPr>
              <w:tc>
                <w:tcPr>
                  <w:tcW w:w="3005"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Employee mental wellbeing</w:t>
                  </w:r>
                </w:p>
              </w:tc>
              <w:tc>
                <w:tcPr>
                  <w:tcW w:w="3005"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14</w:t>
                  </w:r>
                </w:p>
              </w:tc>
              <w:tc>
                <w:tcPr>
                  <w:tcW w:w="3006"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.92</w:t>
                  </w:r>
                </w:p>
              </w:tc>
            </w:tr>
            <w:tr>
              <w:tblPrEx/>
              <w:trPr>
                <w:trHeight w:val="972" w:hRule="atLeast"/>
              </w:trPr>
              <w:tc>
                <w:tcPr>
                  <w:tcW w:w="3005"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Work engagement</w:t>
                  </w:r>
                </w:p>
              </w:tc>
              <w:tc>
                <w:tcPr>
                  <w:tcW w:w="3005"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9</w:t>
                  </w:r>
                </w:p>
              </w:tc>
              <w:tc>
                <w:tcPr>
                  <w:tcW w:w="3006"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.90</w:t>
                  </w:r>
                </w:p>
              </w:tc>
            </w:tr>
            <w:tr>
              <w:tblPrEx/>
              <w:trPr>
                <w:trHeight w:val="999" w:hRule="atLeast"/>
              </w:trPr>
              <w:tc>
                <w:tcPr>
                  <w:tcW w:w="3005"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Task performance</w:t>
                  </w:r>
                </w:p>
              </w:tc>
              <w:tc>
                <w:tcPr>
                  <w:tcW w:w="3005"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3006"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.88</w:t>
                  </w:r>
                </w:p>
              </w:tc>
            </w:tr>
          </w:tbl>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Pearson </w:t>
            </w:r>
            <w:r>
              <w:rPr>
                <w:rFonts w:ascii="Times New Roman" w:cs="Times New Roman" w:hAnsi="Times New Roman"/>
                <w:sz w:val="24"/>
                <w:szCs w:val="24"/>
              </w:rPr>
              <w:t xml:space="preserve">correlations between the three constructs </w:t>
            </w:r>
            <w:r>
              <w:rPr>
                <w:rFonts w:ascii="Times New Roman" w:cs="Times New Roman" w:hAnsi="Times New Roman"/>
                <w:sz w:val="24"/>
                <w:szCs w:val="24"/>
              </w:rPr>
              <w:t>were calculated. All hypothesized relationships were significant. A statistically significant relationship was found between employee mental well being and work engagement (r= .893; p &lt; 0.01)</w:t>
            </w:r>
            <w:r>
              <w:rPr>
                <w:rFonts w:ascii="Times New Roman" w:cs="Times New Roman" w:hAnsi="Times New Roman"/>
                <w:sz w:val="24"/>
                <w:szCs w:val="24"/>
              </w:rPr>
              <w:t xml:space="preserve">, indicating that employee mental wellbeing is associated with work engagement amongst employees. This </w:t>
            </w:r>
            <w:r>
              <w:rPr>
                <w:rFonts w:ascii="Times New Roman" w:cs="Times New Roman" w:hAnsi="Times New Roman"/>
                <w:sz w:val="24"/>
                <w:szCs w:val="24"/>
              </w:rPr>
              <w:t xml:space="preserve">suggests that employees with good psychological well being tend to engage more with their work and have greater confidence in carrying out their duties. </w:t>
            </w:r>
            <w:r>
              <w:rPr>
                <w:rFonts w:ascii="Times New Roman" w:cs="Times New Roman" w:hAnsi="Times New Roman"/>
                <w:sz w:val="24"/>
                <w:szCs w:val="24"/>
              </w:rPr>
              <w:t xml:space="preserve">Correlational results also shows that a statistically positive relationship exist between work engagement and task performance (r= .882; p &lt;0.01). </w:t>
            </w:r>
            <w:r>
              <w:rPr>
                <w:rFonts w:ascii="Times New Roman" w:cs="Times New Roman" w:hAnsi="Times New Roman"/>
                <w:sz w:val="24"/>
                <w:szCs w:val="24"/>
              </w:rPr>
              <w:t>I</w:t>
            </w:r>
            <w:r>
              <w:rPr>
                <w:rFonts w:ascii="Times New Roman" w:cs="Times New Roman" w:hAnsi="Times New Roman"/>
                <w:sz w:val="24"/>
                <w:szCs w:val="24"/>
              </w:rPr>
              <w:t xml:space="preserve">mplying </w:t>
            </w:r>
            <w:r>
              <w:rPr>
                <w:rFonts w:ascii="Times New Roman" w:cs="Times New Roman" w:hAnsi="Times New Roman"/>
                <w:sz w:val="24"/>
                <w:szCs w:val="24"/>
              </w:rPr>
              <w:t>that work engagement has a positive association with task performance. This suggests that employees who are absorbed and dedicated to their work exhibit higher task performance.</w:t>
            </w:r>
            <w:r>
              <w:rPr>
                <w:rFonts w:ascii="Times New Roman" w:cs="Times New Roman" w:hAnsi="Times New Roman"/>
                <w:sz w:val="24"/>
                <w:szCs w:val="24"/>
              </w:rPr>
              <w:t xml:space="preserve"> Furthermore, a positive significant relationship between task performance and employee mental well being was found (r=.842; p&lt;0.01), indicating that employees with good mental health are more likely to execute their duties more effectively. This </w:t>
            </w:r>
            <w:r>
              <w:rPr>
                <w:rFonts w:ascii="Times New Roman" w:cs="Times New Roman" w:hAnsi="Times New Roman"/>
                <w:sz w:val="24"/>
                <w:szCs w:val="24"/>
              </w:rPr>
              <w:t>suggests</w:t>
            </w:r>
            <w:r>
              <w:rPr>
                <w:rFonts w:ascii="Times New Roman" w:cs="Times New Roman" w:hAnsi="Times New Roman"/>
                <w:sz w:val="24"/>
                <w:szCs w:val="24"/>
              </w:rPr>
              <w:t xml:space="preserve"> an employees psychological state plays a role in promoting task performance amongst employees. </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Table 3 Correlation coefficients for employee mental wellbeing, work engagement and task performance.</w:t>
            </w:r>
          </w:p>
          <w:tbl>
            <w:tblPr>
              <w:tblW w:w="70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9"/>
              <w:gridCol w:w="1988"/>
              <w:gridCol w:w="1361"/>
              <w:gridCol w:w="1361"/>
              <w:gridCol w:w="1361"/>
            </w:tblGrid>
            <w:tr>
              <w:trPr>
                <w:cantSplit/>
              </w:trPr>
              <w:tc>
                <w:tcPr>
                  <w:tcW w:w="2967" w:type="dxa"/>
                  <w:gridSpan w:val="2"/>
                  <w:tcBorders>
                    <w:top w:val="nil"/>
                    <w:left w:val="nil"/>
                    <w:bottom w:val="single" w:sz="8" w:space="0" w:color="152935"/>
                    <w:right w:val="nil"/>
                  </w:tcBorders>
                  <w:shd w:val="clear" w:color="auto" w:fill="ffffff"/>
                </w:tcPr>
                <w:p>
                  <w:pPr>
                    <w:pStyle w:val="style0"/>
                    <w:autoSpaceDE w:val="false"/>
                    <w:autoSpaceDN w:val="false"/>
                    <w:adjustRightInd w:val="false"/>
                    <w:spacing w:after="0" w:lineRule="auto" w:line="360"/>
                    <w:jc w:val="both"/>
                    <w:rPr>
                      <w:rFonts w:ascii="Times New Roman" w:cs="Times New Roman" w:hAnsi="Times New Roman"/>
                      <w:kern w:val="0"/>
                      <w:sz w:val="24"/>
                      <w:szCs w:val="24"/>
                    </w:rPr>
                  </w:pPr>
                </w:p>
              </w:tc>
              <w:tc>
                <w:tcPr>
                  <w:tcW w:w="1361" w:type="dxa"/>
                  <w:tcBorders>
                    <w:top w:val="nil"/>
                    <w:left w:val="nil"/>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264a60"/>
                      <w:kern w:val="0"/>
                      <w:sz w:val="24"/>
                      <w:szCs w:val="24"/>
                    </w:rPr>
                  </w:pPr>
                  <w:r>
                    <w:rPr>
                      <w:rFonts w:ascii="Times New Roman" w:cs="Times New Roman" w:hAnsi="Times New Roman"/>
                      <w:color w:val="264a60"/>
                      <w:kern w:val="0"/>
                      <w:sz w:val="24"/>
                      <w:szCs w:val="24"/>
                    </w:rPr>
                    <w:t>EMW</w:t>
                  </w:r>
                </w:p>
              </w:tc>
              <w:tc>
                <w:tcPr>
                  <w:tcW w:w="1361" w:type="dxa"/>
                  <w:tcBorders>
                    <w:top w:val="nil"/>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264a60"/>
                      <w:kern w:val="0"/>
                      <w:sz w:val="24"/>
                      <w:szCs w:val="24"/>
                    </w:rPr>
                  </w:pPr>
                  <w:r>
                    <w:rPr>
                      <w:rFonts w:ascii="Times New Roman" w:cs="Times New Roman" w:hAnsi="Times New Roman"/>
                      <w:color w:val="264a60"/>
                      <w:kern w:val="0"/>
                      <w:sz w:val="24"/>
                      <w:szCs w:val="24"/>
                    </w:rPr>
                    <w:t>WE</w:t>
                  </w:r>
                </w:p>
              </w:tc>
              <w:tc>
                <w:tcPr>
                  <w:tcW w:w="1361" w:type="dxa"/>
                  <w:tcBorders>
                    <w:top w:val="nil"/>
                    <w:left w:val="single" w:sz="8" w:space="0" w:color="e0e0e0"/>
                    <w:bottom w:val="single" w:sz="8" w:space="0" w:color="152935"/>
                    <w:right w:val="nil"/>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264a60"/>
                      <w:kern w:val="0"/>
                      <w:sz w:val="24"/>
                      <w:szCs w:val="24"/>
                    </w:rPr>
                  </w:pPr>
                  <w:r>
                    <w:rPr>
                      <w:rFonts w:ascii="Times New Roman" w:cs="Times New Roman" w:hAnsi="Times New Roman"/>
                      <w:color w:val="264a60"/>
                      <w:kern w:val="0"/>
                      <w:sz w:val="24"/>
                      <w:szCs w:val="24"/>
                    </w:rPr>
                    <w:t>TP</w:t>
                  </w:r>
                </w:p>
              </w:tc>
            </w:tr>
            <w:tr>
              <w:tblPrEx/>
              <w:trPr>
                <w:cantSplit/>
              </w:trPr>
              <w:tc>
                <w:tcPr>
                  <w:tcW w:w="979" w:type="dxa"/>
                  <w:vMerge w:val="restart"/>
                  <w:tcBorders>
                    <w:top w:val="single" w:sz="8" w:space="0" w:color="152935"/>
                    <w:left w:val="nil"/>
                    <w:bottom w:val="single" w:sz="8" w:space="0" w:color="aeaeae"/>
                    <w:right w:val="nil"/>
                  </w:tcBorders>
                  <w:shd w:val="clear" w:color="auto" w:fill="e0e0e0"/>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264a60"/>
                      <w:kern w:val="0"/>
                      <w:sz w:val="24"/>
                      <w:szCs w:val="24"/>
                    </w:rPr>
                  </w:pPr>
                  <w:r>
                    <w:rPr>
                      <w:rFonts w:ascii="Times New Roman" w:cs="Times New Roman" w:hAnsi="Times New Roman"/>
                      <w:color w:val="264a60"/>
                      <w:kern w:val="0"/>
                      <w:sz w:val="24"/>
                      <w:szCs w:val="24"/>
                    </w:rPr>
                    <w:t>EMW</w:t>
                  </w:r>
                </w:p>
              </w:tc>
              <w:tc>
                <w:tcPr>
                  <w:tcW w:w="1988" w:type="dxa"/>
                  <w:tcBorders>
                    <w:top w:val="single" w:sz="8" w:space="0" w:color="152935"/>
                    <w:left w:val="nil"/>
                    <w:bottom w:val="single" w:sz="8" w:space="0" w:color="aeaeae"/>
                    <w:right w:val="nil"/>
                  </w:tcBorders>
                  <w:shd w:val="clear" w:color="auto" w:fill="e0e0e0"/>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264a60"/>
                      <w:kern w:val="0"/>
                      <w:sz w:val="24"/>
                      <w:szCs w:val="24"/>
                    </w:rPr>
                  </w:pPr>
                  <w:r>
                    <w:rPr>
                      <w:rFonts w:ascii="Times New Roman" w:cs="Times New Roman" w:hAnsi="Times New Roman"/>
                      <w:color w:val="264a60"/>
                      <w:kern w:val="0"/>
                      <w:sz w:val="24"/>
                      <w:szCs w:val="24"/>
                    </w:rPr>
                    <w:t>Pearson Correlation</w:t>
                  </w:r>
                </w:p>
              </w:tc>
              <w:tc>
                <w:tcPr>
                  <w:tcW w:w="1361" w:type="dxa"/>
                  <w:tcBorders>
                    <w:top w:val="single" w:sz="8" w:space="0" w:color="152935"/>
                    <w:left w:val="nil"/>
                    <w:bottom w:val="single" w:sz="8" w:space="0" w:color="aeaeae"/>
                    <w:right w:val="single" w:sz="8" w:space="0" w:color="e0e0e0"/>
                  </w:tcBorders>
                  <w:shd w:val="clear" w:color="auto" w:fill="f9f9fb"/>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10205"/>
                      <w:kern w:val="0"/>
                      <w:sz w:val="24"/>
                      <w:szCs w:val="24"/>
                    </w:rPr>
                  </w:pPr>
                  <w:r>
                    <w:rPr>
                      <w:rFonts w:ascii="Times New Roman" w:cs="Times New Roman" w:hAnsi="Times New Roman"/>
                      <w:color w:val="010205"/>
                      <w:kern w:val="0"/>
                      <w:sz w:val="24"/>
                      <w:szCs w:val="24"/>
                    </w:rPr>
                    <w:t>1</w:t>
                  </w:r>
                </w:p>
              </w:tc>
              <w:tc>
                <w:tcPr>
                  <w:tcW w:w="1361" w:type="dxa"/>
                  <w:tcBorders>
                    <w:top w:val="single" w:sz="8" w:space="0" w:color="152935"/>
                    <w:left w:val="single" w:sz="8" w:space="0" w:color="e0e0e0"/>
                    <w:bottom w:val="single" w:sz="8" w:space="0" w:color="aeaeae"/>
                    <w:right w:val="single" w:sz="8" w:space="0" w:color="e0e0e0"/>
                  </w:tcBorders>
                  <w:shd w:val="clear" w:color="auto" w:fill="f9f9fb"/>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10205"/>
                      <w:kern w:val="0"/>
                      <w:sz w:val="24"/>
                      <w:szCs w:val="24"/>
                    </w:rPr>
                  </w:pPr>
                  <w:r>
                    <w:rPr>
                      <w:rFonts w:ascii="Times New Roman" w:cs="Times New Roman" w:hAnsi="Times New Roman"/>
                      <w:color w:val="010205"/>
                      <w:kern w:val="0"/>
                      <w:sz w:val="24"/>
                      <w:szCs w:val="24"/>
                    </w:rPr>
                    <w:t>.893</w:t>
                  </w:r>
                  <w:r>
                    <w:rPr>
                      <w:rFonts w:ascii="Times New Roman" w:cs="Times New Roman" w:hAnsi="Times New Roman"/>
                      <w:color w:val="010205"/>
                      <w:kern w:val="0"/>
                      <w:sz w:val="24"/>
                      <w:szCs w:val="24"/>
                      <w:vertAlign w:val="superscript"/>
                    </w:rPr>
                    <w:t>**</w:t>
                  </w:r>
                </w:p>
              </w:tc>
              <w:tc>
                <w:tcPr>
                  <w:tcW w:w="1361" w:type="dxa"/>
                  <w:tcBorders>
                    <w:top w:val="single" w:sz="8" w:space="0" w:color="152935"/>
                    <w:left w:val="single" w:sz="8" w:space="0" w:color="e0e0e0"/>
                    <w:bottom w:val="single" w:sz="8" w:space="0" w:color="aeaeae"/>
                    <w:right w:val="nil"/>
                  </w:tcBorders>
                  <w:shd w:val="clear" w:color="auto" w:fill="f9f9fb"/>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10205"/>
                      <w:kern w:val="0"/>
                      <w:sz w:val="24"/>
                      <w:szCs w:val="24"/>
                    </w:rPr>
                  </w:pPr>
                  <w:r>
                    <w:rPr>
                      <w:rFonts w:ascii="Times New Roman" w:cs="Times New Roman" w:hAnsi="Times New Roman"/>
                      <w:color w:val="010205"/>
                      <w:kern w:val="0"/>
                      <w:sz w:val="24"/>
                      <w:szCs w:val="24"/>
                    </w:rPr>
                    <w:t>.842</w:t>
                  </w:r>
                  <w:r>
                    <w:rPr>
                      <w:rFonts w:ascii="Times New Roman" w:cs="Times New Roman" w:hAnsi="Times New Roman"/>
                      <w:color w:val="010205"/>
                      <w:kern w:val="0"/>
                      <w:sz w:val="24"/>
                      <w:szCs w:val="24"/>
                      <w:vertAlign w:val="superscript"/>
                    </w:rPr>
                    <w:t>**</w:t>
                  </w:r>
                </w:p>
              </w:tc>
            </w:tr>
            <w:tr>
              <w:tblPrEx/>
              <w:trPr>
                <w:cantSplit/>
              </w:trPr>
              <w:tc>
                <w:tcPr>
                  <w:tcW w:w="979" w:type="dxa"/>
                  <w:vMerge w:val="continue"/>
                  <w:tcBorders>
                    <w:top w:val="single" w:sz="8" w:space="0" w:color="152935"/>
                    <w:left w:val="nil"/>
                    <w:bottom w:val="single" w:sz="8" w:space="0" w:color="aeaeae"/>
                    <w:right w:val="nil"/>
                  </w:tcBorders>
                  <w:shd w:val="clear" w:color="auto" w:fill="e0e0e0"/>
                  <w:vAlign w:val="center"/>
                </w:tcPr>
                <w:p>
                  <w:pPr>
                    <w:pStyle w:val="style0"/>
                    <w:autoSpaceDE w:val="false"/>
                    <w:autoSpaceDN w:val="false"/>
                    <w:adjustRightInd w:val="false"/>
                    <w:spacing w:after="0" w:lineRule="auto" w:line="360"/>
                    <w:jc w:val="both"/>
                    <w:rPr>
                      <w:rFonts w:ascii="Times New Roman" w:cs="Times New Roman" w:hAnsi="Times New Roman"/>
                      <w:color w:val="010205"/>
                      <w:kern w:val="0"/>
                      <w:sz w:val="24"/>
                      <w:szCs w:val="24"/>
                    </w:rPr>
                  </w:pPr>
                </w:p>
              </w:tc>
              <w:tc>
                <w:tcPr>
                  <w:tcW w:w="1988" w:type="dxa"/>
                  <w:tcBorders>
                    <w:top w:val="single" w:sz="8" w:space="0" w:color="aeaeae"/>
                    <w:left w:val="nil"/>
                    <w:bottom w:val="single" w:sz="8" w:space="0" w:color="aeaeae"/>
                    <w:right w:val="nil"/>
                  </w:tcBorders>
                  <w:shd w:val="clear" w:color="auto" w:fill="e0e0e0"/>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264a60"/>
                      <w:kern w:val="0"/>
                      <w:sz w:val="24"/>
                      <w:szCs w:val="24"/>
                    </w:rPr>
                  </w:pPr>
                  <w:r>
                    <w:rPr>
                      <w:rFonts w:ascii="Times New Roman" w:cs="Times New Roman" w:hAnsi="Times New Roman"/>
                      <w:color w:val="264a60"/>
                      <w:kern w:val="0"/>
                      <w:sz w:val="24"/>
                      <w:szCs w:val="24"/>
                    </w:rPr>
                    <w:t>Sig. (2-tailed)</w:t>
                  </w:r>
                </w:p>
              </w:tc>
              <w:tc>
                <w:tcPr>
                  <w:tcW w:w="1361" w:type="dxa"/>
                  <w:tcBorders>
                    <w:top w:val="single" w:sz="8" w:space="0" w:color="aeaeae"/>
                    <w:left w:val="nil"/>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60"/>
                    <w:jc w:val="both"/>
                    <w:rPr>
                      <w:rFonts w:ascii="Times New Roman" w:cs="Times New Roman" w:hAnsi="Times New Roman"/>
                      <w:kern w:val="0"/>
                      <w:sz w:val="24"/>
                      <w:szCs w:val="24"/>
                    </w:rPr>
                  </w:pPr>
                </w:p>
              </w:tc>
              <w:tc>
                <w:tcPr>
                  <w:tcW w:w="1361" w:type="dxa"/>
                  <w:tcBorders>
                    <w:top w:val="single" w:sz="8" w:space="0" w:color="aeaeae"/>
                    <w:left w:val="single" w:sz="8" w:space="0" w:color="e0e0e0"/>
                    <w:bottom w:val="single" w:sz="8" w:space="0" w:color="aeaeae"/>
                    <w:right w:val="single" w:sz="8" w:space="0" w:color="e0e0e0"/>
                  </w:tcBorders>
                  <w:shd w:val="clear" w:color="auto" w:fill="f9f9fb"/>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10205"/>
                      <w:kern w:val="0"/>
                      <w:sz w:val="24"/>
                      <w:szCs w:val="24"/>
                    </w:rPr>
                  </w:pPr>
                  <w:r>
                    <w:rPr>
                      <w:rFonts w:ascii="Times New Roman" w:cs="Times New Roman" w:hAnsi="Times New Roman"/>
                      <w:color w:val="010205"/>
                      <w:kern w:val="0"/>
                      <w:sz w:val="24"/>
                      <w:szCs w:val="24"/>
                    </w:rPr>
                    <w:t>.000</w:t>
                  </w:r>
                </w:p>
              </w:tc>
              <w:tc>
                <w:tcPr>
                  <w:tcW w:w="1361" w:type="dxa"/>
                  <w:tcBorders>
                    <w:top w:val="single" w:sz="8" w:space="0" w:color="aeaeae"/>
                    <w:left w:val="single" w:sz="8" w:space="0" w:color="e0e0e0"/>
                    <w:bottom w:val="single" w:sz="8" w:space="0" w:color="aeaeae"/>
                    <w:right w:val="nil"/>
                  </w:tcBorders>
                  <w:shd w:val="clear" w:color="auto" w:fill="f9f9fb"/>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10205"/>
                      <w:kern w:val="0"/>
                      <w:sz w:val="24"/>
                      <w:szCs w:val="24"/>
                    </w:rPr>
                  </w:pPr>
                  <w:r>
                    <w:rPr>
                      <w:rFonts w:ascii="Times New Roman" w:cs="Times New Roman" w:hAnsi="Times New Roman"/>
                      <w:color w:val="010205"/>
                      <w:kern w:val="0"/>
                      <w:sz w:val="24"/>
                      <w:szCs w:val="24"/>
                    </w:rPr>
                    <w:t>.000</w:t>
                  </w:r>
                </w:p>
              </w:tc>
            </w:tr>
            <w:tr>
              <w:tblPrEx/>
              <w:trPr>
                <w:cantSplit/>
              </w:trPr>
              <w:tc>
                <w:tcPr>
                  <w:tcW w:w="979" w:type="dxa"/>
                  <w:vMerge w:val="continue"/>
                  <w:tcBorders>
                    <w:top w:val="single" w:sz="8" w:space="0" w:color="152935"/>
                    <w:left w:val="nil"/>
                    <w:bottom w:val="single" w:sz="8" w:space="0" w:color="aeaeae"/>
                    <w:right w:val="nil"/>
                  </w:tcBorders>
                  <w:shd w:val="clear" w:color="auto" w:fill="e0e0e0"/>
                  <w:vAlign w:val="center"/>
                </w:tcPr>
                <w:p>
                  <w:pPr>
                    <w:pStyle w:val="style0"/>
                    <w:autoSpaceDE w:val="false"/>
                    <w:autoSpaceDN w:val="false"/>
                    <w:adjustRightInd w:val="false"/>
                    <w:spacing w:after="0" w:lineRule="auto" w:line="360"/>
                    <w:jc w:val="both"/>
                    <w:rPr>
                      <w:rFonts w:ascii="Times New Roman" w:cs="Times New Roman" w:hAnsi="Times New Roman"/>
                      <w:color w:val="010205"/>
                      <w:kern w:val="0"/>
                      <w:sz w:val="24"/>
                      <w:szCs w:val="24"/>
                    </w:rPr>
                  </w:pPr>
                </w:p>
              </w:tc>
              <w:tc>
                <w:tcPr>
                  <w:tcW w:w="1988" w:type="dxa"/>
                  <w:tcBorders>
                    <w:top w:val="single" w:sz="8" w:space="0" w:color="aeaeae"/>
                    <w:left w:val="nil"/>
                    <w:bottom w:val="single" w:sz="8" w:space="0" w:color="aeaeae"/>
                    <w:right w:val="nil"/>
                  </w:tcBorders>
                  <w:shd w:val="clear" w:color="auto" w:fill="e0e0e0"/>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264a60"/>
                      <w:kern w:val="0"/>
                      <w:sz w:val="24"/>
                      <w:szCs w:val="24"/>
                    </w:rPr>
                  </w:pPr>
                  <w:r>
                    <w:rPr>
                      <w:rFonts w:ascii="Times New Roman" w:cs="Times New Roman" w:hAnsi="Times New Roman"/>
                      <w:color w:val="264a60"/>
                      <w:kern w:val="0"/>
                      <w:sz w:val="24"/>
                      <w:szCs w:val="24"/>
                    </w:rPr>
                    <w:t>N</w:t>
                  </w:r>
                </w:p>
              </w:tc>
              <w:tc>
                <w:tcPr>
                  <w:tcW w:w="1361" w:type="dxa"/>
                  <w:tcBorders>
                    <w:top w:val="single" w:sz="8" w:space="0" w:color="aeaeae"/>
                    <w:left w:val="nil"/>
                    <w:bottom w:val="single" w:sz="8" w:space="0" w:color="aeaeae"/>
                    <w:right w:val="single" w:sz="8" w:space="0" w:color="e0e0e0"/>
                  </w:tcBorders>
                  <w:shd w:val="clear" w:color="auto" w:fill="f9f9fb"/>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10205"/>
                      <w:kern w:val="0"/>
                      <w:sz w:val="24"/>
                      <w:szCs w:val="24"/>
                    </w:rPr>
                  </w:pPr>
                  <w:r>
                    <w:rPr>
                      <w:rFonts w:ascii="Times New Roman" w:cs="Times New Roman" w:hAnsi="Times New Roman"/>
                      <w:color w:val="010205"/>
                      <w:kern w:val="0"/>
                      <w:sz w:val="24"/>
                      <w:szCs w:val="24"/>
                    </w:rPr>
                    <w:t>120</w:t>
                  </w:r>
                </w:p>
              </w:tc>
              <w:tc>
                <w:tcPr>
                  <w:tcW w:w="1361" w:type="dxa"/>
                  <w:tcBorders>
                    <w:top w:val="single" w:sz="8" w:space="0" w:color="aeaeae"/>
                    <w:left w:val="single" w:sz="8" w:space="0" w:color="e0e0e0"/>
                    <w:bottom w:val="single" w:sz="8" w:space="0" w:color="aeaeae"/>
                    <w:right w:val="single" w:sz="8" w:space="0" w:color="e0e0e0"/>
                  </w:tcBorders>
                  <w:shd w:val="clear" w:color="auto" w:fill="f9f9fb"/>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10205"/>
                      <w:kern w:val="0"/>
                      <w:sz w:val="24"/>
                      <w:szCs w:val="24"/>
                    </w:rPr>
                  </w:pPr>
                  <w:r>
                    <w:rPr>
                      <w:rFonts w:ascii="Times New Roman" w:cs="Times New Roman" w:hAnsi="Times New Roman"/>
                      <w:color w:val="010205"/>
                      <w:kern w:val="0"/>
                      <w:sz w:val="24"/>
                      <w:szCs w:val="24"/>
                    </w:rPr>
                    <w:t>120</w:t>
                  </w:r>
                </w:p>
              </w:tc>
              <w:tc>
                <w:tcPr>
                  <w:tcW w:w="1361" w:type="dxa"/>
                  <w:tcBorders>
                    <w:top w:val="single" w:sz="8" w:space="0" w:color="aeaeae"/>
                    <w:left w:val="single" w:sz="8" w:space="0" w:color="e0e0e0"/>
                    <w:bottom w:val="single" w:sz="8" w:space="0" w:color="aeaeae"/>
                    <w:right w:val="nil"/>
                  </w:tcBorders>
                  <w:shd w:val="clear" w:color="auto" w:fill="f9f9fb"/>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10205"/>
                      <w:kern w:val="0"/>
                      <w:sz w:val="24"/>
                      <w:szCs w:val="24"/>
                    </w:rPr>
                  </w:pPr>
                  <w:r>
                    <w:rPr>
                      <w:rFonts w:ascii="Times New Roman" w:cs="Times New Roman" w:hAnsi="Times New Roman"/>
                      <w:color w:val="010205"/>
                      <w:kern w:val="0"/>
                      <w:sz w:val="24"/>
                      <w:szCs w:val="24"/>
                    </w:rPr>
                    <w:t>120</w:t>
                  </w:r>
                </w:p>
              </w:tc>
            </w:tr>
            <w:tr>
              <w:tblPrEx/>
              <w:trPr>
                <w:cantSplit/>
              </w:trPr>
              <w:tc>
                <w:tcPr>
                  <w:tcW w:w="979" w:type="dxa"/>
                  <w:vMerge w:val="restart"/>
                  <w:tcBorders>
                    <w:top w:val="single" w:sz="8" w:space="0" w:color="aeaeae"/>
                    <w:left w:val="nil"/>
                    <w:bottom w:val="single" w:sz="8" w:space="0" w:color="aeaeae"/>
                    <w:right w:val="nil"/>
                  </w:tcBorders>
                  <w:shd w:val="clear" w:color="auto" w:fill="e0e0e0"/>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264a60"/>
                      <w:kern w:val="0"/>
                      <w:sz w:val="24"/>
                      <w:szCs w:val="24"/>
                    </w:rPr>
                  </w:pPr>
                  <w:r>
                    <w:rPr>
                      <w:rFonts w:ascii="Times New Roman" w:cs="Times New Roman" w:hAnsi="Times New Roman"/>
                      <w:color w:val="264a60"/>
                      <w:kern w:val="0"/>
                      <w:sz w:val="24"/>
                      <w:szCs w:val="24"/>
                    </w:rPr>
                    <w:t>WE</w:t>
                  </w:r>
                </w:p>
              </w:tc>
              <w:tc>
                <w:tcPr>
                  <w:tcW w:w="1988" w:type="dxa"/>
                  <w:tcBorders>
                    <w:top w:val="single" w:sz="8" w:space="0" w:color="aeaeae"/>
                    <w:left w:val="nil"/>
                    <w:bottom w:val="single" w:sz="8" w:space="0" w:color="aeaeae"/>
                    <w:right w:val="nil"/>
                  </w:tcBorders>
                  <w:shd w:val="clear" w:color="auto" w:fill="e0e0e0"/>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264a60"/>
                      <w:kern w:val="0"/>
                      <w:sz w:val="24"/>
                      <w:szCs w:val="24"/>
                    </w:rPr>
                  </w:pPr>
                  <w:r>
                    <w:rPr>
                      <w:rFonts w:ascii="Times New Roman" w:cs="Times New Roman" w:hAnsi="Times New Roman"/>
                      <w:color w:val="264a60"/>
                      <w:kern w:val="0"/>
                      <w:sz w:val="24"/>
                      <w:szCs w:val="24"/>
                    </w:rPr>
                    <w:t>Pearson Correlation</w:t>
                  </w:r>
                </w:p>
              </w:tc>
              <w:tc>
                <w:tcPr>
                  <w:tcW w:w="1361" w:type="dxa"/>
                  <w:tcBorders>
                    <w:top w:val="single" w:sz="8" w:space="0" w:color="aeaeae"/>
                    <w:left w:val="nil"/>
                    <w:bottom w:val="single" w:sz="8" w:space="0" w:color="aeaeae"/>
                    <w:right w:val="single" w:sz="8" w:space="0" w:color="e0e0e0"/>
                  </w:tcBorders>
                  <w:shd w:val="clear" w:color="auto" w:fill="f9f9fb"/>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10205"/>
                      <w:kern w:val="0"/>
                      <w:sz w:val="24"/>
                      <w:szCs w:val="24"/>
                    </w:rPr>
                  </w:pPr>
                  <w:r>
                    <w:rPr>
                      <w:rFonts w:ascii="Times New Roman" w:cs="Times New Roman" w:hAnsi="Times New Roman"/>
                      <w:color w:val="010205"/>
                      <w:kern w:val="0"/>
                      <w:sz w:val="24"/>
                      <w:szCs w:val="24"/>
                    </w:rPr>
                    <w:t>.893</w:t>
                  </w:r>
                  <w:r>
                    <w:rPr>
                      <w:rFonts w:ascii="Times New Roman" w:cs="Times New Roman" w:hAnsi="Times New Roman"/>
                      <w:color w:val="010205"/>
                      <w:kern w:val="0"/>
                      <w:sz w:val="24"/>
                      <w:szCs w:val="24"/>
                      <w:vertAlign w:val="superscript"/>
                    </w:rPr>
                    <w:t>**</w:t>
                  </w:r>
                </w:p>
              </w:tc>
              <w:tc>
                <w:tcPr>
                  <w:tcW w:w="1361" w:type="dxa"/>
                  <w:tcBorders>
                    <w:top w:val="single" w:sz="8" w:space="0" w:color="aeaeae"/>
                    <w:left w:val="single" w:sz="8" w:space="0" w:color="e0e0e0"/>
                    <w:bottom w:val="single" w:sz="8" w:space="0" w:color="aeaeae"/>
                    <w:right w:val="single" w:sz="8" w:space="0" w:color="e0e0e0"/>
                  </w:tcBorders>
                  <w:shd w:val="clear" w:color="auto" w:fill="f9f9fb"/>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10205"/>
                      <w:kern w:val="0"/>
                      <w:sz w:val="24"/>
                      <w:szCs w:val="24"/>
                    </w:rPr>
                  </w:pPr>
                  <w:r>
                    <w:rPr>
                      <w:rFonts w:ascii="Times New Roman" w:cs="Times New Roman" w:hAnsi="Times New Roman"/>
                      <w:color w:val="010205"/>
                      <w:kern w:val="0"/>
                      <w:sz w:val="24"/>
                      <w:szCs w:val="24"/>
                    </w:rPr>
                    <w:t>1</w:t>
                  </w:r>
                </w:p>
              </w:tc>
              <w:tc>
                <w:tcPr>
                  <w:tcW w:w="1361" w:type="dxa"/>
                  <w:tcBorders>
                    <w:top w:val="single" w:sz="8" w:space="0" w:color="aeaeae"/>
                    <w:left w:val="single" w:sz="8" w:space="0" w:color="e0e0e0"/>
                    <w:bottom w:val="single" w:sz="8" w:space="0" w:color="aeaeae"/>
                    <w:right w:val="nil"/>
                  </w:tcBorders>
                  <w:shd w:val="clear" w:color="auto" w:fill="f9f9fb"/>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10205"/>
                      <w:kern w:val="0"/>
                      <w:sz w:val="24"/>
                      <w:szCs w:val="24"/>
                    </w:rPr>
                  </w:pPr>
                  <w:r>
                    <w:rPr>
                      <w:rFonts w:ascii="Times New Roman" w:cs="Times New Roman" w:hAnsi="Times New Roman"/>
                      <w:color w:val="010205"/>
                      <w:kern w:val="0"/>
                      <w:sz w:val="24"/>
                      <w:szCs w:val="24"/>
                    </w:rPr>
                    <w:t>.882</w:t>
                  </w:r>
                  <w:r>
                    <w:rPr>
                      <w:rFonts w:ascii="Times New Roman" w:cs="Times New Roman" w:hAnsi="Times New Roman"/>
                      <w:color w:val="010205"/>
                      <w:kern w:val="0"/>
                      <w:sz w:val="24"/>
                      <w:szCs w:val="24"/>
                      <w:vertAlign w:val="superscript"/>
                    </w:rPr>
                    <w:t>**</w:t>
                  </w:r>
                </w:p>
              </w:tc>
            </w:tr>
            <w:tr>
              <w:tblPrEx/>
              <w:trPr>
                <w:cantSplit/>
              </w:trPr>
              <w:tc>
                <w:tcPr>
                  <w:tcW w:w="979" w:type="dxa"/>
                  <w:vMerge w:val="continue"/>
                  <w:tcBorders>
                    <w:top w:val="single" w:sz="8" w:space="0" w:color="aeaeae"/>
                    <w:left w:val="nil"/>
                    <w:bottom w:val="single" w:sz="8" w:space="0" w:color="aeaeae"/>
                    <w:right w:val="nil"/>
                  </w:tcBorders>
                  <w:shd w:val="clear" w:color="auto" w:fill="e0e0e0"/>
                  <w:vAlign w:val="center"/>
                </w:tcPr>
                <w:p>
                  <w:pPr>
                    <w:pStyle w:val="style0"/>
                    <w:autoSpaceDE w:val="false"/>
                    <w:autoSpaceDN w:val="false"/>
                    <w:adjustRightInd w:val="false"/>
                    <w:spacing w:after="0" w:lineRule="auto" w:line="360"/>
                    <w:jc w:val="both"/>
                    <w:rPr>
                      <w:rFonts w:ascii="Times New Roman" w:cs="Times New Roman" w:hAnsi="Times New Roman"/>
                      <w:color w:val="010205"/>
                      <w:kern w:val="0"/>
                      <w:sz w:val="24"/>
                      <w:szCs w:val="24"/>
                    </w:rPr>
                  </w:pPr>
                </w:p>
              </w:tc>
              <w:tc>
                <w:tcPr>
                  <w:tcW w:w="1988" w:type="dxa"/>
                  <w:tcBorders>
                    <w:top w:val="single" w:sz="8" w:space="0" w:color="aeaeae"/>
                    <w:left w:val="nil"/>
                    <w:bottom w:val="single" w:sz="8" w:space="0" w:color="aeaeae"/>
                    <w:right w:val="nil"/>
                  </w:tcBorders>
                  <w:shd w:val="clear" w:color="auto" w:fill="e0e0e0"/>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264a60"/>
                      <w:kern w:val="0"/>
                      <w:sz w:val="24"/>
                      <w:szCs w:val="24"/>
                    </w:rPr>
                  </w:pPr>
                  <w:r>
                    <w:rPr>
                      <w:rFonts w:ascii="Times New Roman" w:cs="Times New Roman" w:hAnsi="Times New Roman"/>
                      <w:color w:val="264a60"/>
                      <w:kern w:val="0"/>
                      <w:sz w:val="24"/>
                      <w:szCs w:val="24"/>
                    </w:rPr>
                    <w:t>Sig. (2-tailed)</w:t>
                  </w:r>
                </w:p>
              </w:tc>
              <w:tc>
                <w:tcPr>
                  <w:tcW w:w="1361" w:type="dxa"/>
                  <w:tcBorders>
                    <w:top w:val="single" w:sz="8" w:space="0" w:color="aeaeae"/>
                    <w:left w:val="nil"/>
                    <w:bottom w:val="single" w:sz="8" w:space="0" w:color="aeaeae"/>
                    <w:right w:val="single" w:sz="8" w:space="0" w:color="e0e0e0"/>
                  </w:tcBorders>
                  <w:shd w:val="clear" w:color="auto" w:fill="f9f9fb"/>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10205"/>
                      <w:kern w:val="0"/>
                      <w:sz w:val="24"/>
                      <w:szCs w:val="24"/>
                    </w:rPr>
                  </w:pPr>
                  <w:r>
                    <w:rPr>
                      <w:rFonts w:ascii="Times New Roman" w:cs="Times New Roman" w:hAnsi="Times New Roman"/>
                      <w:color w:val="010205"/>
                      <w:kern w:val="0"/>
                      <w:sz w:val="24"/>
                      <w:szCs w:val="24"/>
                    </w:rPr>
                    <w:t>.000</w:t>
                  </w:r>
                </w:p>
              </w:tc>
              <w:tc>
                <w:tcPr>
                  <w:tcW w:w="1361"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60"/>
                    <w:jc w:val="both"/>
                    <w:rPr>
                      <w:rFonts w:ascii="Times New Roman" w:cs="Times New Roman" w:hAnsi="Times New Roman"/>
                      <w:kern w:val="0"/>
                      <w:sz w:val="24"/>
                      <w:szCs w:val="24"/>
                    </w:rPr>
                  </w:pPr>
                </w:p>
              </w:tc>
              <w:tc>
                <w:tcPr>
                  <w:tcW w:w="1361" w:type="dxa"/>
                  <w:tcBorders>
                    <w:top w:val="single" w:sz="8" w:space="0" w:color="aeaeae"/>
                    <w:left w:val="single" w:sz="8" w:space="0" w:color="e0e0e0"/>
                    <w:bottom w:val="single" w:sz="8" w:space="0" w:color="aeaeae"/>
                    <w:right w:val="nil"/>
                  </w:tcBorders>
                  <w:shd w:val="clear" w:color="auto" w:fill="f9f9fb"/>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10205"/>
                      <w:kern w:val="0"/>
                      <w:sz w:val="24"/>
                      <w:szCs w:val="24"/>
                    </w:rPr>
                  </w:pPr>
                  <w:r>
                    <w:rPr>
                      <w:rFonts w:ascii="Times New Roman" w:cs="Times New Roman" w:hAnsi="Times New Roman"/>
                      <w:color w:val="010205"/>
                      <w:kern w:val="0"/>
                      <w:sz w:val="24"/>
                      <w:szCs w:val="24"/>
                    </w:rPr>
                    <w:t>.000</w:t>
                  </w:r>
                </w:p>
              </w:tc>
            </w:tr>
            <w:tr>
              <w:tblPrEx/>
              <w:trPr>
                <w:cantSplit/>
              </w:trPr>
              <w:tc>
                <w:tcPr>
                  <w:tcW w:w="979" w:type="dxa"/>
                  <w:vMerge w:val="continue"/>
                  <w:tcBorders>
                    <w:top w:val="single" w:sz="8" w:space="0" w:color="aeaeae"/>
                    <w:left w:val="nil"/>
                    <w:bottom w:val="single" w:sz="8" w:space="0" w:color="aeaeae"/>
                    <w:right w:val="nil"/>
                  </w:tcBorders>
                  <w:shd w:val="clear" w:color="auto" w:fill="e0e0e0"/>
                  <w:vAlign w:val="center"/>
                </w:tcPr>
                <w:p>
                  <w:pPr>
                    <w:pStyle w:val="style0"/>
                    <w:autoSpaceDE w:val="false"/>
                    <w:autoSpaceDN w:val="false"/>
                    <w:adjustRightInd w:val="false"/>
                    <w:spacing w:after="0" w:lineRule="auto" w:line="360"/>
                    <w:jc w:val="both"/>
                    <w:rPr>
                      <w:rFonts w:ascii="Times New Roman" w:cs="Times New Roman" w:hAnsi="Times New Roman"/>
                      <w:color w:val="010205"/>
                      <w:kern w:val="0"/>
                      <w:sz w:val="24"/>
                      <w:szCs w:val="24"/>
                    </w:rPr>
                  </w:pPr>
                </w:p>
              </w:tc>
              <w:tc>
                <w:tcPr>
                  <w:tcW w:w="1988" w:type="dxa"/>
                  <w:tcBorders>
                    <w:top w:val="single" w:sz="8" w:space="0" w:color="aeaeae"/>
                    <w:left w:val="nil"/>
                    <w:bottom w:val="single" w:sz="8" w:space="0" w:color="aeaeae"/>
                    <w:right w:val="nil"/>
                  </w:tcBorders>
                  <w:shd w:val="clear" w:color="auto" w:fill="e0e0e0"/>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264a60"/>
                      <w:kern w:val="0"/>
                      <w:sz w:val="24"/>
                      <w:szCs w:val="24"/>
                    </w:rPr>
                  </w:pPr>
                  <w:r>
                    <w:rPr>
                      <w:rFonts w:ascii="Times New Roman" w:cs="Times New Roman" w:hAnsi="Times New Roman"/>
                      <w:color w:val="264a60"/>
                      <w:kern w:val="0"/>
                      <w:sz w:val="24"/>
                      <w:szCs w:val="24"/>
                    </w:rPr>
                    <w:t>N</w:t>
                  </w:r>
                </w:p>
              </w:tc>
              <w:tc>
                <w:tcPr>
                  <w:tcW w:w="1361" w:type="dxa"/>
                  <w:tcBorders>
                    <w:top w:val="single" w:sz="8" w:space="0" w:color="aeaeae"/>
                    <w:left w:val="nil"/>
                    <w:bottom w:val="single" w:sz="8" w:space="0" w:color="aeaeae"/>
                    <w:right w:val="single" w:sz="8" w:space="0" w:color="e0e0e0"/>
                  </w:tcBorders>
                  <w:shd w:val="clear" w:color="auto" w:fill="f9f9fb"/>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10205"/>
                      <w:kern w:val="0"/>
                      <w:sz w:val="24"/>
                      <w:szCs w:val="24"/>
                    </w:rPr>
                  </w:pPr>
                  <w:r>
                    <w:rPr>
                      <w:rFonts w:ascii="Times New Roman" w:cs="Times New Roman" w:hAnsi="Times New Roman"/>
                      <w:color w:val="010205"/>
                      <w:kern w:val="0"/>
                      <w:sz w:val="24"/>
                      <w:szCs w:val="24"/>
                    </w:rPr>
                    <w:t>120</w:t>
                  </w:r>
                </w:p>
              </w:tc>
              <w:tc>
                <w:tcPr>
                  <w:tcW w:w="1361" w:type="dxa"/>
                  <w:tcBorders>
                    <w:top w:val="single" w:sz="8" w:space="0" w:color="aeaeae"/>
                    <w:left w:val="single" w:sz="8" w:space="0" w:color="e0e0e0"/>
                    <w:bottom w:val="single" w:sz="8" w:space="0" w:color="aeaeae"/>
                    <w:right w:val="single" w:sz="8" w:space="0" w:color="e0e0e0"/>
                  </w:tcBorders>
                  <w:shd w:val="clear" w:color="auto" w:fill="f9f9fb"/>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10205"/>
                      <w:kern w:val="0"/>
                      <w:sz w:val="24"/>
                      <w:szCs w:val="24"/>
                    </w:rPr>
                  </w:pPr>
                  <w:r>
                    <w:rPr>
                      <w:rFonts w:ascii="Times New Roman" w:cs="Times New Roman" w:hAnsi="Times New Roman"/>
                      <w:color w:val="010205"/>
                      <w:kern w:val="0"/>
                      <w:sz w:val="24"/>
                      <w:szCs w:val="24"/>
                    </w:rPr>
                    <w:t>120</w:t>
                  </w:r>
                </w:p>
              </w:tc>
              <w:tc>
                <w:tcPr>
                  <w:tcW w:w="1361" w:type="dxa"/>
                  <w:tcBorders>
                    <w:top w:val="single" w:sz="8" w:space="0" w:color="aeaeae"/>
                    <w:left w:val="single" w:sz="8" w:space="0" w:color="e0e0e0"/>
                    <w:bottom w:val="single" w:sz="8" w:space="0" w:color="aeaeae"/>
                    <w:right w:val="nil"/>
                  </w:tcBorders>
                  <w:shd w:val="clear" w:color="auto" w:fill="f9f9fb"/>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10205"/>
                      <w:kern w:val="0"/>
                      <w:sz w:val="24"/>
                      <w:szCs w:val="24"/>
                    </w:rPr>
                  </w:pPr>
                  <w:r>
                    <w:rPr>
                      <w:rFonts w:ascii="Times New Roman" w:cs="Times New Roman" w:hAnsi="Times New Roman"/>
                      <w:color w:val="010205"/>
                      <w:kern w:val="0"/>
                      <w:sz w:val="24"/>
                      <w:szCs w:val="24"/>
                    </w:rPr>
                    <w:t>120</w:t>
                  </w:r>
                </w:p>
              </w:tc>
            </w:tr>
            <w:tr>
              <w:tblPrEx/>
              <w:trPr>
                <w:cantSplit/>
              </w:trPr>
              <w:tc>
                <w:tcPr>
                  <w:tcW w:w="979" w:type="dxa"/>
                  <w:vMerge w:val="restart"/>
                  <w:tcBorders>
                    <w:top w:val="single" w:sz="8" w:space="0" w:color="aeaeae"/>
                    <w:left w:val="nil"/>
                    <w:bottom w:val="single" w:sz="8" w:space="0" w:color="152935"/>
                    <w:right w:val="nil"/>
                  </w:tcBorders>
                  <w:shd w:val="clear" w:color="auto" w:fill="e0e0e0"/>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264a60"/>
                      <w:kern w:val="0"/>
                      <w:sz w:val="24"/>
                      <w:szCs w:val="24"/>
                    </w:rPr>
                  </w:pPr>
                  <w:r>
                    <w:rPr>
                      <w:rFonts w:ascii="Times New Roman" w:cs="Times New Roman" w:hAnsi="Times New Roman"/>
                      <w:color w:val="264a60"/>
                      <w:kern w:val="0"/>
                      <w:sz w:val="24"/>
                      <w:szCs w:val="24"/>
                    </w:rPr>
                    <w:t>TP</w:t>
                  </w:r>
                </w:p>
              </w:tc>
              <w:tc>
                <w:tcPr>
                  <w:tcW w:w="1988" w:type="dxa"/>
                  <w:tcBorders>
                    <w:top w:val="single" w:sz="8" w:space="0" w:color="aeaeae"/>
                    <w:left w:val="nil"/>
                    <w:bottom w:val="single" w:sz="8" w:space="0" w:color="aeaeae"/>
                    <w:right w:val="nil"/>
                  </w:tcBorders>
                  <w:shd w:val="clear" w:color="auto" w:fill="e0e0e0"/>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264a60"/>
                      <w:kern w:val="0"/>
                      <w:sz w:val="24"/>
                      <w:szCs w:val="24"/>
                    </w:rPr>
                  </w:pPr>
                  <w:r>
                    <w:rPr>
                      <w:rFonts w:ascii="Times New Roman" w:cs="Times New Roman" w:hAnsi="Times New Roman"/>
                      <w:color w:val="264a60"/>
                      <w:kern w:val="0"/>
                      <w:sz w:val="24"/>
                      <w:szCs w:val="24"/>
                    </w:rPr>
                    <w:t>Pearson Correlation</w:t>
                  </w:r>
                </w:p>
              </w:tc>
              <w:tc>
                <w:tcPr>
                  <w:tcW w:w="1361" w:type="dxa"/>
                  <w:tcBorders>
                    <w:top w:val="single" w:sz="8" w:space="0" w:color="aeaeae"/>
                    <w:left w:val="nil"/>
                    <w:bottom w:val="single" w:sz="8" w:space="0" w:color="aeaeae"/>
                    <w:right w:val="single" w:sz="8" w:space="0" w:color="e0e0e0"/>
                  </w:tcBorders>
                  <w:shd w:val="clear" w:color="auto" w:fill="f9f9fb"/>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10205"/>
                      <w:kern w:val="0"/>
                      <w:sz w:val="24"/>
                      <w:szCs w:val="24"/>
                    </w:rPr>
                  </w:pPr>
                  <w:r>
                    <w:rPr>
                      <w:rFonts w:ascii="Times New Roman" w:cs="Times New Roman" w:hAnsi="Times New Roman"/>
                      <w:color w:val="010205"/>
                      <w:kern w:val="0"/>
                      <w:sz w:val="24"/>
                      <w:szCs w:val="24"/>
                    </w:rPr>
                    <w:t>.842</w:t>
                  </w:r>
                  <w:r>
                    <w:rPr>
                      <w:rFonts w:ascii="Times New Roman" w:cs="Times New Roman" w:hAnsi="Times New Roman"/>
                      <w:color w:val="010205"/>
                      <w:kern w:val="0"/>
                      <w:sz w:val="24"/>
                      <w:szCs w:val="24"/>
                      <w:vertAlign w:val="superscript"/>
                    </w:rPr>
                    <w:t>**</w:t>
                  </w:r>
                </w:p>
              </w:tc>
              <w:tc>
                <w:tcPr>
                  <w:tcW w:w="1361" w:type="dxa"/>
                  <w:tcBorders>
                    <w:top w:val="single" w:sz="8" w:space="0" w:color="aeaeae"/>
                    <w:left w:val="single" w:sz="8" w:space="0" w:color="e0e0e0"/>
                    <w:bottom w:val="single" w:sz="8" w:space="0" w:color="aeaeae"/>
                    <w:right w:val="single" w:sz="8" w:space="0" w:color="e0e0e0"/>
                  </w:tcBorders>
                  <w:shd w:val="clear" w:color="auto" w:fill="f9f9fb"/>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10205"/>
                      <w:kern w:val="0"/>
                      <w:sz w:val="24"/>
                      <w:szCs w:val="24"/>
                    </w:rPr>
                  </w:pPr>
                  <w:r>
                    <w:rPr>
                      <w:rFonts w:ascii="Times New Roman" w:cs="Times New Roman" w:hAnsi="Times New Roman"/>
                      <w:color w:val="010205"/>
                      <w:kern w:val="0"/>
                      <w:sz w:val="24"/>
                      <w:szCs w:val="24"/>
                    </w:rPr>
                    <w:t>.882</w:t>
                  </w:r>
                  <w:r>
                    <w:rPr>
                      <w:rFonts w:ascii="Times New Roman" w:cs="Times New Roman" w:hAnsi="Times New Roman"/>
                      <w:color w:val="010205"/>
                      <w:kern w:val="0"/>
                      <w:sz w:val="24"/>
                      <w:szCs w:val="24"/>
                      <w:vertAlign w:val="superscript"/>
                    </w:rPr>
                    <w:t>**</w:t>
                  </w:r>
                </w:p>
              </w:tc>
              <w:tc>
                <w:tcPr>
                  <w:tcW w:w="1361" w:type="dxa"/>
                  <w:tcBorders>
                    <w:top w:val="single" w:sz="8" w:space="0" w:color="aeaeae"/>
                    <w:left w:val="single" w:sz="8" w:space="0" w:color="e0e0e0"/>
                    <w:bottom w:val="single" w:sz="8" w:space="0" w:color="aeaeae"/>
                    <w:right w:val="nil"/>
                  </w:tcBorders>
                  <w:shd w:val="clear" w:color="auto" w:fill="f9f9fb"/>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10205"/>
                      <w:kern w:val="0"/>
                      <w:sz w:val="24"/>
                      <w:szCs w:val="24"/>
                    </w:rPr>
                  </w:pPr>
                  <w:r>
                    <w:rPr>
                      <w:rFonts w:ascii="Times New Roman" w:cs="Times New Roman" w:hAnsi="Times New Roman"/>
                      <w:color w:val="010205"/>
                      <w:kern w:val="0"/>
                      <w:sz w:val="24"/>
                      <w:szCs w:val="24"/>
                    </w:rPr>
                    <w:t>1</w:t>
                  </w:r>
                </w:p>
              </w:tc>
            </w:tr>
            <w:tr>
              <w:tblPrEx/>
              <w:trPr>
                <w:cantSplit/>
              </w:trPr>
              <w:tc>
                <w:tcPr>
                  <w:tcW w:w="979" w:type="dxa"/>
                  <w:vMerge w:val="continue"/>
                  <w:tcBorders>
                    <w:top w:val="single" w:sz="8" w:space="0" w:color="aeaeae"/>
                    <w:left w:val="nil"/>
                    <w:bottom w:val="single" w:sz="8" w:space="0" w:color="152935"/>
                    <w:right w:val="nil"/>
                  </w:tcBorders>
                  <w:shd w:val="clear" w:color="auto" w:fill="e0e0e0"/>
                  <w:vAlign w:val="center"/>
                </w:tcPr>
                <w:p>
                  <w:pPr>
                    <w:pStyle w:val="style0"/>
                    <w:autoSpaceDE w:val="false"/>
                    <w:autoSpaceDN w:val="false"/>
                    <w:adjustRightInd w:val="false"/>
                    <w:spacing w:after="0" w:lineRule="auto" w:line="360"/>
                    <w:jc w:val="both"/>
                    <w:rPr>
                      <w:rFonts w:ascii="Times New Roman" w:cs="Times New Roman" w:hAnsi="Times New Roman"/>
                      <w:color w:val="010205"/>
                      <w:kern w:val="0"/>
                      <w:sz w:val="24"/>
                      <w:szCs w:val="24"/>
                    </w:rPr>
                  </w:pPr>
                </w:p>
              </w:tc>
              <w:tc>
                <w:tcPr>
                  <w:tcW w:w="1988" w:type="dxa"/>
                  <w:tcBorders>
                    <w:top w:val="single" w:sz="8" w:space="0" w:color="aeaeae"/>
                    <w:left w:val="nil"/>
                    <w:bottom w:val="single" w:sz="8" w:space="0" w:color="aeaeae"/>
                    <w:right w:val="nil"/>
                  </w:tcBorders>
                  <w:shd w:val="clear" w:color="auto" w:fill="e0e0e0"/>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264a60"/>
                      <w:kern w:val="0"/>
                      <w:sz w:val="24"/>
                      <w:szCs w:val="24"/>
                    </w:rPr>
                  </w:pPr>
                  <w:r>
                    <w:rPr>
                      <w:rFonts w:ascii="Times New Roman" w:cs="Times New Roman" w:hAnsi="Times New Roman"/>
                      <w:color w:val="264a60"/>
                      <w:kern w:val="0"/>
                      <w:sz w:val="24"/>
                      <w:szCs w:val="24"/>
                    </w:rPr>
                    <w:t>Sig. (2-tailed)</w:t>
                  </w:r>
                </w:p>
              </w:tc>
              <w:tc>
                <w:tcPr>
                  <w:tcW w:w="1361" w:type="dxa"/>
                  <w:tcBorders>
                    <w:top w:val="single" w:sz="8" w:space="0" w:color="aeaeae"/>
                    <w:left w:val="nil"/>
                    <w:bottom w:val="single" w:sz="8" w:space="0" w:color="aeaeae"/>
                    <w:right w:val="single" w:sz="8" w:space="0" w:color="e0e0e0"/>
                  </w:tcBorders>
                  <w:shd w:val="clear" w:color="auto" w:fill="f9f9fb"/>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10205"/>
                      <w:kern w:val="0"/>
                      <w:sz w:val="24"/>
                      <w:szCs w:val="24"/>
                    </w:rPr>
                  </w:pPr>
                  <w:r>
                    <w:rPr>
                      <w:rFonts w:ascii="Times New Roman" w:cs="Times New Roman" w:hAnsi="Times New Roman"/>
                      <w:color w:val="010205"/>
                      <w:kern w:val="0"/>
                      <w:sz w:val="24"/>
                      <w:szCs w:val="24"/>
                    </w:rPr>
                    <w:t>.000</w:t>
                  </w:r>
                </w:p>
              </w:tc>
              <w:tc>
                <w:tcPr>
                  <w:tcW w:w="1361" w:type="dxa"/>
                  <w:tcBorders>
                    <w:top w:val="single" w:sz="8" w:space="0" w:color="aeaeae"/>
                    <w:left w:val="single" w:sz="8" w:space="0" w:color="e0e0e0"/>
                    <w:bottom w:val="single" w:sz="8" w:space="0" w:color="aeaeae"/>
                    <w:right w:val="single" w:sz="8" w:space="0" w:color="e0e0e0"/>
                  </w:tcBorders>
                  <w:shd w:val="clear" w:color="auto" w:fill="f9f9fb"/>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10205"/>
                      <w:kern w:val="0"/>
                      <w:sz w:val="24"/>
                      <w:szCs w:val="24"/>
                    </w:rPr>
                  </w:pPr>
                  <w:r>
                    <w:rPr>
                      <w:rFonts w:ascii="Times New Roman" w:cs="Times New Roman" w:hAnsi="Times New Roman"/>
                      <w:color w:val="010205"/>
                      <w:kern w:val="0"/>
                      <w:sz w:val="24"/>
                      <w:szCs w:val="24"/>
                    </w:rPr>
                    <w:t>.000</w:t>
                  </w:r>
                </w:p>
              </w:tc>
              <w:tc>
                <w:tcPr>
                  <w:tcW w:w="1361"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60"/>
                    <w:jc w:val="both"/>
                    <w:rPr>
                      <w:rFonts w:ascii="Times New Roman" w:cs="Times New Roman" w:hAnsi="Times New Roman"/>
                      <w:kern w:val="0"/>
                      <w:sz w:val="24"/>
                      <w:szCs w:val="24"/>
                    </w:rPr>
                  </w:pPr>
                </w:p>
              </w:tc>
            </w:tr>
            <w:tr>
              <w:tblPrEx/>
              <w:trPr>
                <w:cantSplit/>
              </w:trPr>
              <w:tc>
                <w:tcPr>
                  <w:tcW w:w="979" w:type="dxa"/>
                  <w:vMerge w:val="continue"/>
                  <w:tcBorders>
                    <w:top w:val="single" w:sz="8" w:space="0" w:color="aeaeae"/>
                    <w:left w:val="nil"/>
                    <w:bottom w:val="single" w:sz="8" w:space="0" w:color="152935"/>
                    <w:right w:val="nil"/>
                  </w:tcBorders>
                  <w:shd w:val="clear" w:color="auto" w:fill="e0e0e0"/>
                  <w:vAlign w:val="center"/>
                </w:tcPr>
                <w:p>
                  <w:pPr>
                    <w:pStyle w:val="style0"/>
                    <w:autoSpaceDE w:val="false"/>
                    <w:autoSpaceDN w:val="false"/>
                    <w:adjustRightInd w:val="false"/>
                    <w:spacing w:after="0" w:lineRule="auto" w:line="360"/>
                    <w:jc w:val="both"/>
                    <w:rPr>
                      <w:rFonts w:ascii="Times New Roman" w:cs="Times New Roman" w:hAnsi="Times New Roman"/>
                      <w:kern w:val="0"/>
                      <w:sz w:val="24"/>
                      <w:szCs w:val="24"/>
                    </w:rPr>
                  </w:pPr>
                </w:p>
              </w:tc>
              <w:tc>
                <w:tcPr>
                  <w:tcW w:w="1988" w:type="dxa"/>
                  <w:tcBorders>
                    <w:top w:val="single" w:sz="8" w:space="0" w:color="aeaeae"/>
                    <w:left w:val="nil"/>
                    <w:bottom w:val="single" w:sz="8" w:space="0" w:color="152935"/>
                    <w:right w:val="nil"/>
                  </w:tcBorders>
                  <w:shd w:val="clear" w:color="auto" w:fill="e0e0e0"/>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264a60"/>
                      <w:kern w:val="0"/>
                      <w:sz w:val="24"/>
                      <w:szCs w:val="24"/>
                    </w:rPr>
                  </w:pPr>
                  <w:r>
                    <w:rPr>
                      <w:rFonts w:ascii="Times New Roman" w:cs="Times New Roman" w:hAnsi="Times New Roman"/>
                      <w:color w:val="264a60"/>
                      <w:kern w:val="0"/>
                      <w:sz w:val="24"/>
                      <w:szCs w:val="24"/>
                    </w:rPr>
                    <w:t>N</w:t>
                  </w:r>
                </w:p>
              </w:tc>
              <w:tc>
                <w:tcPr>
                  <w:tcW w:w="1361" w:type="dxa"/>
                  <w:tcBorders>
                    <w:top w:val="single" w:sz="8" w:space="0" w:color="aeaeae"/>
                    <w:left w:val="nil"/>
                    <w:bottom w:val="single" w:sz="8" w:space="0" w:color="152935"/>
                    <w:right w:val="single" w:sz="8" w:space="0" w:color="e0e0e0"/>
                  </w:tcBorders>
                  <w:shd w:val="clear" w:color="auto" w:fill="f9f9fb"/>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10205"/>
                      <w:kern w:val="0"/>
                      <w:sz w:val="24"/>
                      <w:szCs w:val="24"/>
                    </w:rPr>
                  </w:pPr>
                  <w:r>
                    <w:rPr>
                      <w:rFonts w:ascii="Times New Roman" w:cs="Times New Roman" w:hAnsi="Times New Roman"/>
                      <w:color w:val="010205"/>
                      <w:kern w:val="0"/>
                      <w:sz w:val="24"/>
                      <w:szCs w:val="24"/>
                    </w:rPr>
                    <w:t>120</w:t>
                  </w:r>
                </w:p>
              </w:tc>
              <w:tc>
                <w:tcPr>
                  <w:tcW w:w="1361" w:type="dxa"/>
                  <w:tcBorders>
                    <w:top w:val="single" w:sz="8" w:space="0" w:color="aeaeae"/>
                    <w:left w:val="single" w:sz="8" w:space="0" w:color="e0e0e0"/>
                    <w:bottom w:val="single" w:sz="8" w:space="0" w:color="152935"/>
                    <w:right w:val="single" w:sz="8" w:space="0" w:color="e0e0e0"/>
                  </w:tcBorders>
                  <w:shd w:val="clear" w:color="auto" w:fill="f9f9fb"/>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10205"/>
                      <w:kern w:val="0"/>
                      <w:sz w:val="24"/>
                      <w:szCs w:val="24"/>
                    </w:rPr>
                  </w:pPr>
                  <w:r>
                    <w:rPr>
                      <w:rFonts w:ascii="Times New Roman" w:cs="Times New Roman" w:hAnsi="Times New Roman"/>
                      <w:color w:val="010205"/>
                      <w:kern w:val="0"/>
                      <w:sz w:val="24"/>
                      <w:szCs w:val="24"/>
                    </w:rPr>
                    <w:t>120</w:t>
                  </w:r>
                </w:p>
              </w:tc>
              <w:tc>
                <w:tcPr>
                  <w:tcW w:w="1361" w:type="dxa"/>
                  <w:tcBorders>
                    <w:top w:val="single" w:sz="8" w:space="0" w:color="aeaeae"/>
                    <w:left w:val="single" w:sz="8" w:space="0" w:color="e0e0e0"/>
                    <w:bottom w:val="single" w:sz="8" w:space="0" w:color="152935"/>
                    <w:right w:val="nil"/>
                  </w:tcBorders>
                  <w:shd w:val="clear" w:color="auto" w:fill="f9f9fb"/>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10205"/>
                      <w:kern w:val="0"/>
                      <w:sz w:val="24"/>
                      <w:szCs w:val="24"/>
                    </w:rPr>
                  </w:pPr>
                  <w:r>
                    <w:rPr>
                      <w:rFonts w:ascii="Times New Roman" w:cs="Times New Roman" w:hAnsi="Times New Roman"/>
                      <w:color w:val="010205"/>
                      <w:kern w:val="0"/>
                      <w:sz w:val="24"/>
                      <w:szCs w:val="24"/>
                    </w:rPr>
                    <w:t>120</w:t>
                  </w:r>
                </w:p>
              </w:tc>
            </w:tr>
            <w:tr>
              <w:tblPrEx/>
              <w:trPr>
                <w:cantSplit/>
              </w:trPr>
              <w:tc>
                <w:tcPr>
                  <w:tcW w:w="7050" w:type="dxa"/>
                  <w:gridSpan w:val="5"/>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010205"/>
                      <w:kern w:val="0"/>
                      <w:sz w:val="24"/>
                      <w:szCs w:val="24"/>
                    </w:rPr>
                  </w:pPr>
                  <w:r>
                    <w:rPr>
                      <w:rFonts w:ascii="Times New Roman" w:cs="Times New Roman" w:hAnsi="Times New Roman"/>
                      <w:color w:val="010205"/>
                      <w:kern w:val="0"/>
                      <w:sz w:val="24"/>
                      <w:szCs w:val="24"/>
                    </w:rPr>
                    <w:t>**. Correlation is significant at the 0.01 level (2-tailed).</w:t>
                  </w:r>
                </w:p>
              </w:tc>
            </w:tr>
          </w:tbl>
          <w:p>
            <w:pPr>
              <w:pStyle w:val="style0"/>
              <w:spacing w:lineRule="auto" w:line="360"/>
              <w:jc w:val="both"/>
              <w:rPr>
                <w:rFonts w:ascii="Times New Roman" w:cs="Times New Roman" w:hAnsi="Times New Roman"/>
                <w:b/>
                <w:bCs/>
                <w:sz w:val="24"/>
                <w:szCs w:val="24"/>
              </w:rPr>
            </w:pPr>
          </w:p>
        </w:tc>
      </w:tr>
    </w:tbl>
    <w:p>
      <w:pPr>
        <w:pStyle w:val="style0"/>
        <w:spacing w:lineRule="auto" w:line="360"/>
        <w:jc w:val="both"/>
        <w:rPr>
          <w:rFonts w:ascii="Times New Roman" w:cs="Times New Roman" w:hAnsi="Times New Roman"/>
          <w:sz w:val="24"/>
          <w:szCs w:val="24"/>
        </w:rPr>
      </w:pPr>
    </w:p>
    <w:p>
      <w:pPr>
        <w:pStyle w:val="style0"/>
        <w:autoSpaceDE w:val="false"/>
        <w:autoSpaceDN w:val="false"/>
        <w:adjustRightInd w:val="false"/>
        <w:spacing w:after="0" w:lineRule="auto" w:line="360"/>
        <w:jc w:val="both"/>
        <w:rPr>
          <w:rFonts w:ascii="Times New Roman" w:cs="Times New Roman" w:hAnsi="Times New Roman"/>
          <w:kern w:val="0"/>
          <w:sz w:val="24"/>
          <w:szCs w:val="24"/>
        </w:rPr>
      </w:pPr>
      <w:r>
        <w:rPr>
          <w:rFonts w:ascii="Times New Roman" w:cs="Times New Roman" w:hAnsi="Times New Roman"/>
          <w:sz w:val="24"/>
          <w:szCs w:val="24"/>
          <w:lang w:val="en-US"/>
        </w:rPr>
        <w:t>The regression analysis results are summarized in the model summary as shown in table 4. The obtained R value of 0.890 reflects a high correlation between the predictors and the dependent variable, task performance. Meanwhile, the R</w:t>
      </w:r>
      <w:r>
        <w:rPr>
          <w:rFonts w:ascii="Times New Roman" w:cs="Times New Roman" w:hAnsi="Times New Roman"/>
          <w:kern w:val="0"/>
          <w:sz w:val="24"/>
          <w:szCs w:val="24"/>
        </w:rPr>
        <w:t xml:space="preserve">² value indicates that 79.2% of the variance in task performance can be explained by the model. This finding implies that employee mental </w:t>
      </w:r>
      <w:r>
        <w:rPr>
          <w:rFonts w:ascii="Times New Roman" w:cs="Times New Roman" w:hAnsi="Times New Roman"/>
          <w:kern w:val="0"/>
          <w:sz w:val="24"/>
          <w:szCs w:val="24"/>
        </w:rPr>
        <w:t>well being and work engagement collectively contribute substantially to the variation in task performance.</w:t>
      </w:r>
    </w:p>
    <w:p>
      <w:pPr>
        <w:pStyle w:val="style0"/>
        <w:spacing w:lineRule="auto" w:line="360"/>
        <w:jc w:val="both"/>
        <w:rPr>
          <w:rFonts w:ascii="Times New Roman" w:cs="Times New Roman" w:hAnsi="Times New Roman"/>
          <w:sz w:val="24"/>
          <w:szCs w:val="24"/>
          <w:vertAlign w:val="superscript"/>
          <w:lang w:val="en-US"/>
        </w:rPr>
      </w:pPr>
    </w:p>
    <w:p>
      <w:pPr>
        <w:pStyle w:val="style0"/>
        <w:spacing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                                                Table 4 model summary.</w:t>
      </w:r>
    </w:p>
    <w:tbl>
      <w:tblPr>
        <w:tblW w:w="7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7"/>
        <w:gridCol w:w="1362"/>
        <w:gridCol w:w="1362"/>
        <w:gridCol w:w="1867"/>
        <w:gridCol w:w="1958"/>
      </w:tblGrid>
      <w:tr>
        <w:trPr>
          <w:cantSplit/>
        </w:trPr>
        <w:tc>
          <w:tcPr>
            <w:tcW w:w="7523" w:type="dxa"/>
            <w:gridSpan w:val="5"/>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010205"/>
                <w:kern w:val="0"/>
                <w:sz w:val="24"/>
                <w:szCs w:val="24"/>
              </w:rPr>
            </w:pPr>
            <w:r>
              <w:rPr>
                <w:rFonts w:ascii="Times New Roman" w:cs="Times New Roman" w:hAnsi="Times New Roman"/>
                <w:b/>
                <w:bCs/>
                <w:color w:val="010205"/>
                <w:kern w:val="0"/>
                <w:sz w:val="24"/>
                <w:szCs w:val="24"/>
              </w:rPr>
              <w:t>Model Summary</w:t>
            </w:r>
          </w:p>
        </w:tc>
      </w:tr>
      <w:tr>
        <w:tblPrEx/>
        <w:trPr>
          <w:cantSplit/>
        </w:trPr>
        <w:tc>
          <w:tcPr>
            <w:tcW w:w="978" w:type="dxa"/>
            <w:tcBorders>
              <w:top w:val="nil"/>
              <w:left w:val="nil"/>
              <w:bottom w:val="single" w:sz="8" w:space="0" w:color="152935"/>
              <w:right w:val="nil"/>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264a60"/>
                <w:kern w:val="0"/>
                <w:sz w:val="24"/>
                <w:szCs w:val="24"/>
              </w:rPr>
            </w:pPr>
            <w:r>
              <w:rPr>
                <w:rFonts w:ascii="Times New Roman" w:cs="Times New Roman" w:hAnsi="Times New Roman"/>
                <w:color w:val="264a60"/>
                <w:kern w:val="0"/>
                <w:sz w:val="24"/>
                <w:szCs w:val="24"/>
              </w:rPr>
              <w:t>Model</w:t>
            </w:r>
          </w:p>
        </w:tc>
        <w:tc>
          <w:tcPr>
            <w:tcW w:w="1361" w:type="dxa"/>
            <w:tcBorders>
              <w:top w:val="nil"/>
              <w:left w:val="nil"/>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264a60"/>
                <w:kern w:val="0"/>
                <w:sz w:val="24"/>
                <w:szCs w:val="24"/>
              </w:rPr>
            </w:pPr>
            <w:r>
              <w:rPr>
                <w:rFonts w:ascii="Times New Roman" w:cs="Times New Roman" w:hAnsi="Times New Roman"/>
                <w:color w:val="264a60"/>
                <w:kern w:val="0"/>
                <w:sz w:val="24"/>
                <w:szCs w:val="24"/>
              </w:rPr>
              <w:t>R</w:t>
            </w:r>
          </w:p>
        </w:tc>
        <w:tc>
          <w:tcPr>
            <w:tcW w:w="1361" w:type="dxa"/>
            <w:tcBorders>
              <w:top w:val="nil"/>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264a60"/>
                <w:kern w:val="0"/>
                <w:sz w:val="24"/>
                <w:szCs w:val="24"/>
              </w:rPr>
            </w:pPr>
            <w:r>
              <w:rPr>
                <w:rFonts w:ascii="Times New Roman" w:cs="Times New Roman" w:hAnsi="Times New Roman"/>
                <w:color w:val="264a60"/>
                <w:kern w:val="0"/>
                <w:sz w:val="24"/>
                <w:szCs w:val="24"/>
              </w:rPr>
              <w:t>R Square</w:t>
            </w:r>
          </w:p>
        </w:tc>
        <w:tc>
          <w:tcPr>
            <w:tcW w:w="1866" w:type="dxa"/>
            <w:tcBorders>
              <w:top w:val="nil"/>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264a60"/>
                <w:kern w:val="0"/>
                <w:sz w:val="24"/>
                <w:szCs w:val="24"/>
              </w:rPr>
            </w:pPr>
            <w:r>
              <w:rPr>
                <w:rFonts w:ascii="Times New Roman" w:cs="Times New Roman" w:hAnsi="Times New Roman"/>
                <w:color w:val="264a60"/>
                <w:kern w:val="0"/>
                <w:sz w:val="24"/>
                <w:szCs w:val="24"/>
              </w:rPr>
              <w:t>Adjusted R Square</w:t>
            </w:r>
          </w:p>
        </w:tc>
        <w:tc>
          <w:tcPr>
            <w:tcW w:w="1957" w:type="dxa"/>
            <w:tcBorders>
              <w:top w:val="nil"/>
              <w:left w:val="single" w:sz="8" w:space="0" w:color="e0e0e0"/>
              <w:bottom w:val="single" w:sz="8" w:space="0" w:color="152935"/>
              <w:right w:val="nil"/>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264a60"/>
                <w:kern w:val="0"/>
                <w:sz w:val="24"/>
                <w:szCs w:val="24"/>
              </w:rPr>
            </w:pPr>
            <w:r>
              <w:rPr>
                <w:rFonts w:ascii="Times New Roman" w:cs="Times New Roman" w:hAnsi="Times New Roman"/>
                <w:color w:val="264a60"/>
                <w:kern w:val="0"/>
                <w:sz w:val="24"/>
                <w:szCs w:val="24"/>
              </w:rPr>
              <w:t>Std. Error of the Estimate</w:t>
            </w:r>
          </w:p>
        </w:tc>
      </w:tr>
      <w:tr>
        <w:tblPrEx/>
        <w:trPr>
          <w:cantSplit/>
        </w:trPr>
        <w:tc>
          <w:tcPr>
            <w:tcW w:w="978" w:type="dxa"/>
            <w:tcBorders>
              <w:top w:val="single" w:sz="8" w:space="0" w:color="152935"/>
              <w:left w:val="nil"/>
              <w:bottom w:val="single" w:sz="8" w:space="0" w:color="152935"/>
              <w:right w:val="nil"/>
            </w:tcBorders>
            <w:shd w:val="clear" w:color="auto" w:fill="e0e0e0"/>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264a60"/>
                <w:kern w:val="0"/>
                <w:sz w:val="24"/>
                <w:szCs w:val="24"/>
              </w:rPr>
            </w:pPr>
            <w:r>
              <w:rPr>
                <w:rFonts w:ascii="Times New Roman" w:cs="Times New Roman" w:hAnsi="Times New Roman"/>
                <w:color w:val="264a60"/>
                <w:kern w:val="0"/>
                <w:sz w:val="24"/>
                <w:szCs w:val="24"/>
              </w:rPr>
              <w:t>1</w:t>
            </w:r>
          </w:p>
        </w:tc>
        <w:tc>
          <w:tcPr>
            <w:tcW w:w="1361" w:type="dxa"/>
            <w:tcBorders>
              <w:top w:val="single" w:sz="8" w:space="0" w:color="152935"/>
              <w:left w:val="nil"/>
              <w:bottom w:val="single" w:sz="8" w:space="0" w:color="152935"/>
              <w:right w:val="single" w:sz="8" w:space="0" w:color="e0e0e0"/>
            </w:tcBorders>
            <w:shd w:val="clear" w:color="auto" w:fill="f9f9fb"/>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10205"/>
                <w:kern w:val="0"/>
                <w:sz w:val="24"/>
                <w:szCs w:val="24"/>
              </w:rPr>
            </w:pPr>
            <w:r>
              <w:rPr>
                <w:rFonts w:ascii="Times New Roman" w:cs="Times New Roman" w:hAnsi="Times New Roman"/>
                <w:color w:val="010205"/>
                <w:kern w:val="0"/>
                <w:sz w:val="24"/>
                <w:szCs w:val="24"/>
              </w:rPr>
              <w:t>.890</w:t>
            </w:r>
            <w:r>
              <w:rPr>
                <w:rFonts w:ascii="Times New Roman" w:cs="Times New Roman" w:hAnsi="Times New Roman"/>
                <w:color w:val="010205"/>
                <w:kern w:val="0"/>
                <w:sz w:val="24"/>
                <w:szCs w:val="24"/>
                <w:vertAlign w:val="superscript"/>
              </w:rPr>
              <w:t>a</w:t>
            </w:r>
          </w:p>
        </w:tc>
        <w:tc>
          <w:tcPr>
            <w:tcW w:w="1361" w:type="dxa"/>
            <w:tcBorders>
              <w:top w:val="single" w:sz="8" w:space="0" w:color="152935"/>
              <w:left w:val="single" w:sz="8" w:space="0" w:color="e0e0e0"/>
              <w:bottom w:val="single" w:sz="8" w:space="0" w:color="152935"/>
              <w:right w:val="single" w:sz="8" w:space="0" w:color="e0e0e0"/>
            </w:tcBorders>
            <w:shd w:val="clear" w:color="auto" w:fill="f9f9fb"/>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10205"/>
                <w:kern w:val="0"/>
                <w:sz w:val="24"/>
                <w:szCs w:val="24"/>
              </w:rPr>
            </w:pPr>
            <w:r>
              <w:rPr>
                <w:rFonts w:ascii="Times New Roman" w:cs="Times New Roman" w:hAnsi="Times New Roman"/>
                <w:color w:val="010205"/>
                <w:kern w:val="0"/>
                <w:sz w:val="24"/>
                <w:szCs w:val="24"/>
              </w:rPr>
              <w:t>.792</w:t>
            </w:r>
          </w:p>
        </w:tc>
        <w:tc>
          <w:tcPr>
            <w:tcW w:w="1866" w:type="dxa"/>
            <w:tcBorders>
              <w:top w:val="single" w:sz="8" w:space="0" w:color="152935"/>
              <w:left w:val="single" w:sz="8" w:space="0" w:color="e0e0e0"/>
              <w:bottom w:val="single" w:sz="8" w:space="0" w:color="152935"/>
              <w:right w:val="single" w:sz="8" w:space="0" w:color="e0e0e0"/>
            </w:tcBorders>
            <w:shd w:val="clear" w:color="auto" w:fill="f9f9fb"/>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10205"/>
                <w:kern w:val="0"/>
                <w:sz w:val="24"/>
                <w:szCs w:val="24"/>
              </w:rPr>
            </w:pPr>
            <w:r>
              <w:rPr>
                <w:rFonts w:ascii="Times New Roman" w:cs="Times New Roman" w:hAnsi="Times New Roman"/>
                <w:color w:val="010205"/>
                <w:kern w:val="0"/>
                <w:sz w:val="24"/>
                <w:szCs w:val="24"/>
              </w:rPr>
              <w:t>.789</w:t>
            </w:r>
          </w:p>
        </w:tc>
        <w:tc>
          <w:tcPr>
            <w:tcW w:w="1957" w:type="dxa"/>
            <w:tcBorders>
              <w:top w:val="single" w:sz="8" w:space="0" w:color="152935"/>
              <w:left w:val="single" w:sz="8" w:space="0" w:color="e0e0e0"/>
              <w:bottom w:val="single" w:sz="8" w:space="0" w:color="152935"/>
              <w:right w:val="nil"/>
            </w:tcBorders>
            <w:shd w:val="clear" w:color="auto" w:fill="f9f9fb"/>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10205"/>
                <w:kern w:val="0"/>
                <w:sz w:val="24"/>
                <w:szCs w:val="24"/>
              </w:rPr>
            </w:pPr>
            <w:r>
              <w:rPr>
                <w:rFonts w:ascii="Times New Roman" w:cs="Times New Roman" w:hAnsi="Times New Roman"/>
                <w:color w:val="010205"/>
                <w:kern w:val="0"/>
                <w:sz w:val="24"/>
                <w:szCs w:val="24"/>
              </w:rPr>
              <w:t>2.25469</w:t>
            </w:r>
          </w:p>
        </w:tc>
      </w:tr>
      <w:tr>
        <w:tblPrEx/>
        <w:trPr>
          <w:cantSplit/>
        </w:trPr>
        <w:tc>
          <w:tcPr>
            <w:tcW w:w="7523" w:type="dxa"/>
            <w:gridSpan w:val="5"/>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010205"/>
                <w:kern w:val="0"/>
                <w:sz w:val="24"/>
                <w:szCs w:val="24"/>
              </w:rPr>
            </w:pPr>
            <w:r>
              <w:rPr>
                <w:rFonts w:ascii="Times New Roman" w:cs="Times New Roman" w:hAnsi="Times New Roman"/>
                <w:color w:val="010205"/>
                <w:kern w:val="0"/>
                <w:sz w:val="24"/>
                <w:szCs w:val="24"/>
              </w:rPr>
              <w:t>a. Predictors: (Constant), WE, EMW</w:t>
            </w:r>
          </w:p>
        </w:tc>
      </w:tr>
    </w:tbl>
    <w:p>
      <w:pPr>
        <w:pStyle w:val="style0"/>
        <w:autoSpaceDE w:val="false"/>
        <w:autoSpaceDN w:val="false"/>
        <w:adjustRightInd w:val="false"/>
        <w:spacing w:after="0" w:lineRule="auto" w:line="360"/>
        <w:jc w:val="both"/>
        <w:rPr>
          <w:rFonts w:ascii="Times New Roman" w:cs="Times New Roman" w:hAnsi="Times New Roman"/>
          <w:kern w:val="0"/>
          <w:sz w:val="24"/>
          <w:szCs w:val="24"/>
        </w:rPr>
      </w:pPr>
    </w:p>
    <w:p>
      <w:pPr>
        <w:pStyle w:val="style0"/>
        <w:spacing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 The analysis of variance (ANOVA) tests the hypothesis that multiple R in the population equals 0 and reports how well the regression equation fits the data. Results in table 5 indicate that the regression model is statistically significant (</w:t>
      </w:r>
      <w:r>
        <w:rPr>
          <w:rFonts w:ascii="Times New Roman" w:cs="Times New Roman" w:hAnsi="Times New Roman"/>
          <w:sz w:val="24"/>
          <w:szCs w:val="24"/>
          <w:lang w:val="en-US"/>
        </w:rPr>
        <w:t>F (223.268; p&lt;0.001), meaning that the model predicts task performance significantly better than using the mean alone.</w:t>
      </w:r>
    </w:p>
    <w:p>
      <w:pPr>
        <w:pStyle w:val="style0"/>
        <w:spacing w:lineRule="auto" w:line="36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 xml:space="preserve">                                               Table 5 Analysis of Variance.</w:t>
      </w:r>
    </w:p>
    <w:tbl>
      <w:tblPr>
        <w:tblW w:w="9278"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9"/>
        <w:gridCol w:w="1287"/>
        <w:gridCol w:w="1654"/>
        <w:gridCol w:w="1363"/>
        <w:gridCol w:w="1409"/>
        <w:gridCol w:w="1363"/>
        <w:gridCol w:w="1363"/>
      </w:tblGrid>
      <w:tr>
        <w:trPr>
          <w:cantSplit/>
        </w:trPr>
        <w:tc>
          <w:tcPr>
            <w:tcW w:w="2126" w:type="dxa"/>
            <w:gridSpan w:val="2"/>
            <w:tcBorders>
              <w:top w:val="nil"/>
              <w:left w:val="nil"/>
              <w:bottom w:val="single" w:sz="8" w:space="0" w:color="152935"/>
              <w:right w:val="nil"/>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264a60"/>
                <w:kern w:val="0"/>
                <w:sz w:val="24"/>
                <w:szCs w:val="24"/>
              </w:rPr>
            </w:pPr>
            <w:r>
              <w:rPr>
                <w:rFonts w:ascii="Times New Roman" w:cs="Times New Roman" w:hAnsi="Times New Roman"/>
                <w:color w:val="264a60"/>
                <w:kern w:val="0"/>
                <w:sz w:val="24"/>
                <w:szCs w:val="24"/>
              </w:rPr>
              <w:t>Model</w:t>
            </w:r>
          </w:p>
        </w:tc>
        <w:tc>
          <w:tcPr>
            <w:tcW w:w="1654" w:type="dxa"/>
            <w:tcBorders>
              <w:top w:val="nil"/>
              <w:left w:val="nil"/>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264a60"/>
                <w:kern w:val="0"/>
                <w:sz w:val="24"/>
                <w:szCs w:val="24"/>
              </w:rPr>
            </w:pPr>
            <w:r>
              <w:rPr>
                <w:rFonts w:ascii="Times New Roman" w:cs="Times New Roman" w:hAnsi="Times New Roman"/>
                <w:color w:val="264a60"/>
                <w:kern w:val="0"/>
                <w:sz w:val="24"/>
                <w:szCs w:val="24"/>
              </w:rPr>
              <w:t>Sum of Squares</w:t>
            </w:r>
          </w:p>
        </w:tc>
        <w:tc>
          <w:tcPr>
            <w:tcW w:w="1363" w:type="dxa"/>
            <w:tcBorders>
              <w:top w:val="nil"/>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264a60"/>
                <w:kern w:val="0"/>
                <w:sz w:val="24"/>
                <w:szCs w:val="24"/>
              </w:rPr>
            </w:pPr>
            <w:r>
              <w:rPr>
                <w:rFonts w:ascii="Times New Roman" w:cs="Times New Roman" w:hAnsi="Times New Roman"/>
                <w:color w:val="264a60"/>
                <w:kern w:val="0"/>
                <w:sz w:val="24"/>
                <w:szCs w:val="24"/>
              </w:rPr>
              <w:t>D</w:t>
            </w:r>
            <w:r>
              <w:rPr>
                <w:rFonts w:ascii="Times New Roman" w:cs="Times New Roman" w:hAnsi="Times New Roman"/>
                <w:color w:val="264a60"/>
                <w:kern w:val="0"/>
                <w:sz w:val="24"/>
                <w:szCs w:val="24"/>
              </w:rPr>
              <w:t>f</w:t>
            </w:r>
          </w:p>
        </w:tc>
        <w:tc>
          <w:tcPr>
            <w:tcW w:w="1409" w:type="dxa"/>
            <w:tcBorders>
              <w:top w:val="nil"/>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264a60"/>
                <w:kern w:val="0"/>
                <w:sz w:val="24"/>
                <w:szCs w:val="24"/>
              </w:rPr>
            </w:pPr>
            <w:r>
              <w:rPr>
                <w:rFonts w:ascii="Times New Roman" w:cs="Times New Roman" w:hAnsi="Times New Roman"/>
                <w:color w:val="264a60"/>
                <w:kern w:val="0"/>
                <w:sz w:val="24"/>
                <w:szCs w:val="24"/>
              </w:rPr>
              <w:t>Mean Square</w:t>
            </w:r>
          </w:p>
        </w:tc>
        <w:tc>
          <w:tcPr>
            <w:tcW w:w="1363" w:type="dxa"/>
            <w:tcBorders>
              <w:top w:val="nil"/>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264a60"/>
                <w:kern w:val="0"/>
                <w:sz w:val="24"/>
                <w:szCs w:val="24"/>
              </w:rPr>
            </w:pPr>
            <w:r>
              <w:rPr>
                <w:rFonts w:ascii="Times New Roman" w:cs="Times New Roman" w:hAnsi="Times New Roman"/>
                <w:color w:val="264a60"/>
                <w:kern w:val="0"/>
                <w:sz w:val="24"/>
                <w:szCs w:val="24"/>
              </w:rPr>
              <w:t>F</w:t>
            </w:r>
          </w:p>
        </w:tc>
        <w:tc>
          <w:tcPr>
            <w:tcW w:w="1363" w:type="dxa"/>
            <w:tcBorders>
              <w:top w:val="nil"/>
              <w:left w:val="single" w:sz="8" w:space="0" w:color="e0e0e0"/>
              <w:bottom w:val="single" w:sz="8" w:space="0" w:color="152935"/>
              <w:right w:val="nil"/>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264a60"/>
                <w:kern w:val="0"/>
                <w:sz w:val="24"/>
                <w:szCs w:val="24"/>
              </w:rPr>
            </w:pPr>
            <w:r>
              <w:rPr>
                <w:rFonts w:ascii="Times New Roman" w:cs="Times New Roman" w:hAnsi="Times New Roman"/>
                <w:color w:val="264a60"/>
                <w:kern w:val="0"/>
                <w:sz w:val="24"/>
                <w:szCs w:val="24"/>
              </w:rPr>
              <w:t>Sig.</w:t>
            </w:r>
          </w:p>
        </w:tc>
      </w:tr>
      <w:tr>
        <w:tblPrEx/>
        <w:trPr>
          <w:cantSplit/>
        </w:trPr>
        <w:tc>
          <w:tcPr>
            <w:tcW w:w="839" w:type="dxa"/>
            <w:vMerge w:val="restart"/>
            <w:tcBorders>
              <w:top w:val="single" w:sz="8" w:space="0" w:color="152935"/>
              <w:left w:val="nil"/>
              <w:bottom w:val="single" w:sz="8" w:space="0" w:color="152935"/>
              <w:right w:val="nil"/>
            </w:tcBorders>
            <w:shd w:val="clear" w:color="auto" w:fill="e0e0e0"/>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264a60"/>
                <w:kern w:val="0"/>
                <w:sz w:val="24"/>
                <w:szCs w:val="24"/>
              </w:rPr>
            </w:pPr>
            <w:r>
              <w:rPr>
                <w:rFonts w:ascii="Times New Roman" w:cs="Times New Roman" w:hAnsi="Times New Roman"/>
                <w:color w:val="264a60"/>
                <w:kern w:val="0"/>
                <w:sz w:val="24"/>
                <w:szCs w:val="24"/>
              </w:rPr>
              <w:t>1</w:t>
            </w:r>
          </w:p>
        </w:tc>
        <w:tc>
          <w:tcPr>
            <w:tcW w:w="1287" w:type="dxa"/>
            <w:tcBorders>
              <w:top w:val="single" w:sz="8" w:space="0" w:color="152935"/>
              <w:left w:val="nil"/>
              <w:bottom w:val="single" w:sz="8" w:space="0" w:color="aeaeae"/>
              <w:right w:val="nil"/>
            </w:tcBorders>
            <w:shd w:val="clear" w:color="auto" w:fill="e0e0e0"/>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264a60"/>
                <w:kern w:val="0"/>
                <w:sz w:val="24"/>
                <w:szCs w:val="24"/>
              </w:rPr>
            </w:pPr>
            <w:r>
              <w:rPr>
                <w:rFonts w:ascii="Times New Roman" w:cs="Times New Roman" w:hAnsi="Times New Roman"/>
                <w:color w:val="264a60"/>
                <w:kern w:val="0"/>
                <w:sz w:val="24"/>
                <w:szCs w:val="24"/>
              </w:rPr>
              <w:t>Regression</w:t>
            </w:r>
          </w:p>
        </w:tc>
        <w:tc>
          <w:tcPr>
            <w:tcW w:w="1654" w:type="dxa"/>
            <w:tcBorders>
              <w:top w:val="single" w:sz="8" w:space="0" w:color="152935"/>
              <w:left w:val="nil"/>
              <w:bottom w:val="single" w:sz="8" w:space="0" w:color="aeaeae"/>
              <w:right w:val="single" w:sz="8" w:space="0" w:color="e0e0e0"/>
            </w:tcBorders>
            <w:shd w:val="clear" w:color="auto" w:fill="f9f9fb"/>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10205"/>
                <w:kern w:val="0"/>
                <w:sz w:val="24"/>
                <w:szCs w:val="24"/>
              </w:rPr>
            </w:pPr>
            <w:r>
              <w:rPr>
                <w:rFonts w:ascii="Times New Roman" w:cs="Times New Roman" w:hAnsi="Times New Roman"/>
                <w:color w:val="010205"/>
                <w:kern w:val="0"/>
                <w:sz w:val="24"/>
                <w:szCs w:val="24"/>
              </w:rPr>
              <w:t>2270.017</w:t>
            </w:r>
          </w:p>
        </w:tc>
        <w:tc>
          <w:tcPr>
            <w:tcW w:w="1363" w:type="dxa"/>
            <w:tcBorders>
              <w:top w:val="single" w:sz="8" w:space="0" w:color="152935"/>
              <w:left w:val="single" w:sz="8" w:space="0" w:color="e0e0e0"/>
              <w:bottom w:val="single" w:sz="8" w:space="0" w:color="aeaeae"/>
              <w:right w:val="single" w:sz="8" w:space="0" w:color="e0e0e0"/>
            </w:tcBorders>
            <w:shd w:val="clear" w:color="auto" w:fill="f9f9fb"/>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10205"/>
                <w:kern w:val="0"/>
                <w:sz w:val="24"/>
                <w:szCs w:val="24"/>
              </w:rPr>
            </w:pPr>
            <w:r>
              <w:rPr>
                <w:rFonts w:ascii="Times New Roman" w:cs="Times New Roman" w:hAnsi="Times New Roman"/>
                <w:color w:val="010205"/>
                <w:kern w:val="0"/>
                <w:sz w:val="24"/>
                <w:szCs w:val="24"/>
              </w:rPr>
              <w:t>2</w:t>
            </w:r>
          </w:p>
        </w:tc>
        <w:tc>
          <w:tcPr>
            <w:tcW w:w="1409" w:type="dxa"/>
            <w:tcBorders>
              <w:top w:val="single" w:sz="8" w:space="0" w:color="152935"/>
              <w:left w:val="single" w:sz="8" w:space="0" w:color="e0e0e0"/>
              <w:bottom w:val="single" w:sz="8" w:space="0" w:color="aeaeae"/>
              <w:right w:val="single" w:sz="8" w:space="0" w:color="e0e0e0"/>
            </w:tcBorders>
            <w:shd w:val="clear" w:color="auto" w:fill="f9f9fb"/>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10205"/>
                <w:kern w:val="0"/>
                <w:sz w:val="24"/>
                <w:szCs w:val="24"/>
              </w:rPr>
            </w:pPr>
            <w:r>
              <w:rPr>
                <w:rFonts w:ascii="Times New Roman" w:cs="Times New Roman" w:hAnsi="Times New Roman"/>
                <w:color w:val="010205"/>
                <w:kern w:val="0"/>
                <w:sz w:val="24"/>
                <w:szCs w:val="24"/>
              </w:rPr>
              <w:t>1135.009</w:t>
            </w:r>
          </w:p>
        </w:tc>
        <w:tc>
          <w:tcPr>
            <w:tcW w:w="1363" w:type="dxa"/>
            <w:tcBorders>
              <w:top w:val="single" w:sz="8" w:space="0" w:color="152935"/>
              <w:left w:val="single" w:sz="8" w:space="0" w:color="e0e0e0"/>
              <w:bottom w:val="single" w:sz="8" w:space="0" w:color="aeaeae"/>
              <w:right w:val="single" w:sz="8" w:space="0" w:color="e0e0e0"/>
            </w:tcBorders>
            <w:shd w:val="clear" w:color="auto" w:fill="f9f9fb"/>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10205"/>
                <w:kern w:val="0"/>
                <w:sz w:val="24"/>
                <w:szCs w:val="24"/>
              </w:rPr>
            </w:pPr>
            <w:r>
              <w:rPr>
                <w:rFonts w:ascii="Times New Roman" w:cs="Times New Roman" w:hAnsi="Times New Roman"/>
                <w:color w:val="010205"/>
                <w:kern w:val="0"/>
                <w:sz w:val="24"/>
                <w:szCs w:val="24"/>
              </w:rPr>
              <w:t>223.268</w:t>
            </w:r>
          </w:p>
        </w:tc>
        <w:tc>
          <w:tcPr>
            <w:tcW w:w="1363" w:type="dxa"/>
            <w:tcBorders>
              <w:top w:val="single" w:sz="8" w:space="0" w:color="152935"/>
              <w:left w:val="single" w:sz="8" w:space="0" w:color="e0e0e0"/>
              <w:bottom w:val="single" w:sz="8" w:space="0" w:color="aeaeae"/>
              <w:right w:val="nil"/>
            </w:tcBorders>
            <w:shd w:val="clear" w:color="auto" w:fill="f9f9fb"/>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10205"/>
                <w:kern w:val="0"/>
                <w:sz w:val="24"/>
                <w:szCs w:val="24"/>
              </w:rPr>
            </w:pPr>
            <w:r>
              <w:rPr>
                <w:rFonts w:ascii="Times New Roman" w:cs="Times New Roman" w:hAnsi="Times New Roman"/>
                <w:color w:val="010205"/>
                <w:kern w:val="0"/>
                <w:sz w:val="24"/>
                <w:szCs w:val="24"/>
              </w:rPr>
              <w:t>.000</w:t>
            </w:r>
            <w:r>
              <w:rPr>
                <w:rFonts w:ascii="Times New Roman" w:cs="Times New Roman" w:hAnsi="Times New Roman"/>
                <w:color w:val="010205"/>
                <w:kern w:val="0"/>
                <w:sz w:val="24"/>
                <w:szCs w:val="24"/>
                <w:vertAlign w:val="superscript"/>
              </w:rPr>
              <w:t>b</w:t>
            </w:r>
          </w:p>
        </w:tc>
      </w:tr>
      <w:tr>
        <w:tblPrEx/>
        <w:trPr>
          <w:cantSplit/>
        </w:trPr>
        <w:tc>
          <w:tcPr>
            <w:tcW w:w="839" w:type="dxa"/>
            <w:vMerge w:val="continue"/>
            <w:tcBorders>
              <w:top w:val="single" w:sz="8" w:space="0" w:color="152935"/>
              <w:left w:val="nil"/>
              <w:bottom w:val="single" w:sz="8" w:space="0" w:color="152935"/>
              <w:right w:val="nil"/>
            </w:tcBorders>
            <w:shd w:val="clear" w:color="auto" w:fill="e0e0e0"/>
            <w:vAlign w:val="center"/>
          </w:tcPr>
          <w:p>
            <w:pPr>
              <w:pStyle w:val="style0"/>
              <w:autoSpaceDE w:val="false"/>
              <w:autoSpaceDN w:val="false"/>
              <w:adjustRightInd w:val="false"/>
              <w:spacing w:after="0" w:lineRule="auto" w:line="360"/>
              <w:jc w:val="both"/>
              <w:rPr>
                <w:rFonts w:ascii="Times New Roman" w:cs="Times New Roman" w:hAnsi="Times New Roman"/>
                <w:color w:val="010205"/>
                <w:kern w:val="0"/>
                <w:sz w:val="24"/>
                <w:szCs w:val="24"/>
              </w:rPr>
            </w:pPr>
          </w:p>
        </w:tc>
        <w:tc>
          <w:tcPr>
            <w:tcW w:w="1287" w:type="dxa"/>
            <w:tcBorders>
              <w:top w:val="single" w:sz="8" w:space="0" w:color="aeaeae"/>
              <w:left w:val="nil"/>
              <w:bottom w:val="single" w:sz="8" w:space="0" w:color="aeaeae"/>
              <w:right w:val="nil"/>
            </w:tcBorders>
            <w:shd w:val="clear" w:color="auto" w:fill="e0e0e0"/>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264a60"/>
                <w:kern w:val="0"/>
                <w:sz w:val="24"/>
                <w:szCs w:val="24"/>
              </w:rPr>
            </w:pPr>
            <w:r>
              <w:rPr>
                <w:rFonts w:ascii="Times New Roman" w:cs="Times New Roman" w:hAnsi="Times New Roman"/>
                <w:color w:val="264a60"/>
                <w:kern w:val="0"/>
                <w:sz w:val="24"/>
                <w:szCs w:val="24"/>
              </w:rPr>
              <w:t>Residual</w:t>
            </w:r>
          </w:p>
        </w:tc>
        <w:tc>
          <w:tcPr>
            <w:tcW w:w="1654" w:type="dxa"/>
            <w:tcBorders>
              <w:top w:val="single" w:sz="8" w:space="0" w:color="aeaeae"/>
              <w:left w:val="nil"/>
              <w:bottom w:val="single" w:sz="8" w:space="0" w:color="aeaeae"/>
              <w:right w:val="single" w:sz="8" w:space="0" w:color="e0e0e0"/>
            </w:tcBorders>
            <w:shd w:val="clear" w:color="auto" w:fill="f9f9fb"/>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10205"/>
                <w:kern w:val="0"/>
                <w:sz w:val="24"/>
                <w:szCs w:val="24"/>
              </w:rPr>
            </w:pPr>
            <w:r>
              <w:rPr>
                <w:rFonts w:ascii="Times New Roman" w:cs="Times New Roman" w:hAnsi="Times New Roman"/>
                <w:color w:val="010205"/>
                <w:kern w:val="0"/>
                <w:sz w:val="24"/>
                <w:szCs w:val="24"/>
              </w:rPr>
              <w:t>594.783</w:t>
            </w:r>
          </w:p>
        </w:tc>
        <w:tc>
          <w:tcPr>
            <w:tcW w:w="1363" w:type="dxa"/>
            <w:tcBorders>
              <w:top w:val="single" w:sz="8" w:space="0" w:color="aeaeae"/>
              <w:left w:val="single" w:sz="8" w:space="0" w:color="e0e0e0"/>
              <w:bottom w:val="single" w:sz="8" w:space="0" w:color="aeaeae"/>
              <w:right w:val="single" w:sz="8" w:space="0" w:color="e0e0e0"/>
            </w:tcBorders>
            <w:shd w:val="clear" w:color="auto" w:fill="f9f9fb"/>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10205"/>
                <w:kern w:val="0"/>
                <w:sz w:val="24"/>
                <w:szCs w:val="24"/>
              </w:rPr>
            </w:pPr>
            <w:r>
              <w:rPr>
                <w:rFonts w:ascii="Times New Roman" w:cs="Times New Roman" w:hAnsi="Times New Roman"/>
                <w:color w:val="010205"/>
                <w:kern w:val="0"/>
                <w:sz w:val="24"/>
                <w:szCs w:val="24"/>
              </w:rPr>
              <w:t>117</w:t>
            </w:r>
          </w:p>
        </w:tc>
        <w:tc>
          <w:tcPr>
            <w:tcW w:w="1409" w:type="dxa"/>
            <w:tcBorders>
              <w:top w:val="single" w:sz="8" w:space="0" w:color="aeaeae"/>
              <w:left w:val="single" w:sz="8" w:space="0" w:color="e0e0e0"/>
              <w:bottom w:val="single" w:sz="8" w:space="0" w:color="aeaeae"/>
              <w:right w:val="single" w:sz="8" w:space="0" w:color="e0e0e0"/>
            </w:tcBorders>
            <w:shd w:val="clear" w:color="auto" w:fill="f9f9fb"/>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10205"/>
                <w:kern w:val="0"/>
                <w:sz w:val="24"/>
                <w:szCs w:val="24"/>
              </w:rPr>
            </w:pPr>
            <w:r>
              <w:rPr>
                <w:rFonts w:ascii="Times New Roman" w:cs="Times New Roman" w:hAnsi="Times New Roman"/>
                <w:color w:val="010205"/>
                <w:kern w:val="0"/>
                <w:sz w:val="24"/>
                <w:szCs w:val="24"/>
              </w:rPr>
              <w:t>5.084</w:t>
            </w:r>
          </w:p>
        </w:tc>
        <w:tc>
          <w:tcPr>
            <w:tcW w:w="1363" w:type="dxa"/>
            <w:tcBorders>
              <w:top w:val="single" w:sz="8" w:space="0" w:color="aeaeae"/>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360"/>
              <w:jc w:val="both"/>
              <w:rPr>
                <w:rFonts w:ascii="Times New Roman" w:cs="Times New Roman" w:hAnsi="Times New Roman"/>
                <w:kern w:val="0"/>
                <w:sz w:val="24"/>
                <w:szCs w:val="24"/>
              </w:rPr>
            </w:pPr>
          </w:p>
        </w:tc>
        <w:tc>
          <w:tcPr>
            <w:tcW w:w="1363" w:type="dxa"/>
            <w:tcBorders>
              <w:top w:val="single" w:sz="8" w:space="0" w:color="aeaeae"/>
              <w:left w:val="single" w:sz="8" w:space="0" w:color="e0e0e0"/>
              <w:bottom w:val="single" w:sz="8" w:space="0" w:color="aeaeae"/>
              <w:right w:val="nil"/>
            </w:tcBorders>
            <w:shd w:val="clear" w:color="auto" w:fill="ffffff"/>
          </w:tcPr>
          <w:p>
            <w:pPr>
              <w:pStyle w:val="style0"/>
              <w:autoSpaceDE w:val="false"/>
              <w:autoSpaceDN w:val="false"/>
              <w:adjustRightInd w:val="false"/>
              <w:spacing w:after="0" w:lineRule="auto" w:line="360"/>
              <w:jc w:val="both"/>
              <w:rPr>
                <w:rFonts w:ascii="Times New Roman" w:cs="Times New Roman" w:hAnsi="Times New Roman"/>
                <w:kern w:val="0"/>
                <w:sz w:val="24"/>
                <w:szCs w:val="24"/>
              </w:rPr>
            </w:pPr>
          </w:p>
        </w:tc>
      </w:tr>
      <w:tr>
        <w:tblPrEx/>
        <w:trPr>
          <w:cantSplit/>
        </w:trPr>
        <w:tc>
          <w:tcPr>
            <w:tcW w:w="839" w:type="dxa"/>
            <w:vMerge w:val="continue"/>
            <w:tcBorders>
              <w:top w:val="single" w:sz="8" w:space="0" w:color="152935"/>
              <w:left w:val="nil"/>
              <w:bottom w:val="single" w:sz="8" w:space="0" w:color="152935"/>
              <w:right w:val="nil"/>
            </w:tcBorders>
            <w:shd w:val="clear" w:color="auto" w:fill="e0e0e0"/>
            <w:vAlign w:val="center"/>
          </w:tcPr>
          <w:p>
            <w:pPr>
              <w:pStyle w:val="style0"/>
              <w:autoSpaceDE w:val="false"/>
              <w:autoSpaceDN w:val="false"/>
              <w:adjustRightInd w:val="false"/>
              <w:spacing w:after="0" w:lineRule="auto" w:line="360"/>
              <w:jc w:val="both"/>
              <w:rPr>
                <w:rFonts w:ascii="Times New Roman" w:cs="Times New Roman" w:hAnsi="Times New Roman"/>
                <w:kern w:val="0"/>
                <w:sz w:val="24"/>
                <w:szCs w:val="24"/>
              </w:rPr>
            </w:pPr>
          </w:p>
        </w:tc>
        <w:tc>
          <w:tcPr>
            <w:tcW w:w="1287" w:type="dxa"/>
            <w:tcBorders>
              <w:top w:val="single" w:sz="8" w:space="0" w:color="aeaeae"/>
              <w:left w:val="nil"/>
              <w:bottom w:val="single" w:sz="8" w:space="0" w:color="152935"/>
              <w:right w:val="nil"/>
            </w:tcBorders>
            <w:shd w:val="clear" w:color="auto" w:fill="e0e0e0"/>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264a60"/>
                <w:kern w:val="0"/>
                <w:sz w:val="24"/>
                <w:szCs w:val="24"/>
              </w:rPr>
            </w:pPr>
            <w:r>
              <w:rPr>
                <w:rFonts w:ascii="Times New Roman" w:cs="Times New Roman" w:hAnsi="Times New Roman"/>
                <w:color w:val="264a60"/>
                <w:kern w:val="0"/>
                <w:sz w:val="24"/>
                <w:szCs w:val="24"/>
              </w:rPr>
              <w:t>Total</w:t>
            </w:r>
          </w:p>
        </w:tc>
        <w:tc>
          <w:tcPr>
            <w:tcW w:w="1654" w:type="dxa"/>
            <w:tcBorders>
              <w:top w:val="single" w:sz="8" w:space="0" w:color="aeaeae"/>
              <w:left w:val="nil"/>
              <w:bottom w:val="single" w:sz="8" w:space="0" w:color="152935"/>
              <w:right w:val="single" w:sz="8" w:space="0" w:color="e0e0e0"/>
            </w:tcBorders>
            <w:shd w:val="clear" w:color="auto" w:fill="f9f9fb"/>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10205"/>
                <w:kern w:val="0"/>
                <w:sz w:val="24"/>
                <w:szCs w:val="24"/>
              </w:rPr>
            </w:pPr>
            <w:r>
              <w:rPr>
                <w:rFonts w:ascii="Times New Roman" w:cs="Times New Roman" w:hAnsi="Times New Roman"/>
                <w:color w:val="010205"/>
                <w:kern w:val="0"/>
                <w:sz w:val="24"/>
                <w:szCs w:val="24"/>
              </w:rPr>
              <w:t>2864.800</w:t>
            </w:r>
          </w:p>
        </w:tc>
        <w:tc>
          <w:tcPr>
            <w:tcW w:w="1363" w:type="dxa"/>
            <w:tcBorders>
              <w:top w:val="single" w:sz="8" w:space="0" w:color="aeaeae"/>
              <w:left w:val="single" w:sz="8" w:space="0" w:color="e0e0e0"/>
              <w:bottom w:val="single" w:sz="8" w:space="0" w:color="152935"/>
              <w:right w:val="single" w:sz="8" w:space="0" w:color="e0e0e0"/>
            </w:tcBorders>
            <w:shd w:val="clear" w:color="auto" w:fill="f9f9fb"/>
            <w:vAlign w:val="center"/>
          </w:tcPr>
          <w:p>
            <w:pPr>
              <w:pStyle w:val="style0"/>
              <w:autoSpaceDE w:val="false"/>
              <w:autoSpaceDN w:val="false"/>
              <w:adjustRightInd w:val="false"/>
              <w:spacing w:after="0" w:lineRule="auto" w:line="360"/>
              <w:ind w:left="60" w:right="60"/>
              <w:jc w:val="both"/>
              <w:rPr>
                <w:rFonts w:ascii="Times New Roman" w:cs="Times New Roman" w:hAnsi="Times New Roman"/>
                <w:color w:val="010205"/>
                <w:kern w:val="0"/>
                <w:sz w:val="24"/>
                <w:szCs w:val="24"/>
              </w:rPr>
            </w:pPr>
            <w:r>
              <w:rPr>
                <w:rFonts w:ascii="Times New Roman" w:cs="Times New Roman" w:hAnsi="Times New Roman"/>
                <w:color w:val="010205"/>
                <w:kern w:val="0"/>
                <w:sz w:val="24"/>
                <w:szCs w:val="24"/>
              </w:rPr>
              <w:t>119</w:t>
            </w:r>
          </w:p>
        </w:tc>
        <w:tc>
          <w:tcPr>
            <w:tcW w:w="1409"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60"/>
              <w:jc w:val="both"/>
              <w:rPr>
                <w:rFonts w:ascii="Times New Roman" w:cs="Times New Roman" w:hAnsi="Times New Roman"/>
                <w:kern w:val="0"/>
                <w:sz w:val="24"/>
                <w:szCs w:val="24"/>
              </w:rPr>
            </w:pPr>
          </w:p>
        </w:tc>
        <w:tc>
          <w:tcPr>
            <w:tcW w:w="1363" w:type="dxa"/>
            <w:tcBorders>
              <w:top w:val="single" w:sz="8" w:space="0" w:color="aeaeae"/>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uto" w:line="360"/>
              <w:jc w:val="both"/>
              <w:rPr>
                <w:rFonts w:ascii="Times New Roman" w:cs="Times New Roman" w:hAnsi="Times New Roman"/>
                <w:kern w:val="0"/>
                <w:sz w:val="24"/>
                <w:szCs w:val="24"/>
              </w:rPr>
            </w:pPr>
          </w:p>
        </w:tc>
        <w:tc>
          <w:tcPr>
            <w:tcW w:w="1363" w:type="dxa"/>
            <w:tcBorders>
              <w:top w:val="single" w:sz="8" w:space="0" w:color="aeaeae"/>
              <w:left w:val="single" w:sz="8" w:space="0" w:color="e0e0e0"/>
              <w:bottom w:val="single" w:sz="8" w:space="0" w:color="152935"/>
              <w:right w:val="nil"/>
            </w:tcBorders>
            <w:shd w:val="clear" w:color="auto" w:fill="ffffff"/>
          </w:tcPr>
          <w:p>
            <w:pPr>
              <w:pStyle w:val="style0"/>
              <w:autoSpaceDE w:val="false"/>
              <w:autoSpaceDN w:val="false"/>
              <w:adjustRightInd w:val="false"/>
              <w:spacing w:after="0" w:lineRule="auto" w:line="360"/>
              <w:jc w:val="both"/>
              <w:rPr>
                <w:rFonts w:ascii="Times New Roman" w:cs="Times New Roman" w:hAnsi="Times New Roman"/>
                <w:kern w:val="0"/>
                <w:sz w:val="24"/>
                <w:szCs w:val="24"/>
              </w:rPr>
            </w:pPr>
          </w:p>
        </w:tc>
      </w:tr>
      <w:tr>
        <w:tblPrEx/>
        <w:trPr>
          <w:cantSplit/>
        </w:trPr>
        <w:tc>
          <w:tcPr>
            <w:tcW w:w="9278"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010205"/>
                <w:kern w:val="0"/>
                <w:sz w:val="24"/>
                <w:szCs w:val="24"/>
              </w:rPr>
            </w:pPr>
            <w:r>
              <w:rPr>
                <w:rFonts w:ascii="Times New Roman" w:cs="Times New Roman" w:hAnsi="Times New Roman"/>
                <w:color w:val="010205"/>
                <w:kern w:val="0"/>
                <w:sz w:val="24"/>
                <w:szCs w:val="24"/>
              </w:rPr>
              <w:t>a. Dependent Variable: TP</w:t>
            </w:r>
          </w:p>
        </w:tc>
      </w:tr>
      <w:tr>
        <w:tblPrEx/>
        <w:trPr>
          <w:cantSplit/>
        </w:trPr>
        <w:tc>
          <w:tcPr>
            <w:tcW w:w="9278" w:type="dxa"/>
            <w:gridSpan w:val="7"/>
            <w:tcBorders>
              <w:top w:val="nil"/>
              <w:left w:val="nil"/>
              <w:bottom w:val="nil"/>
              <w:right w:val="nil"/>
            </w:tcBorders>
            <w:shd w:val="clear" w:color="auto" w:fill="ffffff"/>
          </w:tcPr>
          <w:p>
            <w:pPr>
              <w:pStyle w:val="style0"/>
              <w:autoSpaceDE w:val="false"/>
              <w:autoSpaceDN w:val="false"/>
              <w:adjustRightInd w:val="false"/>
              <w:spacing w:after="0" w:lineRule="auto" w:line="360"/>
              <w:ind w:left="60" w:right="60"/>
              <w:jc w:val="both"/>
              <w:rPr>
                <w:rFonts w:ascii="Times New Roman" w:cs="Times New Roman" w:hAnsi="Times New Roman"/>
                <w:color w:val="010205"/>
                <w:kern w:val="0"/>
                <w:sz w:val="24"/>
                <w:szCs w:val="24"/>
              </w:rPr>
            </w:pPr>
            <w:r>
              <w:rPr>
                <w:rFonts w:ascii="Times New Roman" w:cs="Times New Roman" w:hAnsi="Times New Roman"/>
                <w:color w:val="010205"/>
                <w:kern w:val="0"/>
                <w:sz w:val="24"/>
                <w:szCs w:val="24"/>
              </w:rPr>
              <w:t>b. Predictors: (Constant), WE, EMW</w:t>
            </w:r>
          </w:p>
        </w:tc>
      </w:tr>
    </w:tbl>
    <w:p>
      <w:pPr>
        <w:pStyle w:val="style0"/>
        <w:spacing w:lineRule="auto" w:line="360"/>
        <w:jc w:val="both"/>
        <w:rPr>
          <w:rFonts w:ascii="Times New Roman" w:cs="Times New Roman" w:hAnsi="Times New Roman"/>
          <w:b/>
          <w:bCs/>
          <w:sz w:val="24"/>
          <w:szCs w:val="24"/>
          <w:lang w:val="en-US"/>
        </w:rPr>
      </w:pPr>
    </w:p>
    <w:p>
      <w:pPr>
        <w:pStyle w:val="style0"/>
        <w:spacing w:lineRule="auto" w:line="360"/>
        <w:jc w:val="both"/>
        <w:rPr>
          <w:rFonts w:ascii="Times New Roman" w:cs="Times New Roman" w:hAnsi="Times New Roman"/>
          <w:sz w:val="24"/>
          <w:szCs w:val="24"/>
          <w:lang w:val="en-US"/>
        </w:rPr>
      </w:pPr>
      <w:r>
        <w:rPr>
          <w:rFonts w:ascii="Times New Roman" w:cs="Times New Roman" w:hAnsi="Times New Roman"/>
          <w:sz w:val="24"/>
          <w:szCs w:val="24"/>
          <w:lang w:val="en-US"/>
        </w:rPr>
        <w:t>The final step involves determining the individual contribution of each predictor to task performance.</w:t>
      </w:r>
      <w:r>
        <w:rPr>
          <w:rFonts w:ascii="Times New Roman" w:cs="Times New Roman" w:hAnsi="Times New Roman"/>
          <w:sz w:val="24"/>
          <w:szCs w:val="24"/>
          <w:lang w:val="en-US"/>
        </w:rPr>
        <w:t xml:space="preserve"> The results in the coefficient table indicate </w:t>
      </w:r>
      <w:r>
        <w:rPr>
          <w:rFonts w:ascii="Times New Roman" w:cs="Times New Roman" w:hAnsi="Times New Roman"/>
          <w:sz w:val="24"/>
          <w:szCs w:val="24"/>
          <w:lang w:val="en-US"/>
        </w:rPr>
        <w:t>that employee</w:t>
      </w:r>
      <w:r>
        <w:rPr>
          <w:rFonts w:ascii="Times New Roman" w:cs="Times New Roman" w:hAnsi="Times New Roman"/>
          <w:sz w:val="24"/>
          <w:szCs w:val="24"/>
          <w:lang w:val="en-US"/>
        </w:rPr>
        <w:t xml:space="preserve"> mental wellbeing</w:t>
      </w:r>
      <w:r>
        <w:rPr>
          <w:rFonts w:ascii="Times New Roman" w:cs="Times New Roman" w:hAnsi="Times New Roman"/>
          <w:sz w:val="24"/>
          <w:szCs w:val="24"/>
          <w:lang w:val="en-US"/>
        </w:rPr>
        <w:t xml:space="preserve"> does not make a statistically significant contribution to predicting task performance, although it has a positive effect on task performance </w:t>
      </w:r>
      <w:r>
        <w:rPr>
          <w:rFonts w:ascii="Times New Roman" w:cs="Times New Roman" w:hAnsi="Times New Roman"/>
          <w:sz w:val="24"/>
          <w:szCs w:val="24"/>
          <w:lang w:val="en-US"/>
        </w:rPr>
        <w:t>and work engagement make significant and unique contributions to predicting task performance.</w:t>
      </w:r>
      <w:r>
        <w:rPr>
          <w:rFonts w:ascii="Times New Roman" w:cs="Times New Roman" w:hAnsi="Times New Roman"/>
          <w:sz w:val="24"/>
          <w:szCs w:val="24"/>
          <w:lang w:val="en-US"/>
        </w:rPr>
        <w:t xml:space="preserve"> Specifically, employee mental wellbeing accounts for 27.0% of the variance in task performance (β = 0.123</w:t>
      </w:r>
      <w:r>
        <w:rPr>
          <w:rFonts w:ascii="Times New Roman" w:cs="Times New Roman" w:hAnsi="Times New Roman"/>
          <w:sz w:val="24"/>
          <w:szCs w:val="24"/>
          <w:lang w:val="en-US"/>
        </w:rPr>
        <w:t>, t =2.876, p&lt; 0.001) and work engagement accounts for 64.1% of the variance in task performance (β = 0.465, t = 6.832, p &lt;0.001).</w:t>
      </w:r>
    </w:p>
    <w:p>
      <w:pPr>
        <w:pStyle w:val="style0"/>
        <w:spacing w:lineRule="auto" w:line="360"/>
        <w:jc w:val="both"/>
        <w:rPr>
          <w:rFonts w:ascii="Times New Roman" w:cs="Times New Roman" w:hAnsi="Times New Roman"/>
          <w:sz w:val="24"/>
          <w:szCs w:val="24"/>
          <w:lang w:val="en-US"/>
        </w:rPr>
      </w:pPr>
    </w:p>
    <w:tbl>
      <w:tblPr>
        <w:tblW w:w="9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84"/>
        <w:gridCol w:w="1185"/>
        <w:gridCol w:w="1370"/>
        <w:gridCol w:w="1370"/>
        <w:gridCol w:w="1971"/>
        <w:gridCol w:w="1370"/>
        <w:gridCol w:w="1370"/>
      </w:tblGrid>
      <w:tr>
        <w:trPr>
          <w:cantSplit/>
        </w:trPr>
        <w:tc>
          <w:tcPr>
            <w:tcW w:w="9616" w:type="dxa"/>
            <w:gridSpan w:val="7"/>
            <w:tcBorders>
              <w:top w:val="nil"/>
              <w:left w:val="nil"/>
              <w:bottom w:val="nil"/>
              <w:right w:val="nil"/>
            </w:tcBorders>
            <w:shd w:val="clear" w:color="auto" w:fill="ffffff"/>
          </w:tcPr>
          <w:p>
            <w:pPr>
              <w:pStyle w:val="style0"/>
              <w:autoSpaceDE w:val="false"/>
              <w:autoSpaceDN w:val="false"/>
              <w:adjustRightInd w:val="false"/>
              <w:spacing w:after="0" w:lineRule="atLeast" w:line="320"/>
              <w:ind w:left="60" w:right="60"/>
              <w:jc w:val="center"/>
              <w:rPr>
                <w:rFonts w:ascii="Arial" w:cs="Arial" w:hAnsi="Arial"/>
                <w:color w:val="010205"/>
                <w:kern w:val="0"/>
              </w:rPr>
            </w:pPr>
            <w:r>
              <w:rPr>
                <w:rFonts w:ascii="Arial" w:cs="Arial" w:hAnsi="Arial"/>
                <w:b/>
                <w:bCs/>
                <w:color w:val="010205"/>
                <w:kern w:val="0"/>
              </w:rPr>
              <w:t xml:space="preserve">Table 6 </w:t>
            </w:r>
            <w:r>
              <w:rPr>
                <w:rFonts w:ascii="Arial" w:cs="Arial" w:hAnsi="Arial"/>
                <w:b/>
                <w:bCs/>
                <w:color w:val="010205"/>
                <w:kern w:val="0"/>
              </w:rPr>
              <w:t>Coefficients</w:t>
            </w:r>
            <w:r>
              <w:rPr>
                <w:rFonts w:ascii="Arial" w:cs="Arial" w:hAnsi="Arial"/>
                <w:b/>
                <w:bCs/>
                <w:color w:val="010205"/>
                <w:kern w:val="0"/>
              </w:rPr>
              <w:t>.</w:t>
            </w:r>
          </w:p>
        </w:tc>
      </w:tr>
      <w:tr>
        <w:tblPrEx/>
        <w:trPr>
          <w:cantSplit/>
        </w:trPr>
        <w:tc>
          <w:tcPr>
            <w:tcW w:w="2170" w:type="dxa"/>
            <w:gridSpan w:val="2"/>
            <w:vMerge w:val="restart"/>
            <w:tcBorders>
              <w:top w:val="nil"/>
              <w:left w:val="nil"/>
              <w:bottom w:val="nil"/>
              <w:right w:val="nil"/>
            </w:tcBorders>
            <w:shd w:val="clear" w:color="auto" w:fill="ffffff"/>
          </w:tcPr>
          <w:p>
            <w:pPr>
              <w:pStyle w:val="style0"/>
              <w:autoSpaceDE w:val="false"/>
              <w:autoSpaceDN w:val="false"/>
              <w:adjustRightInd w:val="false"/>
              <w:spacing w:after="0" w:lineRule="atLeast" w:line="320"/>
              <w:ind w:left="60" w:right="60"/>
              <w:rPr>
                <w:rFonts w:ascii="Arial" w:cs="Arial" w:hAnsi="Arial"/>
                <w:color w:val="264a60"/>
                <w:kern w:val="0"/>
                <w:sz w:val="18"/>
                <w:szCs w:val="18"/>
              </w:rPr>
            </w:pPr>
            <w:r>
              <w:rPr>
                <w:rFonts w:ascii="Arial" w:cs="Arial" w:hAnsi="Arial"/>
                <w:color w:val="264a60"/>
                <w:kern w:val="0"/>
                <w:sz w:val="18"/>
                <w:szCs w:val="18"/>
              </w:rPr>
              <w:t>Model</w:t>
            </w:r>
          </w:p>
        </w:tc>
        <w:tc>
          <w:tcPr>
            <w:tcW w:w="2738" w:type="dxa"/>
            <w:gridSpan w:val="2"/>
            <w:tcBorders>
              <w:top w:val="nil"/>
              <w:left w:val="nil"/>
              <w:bottom w:val="nil"/>
              <w:right w:val="single" w:sz="8" w:space="0" w:color="e0e0e0"/>
            </w:tcBorders>
            <w:shd w:val="clear" w:color="auto" w:fill="ffffff"/>
          </w:tcPr>
          <w:p>
            <w:pPr>
              <w:pStyle w:val="style0"/>
              <w:autoSpaceDE w:val="false"/>
              <w:autoSpaceDN w:val="false"/>
              <w:adjustRightInd w:val="false"/>
              <w:spacing w:after="0" w:lineRule="atLeast" w:line="320"/>
              <w:ind w:left="60" w:right="60"/>
              <w:jc w:val="center"/>
              <w:rPr>
                <w:rFonts w:ascii="Arial" w:cs="Arial" w:hAnsi="Arial"/>
                <w:color w:val="264a60"/>
                <w:kern w:val="0"/>
                <w:sz w:val="18"/>
                <w:szCs w:val="18"/>
              </w:rPr>
            </w:pPr>
            <w:r>
              <w:rPr>
                <w:rFonts w:ascii="Arial" w:cs="Arial" w:hAnsi="Arial"/>
                <w:color w:val="264a60"/>
                <w:kern w:val="0"/>
                <w:sz w:val="18"/>
                <w:szCs w:val="18"/>
              </w:rPr>
              <w:t>Unstandardized Coefficients</w:t>
            </w:r>
          </w:p>
        </w:tc>
        <w:tc>
          <w:tcPr>
            <w:tcW w:w="1970" w:type="dxa"/>
            <w:tcBorders>
              <w:top w:val="nil"/>
              <w:left w:val="single" w:sz="8" w:space="0" w:color="e0e0e0"/>
              <w:bottom w:val="nil"/>
              <w:right w:val="single" w:sz="8" w:space="0" w:color="e0e0e0"/>
            </w:tcBorders>
            <w:shd w:val="clear" w:color="auto" w:fill="ffffff"/>
          </w:tcPr>
          <w:p>
            <w:pPr>
              <w:pStyle w:val="style0"/>
              <w:autoSpaceDE w:val="false"/>
              <w:autoSpaceDN w:val="false"/>
              <w:adjustRightInd w:val="false"/>
              <w:spacing w:after="0" w:lineRule="atLeast" w:line="320"/>
              <w:ind w:left="60" w:right="60"/>
              <w:jc w:val="center"/>
              <w:rPr>
                <w:rFonts w:ascii="Arial" w:cs="Arial" w:hAnsi="Arial"/>
                <w:color w:val="264a60"/>
                <w:kern w:val="0"/>
                <w:sz w:val="18"/>
                <w:szCs w:val="18"/>
              </w:rPr>
            </w:pPr>
            <w:r>
              <w:rPr>
                <w:rFonts w:ascii="Arial" w:cs="Arial" w:hAnsi="Arial"/>
                <w:color w:val="264a60"/>
                <w:kern w:val="0"/>
                <w:sz w:val="18"/>
                <w:szCs w:val="18"/>
              </w:rPr>
              <w:t>Standardized Coefficients</w:t>
            </w:r>
          </w:p>
        </w:tc>
        <w:tc>
          <w:tcPr>
            <w:tcW w:w="1369" w:type="dxa"/>
            <w:vMerge w:val="restart"/>
            <w:tcBorders>
              <w:top w:val="nil"/>
              <w:left w:val="single" w:sz="8" w:space="0" w:color="e0e0e0"/>
              <w:bottom w:val="nil"/>
              <w:right w:val="single" w:sz="8" w:space="0" w:color="e0e0e0"/>
            </w:tcBorders>
            <w:shd w:val="clear" w:color="auto" w:fill="ffffff"/>
          </w:tcPr>
          <w:p>
            <w:pPr>
              <w:pStyle w:val="style0"/>
              <w:autoSpaceDE w:val="false"/>
              <w:autoSpaceDN w:val="false"/>
              <w:adjustRightInd w:val="false"/>
              <w:spacing w:after="0" w:lineRule="atLeast" w:line="320"/>
              <w:ind w:left="60" w:right="60"/>
              <w:jc w:val="center"/>
              <w:rPr>
                <w:rFonts w:ascii="Arial" w:cs="Arial" w:hAnsi="Arial"/>
                <w:color w:val="264a60"/>
                <w:kern w:val="0"/>
                <w:sz w:val="18"/>
                <w:szCs w:val="18"/>
              </w:rPr>
            </w:pPr>
            <w:r>
              <w:rPr>
                <w:rFonts w:ascii="Arial" w:cs="Arial" w:hAnsi="Arial"/>
                <w:color w:val="264a60"/>
                <w:kern w:val="0"/>
                <w:sz w:val="18"/>
                <w:szCs w:val="18"/>
              </w:rPr>
              <w:t>t</w:t>
            </w:r>
          </w:p>
        </w:tc>
        <w:tc>
          <w:tcPr>
            <w:tcW w:w="1369" w:type="dxa"/>
            <w:vMerge w:val="restart"/>
            <w:tcBorders>
              <w:top w:val="nil"/>
              <w:left w:val="single" w:sz="8" w:space="0" w:color="e0e0e0"/>
              <w:bottom w:val="nil"/>
              <w:right w:val="nil"/>
            </w:tcBorders>
            <w:shd w:val="clear" w:color="auto" w:fill="ffffff"/>
          </w:tcPr>
          <w:p>
            <w:pPr>
              <w:pStyle w:val="style0"/>
              <w:autoSpaceDE w:val="false"/>
              <w:autoSpaceDN w:val="false"/>
              <w:adjustRightInd w:val="false"/>
              <w:spacing w:after="0" w:lineRule="atLeast" w:line="320"/>
              <w:ind w:left="60" w:right="60"/>
              <w:jc w:val="center"/>
              <w:rPr>
                <w:rFonts w:ascii="Arial" w:cs="Arial" w:hAnsi="Arial"/>
                <w:color w:val="264a60"/>
                <w:kern w:val="0"/>
                <w:sz w:val="18"/>
                <w:szCs w:val="18"/>
              </w:rPr>
            </w:pPr>
            <w:r>
              <w:rPr>
                <w:rFonts w:ascii="Arial" w:cs="Arial" w:hAnsi="Arial"/>
                <w:color w:val="264a60"/>
                <w:kern w:val="0"/>
                <w:sz w:val="18"/>
                <w:szCs w:val="18"/>
              </w:rPr>
              <w:t>Sig.</w:t>
            </w:r>
          </w:p>
        </w:tc>
      </w:tr>
      <w:tr>
        <w:tblPrEx/>
        <w:trPr>
          <w:cantSplit/>
        </w:trPr>
        <w:tc>
          <w:tcPr>
            <w:tcW w:w="2170" w:type="dxa"/>
            <w:gridSpan w:val="2"/>
            <w:vMerge w:val="continue"/>
            <w:tcBorders>
              <w:top w:val="nil"/>
              <w:left w:val="nil"/>
              <w:bottom w:val="nil"/>
              <w:right w:val="nil"/>
            </w:tcBorders>
            <w:shd w:val="clear" w:color="auto" w:fill="ffffff"/>
          </w:tcPr>
          <w:p>
            <w:pPr>
              <w:pStyle w:val="style0"/>
              <w:autoSpaceDE w:val="false"/>
              <w:autoSpaceDN w:val="false"/>
              <w:adjustRightInd w:val="false"/>
              <w:spacing w:after="0" w:lineRule="auto" w:line="240"/>
              <w:rPr>
                <w:rFonts w:ascii="Arial" w:cs="Arial" w:hAnsi="Arial"/>
                <w:color w:val="264a60"/>
                <w:kern w:val="0"/>
                <w:sz w:val="18"/>
                <w:szCs w:val="18"/>
              </w:rPr>
            </w:pPr>
          </w:p>
        </w:tc>
        <w:tc>
          <w:tcPr>
            <w:tcW w:w="1369" w:type="dxa"/>
            <w:tcBorders>
              <w:top w:val="nil"/>
              <w:left w:val="nil"/>
              <w:bottom w:val="single" w:sz="8" w:space="0" w:color="152935"/>
              <w:right w:val="single" w:sz="8" w:space="0" w:color="e0e0e0"/>
            </w:tcBorders>
            <w:shd w:val="clear" w:color="auto" w:fill="ffffff"/>
          </w:tcPr>
          <w:p>
            <w:pPr>
              <w:pStyle w:val="style0"/>
              <w:autoSpaceDE w:val="false"/>
              <w:autoSpaceDN w:val="false"/>
              <w:adjustRightInd w:val="false"/>
              <w:spacing w:after="0" w:lineRule="atLeast" w:line="320"/>
              <w:ind w:left="60" w:right="60"/>
              <w:jc w:val="center"/>
              <w:rPr>
                <w:rFonts w:ascii="Arial" w:cs="Arial" w:hAnsi="Arial"/>
                <w:color w:val="264a60"/>
                <w:kern w:val="0"/>
                <w:sz w:val="18"/>
                <w:szCs w:val="18"/>
              </w:rPr>
            </w:pPr>
            <w:r>
              <w:rPr>
                <w:rFonts w:ascii="Arial" w:cs="Arial" w:hAnsi="Arial"/>
                <w:color w:val="264a60"/>
                <w:kern w:val="0"/>
                <w:sz w:val="18"/>
                <w:szCs w:val="18"/>
              </w:rPr>
              <w:t>B</w:t>
            </w:r>
          </w:p>
        </w:tc>
        <w:tc>
          <w:tcPr>
            <w:tcW w:w="1369" w:type="dxa"/>
            <w:tcBorders>
              <w:top w:val="nil"/>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tLeast" w:line="320"/>
              <w:ind w:left="60" w:right="60"/>
              <w:jc w:val="center"/>
              <w:rPr>
                <w:rFonts w:ascii="Arial" w:cs="Arial" w:hAnsi="Arial"/>
                <w:color w:val="264a60"/>
                <w:kern w:val="0"/>
                <w:sz w:val="18"/>
                <w:szCs w:val="18"/>
              </w:rPr>
            </w:pPr>
            <w:r>
              <w:rPr>
                <w:rFonts w:ascii="Arial" w:cs="Arial" w:hAnsi="Arial"/>
                <w:color w:val="264a60"/>
                <w:kern w:val="0"/>
                <w:sz w:val="18"/>
                <w:szCs w:val="18"/>
              </w:rPr>
              <w:t>Std. Error</w:t>
            </w:r>
          </w:p>
        </w:tc>
        <w:tc>
          <w:tcPr>
            <w:tcW w:w="1970" w:type="dxa"/>
            <w:tcBorders>
              <w:top w:val="nil"/>
              <w:left w:val="single" w:sz="8" w:space="0" w:color="e0e0e0"/>
              <w:bottom w:val="single" w:sz="8" w:space="0" w:color="152935"/>
              <w:right w:val="single" w:sz="8" w:space="0" w:color="e0e0e0"/>
            </w:tcBorders>
            <w:shd w:val="clear" w:color="auto" w:fill="ffffff"/>
          </w:tcPr>
          <w:p>
            <w:pPr>
              <w:pStyle w:val="style0"/>
              <w:autoSpaceDE w:val="false"/>
              <w:autoSpaceDN w:val="false"/>
              <w:adjustRightInd w:val="false"/>
              <w:spacing w:after="0" w:lineRule="atLeast" w:line="320"/>
              <w:ind w:left="60" w:right="60"/>
              <w:jc w:val="center"/>
              <w:rPr>
                <w:rFonts w:ascii="Arial" w:cs="Arial" w:hAnsi="Arial"/>
                <w:color w:val="264a60"/>
                <w:kern w:val="0"/>
                <w:sz w:val="18"/>
                <w:szCs w:val="18"/>
              </w:rPr>
            </w:pPr>
            <w:r>
              <w:rPr>
                <w:rFonts w:ascii="Arial" w:cs="Arial" w:hAnsi="Arial"/>
                <w:color w:val="264a60"/>
                <w:kern w:val="0"/>
                <w:sz w:val="18"/>
                <w:szCs w:val="18"/>
              </w:rPr>
              <w:t>Beta</w:t>
            </w:r>
          </w:p>
        </w:tc>
        <w:tc>
          <w:tcPr>
            <w:tcW w:w="1369" w:type="dxa"/>
            <w:vMerge w:val="continue"/>
            <w:tcBorders>
              <w:top w:val="nil"/>
              <w:left w:val="single" w:sz="8" w:space="0" w:color="e0e0e0"/>
              <w:bottom w:val="nil"/>
              <w:right w:val="single" w:sz="8" w:space="0" w:color="e0e0e0"/>
            </w:tcBorders>
            <w:shd w:val="clear" w:color="auto" w:fill="ffffff"/>
          </w:tcPr>
          <w:p>
            <w:pPr>
              <w:pStyle w:val="style0"/>
              <w:autoSpaceDE w:val="false"/>
              <w:autoSpaceDN w:val="false"/>
              <w:adjustRightInd w:val="false"/>
              <w:spacing w:after="0" w:lineRule="auto" w:line="240"/>
              <w:rPr>
                <w:rFonts w:ascii="Arial" w:cs="Arial" w:hAnsi="Arial"/>
                <w:color w:val="264a60"/>
                <w:kern w:val="0"/>
                <w:sz w:val="18"/>
                <w:szCs w:val="18"/>
              </w:rPr>
            </w:pPr>
          </w:p>
        </w:tc>
        <w:tc>
          <w:tcPr>
            <w:tcW w:w="1369" w:type="dxa"/>
            <w:vMerge w:val="continue"/>
            <w:tcBorders>
              <w:top w:val="nil"/>
              <w:left w:val="single" w:sz="8" w:space="0" w:color="e0e0e0"/>
              <w:bottom w:val="nil"/>
              <w:right w:val="nil"/>
            </w:tcBorders>
            <w:shd w:val="clear" w:color="auto" w:fill="ffffff"/>
          </w:tcPr>
          <w:p>
            <w:pPr>
              <w:pStyle w:val="style0"/>
              <w:autoSpaceDE w:val="false"/>
              <w:autoSpaceDN w:val="false"/>
              <w:adjustRightInd w:val="false"/>
              <w:spacing w:after="0" w:lineRule="auto" w:line="240"/>
              <w:rPr>
                <w:rFonts w:ascii="Arial" w:cs="Arial" w:hAnsi="Arial"/>
                <w:color w:val="264a60"/>
                <w:kern w:val="0"/>
                <w:sz w:val="18"/>
                <w:szCs w:val="18"/>
              </w:rPr>
            </w:pPr>
          </w:p>
        </w:tc>
      </w:tr>
      <w:tr>
        <w:tblPrEx/>
        <w:trPr>
          <w:cantSplit/>
        </w:trPr>
        <w:tc>
          <w:tcPr>
            <w:tcW w:w="985" w:type="dxa"/>
            <w:vMerge w:val="restart"/>
            <w:tcBorders>
              <w:top w:val="single" w:sz="8" w:space="0" w:color="152935"/>
              <w:left w:val="nil"/>
              <w:bottom w:val="single" w:sz="8" w:space="0" w:color="152935"/>
              <w:right w:val="nil"/>
            </w:tcBorders>
            <w:shd w:val="clear" w:color="auto" w:fill="e0e0e0"/>
            <w:vAlign w:val="center"/>
          </w:tcPr>
          <w:p>
            <w:pPr>
              <w:pStyle w:val="style0"/>
              <w:autoSpaceDE w:val="false"/>
              <w:autoSpaceDN w:val="false"/>
              <w:adjustRightInd w:val="false"/>
              <w:spacing w:after="0" w:lineRule="atLeast" w:line="320"/>
              <w:ind w:left="60" w:right="60"/>
              <w:rPr>
                <w:rFonts w:ascii="Arial" w:cs="Arial" w:hAnsi="Arial"/>
                <w:color w:val="264a60"/>
                <w:kern w:val="0"/>
                <w:sz w:val="18"/>
                <w:szCs w:val="18"/>
              </w:rPr>
            </w:pPr>
            <w:r>
              <w:rPr>
                <w:rFonts w:ascii="Arial" w:cs="Arial" w:hAnsi="Arial"/>
                <w:color w:val="264a60"/>
                <w:kern w:val="0"/>
                <w:sz w:val="18"/>
                <w:szCs w:val="18"/>
              </w:rPr>
              <w:t>1</w:t>
            </w:r>
          </w:p>
        </w:tc>
        <w:tc>
          <w:tcPr>
            <w:tcW w:w="1185" w:type="dxa"/>
            <w:tcBorders>
              <w:top w:val="single" w:sz="8" w:space="0" w:color="152935"/>
              <w:left w:val="nil"/>
              <w:bottom w:val="single" w:sz="8" w:space="0" w:color="aeaeae"/>
              <w:right w:val="nil"/>
            </w:tcBorders>
            <w:shd w:val="clear" w:color="auto" w:fill="e0e0e0"/>
            <w:vAlign w:val="center"/>
          </w:tcPr>
          <w:p>
            <w:pPr>
              <w:pStyle w:val="style0"/>
              <w:autoSpaceDE w:val="false"/>
              <w:autoSpaceDN w:val="false"/>
              <w:adjustRightInd w:val="false"/>
              <w:spacing w:after="0" w:lineRule="atLeast" w:line="320"/>
              <w:ind w:left="60" w:right="60"/>
              <w:rPr>
                <w:rFonts w:ascii="Arial" w:cs="Arial" w:hAnsi="Arial"/>
                <w:color w:val="264a60"/>
                <w:kern w:val="0"/>
                <w:sz w:val="18"/>
                <w:szCs w:val="18"/>
              </w:rPr>
            </w:pPr>
            <w:r>
              <w:rPr>
                <w:rFonts w:ascii="Arial" w:cs="Arial" w:hAnsi="Arial"/>
                <w:color w:val="264a60"/>
                <w:kern w:val="0"/>
                <w:sz w:val="18"/>
                <w:szCs w:val="18"/>
              </w:rPr>
              <w:t>(Constant)</w:t>
            </w:r>
          </w:p>
        </w:tc>
        <w:tc>
          <w:tcPr>
            <w:tcW w:w="1369" w:type="dxa"/>
            <w:tcBorders>
              <w:top w:val="single" w:sz="8" w:space="0" w:color="152935"/>
              <w:left w:val="nil"/>
              <w:bottom w:val="single" w:sz="8" w:space="0" w:color="aeaeae"/>
              <w:right w:val="single" w:sz="8" w:space="0" w:color="e0e0e0"/>
            </w:tcBorders>
            <w:shd w:val="clear" w:color="auto" w:fill="f9f9fb"/>
            <w:vAlign w:val="center"/>
          </w:tcPr>
          <w:p>
            <w:pPr>
              <w:pStyle w:val="style0"/>
              <w:autoSpaceDE w:val="false"/>
              <w:autoSpaceDN w:val="false"/>
              <w:adjustRightInd w:val="false"/>
              <w:spacing w:after="0" w:lineRule="atLeast" w:line="320"/>
              <w:ind w:left="60" w:right="60"/>
              <w:jc w:val="right"/>
              <w:rPr>
                <w:rFonts w:ascii="Arial" w:cs="Arial" w:hAnsi="Arial"/>
                <w:color w:val="010205"/>
                <w:kern w:val="0"/>
                <w:sz w:val="18"/>
                <w:szCs w:val="18"/>
              </w:rPr>
            </w:pPr>
            <w:r>
              <w:rPr>
                <w:rFonts w:ascii="Arial" w:cs="Arial" w:hAnsi="Arial"/>
                <w:color w:val="010205"/>
                <w:kern w:val="0"/>
                <w:sz w:val="18"/>
                <w:szCs w:val="18"/>
              </w:rPr>
              <w:t>-1.234</w:t>
            </w:r>
          </w:p>
        </w:tc>
        <w:tc>
          <w:tcPr>
            <w:tcW w:w="1369" w:type="dxa"/>
            <w:tcBorders>
              <w:top w:val="single" w:sz="8" w:space="0" w:color="152935"/>
              <w:left w:val="single" w:sz="8" w:space="0" w:color="e0e0e0"/>
              <w:bottom w:val="single" w:sz="8" w:space="0" w:color="aeaeae"/>
              <w:right w:val="single" w:sz="8" w:space="0" w:color="e0e0e0"/>
            </w:tcBorders>
            <w:shd w:val="clear" w:color="auto" w:fill="f9f9fb"/>
            <w:vAlign w:val="center"/>
          </w:tcPr>
          <w:p>
            <w:pPr>
              <w:pStyle w:val="style0"/>
              <w:autoSpaceDE w:val="false"/>
              <w:autoSpaceDN w:val="false"/>
              <w:adjustRightInd w:val="false"/>
              <w:spacing w:after="0" w:lineRule="atLeast" w:line="320"/>
              <w:ind w:left="60" w:right="60"/>
              <w:jc w:val="right"/>
              <w:rPr>
                <w:rFonts w:ascii="Arial" w:cs="Arial" w:hAnsi="Arial"/>
                <w:color w:val="010205"/>
                <w:kern w:val="0"/>
                <w:sz w:val="18"/>
                <w:szCs w:val="18"/>
              </w:rPr>
            </w:pPr>
            <w:r>
              <w:rPr>
                <w:rFonts w:ascii="Arial" w:cs="Arial" w:hAnsi="Arial"/>
                <w:color w:val="010205"/>
                <w:kern w:val="0"/>
                <w:sz w:val="18"/>
                <w:szCs w:val="18"/>
              </w:rPr>
              <w:t>.922</w:t>
            </w:r>
          </w:p>
        </w:tc>
        <w:tc>
          <w:tcPr>
            <w:tcW w:w="1970" w:type="dxa"/>
            <w:tcBorders>
              <w:top w:val="single" w:sz="8" w:space="0" w:color="152935"/>
              <w:left w:val="single" w:sz="8" w:space="0" w:color="e0e0e0"/>
              <w:bottom w:val="single" w:sz="8" w:space="0" w:color="aeaeae"/>
              <w:right w:val="single" w:sz="8" w:space="0" w:color="e0e0e0"/>
            </w:tcBorders>
            <w:shd w:val="clear" w:color="auto" w:fill="ffffff"/>
          </w:tcPr>
          <w:p>
            <w:pPr>
              <w:pStyle w:val="style0"/>
              <w:autoSpaceDE w:val="false"/>
              <w:autoSpaceDN w:val="false"/>
              <w:adjustRightInd w:val="false"/>
              <w:spacing w:after="0" w:lineRule="auto" w:line="240"/>
              <w:rPr>
                <w:rFonts w:ascii="Times New Roman" w:cs="Times New Roman" w:hAnsi="Times New Roman"/>
                <w:kern w:val="0"/>
                <w:sz w:val="24"/>
                <w:szCs w:val="24"/>
              </w:rPr>
            </w:pPr>
          </w:p>
        </w:tc>
        <w:tc>
          <w:tcPr>
            <w:tcW w:w="1369" w:type="dxa"/>
            <w:tcBorders>
              <w:top w:val="single" w:sz="8" w:space="0" w:color="152935"/>
              <w:left w:val="single" w:sz="8" w:space="0" w:color="e0e0e0"/>
              <w:bottom w:val="single" w:sz="8" w:space="0" w:color="aeaeae"/>
              <w:right w:val="single" w:sz="8" w:space="0" w:color="e0e0e0"/>
            </w:tcBorders>
            <w:shd w:val="clear" w:color="auto" w:fill="f9f9fb"/>
            <w:vAlign w:val="center"/>
          </w:tcPr>
          <w:p>
            <w:pPr>
              <w:pStyle w:val="style0"/>
              <w:autoSpaceDE w:val="false"/>
              <w:autoSpaceDN w:val="false"/>
              <w:adjustRightInd w:val="false"/>
              <w:spacing w:after="0" w:lineRule="atLeast" w:line="320"/>
              <w:ind w:left="60" w:right="60"/>
              <w:jc w:val="right"/>
              <w:rPr>
                <w:rFonts w:ascii="Arial" w:cs="Arial" w:hAnsi="Arial"/>
                <w:color w:val="010205"/>
                <w:kern w:val="0"/>
                <w:sz w:val="18"/>
                <w:szCs w:val="18"/>
              </w:rPr>
            </w:pPr>
            <w:r>
              <w:rPr>
                <w:rFonts w:ascii="Arial" w:cs="Arial" w:hAnsi="Arial"/>
                <w:color w:val="010205"/>
                <w:kern w:val="0"/>
                <w:sz w:val="18"/>
                <w:szCs w:val="18"/>
              </w:rPr>
              <w:t>-1.339</w:t>
            </w:r>
          </w:p>
        </w:tc>
        <w:tc>
          <w:tcPr>
            <w:tcW w:w="1369" w:type="dxa"/>
            <w:tcBorders>
              <w:top w:val="single" w:sz="8" w:space="0" w:color="152935"/>
              <w:left w:val="single" w:sz="8" w:space="0" w:color="e0e0e0"/>
              <w:bottom w:val="single" w:sz="8" w:space="0" w:color="aeaeae"/>
              <w:right w:val="nil"/>
            </w:tcBorders>
            <w:shd w:val="clear" w:color="auto" w:fill="f9f9fb"/>
            <w:vAlign w:val="center"/>
          </w:tcPr>
          <w:p>
            <w:pPr>
              <w:pStyle w:val="style0"/>
              <w:autoSpaceDE w:val="false"/>
              <w:autoSpaceDN w:val="false"/>
              <w:adjustRightInd w:val="false"/>
              <w:spacing w:after="0" w:lineRule="atLeast" w:line="320"/>
              <w:ind w:left="60" w:right="60"/>
              <w:jc w:val="right"/>
              <w:rPr>
                <w:rFonts w:ascii="Arial" w:cs="Arial" w:hAnsi="Arial"/>
                <w:color w:val="010205"/>
                <w:kern w:val="0"/>
                <w:sz w:val="18"/>
                <w:szCs w:val="18"/>
              </w:rPr>
            </w:pPr>
            <w:r>
              <w:rPr>
                <w:rFonts w:ascii="Arial" w:cs="Arial" w:hAnsi="Arial"/>
                <w:color w:val="010205"/>
                <w:kern w:val="0"/>
                <w:sz w:val="18"/>
                <w:szCs w:val="18"/>
              </w:rPr>
              <w:t>.183</w:t>
            </w:r>
          </w:p>
        </w:tc>
      </w:tr>
      <w:tr>
        <w:tblPrEx/>
        <w:trPr>
          <w:cantSplit/>
        </w:trPr>
        <w:tc>
          <w:tcPr>
            <w:tcW w:w="985" w:type="dxa"/>
            <w:vMerge w:val="continue"/>
            <w:tcBorders>
              <w:top w:val="single" w:sz="8" w:space="0" w:color="152935"/>
              <w:left w:val="nil"/>
              <w:bottom w:val="single" w:sz="8" w:space="0" w:color="152935"/>
              <w:right w:val="nil"/>
            </w:tcBorders>
            <w:shd w:val="clear" w:color="auto" w:fill="e0e0e0"/>
            <w:vAlign w:val="center"/>
          </w:tcPr>
          <w:p>
            <w:pPr>
              <w:pStyle w:val="style0"/>
              <w:autoSpaceDE w:val="false"/>
              <w:autoSpaceDN w:val="false"/>
              <w:adjustRightInd w:val="false"/>
              <w:spacing w:after="0" w:lineRule="auto" w:line="240"/>
              <w:rPr>
                <w:rFonts w:ascii="Arial" w:cs="Arial" w:hAnsi="Arial"/>
                <w:color w:val="010205"/>
                <w:kern w:val="0"/>
                <w:sz w:val="18"/>
                <w:szCs w:val="18"/>
              </w:rPr>
            </w:pPr>
          </w:p>
        </w:tc>
        <w:tc>
          <w:tcPr>
            <w:tcW w:w="1185" w:type="dxa"/>
            <w:tcBorders>
              <w:top w:val="single" w:sz="8" w:space="0" w:color="aeaeae"/>
              <w:left w:val="nil"/>
              <w:bottom w:val="single" w:sz="8" w:space="0" w:color="aeaeae"/>
              <w:right w:val="nil"/>
            </w:tcBorders>
            <w:shd w:val="clear" w:color="auto" w:fill="e0e0e0"/>
            <w:vAlign w:val="center"/>
          </w:tcPr>
          <w:p>
            <w:pPr>
              <w:pStyle w:val="style0"/>
              <w:autoSpaceDE w:val="false"/>
              <w:autoSpaceDN w:val="false"/>
              <w:adjustRightInd w:val="false"/>
              <w:spacing w:after="0" w:lineRule="atLeast" w:line="320"/>
              <w:ind w:left="60" w:right="60"/>
              <w:rPr>
                <w:rFonts w:ascii="Arial" w:cs="Arial" w:hAnsi="Arial"/>
                <w:color w:val="264a60"/>
                <w:kern w:val="0"/>
                <w:sz w:val="18"/>
                <w:szCs w:val="18"/>
              </w:rPr>
            </w:pPr>
            <w:r>
              <w:rPr>
                <w:rFonts w:ascii="Arial" w:cs="Arial" w:hAnsi="Arial"/>
                <w:color w:val="264a60"/>
                <w:kern w:val="0"/>
                <w:sz w:val="18"/>
                <w:szCs w:val="18"/>
              </w:rPr>
              <w:t>EMW</w:t>
            </w:r>
          </w:p>
        </w:tc>
        <w:tc>
          <w:tcPr>
            <w:tcW w:w="1369" w:type="dxa"/>
            <w:tcBorders>
              <w:top w:val="single" w:sz="8" w:space="0" w:color="aeaeae"/>
              <w:left w:val="nil"/>
              <w:bottom w:val="single" w:sz="8" w:space="0" w:color="aeaeae"/>
              <w:right w:val="single" w:sz="8" w:space="0" w:color="e0e0e0"/>
            </w:tcBorders>
            <w:shd w:val="clear" w:color="auto" w:fill="f9f9fb"/>
            <w:vAlign w:val="center"/>
          </w:tcPr>
          <w:p>
            <w:pPr>
              <w:pStyle w:val="style0"/>
              <w:autoSpaceDE w:val="false"/>
              <w:autoSpaceDN w:val="false"/>
              <w:adjustRightInd w:val="false"/>
              <w:spacing w:after="0" w:lineRule="atLeast" w:line="320"/>
              <w:ind w:left="60" w:right="60"/>
              <w:jc w:val="right"/>
              <w:rPr>
                <w:rFonts w:ascii="Arial" w:cs="Arial" w:hAnsi="Arial"/>
                <w:color w:val="010205"/>
                <w:kern w:val="0"/>
                <w:sz w:val="18"/>
                <w:szCs w:val="18"/>
              </w:rPr>
            </w:pPr>
            <w:r>
              <w:rPr>
                <w:rFonts w:ascii="Arial" w:cs="Arial" w:hAnsi="Arial"/>
                <w:color w:val="010205"/>
                <w:kern w:val="0"/>
                <w:sz w:val="18"/>
                <w:szCs w:val="18"/>
              </w:rPr>
              <w:t>.123</w:t>
            </w:r>
          </w:p>
        </w:tc>
        <w:tc>
          <w:tcPr>
            <w:tcW w:w="1369" w:type="dxa"/>
            <w:tcBorders>
              <w:top w:val="single" w:sz="8" w:space="0" w:color="aeaeae"/>
              <w:left w:val="single" w:sz="8" w:space="0" w:color="e0e0e0"/>
              <w:bottom w:val="single" w:sz="8" w:space="0" w:color="aeaeae"/>
              <w:right w:val="single" w:sz="8" w:space="0" w:color="e0e0e0"/>
            </w:tcBorders>
            <w:shd w:val="clear" w:color="auto" w:fill="f9f9fb"/>
            <w:vAlign w:val="center"/>
          </w:tcPr>
          <w:p>
            <w:pPr>
              <w:pStyle w:val="style0"/>
              <w:autoSpaceDE w:val="false"/>
              <w:autoSpaceDN w:val="false"/>
              <w:adjustRightInd w:val="false"/>
              <w:spacing w:after="0" w:lineRule="atLeast" w:line="320"/>
              <w:ind w:left="60" w:right="60"/>
              <w:jc w:val="right"/>
              <w:rPr>
                <w:rFonts w:ascii="Arial" w:cs="Arial" w:hAnsi="Arial"/>
                <w:color w:val="010205"/>
                <w:kern w:val="0"/>
                <w:sz w:val="18"/>
                <w:szCs w:val="18"/>
              </w:rPr>
            </w:pPr>
            <w:r>
              <w:rPr>
                <w:rFonts w:ascii="Arial" w:cs="Arial" w:hAnsi="Arial"/>
                <w:color w:val="010205"/>
                <w:kern w:val="0"/>
                <w:sz w:val="18"/>
                <w:szCs w:val="18"/>
              </w:rPr>
              <w:t>.043</w:t>
            </w:r>
          </w:p>
        </w:tc>
        <w:tc>
          <w:tcPr>
            <w:tcW w:w="1970" w:type="dxa"/>
            <w:tcBorders>
              <w:top w:val="single" w:sz="8" w:space="0" w:color="aeaeae"/>
              <w:left w:val="single" w:sz="8" w:space="0" w:color="e0e0e0"/>
              <w:bottom w:val="single" w:sz="8" w:space="0" w:color="aeaeae"/>
              <w:right w:val="single" w:sz="8" w:space="0" w:color="e0e0e0"/>
            </w:tcBorders>
            <w:shd w:val="clear" w:color="auto" w:fill="f9f9fb"/>
            <w:vAlign w:val="center"/>
          </w:tcPr>
          <w:p>
            <w:pPr>
              <w:pStyle w:val="style0"/>
              <w:autoSpaceDE w:val="false"/>
              <w:autoSpaceDN w:val="false"/>
              <w:adjustRightInd w:val="false"/>
              <w:spacing w:after="0" w:lineRule="atLeast" w:line="320"/>
              <w:ind w:left="60" w:right="60"/>
              <w:jc w:val="right"/>
              <w:rPr>
                <w:rFonts w:ascii="Arial" w:cs="Arial" w:hAnsi="Arial"/>
                <w:color w:val="010205"/>
                <w:kern w:val="0"/>
                <w:sz w:val="18"/>
                <w:szCs w:val="18"/>
              </w:rPr>
            </w:pPr>
            <w:r>
              <w:rPr>
                <w:rFonts w:ascii="Arial" w:cs="Arial" w:hAnsi="Arial"/>
                <w:color w:val="010205"/>
                <w:kern w:val="0"/>
                <w:sz w:val="18"/>
                <w:szCs w:val="18"/>
              </w:rPr>
              <w:t>.270</w:t>
            </w:r>
          </w:p>
        </w:tc>
        <w:tc>
          <w:tcPr>
            <w:tcW w:w="1369" w:type="dxa"/>
            <w:tcBorders>
              <w:top w:val="single" w:sz="8" w:space="0" w:color="aeaeae"/>
              <w:left w:val="single" w:sz="8" w:space="0" w:color="e0e0e0"/>
              <w:bottom w:val="single" w:sz="8" w:space="0" w:color="aeaeae"/>
              <w:right w:val="single" w:sz="8" w:space="0" w:color="e0e0e0"/>
            </w:tcBorders>
            <w:shd w:val="clear" w:color="auto" w:fill="f9f9fb"/>
            <w:vAlign w:val="center"/>
          </w:tcPr>
          <w:p>
            <w:pPr>
              <w:pStyle w:val="style0"/>
              <w:autoSpaceDE w:val="false"/>
              <w:autoSpaceDN w:val="false"/>
              <w:adjustRightInd w:val="false"/>
              <w:spacing w:after="0" w:lineRule="atLeast" w:line="320"/>
              <w:ind w:left="60" w:right="60"/>
              <w:jc w:val="right"/>
              <w:rPr>
                <w:rFonts w:ascii="Arial" w:cs="Arial" w:hAnsi="Arial"/>
                <w:color w:val="010205"/>
                <w:kern w:val="0"/>
                <w:sz w:val="18"/>
                <w:szCs w:val="18"/>
              </w:rPr>
            </w:pPr>
            <w:r>
              <w:rPr>
                <w:rFonts w:ascii="Arial" w:cs="Arial" w:hAnsi="Arial"/>
                <w:color w:val="010205"/>
                <w:kern w:val="0"/>
                <w:sz w:val="18"/>
                <w:szCs w:val="18"/>
              </w:rPr>
              <w:t>2.876</w:t>
            </w:r>
          </w:p>
        </w:tc>
        <w:tc>
          <w:tcPr>
            <w:tcW w:w="1369" w:type="dxa"/>
            <w:tcBorders>
              <w:top w:val="single" w:sz="8" w:space="0" w:color="aeaeae"/>
              <w:left w:val="single" w:sz="8" w:space="0" w:color="e0e0e0"/>
              <w:bottom w:val="single" w:sz="8" w:space="0" w:color="aeaeae"/>
              <w:right w:val="nil"/>
            </w:tcBorders>
            <w:shd w:val="clear" w:color="auto" w:fill="f9f9fb"/>
            <w:vAlign w:val="center"/>
          </w:tcPr>
          <w:p>
            <w:pPr>
              <w:pStyle w:val="style0"/>
              <w:autoSpaceDE w:val="false"/>
              <w:autoSpaceDN w:val="false"/>
              <w:adjustRightInd w:val="false"/>
              <w:spacing w:after="0" w:lineRule="atLeast" w:line="320"/>
              <w:ind w:left="60" w:right="60"/>
              <w:jc w:val="right"/>
              <w:rPr>
                <w:rFonts w:ascii="Arial" w:cs="Arial" w:hAnsi="Arial"/>
                <w:color w:val="010205"/>
                <w:kern w:val="0"/>
                <w:sz w:val="18"/>
                <w:szCs w:val="18"/>
              </w:rPr>
            </w:pPr>
            <w:r>
              <w:rPr>
                <w:rFonts w:ascii="Arial" w:cs="Arial" w:hAnsi="Arial"/>
                <w:color w:val="010205"/>
                <w:kern w:val="0"/>
                <w:sz w:val="18"/>
                <w:szCs w:val="18"/>
              </w:rPr>
              <w:t>.005</w:t>
            </w:r>
          </w:p>
        </w:tc>
      </w:tr>
      <w:tr>
        <w:tblPrEx/>
        <w:trPr>
          <w:cantSplit/>
        </w:trPr>
        <w:tc>
          <w:tcPr>
            <w:tcW w:w="985" w:type="dxa"/>
            <w:vMerge w:val="continue"/>
            <w:tcBorders>
              <w:top w:val="single" w:sz="8" w:space="0" w:color="152935"/>
              <w:left w:val="nil"/>
              <w:bottom w:val="single" w:sz="8" w:space="0" w:color="152935"/>
              <w:right w:val="nil"/>
            </w:tcBorders>
            <w:shd w:val="clear" w:color="auto" w:fill="e0e0e0"/>
            <w:vAlign w:val="center"/>
          </w:tcPr>
          <w:p>
            <w:pPr>
              <w:pStyle w:val="style0"/>
              <w:autoSpaceDE w:val="false"/>
              <w:autoSpaceDN w:val="false"/>
              <w:adjustRightInd w:val="false"/>
              <w:spacing w:after="0" w:lineRule="auto" w:line="240"/>
              <w:rPr>
                <w:rFonts w:ascii="Arial" w:cs="Arial" w:hAnsi="Arial"/>
                <w:color w:val="010205"/>
                <w:kern w:val="0"/>
                <w:sz w:val="18"/>
                <w:szCs w:val="18"/>
              </w:rPr>
            </w:pPr>
          </w:p>
        </w:tc>
        <w:tc>
          <w:tcPr>
            <w:tcW w:w="1185" w:type="dxa"/>
            <w:tcBorders>
              <w:top w:val="single" w:sz="8" w:space="0" w:color="aeaeae"/>
              <w:left w:val="nil"/>
              <w:bottom w:val="single" w:sz="8" w:space="0" w:color="152935"/>
              <w:right w:val="nil"/>
            </w:tcBorders>
            <w:shd w:val="clear" w:color="auto" w:fill="e0e0e0"/>
            <w:vAlign w:val="center"/>
          </w:tcPr>
          <w:p>
            <w:pPr>
              <w:pStyle w:val="style0"/>
              <w:autoSpaceDE w:val="false"/>
              <w:autoSpaceDN w:val="false"/>
              <w:adjustRightInd w:val="false"/>
              <w:spacing w:after="0" w:lineRule="atLeast" w:line="320"/>
              <w:ind w:left="60" w:right="60"/>
              <w:rPr>
                <w:rFonts w:ascii="Arial" w:cs="Arial" w:hAnsi="Arial"/>
                <w:color w:val="264a60"/>
                <w:kern w:val="0"/>
                <w:sz w:val="18"/>
                <w:szCs w:val="18"/>
              </w:rPr>
            </w:pPr>
            <w:r>
              <w:rPr>
                <w:rFonts w:ascii="Arial" w:cs="Arial" w:hAnsi="Arial"/>
                <w:color w:val="264a60"/>
                <w:kern w:val="0"/>
                <w:sz w:val="18"/>
                <w:szCs w:val="18"/>
              </w:rPr>
              <w:t>WE</w:t>
            </w:r>
          </w:p>
        </w:tc>
        <w:tc>
          <w:tcPr>
            <w:tcW w:w="1369" w:type="dxa"/>
            <w:tcBorders>
              <w:top w:val="single" w:sz="8" w:space="0" w:color="aeaeae"/>
              <w:left w:val="nil"/>
              <w:bottom w:val="single" w:sz="8" w:space="0" w:color="152935"/>
              <w:right w:val="single" w:sz="8" w:space="0" w:color="e0e0e0"/>
            </w:tcBorders>
            <w:shd w:val="clear" w:color="auto" w:fill="f9f9fb"/>
            <w:vAlign w:val="center"/>
          </w:tcPr>
          <w:p>
            <w:pPr>
              <w:pStyle w:val="style0"/>
              <w:autoSpaceDE w:val="false"/>
              <w:autoSpaceDN w:val="false"/>
              <w:adjustRightInd w:val="false"/>
              <w:spacing w:after="0" w:lineRule="atLeast" w:line="320"/>
              <w:ind w:left="60" w:right="60"/>
              <w:jc w:val="right"/>
              <w:rPr>
                <w:rFonts w:ascii="Arial" w:cs="Arial" w:hAnsi="Arial"/>
                <w:color w:val="010205"/>
                <w:kern w:val="0"/>
                <w:sz w:val="18"/>
                <w:szCs w:val="18"/>
              </w:rPr>
            </w:pPr>
            <w:r>
              <w:rPr>
                <w:rFonts w:ascii="Arial" w:cs="Arial" w:hAnsi="Arial"/>
                <w:color w:val="010205"/>
                <w:kern w:val="0"/>
                <w:sz w:val="18"/>
                <w:szCs w:val="18"/>
              </w:rPr>
              <w:t>.462</w:t>
            </w:r>
          </w:p>
        </w:tc>
        <w:tc>
          <w:tcPr>
            <w:tcW w:w="1369" w:type="dxa"/>
            <w:tcBorders>
              <w:top w:val="single" w:sz="8" w:space="0" w:color="aeaeae"/>
              <w:left w:val="single" w:sz="8" w:space="0" w:color="e0e0e0"/>
              <w:bottom w:val="single" w:sz="8" w:space="0" w:color="152935"/>
              <w:right w:val="single" w:sz="8" w:space="0" w:color="e0e0e0"/>
            </w:tcBorders>
            <w:shd w:val="clear" w:color="auto" w:fill="f9f9fb"/>
            <w:vAlign w:val="center"/>
          </w:tcPr>
          <w:p>
            <w:pPr>
              <w:pStyle w:val="style0"/>
              <w:autoSpaceDE w:val="false"/>
              <w:autoSpaceDN w:val="false"/>
              <w:adjustRightInd w:val="false"/>
              <w:spacing w:after="0" w:lineRule="atLeast" w:line="320"/>
              <w:ind w:left="60" w:right="60"/>
              <w:jc w:val="right"/>
              <w:rPr>
                <w:rFonts w:ascii="Arial" w:cs="Arial" w:hAnsi="Arial"/>
                <w:color w:val="010205"/>
                <w:kern w:val="0"/>
                <w:sz w:val="18"/>
                <w:szCs w:val="18"/>
              </w:rPr>
            </w:pPr>
            <w:r>
              <w:rPr>
                <w:rFonts w:ascii="Arial" w:cs="Arial" w:hAnsi="Arial"/>
                <w:color w:val="010205"/>
                <w:kern w:val="0"/>
                <w:sz w:val="18"/>
                <w:szCs w:val="18"/>
              </w:rPr>
              <w:t>.068</w:t>
            </w:r>
          </w:p>
        </w:tc>
        <w:tc>
          <w:tcPr>
            <w:tcW w:w="1970" w:type="dxa"/>
            <w:tcBorders>
              <w:top w:val="single" w:sz="8" w:space="0" w:color="aeaeae"/>
              <w:left w:val="single" w:sz="8" w:space="0" w:color="e0e0e0"/>
              <w:bottom w:val="single" w:sz="8" w:space="0" w:color="152935"/>
              <w:right w:val="single" w:sz="8" w:space="0" w:color="e0e0e0"/>
            </w:tcBorders>
            <w:shd w:val="clear" w:color="auto" w:fill="f9f9fb"/>
            <w:vAlign w:val="center"/>
          </w:tcPr>
          <w:p>
            <w:pPr>
              <w:pStyle w:val="style0"/>
              <w:autoSpaceDE w:val="false"/>
              <w:autoSpaceDN w:val="false"/>
              <w:adjustRightInd w:val="false"/>
              <w:spacing w:after="0" w:lineRule="atLeast" w:line="320"/>
              <w:ind w:left="60" w:right="60"/>
              <w:jc w:val="right"/>
              <w:rPr>
                <w:rFonts w:ascii="Arial" w:cs="Arial" w:hAnsi="Arial"/>
                <w:color w:val="010205"/>
                <w:kern w:val="0"/>
                <w:sz w:val="18"/>
                <w:szCs w:val="18"/>
              </w:rPr>
            </w:pPr>
            <w:r>
              <w:rPr>
                <w:rFonts w:ascii="Arial" w:cs="Arial" w:hAnsi="Arial"/>
                <w:color w:val="010205"/>
                <w:kern w:val="0"/>
                <w:sz w:val="18"/>
                <w:szCs w:val="18"/>
              </w:rPr>
              <w:t>.641</w:t>
            </w:r>
          </w:p>
        </w:tc>
        <w:tc>
          <w:tcPr>
            <w:tcW w:w="1369" w:type="dxa"/>
            <w:tcBorders>
              <w:top w:val="single" w:sz="8" w:space="0" w:color="aeaeae"/>
              <w:left w:val="single" w:sz="8" w:space="0" w:color="e0e0e0"/>
              <w:bottom w:val="single" w:sz="8" w:space="0" w:color="152935"/>
              <w:right w:val="single" w:sz="8" w:space="0" w:color="e0e0e0"/>
            </w:tcBorders>
            <w:shd w:val="clear" w:color="auto" w:fill="f9f9fb"/>
            <w:vAlign w:val="center"/>
          </w:tcPr>
          <w:p>
            <w:pPr>
              <w:pStyle w:val="style0"/>
              <w:autoSpaceDE w:val="false"/>
              <w:autoSpaceDN w:val="false"/>
              <w:adjustRightInd w:val="false"/>
              <w:spacing w:after="0" w:lineRule="atLeast" w:line="320"/>
              <w:ind w:left="60" w:right="60"/>
              <w:jc w:val="right"/>
              <w:rPr>
                <w:rFonts w:ascii="Arial" w:cs="Arial" w:hAnsi="Arial"/>
                <w:color w:val="010205"/>
                <w:kern w:val="0"/>
                <w:sz w:val="18"/>
                <w:szCs w:val="18"/>
              </w:rPr>
            </w:pPr>
            <w:r>
              <w:rPr>
                <w:rFonts w:ascii="Arial" w:cs="Arial" w:hAnsi="Arial"/>
                <w:color w:val="010205"/>
                <w:kern w:val="0"/>
                <w:sz w:val="18"/>
                <w:szCs w:val="18"/>
              </w:rPr>
              <w:t>6.832</w:t>
            </w:r>
          </w:p>
        </w:tc>
        <w:tc>
          <w:tcPr>
            <w:tcW w:w="1369" w:type="dxa"/>
            <w:tcBorders>
              <w:top w:val="single" w:sz="8" w:space="0" w:color="aeaeae"/>
              <w:left w:val="single" w:sz="8" w:space="0" w:color="e0e0e0"/>
              <w:bottom w:val="single" w:sz="8" w:space="0" w:color="152935"/>
              <w:right w:val="nil"/>
            </w:tcBorders>
            <w:shd w:val="clear" w:color="auto" w:fill="f9f9fb"/>
            <w:vAlign w:val="center"/>
          </w:tcPr>
          <w:p>
            <w:pPr>
              <w:pStyle w:val="style0"/>
              <w:autoSpaceDE w:val="false"/>
              <w:autoSpaceDN w:val="false"/>
              <w:adjustRightInd w:val="false"/>
              <w:spacing w:after="0" w:lineRule="atLeast" w:line="320"/>
              <w:ind w:left="60" w:right="60"/>
              <w:jc w:val="right"/>
              <w:rPr>
                <w:rFonts w:ascii="Arial" w:cs="Arial" w:hAnsi="Arial"/>
                <w:color w:val="010205"/>
                <w:kern w:val="0"/>
                <w:sz w:val="18"/>
                <w:szCs w:val="18"/>
              </w:rPr>
            </w:pPr>
            <w:r>
              <w:rPr>
                <w:rFonts w:ascii="Arial" w:cs="Arial" w:hAnsi="Arial"/>
                <w:color w:val="010205"/>
                <w:kern w:val="0"/>
                <w:sz w:val="18"/>
                <w:szCs w:val="18"/>
              </w:rPr>
              <w:t>.000</w:t>
            </w:r>
          </w:p>
        </w:tc>
      </w:tr>
      <w:tr>
        <w:tblPrEx/>
        <w:trPr>
          <w:cantSplit/>
        </w:trPr>
        <w:tc>
          <w:tcPr>
            <w:tcW w:w="9616" w:type="dxa"/>
            <w:gridSpan w:val="7"/>
            <w:tcBorders>
              <w:top w:val="nil"/>
              <w:left w:val="nil"/>
              <w:bottom w:val="nil"/>
              <w:right w:val="nil"/>
            </w:tcBorders>
            <w:shd w:val="clear" w:color="auto" w:fill="ffffff"/>
          </w:tcPr>
          <w:p>
            <w:pPr>
              <w:pStyle w:val="style0"/>
              <w:autoSpaceDE w:val="false"/>
              <w:autoSpaceDN w:val="false"/>
              <w:adjustRightInd w:val="false"/>
              <w:spacing w:after="0" w:lineRule="atLeast" w:line="320"/>
              <w:ind w:left="60" w:right="60"/>
              <w:rPr>
                <w:rFonts w:ascii="Arial" w:cs="Arial" w:hAnsi="Arial"/>
                <w:color w:val="010205"/>
                <w:kern w:val="0"/>
                <w:sz w:val="18"/>
                <w:szCs w:val="18"/>
              </w:rPr>
            </w:pPr>
            <w:r>
              <w:rPr>
                <w:rFonts w:ascii="Arial" w:cs="Arial" w:hAnsi="Arial"/>
                <w:color w:val="010205"/>
                <w:kern w:val="0"/>
                <w:sz w:val="18"/>
                <w:szCs w:val="18"/>
              </w:rPr>
              <w:t>a. Dependent Variable: TP</w:t>
            </w:r>
          </w:p>
        </w:tc>
      </w:tr>
    </w:tbl>
    <w:p>
      <w:pPr>
        <w:pStyle w:val="style0"/>
        <w:spacing w:lineRule="auto" w:line="360"/>
        <w:jc w:val="both"/>
        <w:rPr>
          <w:rFonts w:ascii="Times New Roman" w:cs="Times New Roman" w:hAnsi="Times New Roman"/>
          <w:sz w:val="24"/>
          <w:szCs w:val="24"/>
          <w:lang w:val="en-US"/>
        </w:rPr>
      </w:pPr>
    </w:p>
    <w:p>
      <w:pPr>
        <w:pStyle w:val="style179"/>
        <w:numPr>
          <w:ilvl w:val="0"/>
          <w:numId w:val="0"/>
        </w:numPr>
        <w:spacing w:lineRule="auto" w:line="360"/>
        <w:ind w:left="360" w:firstLine="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6. Discussions</w:t>
      </w: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This study aimed to examine the role of employee mental well being in enhancing work engagement and task performance among public sector employees in the central province of Zambia (chibombo district hospital), using a quantitative design. The second objective was to determine whether employee mental wellbeing and work engagement could predict task performance. The demographic profile indicates that 52.9% of the respondents were male, while 47.1% were female. Most participants were aged between 20 and 29 years (36.1%), followed by those aged 30 to 39 years (27.7%), 40 to </w:t>
      </w:r>
      <w:r>
        <w:rPr>
          <w:rFonts w:ascii="Times New Roman" w:cs="Times New Roman" w:hAnsi="Times New Roman"/>
          <w:sz w:val="24"/>
          <w:szCs w:val="24"/>
        </w:rPr>
        <w:t>49</w:t>
      </w:r>
      <w:r>
        <w:rPr>
          <w:rFonts w:ascii="Times New Roman" w:cs="Times New Roman" w:hAnsi="Times New Roman"/>
          <w:sz w:val="24"/>
          <w:szCs w:val="24"/>
        </w:rPr>
        <w:t xml:space="preserve"> years (2</w:t>
      </w:r>
      <w:r>
        <w:rPr>
          <w:rFonts w:ascii="Times New Roman" w:cs="Times New Roman" w:hAnsi="Times New Roman"/>
          <w:sz w:val="24"/>
          <w:szCs w:val="24"/>
        </w:rPr>
        <w:t>5</w:t>
      </w:r>
      <w:r>
        <w:rPr>
          <w:rFonts w:ascii="Times New Roman" w:cs="Times New Roman" w:hAnsi="Times New Roman"/>
          <w:sz w:val="24"/>
          <w:szCs w:val="24"/>
        </w:rPr>
        <w:t>.2</w:t>
      </w:r>
      <w:r>
        <w:rPr>
          <w:rFonts w:ascii="Times New Roman" w:cs="Times New Roman" w:hAnsi="Times New Roman"/>
          <w:sz w:val="24"/>
          <w:szCs w:val="24"/>
        </w:rPr>
        <w:t>%)</w:t>
      </w:r>
      <w:r>
        <w:rPr>
          <w:rFonts w:ascii="Times New Roman" w:cs="Times New Roman" w:hAnsi="Times New Roman"/>
          <w:sz w:val="24"/>
          <w:szCs w:val="24"/>
        </w:rPr>
        <w:t xml:space="preserve">, and </w:t>
      </w:r>
      <w:r>
        <w:rPr>
          <w:rFonts w:ascii="Times New Roman" w:cs="Times New Roman" w:hAnsi="Times New Roman"/>
          <w:sz w:val="24"/>
          <w:szCs w:val="24"/>
        </w:rPr>
        <w:t>50</w:t>
      </w:r>
      <w:r>
        <w:rPr>
          <w:rFonts w:ascii="Times New Roman" w:cs="Times New Roman" w:hAnsi="Times New Roman"/>
          <w:sz w:val="24"/>
          <w:szCs w:val="24"/>
        </w:rPr>
        <w:t xml:space="preserve"> years and above (</w:t>
      </w:r>
      <w:r>
        <w:rPr>
          <w:rFonts w:ascii="Times New Roman" w:cs="Times New Roman" w:hAnsi="Times New Roman"/>
          <w:sz w:val="24"/>
          <w:szCs w:val="24"/>
        </w:rPr>
        <w:t>10</w:t>
      </w:r>
      <w:r>
        <w:rPr>
          <w:rFonts w:ascii="Times New Roman" w:cs="Times New Roman" w:hAnsi="Times New Roman"/>
          <w:sz w:val="24"/>
          <w:szCs w:val="24"/>
        </w:rPr>
        <w:t>.</w:t>
      </w:r>
      <w:r>
        <w:rPr>
          <w:rFonts w:ascii="Times New Roman" w:cs="Times New Roman" w:hAnsi="Times New Roman"/>
          <w:sz w:val="24"/>
          <w:szCs w:val="24"/>
        </w:rPr>
        <w:t>9%)</w:t>
      </w:r>
      <w:r>
        <w:rPr>
          <w:rFonts w:ascii="Times New Roman" w:cs="Times New Roman" w:hAnsi="Times New Roman"/>
          <w:sz w:val="24"/>
          <w:szCs w:val="24"/>
        </w:rPr>
        <w:t xml:space="preserve">. In terms of academic level, </w:t>
      </w:r>
      <w:r>
        <w:rPr>
          <w:rFonts w:ascii="Times New Roman" w:cs="Times New Roman" w:hAnsi="Times New Roman"/>
          <w:sz w:val="24"/>
          <w:szCs w:val="24"/>
        </w:rPr>
        <w:t>respondents that had bachelor’s degree</w:t>
      </w:r>
      <w:r>
        <w:rPr>
          <w:rFonts w:ascii="Times New Roman" w:cs="Times New Roman" w:hAnsi="Times New Roman"/>
          <w:sz w:val="24"/>
          <w:szCs w:val="24"/>
        </w:rPr>
        <w:t xml:space="preserve"> made up the largest group at </w:t>
      </w:r>
      <w:r>
        <w:rPr>
          <w:rFonts w:ascii="Times New Roman" w:cs="Times New Roman" w:hAnsi="Times New Roman"/>
          <w:sz w:val="24"/>
          <w:szCs w:val="24"/>
        </w:rPr>
        <w:t>44</w:t>
      </w:r>
      <w:r>
        <w:rPr>
          <w:rFonts w:ascii="Times New Roman" w:cs="Times New Roman" w:hAnsi="Times New Roman"/>
          <w:sz w:val="24"/>
          <w:szCs w:val="24"/>
        </w:rPr>
        <w:t>.</w:t>
      </w:r>
      <w:r>
        <w:rPr>
          <w:rFonts w:ascii="Times New Roman" w:cs="Times New Roman" w:hAnsi="Times New Roman"/>
          <w:sz w:val="24"/>
          <w:szCs w:val="24"/>
        </w:rPr>
        <w:t>9</w:t>
      </w:r>
      <w:r>
        <w:rPr>
          <w:rFonts w:ascii="Times New Roman" w:cs="Times New Roman" w:hAnsi="Times New Roman"/>
          <w:sz w:val="24"/>
          <w:szCs w:val="24"/>
        </w:rPr>
        <w:t xml:space="preserve">%, followed closely by </w:t>
      </w:r>
      <w:r>
        <w:rPr>
          <w:rFonts w:ascii="Times New Roman" w:cs="Times New Roman" w:hAnsi="Times New Roman"/>
          <w:sz w:val="24"/>
          <w:szCs w:val="24"/>
        </w:rPr>
        <w:t>those who had diploma</w:t>
      </w:r>
      <w:r>
        <w:rPr>
          <w:rFonts w:ascii="Times New Roman" w:cs="Times New Roman" w:hAnsi="Times New Roman"/>
          <w:sz w:val="24"/>
          <w:szCs w:val="24"/>
        </w:rPr>
        <w:t xml:space="preserve"> (</w:t>
      </w:r>
      <w:r>
        <w:rPr>
          <w:rFonts w:ascii="Times New Roman" w:cs="Times New Roman" w:hAnsi="Times New Roman"/>
          <w:sz w:val="24"/>
          <w:szCs w:val="24"/>
        </w:rPr>
        <w:t>19</w:t>
      </w:r>
      <w:r>
        <w:rPr>
          <w:rFonts w:ascii="Times New Roman" w:cs="Times New Roman" w:hAnsi="Times New Roman"/>
          <w:sz w:val="24"/>
          <w:szCs w:val="24"/>
        </w:rPr>
        <w:t>.</w:t>
      </w:r>
      <w:r>
        <w:rPr>
          <w:rFonts w:ascii="Times New Roman" w:cs="Times New Roman" w:hAnsi="Times New Roman"/>
          <w:sz w:val="24"/>
          <w:szCs w:val="24"/>
        </w:rPr>
        <w:t>5%)</w:t>
      </w:r>
      <w:r>
        <w:rPr>
          <w:rFonts w:ascii="Times New Roman" w:cs="Times New Roman" w:hAnsi="Times New Roman"/>
          <w:sz w:val="24"/>
          <w:szCs w:val="24"/>
        </w:rPr>
        <w:t xml:space="preserve">, </w:t>
      </w:r>
      <w:r>
        <w:rPr>
          <w:rFonts w:ascii="Times New Roman" w:cs="Times New Roman" w:hAnsi="Times New Roman"/>
          <w:sz w:val="24"/>
          <w:szCs w:val="24"/>
        </w:rPr>
        <w:t xml:space="preserve">masters degree </w:t>
      </w:r>
      <w:r>
        <w:rPr>
          <w:rFonts w:ascii="Times New Roman" w:cs="Times New Roman" w:hAnsi="Times New Roman"/>
          <w:sz w:val="24"/>
          <w:szCs w:val="24"/>
        </w:rPr>
        <w:t>(</w:t>
      </w:r>
      <w:r>
        <w:rPr>
          <w:rFonts w:ascii="Times New Roman" w:cs="Times New Roman" w:hAnsi="Times New Roman"/>
          <w:sz w:val="24"/>
          <w:szCs w:val="24"/>
        </w:rPr>
        <w:t>16</w:t>
      </w:r>
      <w:r>
        <w:rPr>
          <w:rFonts w:ascii="Times New Roman" w:cs="Times New Roman" w:hAnsi="Times New Roman"/>
          <w:sz w:val="24"/>
          <w:szCs w:val="24"/>
        </w:rPr>
        <w:t>.</w:t>
      </w:r>
      <w:r>
        <w:rPr>
          <w:rFonts w:ascii="Times New Roman" w:cs="Times New Roman" w:hAnsi="Times New Roman"/>
          <w:sz w:val="24"/>
          <w:szCs w:val="24"/>
        </w:rPr>
        <w:t>9%)</w:t>
      </w:r>
      <w:r>
        <w:rPr>
          <w:rFonts w:ascii="Times New Roman" w:cs="Times New Roman" w:hAnsi="Times New Roman"/>
          <w:sz w:val="24"/>
          <w:szCs w:val="24"/>
        </w:rPr>
        <w:t xml:space="preserve">, </w:t>
      </w:r>
      <w:r>
        <w:rPr>
          <w:rFonts w:ascii="Times New Roman" w:cs="Times New Roman" w:hAnsi="Times New Roman"/>
          <w:sz w:val="24"/>
          <w:szCs w:val="24"/>
        </w:rPr>
        <w:t xml:space="preserve">doctorate </w:t>
      </w:r>
      <w:r>
        <w:rPr>
          <w:rFonts w:ascii="Times New Roman" w:cs="Times New Roman" w:hAnsi="Times New Roman"/>
          <w:sz w:val="24"/>
          <w:szCs w:val="24"/>
        </w:rPr>
        <w:t>(</w:t>
      </w:r>
      <w:r>
        <w:rPr>
          <w:rFonts w:ascii="Times New Roman" w:cs="Times New Roman" w:hAnsi="Times New Roman"/>
          <w:sz w:val="24"/>
          <w:szCs w:val="24"/>
        </w:rPr>
        <w:t>9</w:t>
      </w:r>
      <w:r>
        <w:rPr>
          <w:rFonts w:ascii="Times New Roman" w:cs="Times New Roman" w:hAnsi="Times New Roman"/>
          <w:sz w:val="24"/>
          <w:szCs w:val="24"/>
        </w:rPr>
        <w:t>.</w:t>
      </w:r>
      <w:r>
        <w:rPr>
          <w:rFonts w:ascii="Times New Roman" w:cs="Times New Roman" w:hAnsi="Times New Roman"/>
          <w:sz w:val="24"/>
          <w:szCs w:val="24"/>
        </w:rPr>
        <w:t>3%)</w:t>
      </w:r>
      <w:r>
        <w:rPr>
          <w:rFonts w:ascii="Times New Roman" w:cs="Times New Roman" w:hAnsi="Times New Roman"/>
          <w:sz w:val="24"/>
          <w:szCs w:val="24"/>
        </w:rPr>
        <w:t xml:space="preserve">, and </w:t>
      </w:r>
      <w:r>
        <w:rPr>
          <w:rFonts w:ascii="Times New Roman" w:cs="Times New Roman" w:hAnsi="Times New Roman"/>
          <w:sz w:val="24"/>
          <w:szCs w:val="24"/>
        </w:rPr>
        <w:t>those with other forms of education</w:t>
      </w:r>
      <w:r>
        <w:rPr>
          <w:rFonts w:ascii="Times New Roman" w:cs="Times New Roman" w:hAnsi="Times New Roman"/>
          <w:sz w:val="24"/>
          <w:szCs w:val="24"/>
        </w:rPr>
        <w:t xml:space="preserve"> (</w:t>
      </w:r>
      <w:r>
        <w:rPr>
          <w:rFonts w:ascii="Times New Roman" w:cs="Times New Roman" w:hAnsi="Times New Roman"/>
          <w:sz w:val="24"/>
          <w:szCs w:val="24"/>
        </w:rPr>
        <w:t>9</w:t>
      </w:r>
      <w:r>
        <w:rPr>
          <w:rFonts w:ascii="Times New Roman" w:cs="Times New Roman" w:hAnsi="Times New Roman"/>
          <w:sz w:val="24"/>
          <w:szCs w:val="24"/>
        </w:rPr>
        <w:t>.</w:t>
      </w:r>
      <w:r>
        <w:rPr>
          <w:rFonts w:ascii="Times New Roman" w:cs="Times New Roman" w:hAnsi="Times New Roman"/>
          <w:sz w:val="24"/>
          <w:szCs w:val="24"/>
        </w:rPr>
        <w:t>3%)</w:t>
      </w:r>
      <w:r>
        <w:rPr>
          <w:rFonts w:ascii="Times New Roman" w:cs="Times New Roman" w:hAnsi="Times New Roman"/>
          <w:sz w:val="24"/>
          <w:szCs w:val="24"/>
        </w:rPr>
        <w:t xml:space="preserve">. </w:t>
      </w: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Reliability analysis results demonstrated high levels of internal consistency (α ≥ 0.70) for the four measuring instruments, in line with </w:t>
      </w:r>
      <w:r>
        <w:rPr>
          <w:rFonts w:ascii="Times New Roman" w:cs="Times New Roman" w:hAnsi="Times New Roman"/>
          <w:sz w:val="24"/>
          <w:szCs w:val="24"/>
        </w:rPr>
        <w:t>Dullas</w:t>
      </w:r>
      <w:r>
        <w:rPr>
          <w:rFonts w:ascii="Times New Roman" w:cs="Times New Roman" w:hAnsi="Times New Roman"/>
          <w:sz w:val="24"/>
          <w:szCs w:val="24"/>
        </w:rPr>
        <w:t xml:space="preserve"> (2018), and </w:t>
      </w:r>
      <w:r>
        <w:rPr>
          <w:rFonts w:ascii="Times New Roman" w:cs="Times New Roman" w:hAnsi="Times New Roman"/>
          <w:sz w:val="24"/>
          <w:szCs w:val="24"/>
        </w:rPr>
        <w:t>Darmayanti</w:t>
      </w:r>
      <w:r>
        <w:rPr>
          <w:rFonts w:ascii="Times New Roman" w:cs="Times New Roman" w:hAnsi="Times New Roman"/>
          <w:sz w:val="24"/>
          <w:szCs w:val="24"/>
        </w:rPr>
        <w:t xml:space="preserve"> et al. (2020) reliability standards. Employee mental wellbeing recorded an acceptable Cronbach’s alpha value of 0.92; work engagement scale had a value of 0.90; and task performance </w:t>
      </w:r>
      <w:r>
        <w:rPr>
          <w:rFonts w:ascii="Times New Roman" w:cs="Times New Roman" w:hAnsi="Times New Roman"/>
          <w:sz w:val="24"/>
          <w:szCs w:val="24"/>
        </w:rPr>
        <w:t xml:space="preserve">had </w:t>
      </w:r>
      <w:r>
        <w:rPr>
          <w:rFonts w:ascii="Times New Roman" w:cs="Times New Roman" w:hAnsi="Times New Roman"/>
          <w:sz w:val="24"/>
          <w:szCs w:val="24"/>
        </w:rPr>
        <w:t>strong internal consistency with Cronbach’s alpha values of 0.</w:t>
      </w:r>
      <w:r>
        <w:rPr>
          <w:rFonts w:ascii="Times New Roman" w:cs="Times New Roman" w:hAnsi="Times New Roman"/>
          <w:sz w:val="24"/>
          <w:szCs w:val="24"/>
        </w:rPr>
        <w:t>88</w:t>
      </w:r>
      <w:r>
        <w:rPr>
          <w:rFonts w:ascii="Times New Roman" w:cs="Times New Roman" w:hAnsi="Times New Roman"/>
          <w:sz w:val="24"/>
          <w:szCs w:val="24"/>
        </w:rPr>
        <w:t>. Pearson product-moment correlation coefficients were used to examine the relationships among the</w:t>
      </w:r>
      <w:r>
        <w:rPr>
          <w:rFonts w:ascii="Times New Roman" w:cs="Times New Roman" w:hAnsi="Times New Roman"/>
          <w:sz w:val="24"/>
          <w:szCs w:val="24"/>
        </w:rPr>
        <w:t xml:space="preserve"> three</w:t>
      </w:r>
      <w:r>
        <w:rPr>
          <w:rFonts w:ascii="Times New Roman" w:cs="Times New Roman" w:hAnsi="Times New Roman"/>
          <w:sz w:val="24"/>
          <w:szCs w:val="24"/>
        </w:rPr>
        <w:t xml:space="preserve"> key variables in the study. The first hypothesis posited a relationship between </w:t>
      </w:r>
      <w:r>
        <w:rPr>
          <w:rFonts w:ascii="Times New Roman" w:cs="Times New Roman" w:hAnsi="Times New Roman"/>
          <w:sz w:val="24"/>
          <w:szCs w:val="24"/>
        </w:rPr>
        <w:t>employee mental well being and</w:t>
      </w:r>
      <w:r>
        <w:rPr>
          <w:rFonts w:ascii="Times New Roman" w:cs="Times New Roman" w:hAnsi="Times New Roman"/>
          <w:sz w:val="24"/>
          <w:szCs w:val="24"/>
        </w:rPr>
        <w:t xml:space="preserve"> </w:t>
      </w:r>
      <w:r>
        <w:rPr>
          <w:rFonts w:ascii="Times New Roman" w:cs="Times New Roman" w:hAnsi="Times New Roman"/>
          <w:sz w:val="24"/>
          <w:szCs w:val="24"/>
        </w:rPr>
        <w:t>task performance</w:t>
      </w:r>
      <w:r>
        <w:rPr>
          <w:rFonts w:ascii="Times New Roman" w:cs="Times New Roman" w:hAnsi="Times New Roman"/>
          <w:sz w:val="24"/>
          <w:szCs w:val="24"/>
        </w:rPr>
        <w:t xml:space="preserve">. The hypothesis was confirmed. The findings revealed a positive relationship between the two variables, indicating that </w:t>
      </w:r>
      <w:r>
        <w:rPr>
          <w:rFonts w:ascii="Times New Roman" w:cs="Times New Roman" w:hAnsi="Times New Roman"/>
          <w:sz w:val="24"/>
          <w:szCs w:val="24"/>
        </w:rPr>
        <w:t xml:space="preserve">an employee’s psychological state </w:t>
      </w:r>
      <w:r>
        <w:rPr>
          <w:rFonts w:ascii="Times New Roman" w:cs="Times New Roman" w:hAnsi="Times New Roman"/>
          <w:sz w:val="24"/>
          <w:szCs w:val="24"/>
        </w:rPr>
        <w:t xml:space="preserve">is associated with higher levels of </w:t>
      </w:r>
      <w:r>
        <w:rPr>
          <w:rFonts w:ascii="Times New Roman" w:cs="Times New Roman" w:hAnsi="Times New Roman"/>
          <w:sz w:val="24"/>
          <w:szCs w:val="24"/>
        </w:rPr>
        <w:t>task performance</w:t>
      </w:r>
      <w:r>
        <w:rPr>
          <w:rFonts w:ascii="Times New Roman" w:cs="Times New Roman" w:hAnsi="Times New Roman"/>
          <w:sz w:val="24"/>
          <w:szCs w:val="24"/>
        </w:rPr>
        <w:t xml:space="preserve"> among </w:t>
      </w:r>
      <w:r>
        <w:rPr>
          <w:rFonts w:ascii="Times New Roman" w:cs="Times New Roman" w:hAnsi="Times New Roman"/>
          <w:sz w:val="24"/>
          <w:szCs w:val="24"/>
        </w:rPr>
        <w:t>employees</w:t>
      </w:r>
      <w:r>
        <w:rPr>
          <w:rFonts w:ascii="Times New Roman" w:cs="Times New Roman" w:hAnsi="Times New Roman"/>
          <w:sz w:val="24"/>
          <w:szCs w:val="24"/>
        </w:rPr>
        <w:t xml:space="preserve">. This result aligns with previous studies, such as </w:t>
      </w:r>
      <w:r>
        <w:rPr>
          <w:rFonts w:ascii="Times New Roman" w:cs="Times New Roman" w:hAnsi="Times New Roman"/>
          <w:sz w:val="24"/>
          <w:szCs w:val="24"/>
        </w:rPr>
        <w:t>world health organization</w:t>
      </w:r>
      <w:r>
        <w:rPr>
          <w:rFonts w:ascii="Times New Roman" w:cs="Times New Roman" w:hAnsi="Times New Roman"/>
          <w:sz w:val="24"/>
          <w:szCs w:val="24"/>
        </w:rPr>
        <w:t xml:space="preserve"> (20</w:t>
      </w:r>
      <w:r>
        <w:rPr>
          <w:rFonts w:ascii="Times New Roman" w:cs="Times New Roman" w:hAnsi="Times New Roman"/>
          <w:sz w:val="24"/>
          <w:szCs w:val="24"/>
        </w:rPr>
        <w:t>20</w:t>
      </w:r>
      <w:r>
        <w:rPr>
          <w:rFonts w:ascii="Times New Roman" w:cs="Times New Roman" w:hAnsi="Times New Roman"/>
          <w:sz w:val="24"/>
          <w:szCs w:val="24"/>
        </w:rPr>
        <w:t xml:space="preserve">), which found a significant correlation between </w:t>
      </w:r>
      <w:r>
        <w:rPr>
          <w:rFonts w:ascii="Times New Roman" w:cs="Times New Roman" w:hAnsi="Times New Roman"/>
          <w:sz w:val="24"/>
          <w:szCs w:val="24"/>
        </w:rPr>
        <w:t xml:space="preserve">employee mental well </w:t>
      </w:r>
      <w:r>
        <w:rPr>
          <w:rFonts w:ascii="Times New Roman" w:cs="Times New Roman" w:hAnsi="Times New Roman"/>
          <w:sz w:val="24"/>
          <w:szCs w:val="24"/>
        </w:rPr>
        <w:t>being and</w:t>
      </w:r>
      <w:r>
        <w:rPr>
          <w:rFonts w:ascii="Times New Roman" w:cs="Times New Roman" w:hAnsi="Times New Roman"/>
          <w:sz w:val="24"/>
          <w:szCs w:val="24"/>
        </w:rPr>
        <w:t xml:space="preserve"> </w:t>
      </w:r>
      <w:r>
        <w:rPr>
          <w:rFonts w:ascii="Times New Roman" w:cs="Times New Roman" w:hAnsi="Times New Roman"/>
          <w:sz w:val="24"/>
          <w:szCs w:val="24"/>
        </w:rPr>
        <w:t>task performance</w:t>
      </w:r>
      <w:r>
        <w:rPr>
          <w:rFonts w:ascii="Times New Roman" w:cs="Times New Roman" w:hAnsi="Times New Roman"/>
          <w:sz w:val="24"/>
          <w:szCs w:val="24"/>
        </w:rPr>
        <w:t xml:space="preserve"> (r = </w:t>
      </w:r>
      <w:r>
        <w:rPr>
          <w:rFonts w:ascii="Times New Roman" w:cs="Times New Roman" w:hAnsi="Times New Roman"/>
          <w:sz w:val="24"/>
          <w:szCs w:val="24"/>
        </w:rPr>
        <w:t>0.842,</w:t>
      </w:r>
      <w:r>
        <w:rPr>
          <w:rFonts w:ascii="Times New Roman" w:cs="Times New Roman" w:hAnsi="Times New Roman"/>
          <w:sz w:val="24"/>
          <w:szCs w:val="24"/>
        </w:rPr>
        <w:t xml:space="preserve"> p &lt; 0.01). The second hypothesis, which proposed a relationship between </w:t>
      </w:r>
      <w:r>
        <w:rPr>
          <w:rFonts w:ascii="Times New Roman" w:cs="Times New Roman" w:hAnsi="Times New Roman"/>
          <w:sz w:val="24"/>
          <w:szCs w:val="24"/>
        </w:rPr>
        <w:t>employee mental wellbeing</w:t>
      </w:r>
      <w:r>
        <w:rPr>
          <w:rFonts w:ascii="Times New Roman" w:cs="Times New Roman" w:hAnsi="Times New Roman"/>
          <w:sz w:val="24"/>
          <w:szCs w:val="24"/>
        </w:rPr>
        <w:t xml:space="preserve"> and </w:t>
      </w:r>
      <w:r>
        <w:rPr>
          <w:rFonts w:ascii="Times New Roman" w:cs="Times New Roman" w:hAnsi="Times New Roman"/>
          <w:sz w:val="24"/>
          <w:szCs w:val="24"/>
        </w:rPr>
        <w:t>work engagement</w:t>
      </w:r>
      <w:r>
        <w:rPr>
          <w:rFonts w:ascii="Times New Roman" w:cs="Times New Roman" w:hAnsi="Times New Roman"/>
          <w:sz w:val="24"/>
          <w:szCs w:val="24"/>
        </w:rPr>
        <w:t xml:space="preserve">, was also confirmed. A strong positive, </w:t>
      </w:r>
      <w:r>
        <w:rPr>
          <w:rFonts w:ascii="Times New Roman" w:cs="Times New Roman" w:hAnsi="Times New Roman"/>
          <w:sz w:val="24"/>
          <w:szCs w:val="24"/>
        </w:rPr>
        <w:t xml:space="preserve">statistically significant relationship was found between the two variables. This suggests that the </w:t>
      </w:r>
      <w:r>
        <w:rPr>
          <w:rFonts w:ascii="Times New Roman" w:cs="Times New Roman" w:hAnsi="Times New Roman"/>
          <w:sz w:val="24"/>
          <w:szCs w:val="24"/>
        </w:rPr>
        <w:t xml:space="preserve">more employees are mentally </w:t>
      </w:r>
      <w:r>
        <w:rPr>
          <w:rFonts w:ascii="Times New Roman" w:cs="Times New Roman" w:hAnsi="Times New Roman"/>
          <w:sz w:val="24"/>
          <w:szCs w:val="24"/>
        </w:rPr>
        <w:t>okay,</w:t>
      </w:r>
      <w:r>
        <w:rPr>
          <w:rFonts w:ascii="Times New Roman" w:cs="Times New Roman" w:hAnsi="Times New Roman"/>
          <w:sz w:val="24"/>
          <w:szCs w:val="24"/>
        </w:rPr>
        <w:t xml:space="preserve"> the more determined they would be in </w:t>
      </w:r>
      <w:r>
        <w:rPr>
          <w:rFonts w:ascii="Times New Roman" w:cs="Times New Roman" w:hAnsi="Times New Roman"/>
          <w:sz w:val="24"/>
          <w:szCs w:val="24"/>
        </w:rPr>
        <w:t>engaging with their work</w:t>
      </w:r>
      <w:r>
        <w:rPr>
          <w:rFonts w:ascii="Times New Roman" w:cs="Times New Roman" w:hAnsi="Times New Roman"/>
          <w:sz w:val="24"/>
          <w:szCs w:val="24"/>
        </w:rPr>
        <w:t xml:space="preserve"> This finding is consistent with prior research, including </w:t>
      </w:r>
      <w:r>
        <w:rPr>
          <w:rFonts w:ascii="Times New Roman" w:cs="Times New Roman" w:hAnsi="Times New Roman"/>
          <w:sz w:val="24"/>
          <w:szCs w:val="24"/>
          <w:lang w:val="en-US"/>
        </w:rPr>
        <w:t xml:space="preserve">Schaufeli and Bakker (2004) </w:t>
      </w:r>
      <w:r>
        <w:rPr>
          <w:rFonts w:ascii="Times New Roman" w:cs="Times New Roman" w:hAnsi="Times New Roman"/>
          <w:sz w:val="24"/>
          <w:szCs w:val="24"/>
        </w:rPr>
        <w:t xml:space="preserve">in which an employees mental wellbeing increases the work engagement. </w:t>
      </w:r>
    </w:p>
    <w:p>
      <w:pPr>
        <w:pStyle w:val="style179"/>
        <w:spacing w:lineRule="auto" w:line="360"/>
        <w:ind w:left="360"/>
        <w:jc w:val="both"/>
        <w:rPr>
          <w:rFonts w:ascii="Times New Roman" w:cs="Times New Roman" w:hAnsi="Times New Roman"/>
          <w:sz w:val="24"/>
          <w:szCs w:val="24"/>
          <w:lang w:val="en-US"/>
        </w:rPr>
      </w:pPr>
      <w:r>
        <w:rPr>
          <w:rFonts w:ascii="Times New Roman" w:cs="Times New Roman" w:hAnsi="Times New Roman"/>
          <w:sz w:val="24"/>
          <w:szCs w:val="24"/>
        </w:rPr>
        <w:t>The third hypothesis, which proposed a positive relationship between work engagement and task performance, was also confirmed. A strong, positive, statistically significant relationship was found between these two variables, indicating that an engaged is more likely to execute their duties effectively. Similar results were found by</w:t>
      </w:r>
      <w:r>
        <w:rPr>
          <w:rFonts w:ascii="Times New Roman" w:cs="Times New Roman" w:hAnsi="Times New Roman"/>
          <w:sz w:val="24"/>
          <w:szCs w:val="24"/>
        </w:rPr>
        <w:t xml:space="preserve"> </w:t>
      </w:r>
      <w:r>
        <w:rPr>
          <w:rFonts w:ascii="Times New Roman" w:cs="Times New Roman" w:hAnsi="Times New Roman"/>
          <w:sz w:val="24"/>
          <w:szCs w:val="24"/>
          <w:lang w:val="en-US"/>
        </w:rPr>
        <w:t>(Rich et al., 2010).</w:t>
      </w:r>
    </w:p>
    <w:p>
      <w:pPr>
        <w:pStyle w:val="style179"/>
        <w:spacing w:lineRule="auto" w:line="360"/>
        <w:ind w:left="360"/>
        <w:jc w:val="both"/>
        <w:rPr>
          <w:rFonts w:ascii="Times New Roman" w:cs="Times New Roman" w:hAnsi="Times New Roman"/>
          <w:sz w:val="24"/>
          <w:szCs w:val="24"/>
          <w:lang w:val="en-US"/>
        </w:rPr>
      </w:pPr>
    </w:p>
    <w:p>
      <w:pPr>
        <w:pStyle w:val="style179"/>
        <w:numPr>
          <w:ilvl w:val="0"/>
          <w:numId w:val="0"/>
        </w:numPr>
        <w:spacing w:lineRule="auto" w:line="360"/>
        <w:ind w:left="360" w:firstLine="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7. CONCLUSION.</w:t>
      </w:r>
    </w:p>
    <w:p>
      <w:pPr>
        <w:pStyle w:val="style1"/>
        <w:spacing w:lineRule="auto" w:line="360"/>
        <w:jc w:val="both"/>
        <w:rPr>
          <w:rFonts w:ascii="Times New Roman" w:cs="Times New Roman" w:hAnsi="Times New Roman"/>
          <w:color w:val="auto"/>
          <w:sz w:val="24"/>
          <w:szCs w:val="24"/>
        </w:rPr>
      </w:pPr>
      <w:r>
        <w:rPr>
          <w:rFonts w:ascii="Times New Roman" w:cs="Times New Roman" w:hAnsi="Times New Roman"/>
          <w:color w:val="auto"/>
          <w:sz w:val="24"/>
          <w:szCs w:val="24"/>
        </w:rPr>
        <w:t xml:space="preserve">The results of this research study have provided evidence to the extent that </w:t>
      </w:r>
      <w:r>
        <w:rPr>
          <w:rFonts w:ascii="Times New Roman" w:cs="Times New Roman" w:hAnsi="Times New Roman"/>
          <w:color w:val="auto"/>
          <w:sz w:val="24"/>
          <w:szCs w:val="24"/>
        </w:rPr>
        <w:t>employee mental wellbeing</w:t>
      </w:r>
      <w:r>
        <w:rPr>
          <w:rFonts w:ascii="Times New Roman" w:cs="Times New Roman" w:hAnsi="Times New Roman"/>
          <w:color w:val="auto"/>
          <w:sz w:val="24"/>
          <w:szCs w:val="24"/>
        </w:rPr>
        <w:t xml:space="preserve"> play</w:t>
      </w:r>
      <w:r>
        <w:rPr>
          <w:rFonts w:ascii="Times New Roman" w:cs="Times New Roman" w:hAnsi="Times New Roman"/>
          <w:color w:val="auto"/>
          <w:sz w:val="24"/>
          <w:szCs w:val="24"/>
        </w:rPr>
        <w:t>s</w:t>
      </w:r>
      <w:r>
        <w:rPr>
          <w:rFonts w:ascii="Times New Roman" w:cs="Times New Roman" w:hAnsi="Times New Roman"/>
          <w:color w:val="auto"/>
          <w:sz w:val="24"/>
          <w:szCs w:val="24"/>
        </w:rPr>
        <w:t xml:space="preserve"> an important role in the promotion of w</w:t>
      </w:r>
      <w:r>
        <w:rPr>
          <w:rFonts w:ascii="Times New Roman" w:cs="Times New Roman" w:hAnsi="Times New Roman"/>
          <w:color w:val="auto"/>
          <w:sz w:val="24"/>
          <w:szCs w:val="24"/>
        </w:rPr>
        <w:t>ork engagement and task performance</w:t>
      </w:r>
      <w:r>
        <w:rPr>
          <w:rFonts w:ascii="Times New Roman" w:cs="Times New Roman" w:hAnsi="Times New Roman"/>
          <w:color w:val="auto"/>
          <w:sz w:val="24"/>
          <w:szCs w:val="24"/>
        </w:rPr>
        <w:t xml:space="preserve">. From the academic and social perspectives there are several important implications that can be drawn from the results of this study.  Results have shown that the proposed model is plausible hence making a theoretical contribution by providing empirical evidence that </w:t>
      </w:r>
      <w:r>
        <w:rPr>
          <w:rFonts w:ascii="Times New Roman" w:cs="Times New Roman" w:hAnsi="Times New Roman"/>
          <w:color w:val="auto"/>
          <w:sz w:val="24"/>
          <w:szCs w:val="24"/>
        </w:rPr>
        <w:t>employee mental wellbeing</w:t>
      </w:r>
      <w:r>
        <w:rPr>
          <w:rFonts w:ascii="Times New Roman" w:cs="Times New Roman" w:hAnsi="Times New Roman"/>
          <w:color w:val="auto"/>
          <w:sz w:val="24"/>
          <w:szCs w:val="24"/>
        </w:rPr>
        <w:t xml:space="preserve"> </w:t>
      </w:r>
      <w:r>
        <w:rPr>
          <w:rFonts w:ascii="Times New Roman" w:cs="Times New Roman" w:hAnsi="Times New Roman"/>
          <w:color w:val="auto"/>
          <w:sz w:val="24"/>
          <w:szCs w:val="24"/>
        </w:rPr>
        <w:t xml:space="preserve">is a </w:t>
      </w:r>
      <w:r>
        <w:rPr>
          <w:rFonts w:ascii="Times New Roman" w:cs="Times New Roman" w:hAnsi="Times New Roman"/>
          <w:color w:val="auto"/>
          <w:sz w:val="24"/>
          <w:szCs w:val="24"/>
        </w:rPr>
        <w:t xml:space="preserve">predictor of </w:t>
      </w:r>
      <w:r>
        <w:rPr>
          <w:rFonts w:ascii="Times New Roman" w:cs="Times New Roman" w:hAnsi="Times New Roman"/>
          <w:color w:val="auto"/>
          <w:sz w:val="24"/>
          <w:szCs w:val="24"/>
        </w:rPr>
        <w:t>work engagement and task performance.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Literature review and empirical evidence shows that employees who exhibit positive mental wellbeing are more likely to experience Vigor, absorption and dedication in doing their work. On the other hand, poor mental wellbeing characterized by burnout, stress etc can affect an employee’s overall task execution.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findings of this study will contribute to both organizational and academic knowledge in such a way mental wellbeing will not only be seen as a personal issue, but rather as a strategic organizational concern that has a direct impact on employee engagement and task performance.</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179"/>
        <w:numPr>
          <w:ilvl w:val="0"/>
          <w:numId w:val="0"/>
        </w:numPr>
        <w:spacing w:lineRule="auto" w:line="360"/>
        <w:ind w:left="360" w:firstLine="0"/>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8. RECOMMENDATIONS.</w:t>
      </w: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 xml:space="preserve">Longitudinal studies, which track participants over an extended period, would be better suited to uncover causal inferences and provide deeper insights into the dynamics of </w:t>
      </w:r>
      <w:r>
        <w:rPr>
          <w:rFonts w:ascii="Times New Roman" w:cs="Times New Roman" w:hAnsi="Times New Roman"/>
          <w:sz w:val="24"/>
          <w:szCs w:val="24"/>
        </w:rPr>
        <w:t>task performance</w:t>
      </w:r>
      <w:r>
        <w:rPr>
          <w:rFonts w:ascii="Times New Roman" w:cs="Times New Roman" w:hAnsi="Times New Roman"/>
          <w:sz w:val="24"/>
          <w:szCs w:val="24"/>
        </w:rPr>
        <w:t xml:space="preserve"> and its predictors. Secondly, the cross-sectional nature of the study does not account for maturational effects, which may influence academic engagement over time. Longitudinal studies, as suggested by Terre Blanche and </w:t>
      </w:r>
      <w:r>
        <w:rPr>
          <w:rFonts w:ascii="Times New Roman" w:cs="Times New Roman" w:hAnsi="Times New Roman"/>
          <w:sz w:val="24"/>
          <w:szCs w:val="24"/>
        </w:rPr>
        <w:t>Durrheim</w:t>
      </w:r>
      <w:r>
        <w:rPr>
          <w:rFonts w:ascii="Times New Roman" w:cs="Times New Roman" w:hAnsi="Times New Roman"/>
          <w:sz w:val="24"/>
          <w:szCs w:val="24"/>
        </w:rPr>
        <w:t xml:space="preserve"> (1999) and </w:t>
      </w:r>
      <w:r>
        <w:rPr>
          <w:rFonts w:ascii="Times New Roman" w:cs="Times New Roman" w:hAnsi="Times New Roman"/>
          <w:sz w:val="24"/>
          <w:szCs w:val="24"/>
        </w:rPr>
        <w:t>Satardien</w:t>
      </w:r>
      <w:r>
        <w:rPr>
          <w:rFonts w:ascii="Times New Roman" w:cs="Times New Roman" w:hAnsi="Times New Roman"/>
          <w:sz w:val="24"/>
          <w:szCs w:val="24"/>
        </w:rPr>
        <w:t xml:space="preserve"> and Mahembe (2019), would provide a more nuanced understanding of how </w:t>
      </w:r>
      <w:r>
        <w:rPr>
          <w:rFonts w:ascii="Times New Roman" w:cs="Times New Roman" w:hAnsi="Times New Roman"/>
          <w:sz w:val="24"/>
          <w:szCs w:val="24"/>
        </w:rPr>
        <w:t>task performance</w:t>
      </w:r>
      <w:r>
        <w:rPr>
          <w:rFonts w:ascii="Times New Roman" w:cs="Times New Roman" w:hAnsi="Times New Roman"/>
          <w:sz w:val="24"/>
          <w:szCs w:val="24"/>
        </w:rPr>
        <w:t xml:space="preserve"> evolves and is influenced by </w:t>
      </w:r>
      <w:r>
        <w:rPr>
          <w:rFonts w:ascii="Times New Roman" w:cs="Times New Roman" w:hAnsi="Times New Roman"/>
          <w:sz w:val="24"/>
          <w:szCs w:val="24"/>
        </w:rPr>
        <w:t>employee mental wellbeing and work engagement</w:t>
      </w:r>
      <w:r>
        <w:rPr>
          <w:rFonts w:ascii="Times New Roman" w:cs="Times New Roman" w:hAnsi="Times New Roman"/>
          <w:sz w:val="24"/>
          <w:szCs w:val="24"/>
        </w:rPr>
        <w:t xml:space="preserve"> over time. Thus, a larger sample size, ideally exceeding 200 participants as recommended by most statistical software packages, would allow for more robust statistical analyses, such as Confirmatory Factor Analysis (CFA) to control for measurement errors and Structural Equation </w:t>
      </w:r>
      <w:r>
        <w:rPr>
          <w:rFonts w:ascii="Times New Roman" w:cs="Times New Roman" w:hAnsi="Times New Roman"/>
          <w:sz w:val="24"/>
          <w:szCs w:val="24"/>
        </w:rPr>
        <w:t>Modelling</w:t>
      </w:r>
      <w:r>
        <w:rPr>
          <w:rFonts w:ascii="Times New Roman" w:cs="Times New Roman" w:hAnsi="Times New Roman"/>
          <w:sz w:val="24"/>
          <w:szCs w:val="24"/>
        </w:rPr>
        <w:t xml:space="preserve"> (SEM) for path analysis. As it stands, the sample size in this study slightly falls short of the requirements for these advanced methods, and future studies should aim to increase the sample size to </w:t>
      </w:r>
      <w:r>
        <w:rPr>
          <w:rFonts w:ascii="Times New Roman" w:cs="Times New Roman" w:hAnsi="Times New Roman"/>
          <w:sz w:val="24"/>
          <w:szCs w:val="24"/>
        </w:rPr>
        <w:t>enhance the</w:t>
      </w:r>
      <w:r>
        <w:rPr>
          <w:rFonts w:ascii="Times New Roman" w:cs="Times New Roman" w:hAnsi="Times New Roman"/>
          <w:sz w:val="24"/>
          <w:szCs w:val="24"/>
        </w:rPr>
        <w:t xml:space="preserve"> reliability and validity of the findings. The relatively small sample size in this study limits the generalizability and strength of the findings. To yield more generalizable and reliable findings, future studies </w:t>
      </w:r>
    </w:p>
    <w:p>
      <w:pPr>
        <w:pStyle w:val="style179"/>
        <w:spacing w:lineRule="auto" w:line="360"/>
        <w:ind w:left="360"/>
        <w:jc w:val="both"/>
        <w:rPr>
          <w:rFonts w:ascii="Times New Roman" w:cs="Times New Roman" w:hAnsi="Times New Roman"/>
          <w:sz w:val="24"/>
          <w:szCs w:val="24"/>
        </w:rPr>
      </w:pPr>
      <w:r>
        <w:rPr>
          <w:rFonts w:ascii="Times New Roman" w:cs="Times New Roman" w:hAnsi="Times New Roman"/>
          <w:sz w:val="24"/>
          <w:szCs w:val="24"/>
        </w:rPr>
        <w:t>need to address limitations related to sample size</w:t>
      </w:r>
      <w:r>
        <w:rPr>
          <w:rFonts w:ascii="Times New Roman" w:cs="Times New Roman" w:hAnsi="Times New Roman"/>
          <w:sz w:val="24"/>
          <w:szCs w:val="24"/>
        </w:rPr>
        <w:t xml:space="preserve"> and </w:t>
      </w:r>
      <w:r>
        <w:rPr>
          <w:rFonts w:ascii="Times New Roman" w:cs="Times New Roman" w:hAnsi="Times New Roman"/>
          <w:sz w:val="24"/>
          <w:szCs w:val="24"/>
        </w:rPr>
        <w:t>study design.</w:t>
      </w: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sz w:val="24"/>
          <w:szCs w:val="24"/>
        </w:rPr>
      </w:pPr>
    </w:p>
    <w:p>
      <w:pPr>
        <w:pStyle w:val="style179"/>
        <w:spacing w:lineRule="auto" w:line="360"/>
        <w:ind w:left="360"/>
        <w:jc w:val="both"/>
        <w:rPr>
          <w:rFonts w:ascii="Times New Roman" w:cs="Times New Roman" w:hAnsi="Times New Roman"/>
          <w:b/>
          <w:bCs/>
          <w:sz w:val="24"/>
          <w:szCs w:val="24"/>
        </w:rPr>
      </w:pPr>
      <w:r>
        <w:rPr>
          <w:rFonts w:ascii="Times New Roman" w:cs="Times New Roman" w:hAnsi="Times New Roman"/>
          <w:b/>
          <w:bCs/>
          <w:sz w:val="24"/>
          <w:szCs w:val="24"/>
        </w:rPr>
        <w:t>REFERENCES.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Bakker, A. B., &amp; Demerouti, E. (2017). </w:t>
      </w:r>
      <w:r>
        <w:rPr>
          <w:rFonts w:ascii="Times New Roman" w:cs="Times New Roman" w:hAnsi="Times New Roman"/>
          <w:i/>
          <w:iCs/>
          <w:sz w:val="24"/>
          <w:szCs w:val="24"/>
        </w:rPr>
        <w:t>Job demands–resources theory: Taking stock and looking forward. Journal of Occupational Health Psychology,</w:t>
      </w:r>
      <w:r>
        <w:rPr>
          <w:rFonts w:ascii="Times New Roman" w:cs="Times New Roman" w:hAnsi="Times New Roman"/>
          <w:sz w:val="24"/>
          <w:szCs w:val="24"/>
        </w:rPr>
        <w:t xml:space="preserve"> 22(1), 273–285. https://doi.org/10.1037/ocp0000056 </w:t>
      </w:r>
      <w:r>
        <w:rPr>
          <w:rFonts w:ascii="Times New Roman" w:cs="Times New Roman" w:hAnsi="Times New Roman"/>
          <w:sz w:val="24"/>
          <w:szCs w:val="24"/>
        </w:rPr>
        <w:t>Behavior</w:t>
      </w:r>
      <w:r>
        <w:rPr>
          <w:rFonts w:ascii="Times New Roman" w:cs="Times New Roman" w:hAnsi="Times New Roman"/>
          <w:sz w:val="24"/>
          <w:szCs w:val="24"/>
        </w:rPr>
        <w:t xml:space="preserve"> 30(7): 893-917. DOI: 10.1002/job.595Studies, 3(1), 71-92. doi:10.1023/ A:1015630930326</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Bakker, A.B., Demerouti, E., De Boer, E. and Schaufeli, W.B. (2003b), </w:t>
      </w:r>
      <w:r>
        <w:rPr>
          <w:rFonts w:ascii="Times New Roman" w:cs="Times New Roman" w:hAnsi="Times New Roman"/>
          <w:i/>
          <w:iCs/>
          <w:sz w:val="24"/>
          <w:szCs w:val="24"/>
        </w:rPr>
        <w:t xml:space="preserve">“Job demands and job resources as predictors of absence duration and frequency”, </w:t>
      </w:r>
      <w:r>
        <w:rPr>
          <w:rFonts w:ascii="Times New Roman" w:cs="Times New Roman" w:hAnsi="Times New Roman"/>
          <w:sz w:val="24"/>
          <w:szCs w:val="24"/>
        </w:rPr>
        <w:t xml:space="preserve">Journal of Vocational </w:t>
      </w:r>
      <w:r>
        <w:rPr>
          <w:rFonts w:ascii="Times New Roman" w:cs="Times New Roman" w:hAnsi="Times New Roman"/>
          <w:sz w:val="24"/>
          <w:szCs w:val="24"/>
        </w:rPr>
        <w:t>Behavior</w:t>
      </w:r>
      <w:r>
        <w:rPr>
          <w:rFonts w:ascii="Times New Roman" w:cs="Times New Roman" w:hAnsi="Times New Roman"/>
          <w:sz w:val="24"/>
          <w:szCs w:val="24"/>
        </w:rPr>
        <w:t>, Vol. 62, pp. 341-56.</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Bakker, A.B.; Demerouti, E. </w:t>
      </w:r>
      <w:r>
        <w:rPr>
          <w:rFonts w:ascii="Times New Roman" w:cs="Times New Roman" w:hAnsi="Times New Roman"/>
          <w:i/>
          <w:iCs/>
          <w:sz w:val="24"/>
          <w:szCs w:val="24"/>
        </w:rPr>
        <w:t>Towards a model of work engagement</w:t>
      </w:r>
      <w:r>
        <w:rPr>
          <w:rFonts w:ascii="Times New Roman" w:cs="Times New Roman" w:hAnsi="Times New Roman"/>
          <w:sz w:val="24"/>
          <w:szCs w:val="24"/>
        </w:rPr>
        <w:t>. Career Dev. Int. 2008, 13, 209–223. [</w:t>
      </w:r>
      <w:r>
        <w:rPr>
          <w:rFonts w:ascii="Times New Roman" w:cs="Times New Roman" w:hAnsi="Times New Roman"/>
          <w:sz w:val="24"/>
          <w:szCs w:val="24"/>
        </w:rPr>
        <w:t>CrossRef</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Bakker, A. B., Albrecht, S. L., &amp; Leiter, M. P. (2011). </w:t>
      </w:r>
      <w:r>
        <w:rPr>
          <w:rFonts w:ascii="Times New Roman" w:cs="Times New Roman" w:hAnsi="Times New Roman"/>
          <w:i/>
          <w:iCs/>
          <w:sz w:val="24"/>
          <w:szCs w:val="24"/>
        </w:rPr>
        <w:t>Key questions regarding work engagement. European Journal of Work and Organizational Psychology</w:t>
      </w:r>
      <w:r>
        <w:rPr>
          <w:rFonts w:ascii="Times New Roman" w:cs="Times New Roman" w:hAnsi="Times New Roman"/>
          <w:sz w:val="24"/>
          <w:szCs w:val="24"/>
        </w:rPr>
        <w:t>, 20(1), 4-28.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Bakker, A. B., &amp; Demerouti, E. (2007). </w:t>
      </w:r>
      <w:r>
        <w:rPr>
          <w:rFonts w:ascii="Times New Roman" w:cs="Times New Roman" w:hAnsi="Times New Roman"/>
          <w:i/>
          <w:iCs/>
          <w:sz w:val="24"/>
          <w:szCs w:val="24"/>
        </w:rPr>
        <w:t>The Job Demands-Resources model</w:t>
      </w:r>
      <w:r>
        <w:rPr>
          <w:rFonts w:ascii="Times New Roman" w:cs="Times New Roman" w:hAnsi="Times New Roman"/>
          <w:sz w:val="24"/>
          <w:szCs w:val="24"/>
        </w:rPr>
        <w:t>: State of the art. Journal of</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Bakker, A. B., Hakanen, J. J., Demerouti, E., &amp; Xanthopoulou, D. (2007).</w:t>
      </w:r>
      <w:r>
        <w:rPr>
          <w:rFonts w:ascii="Times New Roman" w:cs="Times New Roman" w:hAnsi="Times New Roman"/>
          <w:i/>
          <w:iCs/>
          <w:sz w:val="24"/>
          <w:szCs w:val="24"/>
        </w:rPr>
        <w:t xml:space="preserve"> Job resources boost work engagement, particularly when job demands are high</w:t>
      </w:r>
      <w:r>
        <w:rPr>
          <w:rFonts w:ascii="Times New Roman" w:cs="Times New Roman" w:hAnsi="Times New Roman"/>
          <w:sz w:val="24"/>
          <w:szCs w:val="24"/>
        </w:rPr>
        <w:t xml:space="preserve">. Journal of Educational Psychology, </w:t>
      </w:r>
      <w:r>
        <w:rPr>
          <w:rFonts w:ascii="Times New Roman" w:cs="Times New Roman" w:hAnsi="Times New Roman"/>
          <w:sz w:val="24"/>
          <w:szCs w:val="24"/>
        </w:rPr>
        <w:t>99 ,</w:t>
      </w:r>
      <w:r>
        <w:rPr>
          <w:rFonts w:ascii="Times New Roman" w:cs="Times New Roman" w:hAnsi="Times New Roman"/>
          <w:sz w:val="24"/>
          <w:szCs w:val="24"/>
        </w:rPr>
        <w:t xml:space="preserve"> 274–284.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Bakker, A. B. (2011). </w:t>
      </w:r>
      <w:r>
        <w:rPr>
          <w:rFonts w:ascii="Times New Roman" w:cs="Times New Roman" w:hAnsi="Times New Roman"/>
          <w:i/>
          <w:iCs/>
          <w:sz w:val="24"/>
          <w:szCs w:val="24"/>
        </w:rPr>
        <w:t>An evidence-based model of work engagement</w:t>
      </w:r>
      <w:r>
        <w:rPr>
          <w:rFonts w:ascii="Times New Roman" w:cs="Times New Roman" w:hAnsi="Times New Roman"/>
          <w:sz w:val="24"/>
          <w:szCs w:val="24"/>
        </w:rPr>
        <w:t>. Current Directions in Psychological Science, 20, 265–269.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lang w:val="en-US"/>
        </w:rPr>
        <w:t xml:space="preserve">Bryman, A. (2004) </w:t>
      </w:r>
      <w:r>
        <w:rPr>
          <w:rFonts w:ascii="Times New Roman" w:cs="Times New Roman" w:hAnsi="Times New Roman"/>
          <w:i/>
          <w:iCs/>
          <w:sz w:val="24"/>
          <w:szCs w:val="24"/>
          <w:lang w:val="en-US"/>
        </w:rPr>
        <w:t>Social Research Methods</w:t>
      </w:r>
      <w:r>
        <w:rPr>
          <w:rFonts w:ascii="Times New Roman" w:cs="Times New Roman" w:hAnsi="Times New Roman"/>
          <w:sz w:val="24"/>
          <w:szCs w:val="24"/>
          <w:lang w:val="en-US"/>
        </w:rPr>
        <w:t xml:space="preserve">. 2nd </w:t>
      </w:r>
      <w:r>
        <w:rPr>
          <w:rFonts w:ascii="Times New Roman" w:cs="Times New Roman" w:hAnsi="Times New Roman"/>
          <w:sz w:val="24"/>
          <w:szCs w:val="24"/>
          <w:lang w:val="en-US"/>
        </w:rPr>
        <w:t>edn</w:t>
      </w:r>
      <w:r>
        <w:rPr>
          <w:rFonts w:ascii="Times New Roman" w:cs="Times New Roman" w:hAnsi="Times New Roman"/>
          <w:sz w:val="24"/>
          <w:szCs w:val="24"/>
          <w:lang w:val="en-US"/>
        </w:rPr>
        <w:t>. Oxford: Oxford University Press.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Demerouti, E., Bakker, A.B., Nachreiner, F. and Schaufeli, W.B. (2001a), </w:t>
      </w:r>
      <w:r>
        <w:rPr>
          <w:rFonts w:ascii="Times New Roman" w:cs="Times New Roman" w:hAnsi="Times New Roman"/>
          <w:i/>
          <w:iCs/>
          <w:sz w:val="24"/>
          <w:szCs w:val="24"/>
        </w:rPr>
        <w:t>“The job demands-resources model of burnout</w:t>
      </w:r>
      <w:r>
        <w:rPr>
          <w:rFonts w:ascii="Times New Roman" w:cs="Times New Roman" w:hAnsi="Times New Roman"/>
          <w:sz w:val="24"/>
          <w:szCs w:val="24"/>
        </w:rPr>
        <w:t>”, Journal of Applied Psychology, Vol. 86, pp. 499-512.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Geldenhuys, M., &amp; Hena, C. M. (2017). The relationship between demographic variables and well-being of women in south </w:t>
      </w:r>
      <w:r>
        <w:rPr>
          <w:rFonts w:ascii="Times New Roman" w:cs="Times New Roman" w:hAnsi="Times New Roman"/>
          <w:sz w:val="24"/>
          <w:szCs w:val="24"/>
        </w:rPr>
        <w:t>african</w:t>
      </w:r>
      <w:r>
        <w:rPr>
          <w:rFonts w:ascii="Times New Roman" w:cs="Times New Roman" w:hAnsi="Times New Roman"/>
          <w:sz w:val="24"/>
          <w:szCs w:val="24"/>
        </w:rPr>
        <w:t xml:space="preserve"> workplaces. South African Journal of Human Resources Management, 15, 1–15. https://doi.org/10.4102/sajhrm.v15i0.949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Grant, A. M., Christianson, M. K., &amp; Price, R. H. (2007). </w:t>
      </w:r>
      <w:r>
        <w:rPr>
          <w:rFonts w:ascii="Times New Roman" w:cs="Times New Roman" w:hAnsi="Times New Roman"/>
          <w:i/>
          <w:iCs/>
          <w:sz w:val="24"/>
          <w:szCs w:val="24"/>
        </w:rPr>
        <w:t xml:space="preserve">Happiness, Health, or Relationships? Managerial Practices and Employee Well-Being </w:t>
      </w:r>
      <w:r>
        <w:rPr>
          <w:rFonts w:ascii="Times New Roman" w:cs="Times New Roman" w:hAnsi="Times New Roman"/>
          <w:i/>
          <w:iCs/>
          <w:sz w:val="24"/>
          <w:szCs w:val="24"/>
        </w:rPr>
        <w:t>Tradeoffs</w:t>
      </w:r>
      <w:r>
        <w:rPr>
          <w:rFonts w:ascii="Times New Roman" w:cs="Times New Roman" w:hAnsi="Times New Roman"/>
          <w:sz w:val="24"/>
          <w:szCs w:val="24"/>
        </w:rPr>
        <w:t xml:space="preserve">. Academy of Management Perspectives, 21(3), 51–63. </w:t>
      </w:r>
      <w:r>
        <w:rPr/>
        <w:fldChar w:fldCharType="begin"/>
      </w:r>
      <w:r>
        <w:instrText xml:space="preserve"> HYPERLINK "https://doi.org/10.5465/amp.2007.26421238" </w:instrText>
      </w:r>
      <w:r>
        <w:rPr/>
        <w:fldChar w:fldCharType="separate"/>
      </w:r>
      <w:r>
        <w:rPr>
          <w:rStyle w:val="style85"/>
          <w:rFonts w:ascii="Times New Roman" w:cs="Times New Roman" w:hAnsi="Times New Roman"/>
          <w:sz w:val="24"/>
          <w:szCs w:val="24"/>
        </w:rPr>
        <w:t>https://doi.org/10.5465/amp.2007.26421238</w:t>
      </w:r>
      <w:r>
        <w:rPr/>
        <w:fldChar w:fldCharType="end"/>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Guest, D. E. (2017). </w:t>
      </w:r>
      <w:r>
        <w:rPr>
          <w:rFonts w:ascii="Times New Roman" w:cs="Times New Roman" w:hAnsi="Times New Roman"/>
          <w:i/>
          <w:iCs/>
          <w:sz w:val="24"/>
          <w:szCs w:val="24"/>
        </w:rPr>
        <w:t>Human resource management and employee well-being:</w:t>
      </w:r>
      <w:r>
        <w:rPr>
          <w:rFonts w:ascii="Times New Roman" w:cs="Times New Roman" w:hAnsi="Times New Roman"/>
          <w:sz w:val="24"/>
          <w:szCs w:val="24"/>
        </w:rPr>
        <w:t xml:space="preserve"> Towards a new analytic framework. Human Resource Management Journal, 27(1), 22–38.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performance. Human Resource Management Review, 22(2), 73–85. </w:t>
      </w:r>
      <w:r>
        <w:rPr/>
        <w:fldChar w:fldCharType="begin"/>
      </w:r>
      <w:r>
        <w:instrText xml:space="preserve"> HYPERLINK "https://doi.org/10.1016/j.hrmr.2011.11.005" </w:instrText>
      </w:r>
      <w:r>
        <w:rPr/>
        <w:fldChar w:fldCharType="separate"/>
      </w:r>
      <w:r>
        <w:rPr>
          <w:rStyle w:val="style85"/>
          <w:rFonts w:ascii="Times New Roman" w:cs="Times New Roman" w:hAnsi="Times New Roman"/>
          <w:sz w:val="24"/>
          <w:szCs w:val="24"/>
        </w:rPr>
        <w:t>https://doi.org/10.1016/j.hrmr.2011.11.005</w:t>
      </w:r>
      <w:r>
        <w:rPr/>
        <w:fldChar w:fldCharType="end"/>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Koopmans, L.; </w:t>
      </w:r>
      <w:r>
        <w:rPr>
          <w:rFonts w:ascii="Times New Roman" w:cs="Times New Roman" w:hAnsi="Times New Roman"/>
          <w:sz w:val="24"/>
          <w:szCs w:val="24"/>
        </w:rPr>
        <w:t>Bernaards</w:t>
      </w:r>
      <w:r>
        <w:rPr>
          <w:rFonts w:ascii="Times New Roman" w:cs="Times New Roman" w:hAnsi="Times New Roman"/>
          <w:sz w:val="24"/>
          <w:szCs w:val="24"/>
        </w:rPr>
        <w:t xml:space="preserve">, C.M.; Hildebrandt, V.H.; de Vet, H.C.W.; van der Beek, A.J. </w:t>
      </w:r>
      <w:r>
        <w:rPr>
          <w:rFonts w:ascii="Times New Roman" w:cs="Times New Roman" w:hAnsi="Times New Roman"/>
          <w:i/>
          <w:iCs/>
          <w:sz w:val="24"/>
          <w:szCs w:val="24"/>
        </w:rPr>
        <w:t>Construct Validity of the Individual Work Performance Questionnaire.</w:t>
      </w:r>
      <w:r>
        <w:rPr>
          <w:rFonts w:ascii="Times New Roman" w:cs="Times New Roman" w:hAnsi="Times New Roman"/>
          <w:sz w:val="24"/>
          <w:szCs w:val="24"/>
        </w:rPr>
        <w:t xml:space="preserve"> J. </w:t>
      </w:r>
      <w:r>
        <w:rPr>
          <w:rFonts w:ascii="Times New Roman" w:cs="Times New Roman" w:hAnsi="Times New Roman"/>
          <w:sz w:val="24"/>
          <w:szCs w:val="24"/>
        </w:rPr>
        <w:t>Occup</w:t>
      </w:r>
      <w:r>
        <w:rPr>
          <w:rFonts w:ascii="Times New Roman" w:cs="Times New Roman" w:hAnsi="Times New Roman"/>
          <w:sz w:val="24"/>
          <w:szCs w:val="24"/>
        </w:rPr>
        <w:t>. Environ. Med. 2014, 56, 154–171. [</w:t>
      </w:r>
      <w:r>
        <w:rPr>
          <w:rFonts w:ascii="Times New Roman" w:cs="Times New Roman" w:hAnsi="Times New Roman"/>
          <w:sz w:val="24"/>
          <w:szCs w:val="24"/>
        </w:rPr>
        <w:t>CrossRef</w:t>
      </w:r>
      <w:r>
        <w:rPr>
          <w:rFonts w:ascii="Times New Roman" w:cs="Times New Roman" w:hAnsi="Times New Roman"/>
          <w:sz w:val="24"/>
          <w:szCs w:val="24"/>
        </w:rPr>
        <w:t>]Managerial Psychology, 22(3), 309-328.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Meijerink</w:t>
      </w:r>
      <w:r>
        <w:rPr>
          <w:rFonts w:ascii="Times New Roman" w:cs="Times New Roman" w:hAnsi="Times New Roman"/>
          <w:sz w:val="24"/>
          <w:szCs w:val="24"/>
        </w:rPr>
        <w:t>, J. G., Beijer, S. E., &amp; Bos-</w:t>
      </w:r>
      <w:r>
        <w:rPr>
          <w:rFonts w:ascii="Times New Roman" w:cs="Times New Roman" w:hAnsi="Times New Roman"/>
          <w:sz w:val="24"/>
          <w:szCs w:val="24"/>
        </w:rPr>
        <w:t>Nehles</w:t>
      </w:r>
      <w:r>
        <w:rPr>
          <w:rFonts w:ascii="Times New Roman" w:cs="Times New Roman" w:hAnsi="Times New Roman"/>
          <w:sz w:val="24"/>
          <w:szCs w:val="24"/>
        </w:rPr>
        <w:t xml:space="preserve">, A. C. (2021). </w:t>
      </w:r>
      <w:r>
        <w:rPr>
          <w:rFonts w:ascii="Times New Roman" w:cs="Times New Roman" w:hAnsi="Times New Roman"/>
          <w:i/>
          <w:iCs/>
          <w:sz w:val="24"/>
          <w:szCs w:val="24"/>
        </w:rPr>
        <w:t>A meta-analysis of mediating mechanisms between employee reports of human resource management and employee performance:</w:t>
      </w:r>
      <w:r>
        <w:rPr>
          <w:rFonts w:ascii="Times New Roman" w:cs="Times New Roman" w:hAnsi="Times New Roman"/>
          <w:sz w:val="24"/>
          <w:szCs w:val="24"/>
        </w:rPr>
        <w:t xml:space="preserve"> different pathways for descriptive and evaluative reports? The International Journal of Human Resource Management, 32(2), 394–442. </w:t>
      </w:r>
      <w:r>
        <w:rPr/>
        <w:fldChar w:fldCharType="begin"/>
      </w:r>
      <w:r>
        <w:instrText xml:space="preserve"> HYPERLINK "https://doi.org/10.1080/09585192.2020.1810737" </w:instrText>
      </w:r>
      <w:r>
        <w:rPr/>
        <w:fldChar w:fldCharType="separate"/>
      </w:r>
      <w:r>
        <w:rPr>
          <w:rStyle w:val="style85"/>
          <w:rFonts w:ascii="Times New Roman" w:cs="Times New Roman" w:hAnsi="Times New Roman"/>
          <w:sz w:val="24"/>
          <w:szCs w:val="24"/>
        </w:rPr>
        <w:t>https://doi.org/10.1080/09585192.2020.1810737</w:t>
      </w:r>
      <w:r>
        <w:rPr/>
        <w:fldChar w:fldCharType="end"/>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Mugenda, O., &amp; Mugenda, A. (2003). </w:t>
      </w:r>
      <w:r>
        <w:rPr>
          <w:rFonts w:ascii="Times New Roman" w:cs="Times New Roman" w:hAnsi="Times New Roman"/>
          <w:i/>
          <w:iCs/>
          <w:sz w:val="24"/>
          <w:szCs w:val="24"/>
        </w:rPr>
        <w:t>Research Methods</w:t>
      </w:r>
      <w:r>
        <w:rPr>
          <w:rFonts w:ascii="Times New Roman" w:cs="Times New Roman" w:hAnsi="Times New Roman"/>
          <w:sz w:val="24"/>
          <w:szCs w:val="24"/>
        </w:rPr>
        <w:t>: Quantitative and Qualitative Approaches.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lang w:val="en-US"/>
        </w:rPr>
        <w:t>Mwelwa, K. (2021) ‘</w:t>
      </w:r>
      <w:r>
        <w:rPr>
          <w:rFonts w:ascii="Times New Roman" w:cs="Times New Roman" w:hAnsi="Times New Roman"/>
          <w:i/>
          <w:iCs/>
          <w:sz w:val="24"/>
          <w:szCs w:val="24"/>
          <w:lang w:val="en-US"/>
        </w:rPr>
        <w:t>Employee engagement and performance in public institutions in Zambia’</w:t>
      </w:r>
      <w:r>
        <w:rPr>
          <w:rFonts w:ascii="Times New Roman" w:cs="Times New Roman" w:hAnsi="Times New Roman"/>
          <w:sz w:val="24"/>
          <w:szCs w:val="24"/>
          <w:lang w:val="en-US"/>
        </w:rPr>
        <w:t>, Journal of Human Resource Management Research, 5(1), pp. 22–34.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lang w:val="en-US"/>
        </w:rPr>
        <w:t>Mukuka, L. and Kalumba, B. (2019) ‘</w:t>
      </w:r>
      <w:r>
        <w:rPr>
          <w:rFonts w:ascii="Times New Roman" w:cs="Times New Roman" w:hAnsi="Times New Roman"/>
          <w:i/>
          <w:iCs/>
          <w:sz w:val="24"/>
          <w:szCs w:val="24"/>
          <w:lang w:val="en-US"/>
        </w:rPr>
        <w:t>Occupational stress and employee performance in the Zambian public sector’</w:t>
      </w:r>
      <w:r>
        <w:rPr>
          <w:rFonts w:ascii="Times New Roman" w:cs="Times New Roman" w:hAnsi="Times New Roman"/>
          <w:sz w:val="24"/>
          <w:szCs w:val="24"/>
          <w:lang w:val="en-US"/>
        </w:rPr>
        <w:t>, Zambian Journal of Social Sciences, 8(2), pp. 45–59.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lang w:val="en-US"/>
        </w:rPr>
        <w:t>Munene, J. C. and Schwartz, I. (2016)</w:t>
      </w:r>
      <w:r>
        <w:rPr>
          <w:rFonts w:ascii="Times New Roman" w:cs="Times New Roman" w:hAnsi="Times New Roman"/>
          <w:i/>
          <w:iCs/>
          <w:sz w:val="24"/>
          <w:szCs w:val="24"/>
          <w:lang w:val="en-US"/>
        </w:rPr>
        <w:t xml:space="preserve"> ‘HRM and firm performance in Africa’, International Journal of Human Resource Management</w:t>
      </w:r>
      <w:r>
        <w:rPr>
          <w:rFonts w:ascii="Times New Roman" w:cs="Times New Roman" w:hAnsi="Times New Roman"/>
          <w:sz w:val="24"/>
          <w:szCs w:val="24"/>
          <w:lang w:val="en-US"/>
        </w:rPr>
        <w:t>, 27(21), pp. 2437–2463.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lang w:val="en-US"/>
        </w:rPr>
        <w:t xml:space="preserve">Rich, B. L., </w:t>
      </w:r>
      <w:r>
        <w:rPr>
          <w:rFonts w:ascii="Times New Roman" w:cs="Times New Roman" w:hAnsi="Times New Roman"/>
          <w:sz w:val="24"/>
          <w:szCs w:val="24"/>
          <w:lang w:val="en-US"/>
        </w:rPr>
        <w:t>LePine</w:t>
      </w:r>
      <w:r>
        <w:rPr>
          <w:rFonts w:ascii="Times New Roman" w:cs="Times New Roman" w:hAnsi="Times New Roman"/>
          <w:sz w:val="24"/>
          <w:szCs w:val="24"/>
          <w:lang w:val="en-US"/>
        </w:rPr>
        <w:t>, J. A. and Crawford, E. R. (2010) ‘Job engagement: Antecedents and effects on job performance’, Academy of Management Journal, 53(3), pp. 617–635.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lang w:val="en-US"/>
        </w:rPr>
        <w:t>Rothmann, S. and Baumann, C. (2014) ‘</w:t>
      </w:r>
      <w:r>
        <w:rPr>
          <w:rFonts w:ascii="Times New Roman" w:cs="Times New Roman" w:hAnsi="Times New Roman"/>
          <w:i/>
          <w:iCs/>
          <w:sz w:val="24"/>
          <w:szCs w:val="24"/>
          <w:lang w:val="en-US"/>
        </w:rPr>
        <w:t>Employee engagement:</w:t>
      </w:r>
      <w:r>
        <w:rPr>
          <w:rFonts w:ascii="Times New Roman" w:cs="Times New Roman" w:hAnsi="Times New Roman"/>
          <w:sz w:val="24"/>
          <w:szCs w:val="24"/>
          <w:lang w:val="en-US"/>
        </w:rPr>
        <w:t xml:space="preserve"> The effects of work and personal resources’, South African Journal of Industrial Psychology, 40(1), pp. 1–13.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Rich, B. L., </w:t>
      </w:r>
      <w:r>
        <w:rPr>
          <w:rFonts w:ascii="Times New Roman" w:cs="Times New Roman" w:hAnsi="Times New Roman"/>
          <w:sz w:val="24"/>
          <w:szCs w:val="24"/>
        </w:rPr>
        <w:t>LePine</w:t>
      </w:r>
      <w:r>
        <w:rPr>
          <w:rFonts w:ascii="Times New Roman" w:cs="Times New Roman" w:hAnsi="Times New Roman"/>
          <w:sz w:val="24"/>
          <w:szCs w:val="24"/>
        </w:rPr>
        <w:t xml:space="preserve">, J. A., &amp; Crawford, E. R. (2010). </w:t>
      </w:r>
      <w:r>
        <w:rPr>
          <w:rFonts w:ascii="Times New Roman" w:cs="Times New Roman" w:hAnsi="Times New Roman"/>
          <w:i/>
          <w:iCs/>
          <w:sz w:val="24"/>
          <w:szCs w:val="24"/>
        </w:rPr>
        <w:t>Job engagement:</w:t>
      </w:r>
      <w:r>
        <w:rPr>
          <w:rFonts w:ascii="Times New Roman" w:cs="Times New Roman" w:hAnsi="Times New Roman"/>
          <w:sz w:val="24"/>
          <w:szCs w:val="24"/>
        </w:rPr>
        <w:t xml:space="preserve"> Antecedents and effects on job performance. Academy of Management Journal, 53, 617-635.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Rahmani, K., </w:t>
      </w:r>
      <w:r>
        <w:rPr>
          <w:rFonts w:ascii="Times New Roman" w:cs="Times New Roman" w:hAnsi="Times New Roman"/>
          <w:sz w:val="24"/>
          <w:szCs w:val="24"/>
        </w:rPr>
        <w:t>Gnoth</w:t>
      </w:r>
      <w:r>
        <w:rPr>
          <w:rFonts w:ascii="Times New Roman" w:cs="Times New Roman" w:hAnsi="Times New Roman"/>
          <w:sz w:val="24"/>
          <w:szCs w:val="24"/>
        </w:rPr>
        <w:t xml:space="preserve">, J., &amp; Mather, D. (2018). </w:t>
      </w:r>
      <w:r>
        <w:rPr>
          <w:rFonts w:ascii="Times New Roman" w:cs="Times New Roman" w:hAnsi="Times New Roman"/>
          <w:i/>
          <w:iCs/>
          <w:sz w:val="24"/>
          <w:szCs w:val="24"/>
        </w:rPr>
        <w:t>Hedonic and eudaimonic well-being:</w:t>
      </w:r>
      <w:r>
        <w:rPr>
          <w:rFonts w:ascii="Times New Roman" w:cs="Times New Roman" w:hAnsi="Times New Roman"/>
          <w:sz w:val="24"/>
          <w:szCs w:val="24"/>
        </w:rPr>
        <w:t xml:space="preserve"> A psycholinguistic view. Tourism Management, 69, 155–166. </w:t>
      </w:r>
      <w:r>
        <w:rPr/>
        <w:fldChar w:fldCharType="begin"/>
      </w:r>
      <w:r>
        <w:instrText xml:space="preserve"> HYPERLINK "https://doi.org/https://doi.org/10.1016/j.tourman.2018.06.008" </w:instrText>
      </w:r>
      <w:r>
        <w:rPr/>
        <w:fldChar w:fldCharType="separate"/>
      </w:r>
      <w:r>
        <w:rPr>
          <w:rStyle w:val="style85"/>
          <w:rFonts w:ascii="Times New Roman" w:cs="Times New Roman" w:hAnsi="Times New Roman"/>
          <w:sz w:val="24"/>
          <w:szCs w:val="24"/>
        </w:rPr>
        <w:t>https://doi.org/https://doi.org/10.1016/j.tourman.2018.06.008</w:t>
      </w:r>
      <w:r>
        <w:rPr/>
        <w:fldChar w:fldCharType="end"/>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Ribeiro, N., Duarte, A. P., &amp; Filipe, R. (2018). </w:t>
      </w:r>
      <w:r>
        <w:rPr>
          <w:rFonts w:ascii="Times New Roman" w:cs="Times New Roman" w:hAnsi="Times New Roman"/>
          <w:i/>
          <w:iCs/>
          <w:sz w:val="24"/>
          <w:szCs w:val="24"/>
        </w:rPr>
        <w:t>How authentic leadership promotes individual performance:</w:t>
      </w:r>
      <w:r>
        <w:rPr>
          <w:rFonts w:ascii="Times New Roman" w:cs="Times New Roman" w:hAnsi="Times New Roman"/>
          <w:sz w:val="24"/>
          <w:szCs w:val="24"/>
        </w:rPr>
        <w:t xml:space="preserve"> Mediating role of organizational citizenship </w:t>
      </w:r>
      <w:r>
        <w:rPr>
          <w:rFonts w:ascii="Times New Roman" w:cs="Times New Roman" w:hAnsi="Times New Roman"/>
          <w:sz w:val="24"/>
          <w:szCs w:val="24"/>
        </w:rPr>
        <w:t>behavior</w:t>
      </w:r>
      <w:r>
        <w:rPr>
          <w:rFonts w:ascii="Times New Roman" w:cs="Times New Roman" w:hAnsi="Times New Roman"/>
          <w:sz w:val="24"/>
          <w:szCs w:val="24"/>
        </w:rPr>
        <w:t xml:space="preserve"> and creativity. International Journal of Productivity and Performance Management, 67(9), 1585–1607. </w:t>
      </w:r>
      <w:r>
        <w:rPr/>
        <w:fldChar w:fldCharType="begin"/>
      </w:r>
      <w:r>
        <w:instrText xml:space="preserve"> HYPERLINK "https://doi.org/10.1108/IJPPM-11-2017-0318" </w:instrText>
      </w:r>
      <w:r>
        <w:rPr/>
        <w:fldChar w:fldCharType="separate"/>
      </w:r>
      <w:r>
        <w:rPr>
          <w:rStyle w:val="style85"/>
          <w:rFonts w:ascii="Times New Roman" w:cs="Times New Roman" w:hAnsi="Times New Roman"/>
          <w:sz w:val="24"/>
          <w:szCs w:val="24"/>
        </w:rPr>
        <w:t>https://doi.org/10.1108/IJPPM-11-2017-0318</w:t>
      </w:r>
      <w:r>
        <w:rPr/>
        <w:fldChar w:fldCharType="end"/>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Satardien</w:t>
      </w:r>
      <w:r>
        <w:rPr>
          <w:rFonts w:ascii="Times New Roman" w:cs="Times New Roman" w:hAnsi="Times New Roman"/>
          <w:sz w:val="24"/>
          <w:szCs w:val="24"/>
        </w:rPr>
        <w:t xml:space="preserve">, L. J. R., &amp; Mahembe, B. (2019). The influence of brand personality on brand loyalty: The moderating role of gender. Acta </w:t>
      </w:r>
      <w:r>
        <w:rPr>
          <w:rFonts w:ascii="Times New Roman" w:cs="Times New Roman" w:hAnsi="Times New Roman"/>
          <w:sz w:val="24"/>
          <w:szCs w:val="24"/>
        </w:rPr>
        <w:t>Commercii</w:t>
      </w:r>
      <w:r>
        <w:rPr>
          <w:rFonts w:ascii="Times New Roman" w:cs="Times New Roman" w:hAnsi="Times New Roman"/>
          <w:sz w:val="24"/>
          <w:szCs w:val="24"/>
        </w:rPr>
        <w:t>, 1, 1–11.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Schaufeli, W. B., &amp; Bakker, A. B. (2004)</w:t>
      </w:r>
      <w:r>
        <w:rPr>
          <w:rFonts w:ascii="Times New Roman" w:cs="Times New Roman" w:hAnsi="Times New Roman"/>
          <w:i/>
          <w:iCs/>
          <w:sz w:val="24"/>
          <w:szCs w:val="24"/>
        </w:rPr>
        <w:t xml:space="preserve">. Job demands, job resources, and their relationship with burnout and engagement: </w:t>
      </w:r>
      <w:r>
        <w:rPr>
          <w:rFonts w:ascii="Times New Roman" w:cs="Times New Roman" w:hAnsi="Times New Roman"/>
          <w:sz w:val="24"/>
          <w:szCs w:val="24"/>
        </w:rPr>
        <w:t xml:space="preserve">A multi-sample study. Journal of Organizational </w:t>
      </w:r>
      <w:r>
        <w:rPr>
          <w:rFonts w:ascii="Times New Roman" w:cs="Times New Roman" w:hAnsi="Times New Roman"/>
          <w:sz w:val="24"/>
          <w:szCs w:val="24"/>
        </w:rPr>
        <w:t>Behavior</w:t>
      </w:r>
      <w:r>
        <w:rPr>
          <w:rFonts w:ascii="Times New Roman" w:cs="Times New Roman" w:hAnsi="Times New Roman"/>
          <w:sz w:val="24"/>
          <w:szCs w:val="24"/>
        </w:rPr>
        <w:t>, 25(3), 293-315.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Schaufeli, W. B., </w:t>
      </w:r>
      <w:r>
        <w:rPr>
          <w:rFonts w:ascii="Times New Roman" w:cs="Times New Roman" w:hAnsi="Times New Roman"/>
          <w:sz w:val="24"/>
          <w:szCs w:val="24"/>
        </w:rPr>
        <w:t>Salanova</w:t>
      </w:r>
      <w:r>
        <w:rPr>
          <w:rFonts w:ascii="Times New Roman" w:cs="Times New Roman" w:hAnsi="Times New Roman"/>
          <w:sz w:val="24"/>
          <w:szCs w:val="24"/>
        </w:rPr>
        <w:t>, M., González-</w:t>
      </w:r>
      <w:r>
        <w:rPr>
          <w:rFonts w:ascii="Times New Roman" w:cs="Times New Roman" w:hAnsi="Times New Roman"/>
          <w:sz w:val="24"/>
          <w:szCs w:val="24"/>
        </w:rPr>
        <w:t>Romá</w:t>
      </w:r>
      <w:r>
        <w:rPr>
          <w:rFonts w:ascii="Times New Roman" w:cs="Times New Roman" w:hAnsi="Times New Roman"/>
          <w:sz w:val="24"/>
          <w:szCs w:val="24"/>
        </w:rPr>
        <w:t>, V., &amp; Bakker, A. B. (2002).</w:t>
      </w:r>
      <w:r>
        <w:rPr>
          <w:rFonts w:ascii="Times New Roman" w:cs="Times New Roman" w:hAnsi="Times New Roman"/>
          <w:i/>
          <w:iCs/>
          <w:sz w:val="24"/>
          <w:szCs w:val="24"/>
        </w:rPr>
        <w:t xml:space="preserve"> The measurement of engagement and burnout</w:t>
      </w:r>
      <w:r>
        <w:rPr>
          <w:rFonts w:ascii="Times New Roman" w:cs="Times New Roman" w:hAnsi="Times New Roman"/>
          <w:sz w:val="24"/>
          <w:szCs w:val="24"/>
        </w:rPr>
        <w:t xml:space="preserve">: A </w:t>
      </w:r>
      <w:r>
        <w:rPr>
          <w:rFonts w:ascii="Times New Roman" w:cs="Times New Roman" w:hAnsi="Times New Roman"/>
          <w:sz w:val="24"/>
          <w:szCs w:val="24"/>
        </w:rPr>
        <w:t>two sample</w:t>
      </w:r>
      <w:r>
        <w:rPr>
          <w:rFonts w:ascii="Times New Roman" w:cs="Times New Roman" w:hAnsi="Times New Roman"/>
          <w:sz w:val="24"/>
          <w:szCs w:val="24"/>
        </w:rPr>
        <w:t xml:space="preserve"> confirmatory factor analytic approach. Journal of Happiness Studies, 3(1), 71-92.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Schaufeli, W. B., &amp; Bakker, A. B. (2010). </w:t>
      </w:r>
      <w:r>
        <w:rPr>
          <w:rFonts w:ascii="Times New Roman" w:cs="Times New Roman" w:hAnsi="Times New Roman"/>
          <w:i/>
          <w:iCs/>
          <w:sz w:val="24"/>
          <w:szCs w:val="24"/>
        </w:rPr>
        <w:t>Defining and measuring work engagement:</w:t>
      </w:r>
      <w:r>
        <w:rPr>
          <w:rFonts w:ascii="Times New Roman" w:cs="Times New Roman" w:hAnsi="Times New Roman"/>
          <w:sz w:val="24"/>
          <w:szCs w:val="24"/>
        </w:rPr>
        <w:t xml:space="preserve"> Bringing clarity to the concept. In A. B. Bakker &amp; M. P. Leiter (Eds.), Work engagement: A handbook of essential theory and research (pp. 10-24). New York, NY: Psychology Press.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Schaufeli, Wilmar B., Arnold Bakker, and Willem Van </w:t>
      </w:r>
      <w:r>
        <w:rPr>
          <w:rFonts w:ascii="Times New Roman" w:cs="Times New Roman" w:hAnsi="Times New Roman"/>
          <w:sz w:val="24"/>
          <w:szCs w:val="24"/>
        </w:rPr>
        <w:t>Rhenen</w:t>
      </w:r>
      <w:r>
        <w:rPr>
          <w:rFonts w:ascii="Times New Roman" w:cs="Times New Roman" w:hAnsi="Times New Roman"/>
          <w:sz w:val="24"/>
          <w:szCs w:val="24"/>
        </w:rPr>
        <w:t xml:space="preserve"> (2009). </w:t>
      </w:r>
      <w:r>
        <w:rPr>
          <w:rFonts w:ascii="Times New Roman" w:cs="Times New Roman" w:hAnsi="Times New Roman"/>
          <w:i/>
          <w:iCs/>
          <w:sz w:val="24"/>
          <w:szCs w:val="24"/>
        </w:rPr>
        <w:t>How changes in job demands and resources predict burnout, work engagement, and sickness absenteeism</w:t>
      </w:r>
      <w:r>
        <w:rPr>
          <w:rFonts w:ascii="Times New Roman" w:cs="Times New Roman" w:hAnsi="Times New Roman"/>
          <w:sz w:val="24"/>
          <w:szCs w:val="24"/>
        </w:rPr>
        <w:t xml:space="preserve">. Journal of </w:t>
      </w:r>
      <w:r>
        <w:rPr>
          <w:rFonts w:ascii="Times New Roman" w:cs="Times New Roman" w:hAnsi="Times New Roman"/>
          <w:sz w:val="24"/>
          <w:szCs w:val="24"/>
        </w:rPr>
        <w:t>Organizaonal</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Terre Blanche, M., &amp; </w:t>
      </w:r>
      <w:r>
        <w:rPr>
          <w:rFonts w:ascii="Times New Roman" w:cs="Times New Roman" w:hAnsi="Times New Roman"/>
          <w:sz w:val="24"/>
          <w:szCs w:val="24"/>
        </w:rPr>
        <w:t>Durrheim</w:t>
      </w:r>
      <w:r>
        <w:rPr>
          <w:rFonts w:ascii="Times New Roman" w:cs="Times New Roman" w:hAnsi="Times New Roman"/>
          <w:sz w:val="24"/>
          <w:szCs w:val="24"/>
        </w:rPr>
        <w:t>, K. (1999). Research in practice. UCT Press.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World Health Organization (2020) – </w:t>
      </w:r>
      <w:r>
        <w:rPr>
          <w:rFonts w:ascii="Times New Roman" w:cs="Times New Roman" w:hAnsi="Times New Roman"/>
          <w:i/>
          <w:iCs/>
          <w:sz w:val="24"/>
          <w:szCs w:val="24"/>
        </w:rPr>
        <w:t xml:space="preserve">Enhancing mental health pre-service training with the </w:t>
      </w:r>
      <w:r>
        <w:rPr>
          <w:rFonts w:ascii="Times New Roman" w:cs="Times New Roman" w:hAnsi="Times New Roman"/>
          <w:i/>
          <w:iCs/>
          <w:sz w:val="24"/>
          <w:szCs w:val="24"/>
        </w:rPr>
        <w:t>mhGAP</w:t>
      </w:r>
      <w:r>
        <w:rPr>
          <w:rFonts w:ascii="Times New Roman" w:cs="Times New Roman" w:hAnsi="Times New Roman"/>
          <w:i/>
          <w:iCs/>
          <w:sz w:val="24"/>
          <w:szCs w:val="24"/>
        </w:rPr>
        <w:t xml:space="preserve"> Intervention Guide: experiences and lessons learned </w:t>
      </w:r>
      <w:r>
        <w:rPr/>
        <w:fldChar w:fldCharType="begin"/>
      </w:r>
      <w:r>
        <w:instrText xml:space="preserve"> HYPERLINK "https://www.who.int/publications/i/item/9789240007%20666" </w:instrText>
      </w:r>
      <w:r>
        <w:rPr/>
        <w:fldChar w:fldCharType="separate"/>
      </w:r>
      <w:r>
        <w:rPr>
          <w:rStyle w:val="style85"/>
          <w:rFonts w:ascii="Times New Roman" w:cs="Times New Roman" w:hAnsi="Times New Roman"/>
          <w:sz w:val="24"/>
          <w:szCs w:val="24"/>
        </w:rPr>
        <w:t>https://www.who.int/publications/i/item/9789240007 666</w:t>
      </w:r>
      <w:r>
        <w:rPr/>
        <w:fldChar w:fldCharType="end"/>
      </w:r>
      <w:r>
        <w:rPr>
          <w:rFonts w:ascii="Times New Roman" w:cs="Times New Roman" w:hAnsi="Times New Roman"/>
          <w:sz w:val="24"/>
          <w:szCs w:val="24"/>
        </w:rPr>
        <w:t>.</w:t>
      </w:r>
    </w:p>
    <w:p>
      <w:pPr>
        <w:pStyle w:val="style179"/>
        <w:spacing w:lineRule="auto" w:line="360"/>
        <w:ind w:left="360"/>
        <w:jc w:val="both"/>
        <w:rPr>
          <w:rFonts w:ascii="Times New Roman" w:cs="Times New Roman" w:hAnsi="Times New Roman"/>
          <w:b/>
          <w:bCs/>
          <w:sz w:val="24"/>
          <w:szCs w:val="24"/>
          <w:lang w:val="en-US"/>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200247B" w:usb2="00000009" w:usb3="00000000" w:csb0="000001FF" w:csb1="00000000"/>
  </w:font>
  <w:font w:name="Calibri Light">
    <w:altName w:val="Calibri Light"/>
    <w:panose1 w:val="020f0302020000030204"/>
    <w:charset w:val="00"/>
    <w:family w:val="swiss"/>
    <w:pitch w:val="variable"/>
    <w:sig w:usb0="E4002EFF" w:usb1="C200247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D62AB4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0000001"/>
    <w:multiLevelType w:val="multilevel"/>
    <w:tmpl w:val="CF6C1BB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000002"/>
    <w:multiLevelType w:val="multilevel"/>
    <w:tmpl w:val="742C441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ZM"/>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Calibri Light" w:cs="宋体" w:eastAsia="宋体"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cs="宋体" w:eastAsia="宋体"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2f5496"/>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2f5496"/>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24105787-95b4-4746-aaad-5852caac983a"/>
    <w:basedOn w:val="style65"/>
    <w:next w:val="style4097"/>
    <w:link w:val="style1"/>
    <w:uiPriority w:val="9"/>
    <w:rPr>
      <w:rFonts w:ascii="Calibri Light" w:cs="宋体" w:eastAsia="宋体" w:hAnsi="Calibri Light"/>
      <w:color w:val="2f5496"/>
      <w:sz w:val="40"/>
      <w:szCs w:val="40"/>
    </w:rPr>
  </w:style>
  <w:style w:type="character" w:customStyle="1" w:styleId="style4098">
    <w:name w:val="Heading 2 Char_250a8274-d769-4189-b6a4-8f75a99f0a7f"/>
    <w:basedOn w:val="style65"/>
    <w:next w:val="style4098"/>
    <w:link w:val="style2"/>
    <w:uiPriority w:val="9"/>
    <w:rPr>
      <w:rFonts w:ascii="Calibri Light" w:cs="宋体" w:eastAsia="宋体" w:hAnsi="Calibri Light"/>
      <w:color w:val="2f5496"/>
      <w:sz w:val="32"/>
      <w:szCs w:val="32"/>
    </w:rPr>
  </w:style>
  <w:style w:type="character" w:customStyle="1" w:styleId="style4099">
    <w:name w:val="Heading 3 Char_0714797e-d7c1-4212-9533-8c4517c26e03"/>
    <w:basedOn w:val="style65"/>
    <w:next w:val="style4099"/>
    <w:link w:val="style3"/>
    <w:uiPriority w:val="9"/>
    <w:rPr>
      <w:rFonts w:cs="宋体" w:eastAsia="宋体"/>
      <w:color w:val="2f5496"/>
      <w:sz w:val="28"/>
      <w:szCs w:val="28"/>
    </w:rPr>
  </w:style>
  <w:style w:type="character" w:customStyle="1" w:styleId="style4100">
    <w:name w:val="Heading 4 Char_07be295e-860f-40a0-af09-7ec7d5198b8a"/>
    <w:basedOn w:val="style65"/>
    <w:next w:val="style4100"/>
    <w:link w:val="style4"/>
    <w:uiPriority w:val="9"/>
    <w:rPr>
      <w:rFonts w:cs="宋体" w:eastAsia="宋体"/>
      <w:i/>
      <w:iCs/>
      <w:color w:val="2f5496"/>
    </w:rPr>
  </w:style>
  <w:style w:type="character" w:customStyle="1" w:styleId="style4101">
    <w:name w:val="Heading 5 Char_0c732403-9843-48e8-ac12-89caeb1dc598"/>
    <w:basedOn w:val="style65"/>
    <w:next w:val="style4101"/>
    <w:link w:val="style5"/>
    <w:uiPriority w:val="9"/>
    <w:rPr>
      <w:rFonts w:cs="宋体" w:eastAsia="宋体"/>
      <w:color w:val="2f5496"/>
    </w:rPr>
  </w:style>
  <w:style w:type="character" w:customStyle="1" w:styleId="style4102">
    <w:name w:val="Heading 6 Char_09cb764a-d926-45b0-9ab2-920ba8476588"/>
    <w:basedOn w:val="style65"/>
    <w:next w:val="style4102"/>
    <w:link w:val="style6"/>
    <w:uiPriority w:val="9"/>
    <w:rPr>
      <w:rFonts w:cs="宋体" w:eastAsia="宋体"/>
      <w:i/>
      <w:iCs/>
      <w:color w:val="595959"/>
    </w:rPr>
  </w:style>
  <w:style w:type="character" w:customStyle="1" w:styleId="style4103">
    <w:name w:val="Heading 7 Char_2b6f3e99-dc0f-4267-b684-0b9f8d66a7bd"/>
    <w:basedOn w:val="style65"/>
    <w:next w:val="style4103"/>
    <w:link w:val="style7"/>
    <w:uiPriority w:val="9"/>
    <w:rPr>
      <w:rFonts w:cs="宋体" w:eastAsia="宋体"/>
      <w:color w:val="595959"/>
    </w:rPr>
  </w:style>
  <w:style w:type="character" w:customStyle="1" w:styleId="style4104">
    <w:name w:val="Heading 8 Char_39415e44-0f81-4e7b-b041-6680ecc22fbd"/>
    <w:basedOn w:val="style65"/>
    <w:next w:val="style4104"/>
    <w:link w:val="style8"/>
    <w:uiPriority w:val="9"/>
    <w:rPr>
      <w:rFonts w:cs="宋体" w:eastAsia="宋体"/>
      <w:i/>
      <w:iCs/>
      <w:color w:val="272727"/>
    </w:rPr>
  </w:style>
  <w:style w:type="character" w:customStyle="1" w:styleId="style4105">
    <w:name w:val="Heading 9 Char_46dfc63d-7ce4-4665-a0a5-9daaa5a17a58"/>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Calibri Light" w:cs="宋体" w:eastAsia="宋体" w:hAnsi="Calibri Light"/>
      <w:spacing w:val="-10"/>
      <w:kern w:val="28"/>
      <w:sz w:val="56"/>
      <w:szCs w:val="56"/>
    </w:rPr>
  </w:style>
  <w:style w:type="character" w:customStyle="1" w:styleId="style4106">
    <w:name w:val="Title Char_fca9f9d8-cecb-48dd-bb33-9292b5d2a88f"/>
    <w:basedOn w:val="style65"/>
    <w:next w:val="style4106"/>
    <w:link w:val="style62"/>
    <w:uiPriority w:val="10"/>
    <w:rPr>
      <w:rFonts w:ascii="Calibri Light" w:cs="宋体"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c3f746ac-c6f9-4e05-bea8-3f67f3369797"/>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Intense Quote Char_88a541ee-710f-4b65-81b7-5e8062f8f49d"/>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156">
    <w:name w:val="Placeholder Text"/>
    <w:basedOn w:val="style65"/>
    <w:next w:val="style156"/>
    <w:uiPriority w:val="99"/>
    <w:rPr>
      <w:color w:val="666666"/>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110"/>
    <w:uiPriority w:val="99"/>
    <w:pPr>
      <w:spacing w:lineRule="auto" w:line="240"/>
    </w:pPr>
    <w:rPr>
      <w:sz w:val="20"/>
      <w:szCs w:val="20"/>
    </w:rPr>
  </w:style>
  <w:style w:type="character" w:customStyle="1" w:styleId="style4110">
    <w:name w:val="Comment Text Char"/>
    <w:basedOn w:val="style65"/>
    <w:next w:val="style4110"/>
    <w:link w:val="style30"/>
    <w:uiPriority w:val="99"/>
    <w:rPr>
      <w:sz w:val="20"/>
      <w:szCs w:val="20"/>
    </w:rPr>
  </w:style>
  <w:style w:type="paragraph" w:styleId="style106">
    <w:name w:val="annotation subject"/>
    <w:basedOn w:val="style30"/>
    <w:next w:val="style30"/>
    <w:link w:val="style4111"/>
    <w:uiPriority w:val="99"/>
    <w:pPr/>
    <w:rPr>
      <w:b/>
      <w:bCs/>
    </w:rPr>
  </w:style>
  <w:style w:type="character" w:customStyle="1" w:styleId="style4111">
    <w:name w:val="Comment Subject Char"/>
    <w:basedOn w:val="style4110"/>
    <w:next w:val="style4111"/>
    <w:link w:val="style106"/>
    <w:uiPriority w:val="99"/>
    <w:rPr>
      <w:b/>
      <w:bCs/>
      <w:sz w:val="20"/>
      <w:szCs w:val="20"/>
    </w:rPr>
  </w:style>
  <w:style w:type="paragraph" w:styleId="style31">
    <w:name w:val="header"/>
    <w:basedOn w:val="style0"/>
    <w:next w:val="style31"/>
    <w:link w:val="style4112"/>
    <w:uiPriority w:val="99"/>
    <w:pPr>
      <w:tabs>
        <w:tab w:val="center" w:leader="none" w:pos="4513"/>
        <w:tab w:val="right" w:leader="none" w:pos="9026"/>
      </w:tabs>
      <w:spacing w:after="0" w:lineRule="auto" w:line="240"/>
    </w:pPr>
    <w:rPr/>
  </w:style>
  <w:style w:type="character" w:customStyle="1" w:styleId="style4112">
    <w:name w:val="Header Char_f749d778-6e7d-4f97-917a-2535063d2cf4"/>
    <w:basedOn w:val="style65"/>
    <w:next w:val="style4112"/>
    <w:link w:val="style31"/>
    <w:uiPriority w:val="99"/>
  </w:style>
  <w:style w:type="paragraph" w:styleId="style32">
    <w:name w:val="footer"/>
    <w:basedOn w:val="style0"/>
    <w:next w:val="style32"/>
    <w:link w:val="style4113"/>
    <w:uiPriority w:val="99"/>
    <w:pPr>
      <w:tabs>
        <w:tab w:val="center" w:leader="none" w:pos="4513"/>
        <w:tab w:val="right" w:leader="none" w:pos="9026"/>
      </w:tabs>
      <w:spacing w:after="0" w:lineRule="auto" w:line="240"/>
    </w:pPr>
    <w:rPr/>
  </w:style>
  <w:style w:type="character" w:customStyle="1" w:styleId="style4113">
    <w:name w:val="Footer Char_2cb12fd8-7095-48d1-9921-439cde60de24"/>
    <w:basedOn w:val="style65"/>
    <w:next w:val="style4113"/>
    <w:link w:val="style32"/>
    <w:uiPriority w:val="99"/>
  </w:style>
  <w:style w:type="character" w:styleId="style85">
    <w:name w:val="Hyperlink"/>
    <w:basedOn w:val="style65"/>
    <w:next w:val="style85"/>
    <w:uiPriority w:val="99"/>
    <w:rPr>
      <w:color w:val="0563c1"/>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506</TotalTime>
  <Words>3832</Words>
  <Pages>15</Pages>
  <Characters>22649</Characters>
  <Application>WPS Office</Application>
  <DocSecurity>0</DocSecurity>
  <Paragraphs>330</Paragraphs>
  <ScaleCrop>false</ScaleCrop>
  <LinksUpToDate>false</LinksUpToDate>
  <CharactersWithSpaces>27279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2026-05-20T16:29:00Z</dcterms:created>
  <dc:creator>USER</dc:creator>
  <lastModifiedBy>SM-G955F</lastModifiedBy>
  <dcterms:modified xsi:type="dcterms:W3CDTF">2026-07-03T14:26:58Z</dcterms:modified>
  <revision>51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81c8c1fb41594b73980b9ff1e9de3cc1</vt:lpwstr>
  </property>
</Properties>
</file>