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42A0" w14:textId="61984CC5" w:rsidR="009A6D90" w:rsidRPr="00EB4F38" w:rsidRDefault="009A6D90" w:rsidP="009A6D90">
      <w:pPr>
        <w:jc w:val="both"/>
        <w:rPr>
          <w:rFonts w:ascii="Times New Roman" w:hAnsi="Times New Roman" w:cs="Times New Roman"/>
          <w:b/>
          <w:bCs/>
        </w:rPr>
      </w:pPr>
      <w:r w:rsidRPr="00EB4F38">
        <w:rPr>
          <w:rFonts w:ascii="Times New Roman" w:hAnsi="Times New Roman" w:cs="Times New Roman"/>
          <w:b/>
          <w:bCs/>
        </w:rPr>
        <w:t>Challenges Faced by Scheduled Caste Students in Higher Education in India</w:t>
      </w:r>
    </w:p>
    <w:p w14:paraId="6831BC5A" w14:textId="0CCD8E1C" w:rsidR="00B307FB" w:rsidRPr="00EB4F38" w:rsidRDefault="00B307FB" w:rsidP="009A6D90">
      <w:pPr>
        <w:jc w:val="both"/>
        <w:rPr>
          <w:rFonts w:ascii="Times New Roman" w:hAnsi="Times New Roman" w:cs="Times New Roman"/>
          <w:b/>
          <w:bCs/>
        </w:rPr>
      </w:pPr>
      <w:r w:rsidRPr="00EB4F38">
        <w:rPr>
          <w:rFonts w:ascii="Times New Roman" w:hAnsi="Times New Roman" w:cs="Times New Roman"/>
          <w:b/>
          <w:bCs/>
        </w:rPr>
        <w:t/>
      </w:r>
    </w:p>
    <w:p w14:paraId="653FE39E" w14:textId="299CB77F" w:rsidR="009A6D90" w:rsidRPr="00EB4F38" w:rsidRDefault="00EB4F38" w:rsidP="009A6D90">
      <w:pPr>
        <w:jc w:val="both"/>
        <w:rPr>
          <w:rFonts w:ascii="Times New Roman" w:hAnsi="Times New Roman" w:cs="Times New Roman"/>
          <w:b/>
          <w:bCs/>
        </w:rPr>
      </w:pPr>
      <w:r w:rsidRPr="00EB4F38">
        <w:rPr>
          <w:rFonts w:ascii="Times New Roman" w:hAnsi="Times New Roman" w:cs="Times New Roman"/>
          <w:b/>
          <w:bCs/>
        </w:rPr>
        <w:t>ABSTRACT</w:t>
      </w:r>
    </w:p>
    <w:p w14:paraId="5F0C0907" w14:textId="77777777" w:rsidR="009A6D90" w:rsidRPr="00EB4F38" w:rsidRDefault="009A6D90" w:rsidP="009A6D90">
      <w:pPr>
        <w:jc w:val="both"/>
        <w:rPr>
          <w:rFonts w:ascii="Times New Roman" w:hAnsi="Times New Roman" w:cs="Times New Roman"/>
        </w:rPr>
      </w:pPr>
    </w:p>
    <w:p w14:paraId="6BC32935" w14:textId="7E6C6201" w:rsidR="009A6D90" w:rsidRPr="00EB4F38" w:rsidRDefault="009A6D90" w:rsidP="009A6D90">
      <w:pPr>
        <w:jc w:val="both"/>
        <w:rPr>
          <w:rFonts w:ascii="Times New Roman" w:hAnsi="Times New Roman" w:cs="Times New Roman"/>
        </w:rPr>
      </w:pPr>
      <w:r w:rsidRPr="00EB4F38">
        <w:rPr>
          <w:rFonts w:ascii="Times New Roman" w:hAnsi="Times New Roman" w:cs="Times New Roman"/>
        </w:rPr>
        <w:t xml:space="preserve">Higher education plays a </w:t>
      </w:r>
      <w:r w:rsidR="00C43B96" w:rsidRPr="00EB4F38">
        <w:rPr>
          <w:rFonts w:ascii="Times New Roman" w:hAnsi="Times New Roman" w:cs="Times New Roman"/>
        </w:rPr>
        <w:t>significant</w:t>
      </w:r>
      <w:r w:rsidRPr="00EB4F38">
        <w:rPr>
          <w:rFonts w:ascii="Times New Roman" w:hAnsi="Times New Roman" w:cs="Times New Roman"/>
        </w:rPr>
        <w:t xml:space="preserve"> role in promoting social mobility, economic empowerment, and democratic participation. In India, however, access to higher education remains unevenly distributed across social groups due to the enduring influence of caste-based hierarchies. Scheduled Castes (SCs), historically subjected to social exclusion and discrimination, continue to face significant barriers in accessing and sustaining participation in higher education despite constitutional safeguards and affirmative action policies. This paper examines the major challenges faced by </w:t>
      </w:r>
      <w:r w:rsidR="00C43B96" w:rsidRPr="00EB4F38">
        <w:rPr>
          <w:rFonts w:ascii="Times New Roman" w:hAnsi="Times New Roman" w:cs="Times New Roman"/>
        </w:rPr>
        <w:t>SC</w:t>
      </w:r>
      <w:r w:rsidRPr="00EB4F38">
        <w:rPr>
          <w:rFonts w:ascii="Times New Roman" w:hAnsi="Times New Roman" w:cs="Times New Roman"/>
        </w:rPr>
        <w:t xml:space="preserve"> students in higher education in India using secondary data drawn from government reports, national surveys, and existing scholarly literature. The study </w:t>
      </w:r>
      <w:proofErr w:type="spellStart"/>
      <w:r w:rsidRPr="00EB4F38">
        <w:rPr>
          <w:rFonts w:ascii="Times New Roman" w:hAnsi="Times New Roman" w:cs="Times New Roman"/>
        </w:rPr>
        <w:t>analyzes</w:t>
      </w:r>
      <w:proofErr w:type="spellEnd"/>
      <w:r w:rsidRPr="00EB4F38">
        <w:rPr>
          <w:rFonts w:ascii="Times New Roman" w:hAnsi="Times New Roman" w:cs="Times New Roman"/>
        </w:rPr>
        <w:t xml:space="preserve"> patterns of enrolment, socio-economic constraints, institutional limitations, caste-based discrimination, psychological stress, and the impact of privatization. The findings reveal that structural inequalities, economic deprivation, and subtle forms of discrimination continue to marginalize SC students within higher education institutions. The paper argues for the need to move beyond access-based policies towards inclusive institutional reforms that ensure equity, dignity, and academic success for S</w:t>
      </w:r>
      <w:r w:rsidR="00831223">
        <w:rPr>
          <w:rFonts w:ascii="Times New Roman" w:hAnsi="Times New Roman" w:cs="Times New Roman"/>
        </w:rPr>
        <w:t xml:space="preserve">C </w:t>
      </w:r>
      <w:r w:rsidRPr="00EB4F38">
        <w:rPr>
          <w:rFonts w:ascii="Times New Roman" w:hAnsi="Times New Roman" w:cs="Times New Roman"/>
        </w:rPr>
        <w:t>students.</w:t>
      </w:r>
    </w:p>
    <w:p w14:paraId="3910C406" w14:textId="77777777" w:rsidR="009A6D90" w:rsidRPr="00EB4F38" w:rsidRDefault="009A6D90" w:rsidP="009A6D90">
      <w:pPr>
        <w:jc w:val="both"/>
        <w:rPr>
          <w:rFonts w:ascii="Times New Roman" w:hAnsi="Times New Roman" w:cs="Times New Roman"/>
        </w:rPr>
      </w:pPr>
    </w:p>
    <w:p w14:paraId="533CF810" w14:textId="625F1A7B" w:rsidR="009A6D90" w:rsidRPr="00EB4F38" w:rsidRDefault="00EB4F38" w:rsidP="009A6D90">
      <w:pPr>
        <w:jc w:val="both"/>
        <w:rPr>
          <w:rFonts w:ascii="Times New Roman" w:hAnsi="Times New Roman" w:cs="Times New Roman"/>
        </w:rPr>
      </w:pPr>
      <w:r w:rsidRPr="00EB4F38">
        <w:rPr>
          <w:rFonts w:ascii="Times New Roman" w:hAnsi="Times New Roman" w:cs="Times New Roman"/>
          <w:b/>
          <w:bCs/>
        </w:rPr>
        <w:t>KEYWORDS</w:t>
      </w:r>
      <w:r w:rsidR="009A6D90" w:rsidRPr="00EB4F38">
        <w:rPr>
          <w:rFonts w:ascii="Times New Roman" w:hAnsi="Times New Roman" w:cs="Times New Roman"/>
        </w:rPr>
        <w:t>: Scheduled Castes, Higher Education, Caste Inequality, Social Exclusion, India</w:t>
      </w:r>
    </w:p>
    <w:p w14:paraId="65056E81" w14:textId="77777777" w:rsidR="009A6D90" w:rsidRPr="00EB4F38" w:rsidRDefault="009A6D90" w:rsidP="009A6D90">
      <w:pPr>
        <w:jc w:val="both"/>
        <w:rPr>
          <w:rFonts w:ascii="Times New Roman" w:hAnsi="Times New Roman" w:cs="Times New Roman"/>
        </w:rPr>
      </w:pPr>
    </w:p>
    <w:p w14:paraId="1C6D2BE6" w14:textId="09B7F9DE" w:rsidR="009A6D90" w:rsidRPr="00EB4F38" w:rsidRDefault="00EB4F38" w:rsidP="009A6D90">
      <w:pPr>
        <w:jc w:val="both"/>
        <w:rPr>
          <w:rFonts w:ascii="Times New Roman" w:hAnsi="Times New Roman" w:cs="Times New Roman"/>
          <w:b/>
          <w:bCs/>
          <w:u w:val="single"/>
        </w:rPr>
      </w:pPr>
      <w:r w:rsidRPr="00EB4F38">
        <w:rPr>
          <w:rFonts w:ascii="Times New Roman" w:hAnsi="Times New Roman" w:cs="Times New Roman"/>
          <w:b/>
          <w:bCs/>
          <w:u w:val="single"/>
        </w:rPr>
        <w:t>1.INTRODUCTION</w:t>
      </w:r>
    </w:p>
    <w:p w14:paraId="2339D2A6" w14:textId="77777777" w:rsidR="009A6D90" w:rsidRPr="00EB4F38" w:rsidRDefault="009A6D90" w:rsidP="009A6D90">
      <w:pPr>
        <w:jc w:val="both"/>
        <w:rPr>
          <w:rFonts w:ascii="Times New Roman" w:hAnsi="Times New Roman" w:cs="Times New Roman"/>
        </w:rPr>
      </w:pPr>
    </w:p>
    <w:p w14:paraId="7C52F7B4" w14:textId="64603497" w:rsidR="009A6D90" w:rsidRPr="00EB4F38" w:rsidRDefault="009A6D90" w:rsidP="009A6D90">
      <w:pPr>
        <w:jc w:val="both"/>
        <w:rPr>
          <w:rFonts w:ascii="Times New Roman" w:hAnsi="Times New Roman" w:cs="Times New Roman"/>
        </w:rPr>
      </w:pPr>
      <w:r w:rsidRPr="00EB4F38">
        <w:rPr>
          <w:rFonts w:ascii="Times New Roman" w:hAnsi="Times New Roman" w:cs="Times New Roman"/>
        </w:rPr>
        <w:t>Education has long been recognized as a powerful instrument for social transformation and upward mobility. In India, higher education is particularly significant for historically marginalized communities such as SCs, who have been subjected to centuries of social exclusion, discrimination, and economic deprivation. The caste system, a rigid form of social stratification, continues to shape life chances and access to resources, including education, employment, and social networks (Ambedkar, 1936; Thorat, 2006).</w:t>
      </w:r>
    </w:p>
    <w:p w14:paraId="15F5A696" w14:textId="77777777" w:rsidR="009A6D90" w:rsidRPr="00EB4F38" w:rsidRDefault="009A6D90" w:rsidP="009A6D90">
      <w:pPr>
        <w:jc w:val="both"/>
        <w:rPr>
          <w:rFonts w:ascii="Times New Roman" w:hAnsi="Times New Roman" w:cs="Times New Roman"/>
        </w:rPr>
      </w:pPr>
    </w:p>
    <w:p w14:paraId="0C047514" w14:textId="123C7FBF" w:rsidR="009A6D90" w:rsidRPr="00EB4F38" w:rsidRDefault="009A6D90" w:rsidP="009A6D90">
      <w:pPr>
        <w:jc w:val="both"/>
        <w:rPr>
          <w:rFonts w:ascii="Times New Roman" w:hAnsi="Times New Roman" w:cs="Times New Roman"/>
        </w:rPr>
      </w:pPr>
      <w:r w:rsidRPr="00EB4F38">
        <w:rPr>
          <w:rFonts w:ascii="Times New Roman" w:hAnsi="Times New Roman" w:cs="Times New Roman"/>
        </w:rPr>
        <w:t xml:space="preserve">Post-independence India adopted several constitutional measures to promote educational inclusion among marginalized communities. Articles 15(4), 15(5), and 46 of the Indian Constitution mandate the state to promote the educational and economic interests of </w:t>
      </w:r>
      <w:r w:rsidR="00B307FB" w:rsidRPr="00EB4F38">
        <w:rPr>
          <w:rFonts w:ascii="Times New Roman" w:hAnsi="Times New Roman" w:cs="Times New Roman"/>
        </w:rPr>
        <w:t>SC</w:t>
      </w:r>
      <w:r w:rsidRPr="00EB4F38">
        <w:rPr>
          <w:rFonts w:ascii="Times New Roman" w:hAnsi="Times New Roman" w:cs="Times New Roman"/>
        </w:rPr>
        <w:t xml:space="preserve"> and Scheduled </w:t>
      </w:r>
      <w:proofErr w:type="gramStart"/>
      <w:r w:rsidRPr="00EB4F38">
        <w:rPr>
          <w:rFonts w:ascii="Times New Roman" w:hAnsi="Times New Roman" w:cs="Times New Roman"/>
        </w:rPr>
        <w:t>Tribe</w:t>
      </w:r>
      <w:r w:rsidR="00B307FB" w:rsidRPr="00EB4F38">
        <w:rPr>
          <w:rFonts w:ascii="Times New Roman" w:hAnsi="Times New Roman" w:cs="Times New Roman"/>
        </w:rPr>
        <w:t>s(</w:t>
      </w:r>
      <w:proofErr w:type="gramEnd"/>
      <w:r w:rsidR="00B307FB" w:rsidRPr="00EB4F38">
        <w:rPr>
          <w:rFonts w:ascii="Times New Roman" w:hAnsi="Times New Roman" w:cs="Times New Roman"/>
        </w:rPr>
        <w:t>STs)</w:t>
      </w:r>
      <w:r w:rsidRPr="00EB4F38">
        <w:rPr>
          <w:rFonts w:ascii="Times New Roman" w:hAnsi="Times New Roman" w:cs="Times New Roman"/>
        </w:rPr>
        <w:t>. Affirmative action policies such as reservations in admissions, scholarships, hostels, and fee concessions were introduced to reduce caste-based disparities in higher education. Despite these interventions, SC students remain underrepresented in prestigious institutions and continue to experience systemic disadvantages (</w:t>
      </w:r>
      <w:proofErr w:type="spellStart"/>
      <w:r w:rsidRPr="00EB4F38">
        <w:rPr>
          <w:rFonts w:ascii="Times New Roman" w:hAnsi="Times New Roman" w:cs="Times New Roman"/>
        </w:rPr>
        <w:t>Beteille</w:t>
      </w:r>
      <w:proofErr w:type="spellEnd"/>
      <w:r w:rsidRPr="00EB4F38">
        <w:rPr>
          <w:rFonts w:ascii="Times New Roman" w:hAnsi="Times New Roman" w:cs="Times New Roman"/>
        </w:rPr>
        <w:t>, 2012; Borah, 2023).</w:t>
      </w:r>
    </w:p>
    <w:p w14:paraId="220C36AA" w14:textId="77777777" w:rsidR="009A6D90" w:rsidRPr="00EB4F38" w:rsidRDefault="009A6D90" w:rsidP="009A6D90">
      <w:pPr>
        <w:jc w:val="both"/>
        <w:rPr>
          <w:rFonts w:ascii="Times New Roman" w:hAnsi="Times New Roman" w:cs="Times New Roman"/>
        </w:rPr>
      </w:pPr>
    </w:p>
    <w:p w14:paraId="4999ECA7" w14:textId="15D82C65" w:rsidR="009A6D90" w:rsidRPr="00EB4F38" w:rsidRDefault="009A6D90" w:rsidP="009A6D90">
      <w:pPr>
        <w:jc w:val="both"/>
        <w:rPr>
          <w:rFonts w:ascii="Times New Roman" w:hAnsi="Times New Roman" w:cs="Times New Roman"/>
        </w:rPr>
      </w:pPr>
      <w:r w:rsidRPr="00EB4F38">
        <w:rPr>
          <w:rFonts w:ascii="Times New Roman" w:hAnsi="Times New Roman" w:cs="Times New Roman"/>
        </w:rPr>
        <w:t xml:space="preserve">The expansion of higher education in India has been significant over the last few decades. According to the All-India Survey on Higher Education (AISHE, 2021–22), total enrolment increased to 4.33 crore students. However, this numerical expansion has not translated into substantive equality. </w:t>
      </w:r>
      <w:r w:rsidR="007A60E7" w:rsidRPr="00EB4F38">
        <w:rPr>
          <w:rFonts w:ascii="Times New Roman" w:hAnsi="Times New Roman" w:cs="Times New Roman"/>
        </w:rPr>
        <w:t>SCs</w:t>
      </w:r>
      <w:r w:rsidRPr="00EB4F38">
        <w:rPr>
          <w:rFonts w:ascii="Times New Roman" w:hAnsi="Times New Roman" w:cs="Times New Roman"/>
        </w:rPr>
        <w:t xml:space="preserve"> constitute only 15.3% of total enrolment, which remains disproportionately low given their population share. Moreover, SC students face higher dropout rates, lower completion rates, and poorer academic outcomes compared to their upper-caste peers (Desai &amp; Kulkarni, 2008).</w:t>
      </w:r>
    </w:p>
    <w:p w14:paraId="311894CA" w14:textId="77777777" w:rsidR="009A6D90" w:rsidRPr="00EB4F38" w:rsidRDefault="009A6D90" w:rsidP="009A6D90">
      <w:pPr>
        <w:jc w:val="both"/>
        <w:rPr>
          <w:rFonts w:ascii="Times New Roman" w:hAnsi="Times New Roman" w:cs="Times New Roman"/>
        </w:rPr>
      </w:pPr>
    </w:p>
    <w:p w14:paraId="1710E639" w14:textId="049A50A0" w:rsidR="009A6D90" w:rsidRPr="00EB4F38" w:rsidRDefault="009A6D90" w:rsidP="009A6D90">
      <w:pPr>
        <w:jc w:val="both"/>
        <w:rPr>
          <w:rFonts w:ascii="Times New Roman" w:hAnsi="Times New Roman" w:cs="Times New Roman"/>
        </w:rPr>
      </w:pPr>
      <w:r w:rsidRPr="00EB4F38">
        <w:rPr>
          <w:rFonts w:ascii="Times New Roman" w:hAnsi="Times New Roman" w:cs="Times New Roman"/>
        </w:rPr>
        <w:t xml:space="preserve">This paper seeks to </w:t>
      </w:r>
      <w:proofErr w:type="spellStart"/>
      <w:r w:rsidRPr="00EB4F38">
        <w:rPr>
          <w:rFonts w:ascii="Times New Roman" w:hAnsi="Times New Roman" w:cs="Times New Roman"/>
        </w:rPr>
        <w:t>analyze</w:t>
      </w:r>
      <w:proofErr w:type="spellEnd"/>
      <w:r w:rsidRPr="00EB4F38">
        <w:rPr>
          <w:rFonts w:ascii="Times New Roman" w:hAnsi="Times New Roman" w:cs="Times New Roman"/>
        </w:rPr>
        <w:t xml:space="preserve"> the challenges faced by </w:t>
      </w:r>
      <w:r w:rsidR="00B307FB" w:rsidRPr="00EB4F38">
        <w:rPr>
          <w:rFonts w:ascii="Times New Roman" w:hAnsi="Times New Roman" w:cs="Times New Roman"/>
        </w:rPr>
        <w:t>SC</w:t>
      </w:r>
      <w:r w:rsidRPr="00EB4F38">
        <w:rPr>
          <w:rFonts w:ascii="Times New Roman" w:hAnsi="Times New Roman" w:cs="Times New Roman"/>
        </w:rPr>
        <w:t xml:space="preserve"> students in higher education in India using secondary data. It aims to examine how socio-economic constraints, institutional factors, </w:t>
      </w:r>
      <w:r w:rsidRPr="00EB4F38">
        <w:rPr>
          <w:rFonts w:ascii="Times New Roman" w:hAnsi="Times New Roman" w:cs="Times New Roman"/>
        </w:rPr>
        <w:lastRenderedPageBreak/>
        <w:t>discrimination, and policy limitations intersect to shape the educational experiences of SC students.</w:t>
      </w:r>
    </w:p>
    <w:p w14:paraId="7E5CCE34" w14:textId="77777777" w:rsidR="009A6D90" w:rsidRPr="00EB4F38" w:rsidRDefault="009A6D90" w:rsidP="009A6D90">
      <w:pPr>
        <w:jc w:val="both"/>
        <w:rPr>
          <w:rFonts w:ascii="Times New Roman" w:hAnsi="Times New Roman" w:cs="Times New Roman"/>
        </w:rPr>
      </w:pPr>
    </w:p>
    <w:p w14:paraId="005CBD14" w14:textId="77777777" w:rsidR="00EB4F38" w:rsidRDefault="00EB4F38" w:rsidP="009A6D90">
      <w:pPr>
        <w:jc w:val="both"/>
        <w:rPr>
          <w:rFonts w:ascii="Times New Roman" w:hAnsi="Times New Roman" w:cs="Times New Roman"/>
        </w:rPr>
      </w:pPr>
      <w:r w:rsidRPr="00EB4F38">
        <w:rPr>
          <w:rFonts w:ascii="Times New Roman" w:hAnsi="Times New Roman" w:cs="Times New Roman"/>
          <w:b/>
          <w:bCs/>
          <w:u w:val="single"/>
        </w:rPr>
        <w:t>2.OBJECTIVES OF THE STUDY</w:t>
      </w:r>
      <w:r w:rsidR="00B307FB" w:rsidRPr="00EB4F38">
        <w:rPr>
          <w:rFonts w:ascii="Times New Roman" w:hAnsi="Times New Roman" w:cs="Times New Roman"/>
          <w:b/>
          <w:bCs/>
        </w:rPr>
        <w:t>:</w:t>
      </w:r>
      <w:r w:rsidR="00B307FB" w:rsidRPr="00EB4F38">
        <w:rPr>
          <w:rFonts w:ascii="Times New Roman" w:hAnsi="Times New Roman" w:cs="Times New Roman"/>
        </w:rPr>
        <w:t xml:space="preserve"> </w:t>
      </w:r>
    </w:p>
    <w:p w14:paraId="495F9541" w14:textId="658D7F62" w:rsidR="009A6D90" w:rsidRPr="00EB4F38" w:rsidRDefault="00B307FB" w:rsidP="009A6D90">
      <w:pPr>
        <w:jc w:val="both"/>
        <w:rPr>
          <w:rFonts w:ascii="Times New Roman" w:hAnsi="Times New Roman" w:cs="Times New Roman"/>
        </w:rPr>
      </w:pPr>
      <w:r w:rsidRPr="00EB4F38">
        <w:rPr>
          <w:rFonts w:ascii="Times New Roman" w:hAnsi="Times New Roman" w:cs="Times New Roman"/>
        </w:rPr>
        <w:t>The present study has been undertaken with following objectives</w:t>
      </w:r>
    </w:p>
    <w:p w14:paraId="5C3EDF31" w14:textId="51FCC12D" w:rsidR="009A6D90" w:rsidRPr="00EB4F38" w:rsidRDefault="009A6D90" w:rsidP="00B307FB">
      <w:pPr>
        <w:pStyle w:val="ListParagraph"/>
        <w:numPr>
          <w:ilvl w:val="0"/>
          <w:numId w:val="4"/>
        </w:numPr>
        <w:jc w:val="both"/>
        <w:rPr>
          <w:rFonts w:ascii="Times New Roman" w:hAnsi="Times New Roman" w:cs="Times New Roman"/>
        </w:rPr>
      </w:pPr>
      <w:r w:rsidRPr="00EB4F38">
        <w:rPr>
          <w:rFonts w:ascii="Times New Roman" w:hAnsi="Times New Roman" w:cs="Times New Roman"/>
        </w:rPr>
        <w:t xml:space="preserve">To examine enrolment patterns of </w:t>
      </w:r>
      <w:r w:rsidR="00B307FB" w:rsidRPr="00EB4F38">
        <w:rPr>
          <w:rFonts w:ascii="Times New Roman" w:hAnsi="Times New Roman" w:cs="Times New Roman"/>
        </w:rPr>
        <w:t>SC</w:t>
      </w:r>
      <w:r w:rsidRPr="00EB4F38">
        <w:rPr>
          <w:rFonts w:ascii="Times New Roman" w:hAnsi="Times New Roman" w:cs="Times New Roman"/>
        </w:rPr>
        <w:t xml:space="preserve"> students in higher education in India</w:t>
      </w:r>
    </w:p>
    <w:p w14:paraId="2C1CEE18" w14:textId="77777777" w:rsidR="009A6D90" w:rsidRPr="00EB4F38" w:rsidRDefault="009A6D90" w:rsidP="00B307FB">
      <w:pPr>
        <w:pStyle w:val="ListParagraph"/>
        <w:numPr>
          <w:ilvl w:val="0"/>
          <w:numId w:val="4"/>
        </w:numPr>
        <w:jc w:val="both"/>
        <w:rPr>
          <w:rFonts w:ascii="Times New Roman" w:hAnsi="Times New Roman" w:cs="Times New Roman"/>
        </w:rPr>
      </w:pPr>
      <w:r w:rsidRPr="00EB4F38">
        <w:rPr>
          <w:rFonts w:ascii="Times New Roman" w:hAnsi="Times New Roman" w:cs="Times New Roman"/>
        </w:rPr>
        <w:t xml:space="preserve">To </w:t>
      </w:r>
      <w:proofErr w:type="spellStart"/>
      <w:r w:rsidRPr="00EB4F38">
        <w:rPr>
          <w:rFonts w:ascii="Times New Roman" w:hAnsi="Times New Roman" w:cs="Times New Roman"/>
        </w:rPr>
        <w:t>analyze</w:t>
      </w:r>
      <w:proofErr w:type="spellEnd"/>
      <w:r w:rsidRPr="00EB4F38">
        <w:rPr>
          <w:rFonts w:ascii="Times New Roman" w:hAnsi="Times New Roman" w:cs="Times New Roman"/>
        </w:rPr>
        <w:t xml:space="preserve"> the socio-economic challenges affecting access and retention</w:t>
      </w:r>
    </w:p>
    <w:p w14:paraId="6E2D2D62" w14:textId="77777777" w:rsidR="009A6D90" w:rsidRPr="00EB4F38" w:rsidRDefault="009A6D90" w:rsidP="00B307FB">
      <w:pPr>
        <w:pStyle w:val="ListParagraph"/>
        <w:numPr>
          <w:ilvl w:val="0"/>
          <w:numId w:val="4"/>
        </w:numPr>
        <w:jc w:val="both"/>
        <w:rPr>
          <w:rFonts w:ascii="Times New Roman" w:hAnsi="Times New Roman" w:cs="Times New Roman"/>
        </w:rPr>
      </w:pPr>
      <w:r w:rsidRPr="00EB4F38">
        <w:rPr>
          <w:rFonts w:ascii="Times New Roman" w:hAnsi="Times New Roman" w:cs="Times New Roman"/>
        </w:rPr>
        <w:t>To explore institutional and structural barriers within higher education institutions</w:t>
      </w:r>
    </w:p>
    <w:p w14:paraId="7B310342" w14:textId="77777777" w:rsidR="009A6D90" w:rsidRPr="00EB4F38" w:rsidRDefault="009A6D90" w:rsidP="00B307FB">
      <w:pPr>
        <w:pStyle w:val="ListParagraph"/>
        <w:numPr>
          <w:ilvl w:val="0"/>
          <w:numId w:val="4"/>
        </w:numPr>
        <w:jc w:val="both"/>
        <w:rPr>
          <w:rFonts w:ascii="Times New Roman" w:hAnsi="Times New Roman" w:cs="Times New Roman"/>
        </w:rPr>
      </w:pPr>
      <w:r w:rsidRPr="00EB4F38">
        <w:rPr>
          <w:rFonts w:ascii="Times New Roman" w:hAnsi="Times New Roman" w:cs="Times New Roman"/>
        </w:rPr>
        <w:t>To understand experiences of caste-based discrimination and marginalization</w:t>
      </w:r>
    </w:p>
    <w:p w14:paraId="7BBE5E99" w14:textId="77777777" w:rsidR="009A6D90" w:rsidRPr="00EB4F38" w:rsidRDefault="009A6D90" w:rsidP="00B307FB">
      <w:pPr>
        <w:pStyle w:val="ListParagraph"/>
        <w:numPr>
          <w:ilvl w:val="0"/>
          <w:numId w:val="4"/>
        </w:numPr>
        <w:jc w:val="both"/>
        <w:rPr>
          <w:rFonts w:ascii="Times New Roman" w:hAnsi="Times New Roman" w:cs="Times New Roman"/>
        </w:rPr>
      </w:pPr>
      <w:r w:rsidRPr="00EB4F38">
        <w:rPr>
          <w:rFonts w:ascii="Times New Roman" w:hAnsi="Times New Roman" w:cs="Times New Roman"/>
        </w:rPr>
        <w:t>To assess the impact of privatization on SC participation in higher education</w:t>
      </w:r>
    </w:p>
    <w:p w14:paraId="07C9CA92" w14:textId="08057D33" w:rsidR="00EB4F38" w:rsidRDefault="00EB4F38" w:rsidP="009A6D90">
      <w:pPr>
        <w:jc w:val="both"/>
        <w:rPr>
          <w:rFonts w:ascii="Times New Roman" w:hAnsi="Times New Roman" w:cs="Times New Roman"/>
          <w:u w:val="single"/>
        </w:rPr>
      </w:pPr>
      <w:r w:rsidRPr="00EB4F38">
        <w:rPr>
          <w:rFonts w:ascii="Times New Roman" w:hAnsi="Times New Roman" w:cs="Times New Roman"/>
          <w:b/>
          <w:bCs/>
          <w:u w:val="single"/>
        </w:rPr>
        <w:t>3.METHODOLOGY</w:t>
      </w:r>
      <w:r w:rsidR="00B307FB" w:rsidRPr="00EB4F38">
        <w:rPr>
          <w:rFonts w:ascii="Times New Roman" w:hAnsi="Times New Roman" w:cs="Times New Roman"/>
          <w:u w:val="single"/>
        </w:rPr>
        <w:t xml:space="preserve"> </w:t>
      </w:r>
    </w:p>
    <w:p w14:paraId="5D2B4EEE" w14:textId="492411C0" w:rsidR="009A6D90" w:rsidRPr="00EB4F38" w:rsidRDefault="00B307FB" w:rsidP="009A6D90">
      <w:pPr>
        <w:jc w:val="both"/>
        <w:rPr>
          <w:rFonts w:ascii="Times New Roman" w:hAnsi="Times New Roman" w:cs="Times New Roman"/>
        </w:rPr>
      </w:pPr>
      <w:r w:rsidRPr="00EB4F38">
        <w:rPr>
          <w:rFonts w:ascii="Times New Roman" w:hAnsi="Times New Roman" w:cs="Times New Roman"/>
        </w:rPr>
        <w:t xml:space="preserve">The research design for the present study is descriptive in nature. The present study is based on secondary data. </w:t>
      </w:r>
      <w:r w:rsidR="009A6D90" w:rsidRPr="00EB4F38">
        <w:rPr>
          <w:rFonts w:ascii="Times New Roman" w:hAnsi="Times New Roman" w:cs="Times New Roman"/>
        </w:rPr>
        <w:t>Data have been collected from</w:t>
      </w:r>
      <w:r w:rsidRPr="00EB4F38">
        <w:rPr>
          <w:rFonts w:ascii="Times New Roman" w:hAnsi="Times New Roman" w:cs="Times New Roman"/>
        </w:rPr>
        <w:t xml:space="preserve"> </w:t>
      </w:r>
      <w:r w:rsidR="009A6D90" w:rsidRPr="00EB4F38">
        <w:rPr>
          <w:rFonts w:ascii="Times New Roman" w:hAnsi="Times New Roman" w:cs="Times New Roman"/>
        </w:rPr>
        <w:t>Government publications such as AISHE, NSS, Census of India, UGC reports</w:t>
      </w:r>
      <w:r w:rsidRPr="00EB4F38">
        <w:rPr>
          <w:rFonts w:ascii="Times New Roman" w:hAnsi="Times New Roman" w:cs="Times New Roman"/>
        </w:rPr>
        <w:t xml:space="preserve">, books and research articles related to caste and education. With help of </w:t>
      </w:r>
      <w:r w:rsidR="009A6D90" w:rsidRPr="00EB4F38">
        <w:rPr>
          <w:rFonts w:ascii="Times New Roman" w:hAnsi="Times New Roman" w:cs="Times New Roman"/>
        </w:rPr>
        <w:t xml:space="preserve">thematic approach </w:t>
      </w:r>
      <w:r w:rsidRPr="00EB4F38">
        <w:rPr>
          <w:rFonts w:ascii="Times New Roman" w:hAnsi="Times New Roman" w:cs="Times New Roman"/>
        </w:rPr>
        <w:t xml:space="preserve">efforts have been made </w:t>
      </w:r>
      <w:r w:rsidR="009A6D90" w:rsidRPr="00EB4F38">
        <w:rPr>
          <w:rFonts w:ascii="Times New Roman" w:hAnsi="Times New Roman" w:cs="Times New Roman"/>
        </w:rPr>
        <w:t xml:space="preserve">to identify recurring patterns and challenges faced by </w:t>
      </w:r>
      <w:r w:rsidRPr="00EB4F38">
        <w:rPr>
          <w:rFonts w:ascii="Times New Roman" w:hAnsi="Times New Roman" w:cs="Times New Roman"/>
        </w:rPr>
        <w:t>SC</w:t>
      </w:r>
      <w:r w:rsidR="009A6D90" w:rsidRPr="00EB4F38">
        <w:rPr>
          <w:rFonts w:ascii="Times New Roman" w:hAnsi="Times New Roman" w:cs="Times New Roman"/>
        </w:rPr>
        <w:t xml:space="preserve"> students in higher education.</w:t>
      </w:r>
    </w:p>
    <w:p w14:paraId="617FED1B" w14:textId="77777777" w:rsidR="009A6D90" w:rsidRPr="00EB4F38" w:rsidRDefault="009A6D90" w:rsidP="009A6D90">
      <w:pPr>
        <w:jc w:val="both"/>
        <w:rPr>
          <w:rFonts w:ascii="Times New Roman" w:hAnsi="Times New Roman" w:cs="Times New Roman"/>
        </w:rPr>
      </w:pPr>
    </w:p>
    <w:p w14:paraId="03B80D30" w14:textId="08463254" w:rsidR="009A6D90" w:rsidRPr="00EB4F38" w:rsidRDefault="00EB4F38" w:rsidP="009A6D90">
      <w:pPr>
        <w:jc w:val="both"/>
        <w:rPr>
          <w:rFonts w:ascii="Times New Roman" w:hAnsi="Times New Roman" w:cs="Times New Roman"/>
          <w:b/>
          <w:bCs/>
          <w:u w:val="single"/>
        </w:rPr>
      </w:pPr>
      <w:r w:rsidRPr="00EB4F38">
        <w:rPr>
          <w:rFonts w:ascii="Times New Roman" w:hAnsi="Times New Roman" w:cs="Times New Roman"/>
          <w:b/>
          <w:bCs/>
          <w:u w:val="single"/>
        </w:rPr>
        <w:t xml:space="preserve">4.RESULTS </w:t>
      </w:r>
    </w:p>
    <w:p w14:paraId="46DE9EE3" w14:textId="77777777" w:rsidR="009A6D90" w:rsidRPr="00EB4F38" w:rsidRDefault="009A6D90" w:rsidP="009A6D90">
      <w:pPr>
        <w:jc w:val="both"/>
        <w:rPr>
          <w:rFonts w:ascii="Times New Roman" w:hAnsi="Times New Roman" w:cs="Times New Roman"/>
        </w:rPr>
      </w:pPr>
    </w:p>
    <w:p w14:paraId="658249FF" w14:textId="69D67C62" w:rsidR="009A6D90" w:rsidRPr="00EB4F38" w:rsidRDefault="009A6D90" w:rsidP="009A6D90">
      <w:pPr>
        <w:jc w:val="both"/>
        <w:rPr>
          <w:rFonts w:ascii="Times New Roman" w:hAnsi="Times New Roman" w:cs="Times New Roman"/>
        </w:rPr>
      </w:pPr>
      <w:r w:rsidRPr="00EB4F38">
        <w:rPr>
          <w:rFonts w:ascii="Times New Roman" w:hAnsi="Times New Roman" w:cs="Times New Roman"/>
        </w:rPr>
        <w:t>India has witnessed a substantial expansion in higher education since the 1980s. Azam and Bloom (2008) documented that between 1983 and 2004, tertiary education attainment among individuals aged 25–34 doubled from 4.4% to 8.8%, while enrolment increased from 7.6% to 12.6%. Despite this growth, disparities across caste</w:t>
      </w:r>
      <w:r w:rsidR="007A60E7" w:rsidRPr="00EB4F38">
        <w:rPr>
          <w:rFonts w:ascii="Times New Roman" w:hAnsi="Times New Roman" w:cs="Times New Roman"/>
        </w:rPr>
        <w:t xml:space="preserve"> lines continue to </w:t>
      </w:r>
      <w:r w:rsidRPr="00EB4F38">
        <w:rPr>
          <w:rFonts w:ascii="Times New Roman" w:hAnsi="Times New Roman" w:cs="Times New Roman"/>
        </w:rPr>
        <w:t>persist.</w:t>
      </w:r>
      <w:r w:rsidR="007A60E7" w:rsidRPr="00EB4F38">
        <w:rPr>
          <w:rFonts w:ascii="Times New Roman" w:hAnsi="Times New Roman" w:cs="Times New Roman"/>
        </w:rPr>
        <w:t xml:space="preserve"> This argument can be established through following table.</w:t>
      </w:r>
    </w:p>
    <w:p w14:paraId="210E2310" w14:textId="745A0405" w:rsidR="00AF5DE0" w:rsidRPr="00EB4F38" w:rsidRDefault="00AF5DE0" w:rsidP="00AF5DE0">
      <w:pPr>
        <w:jc w:val="both"/>
        <w:rPr>
          <w:rFonts w:ascii="Times New Roman" w:hAnsi="Times New Roman" w:cs="Times New Roman"/>
        </w:rPr>
      </w:pPr>
      <w:r w:rsidRPr="00EB4F38">
        <w:rPr>
          <w:rFonts w:ascii="Times New Roman" w:hAnsi="Times New Roman" w:cs="Times New Roman"/>
        </w:rPr>
        <w:t xml:space="preserve">Enrolment Patterns of </w:t>
      </w:r>
      <w:r w:rsidR="007A60E7" w:rsidRPr="00EB4F38">
        <w:rPr>
          <w:rFonts w:ascii="Times New Roman" w:hAnsi="Times New Roman" w:cs="Times New Roman"/>
        </w:rPr>
        <w:t>SC</w:t>
      </w:r>
      <w:r w:rsidRPr="00EB4F38">
        <w:rPr>
          <w:rFonts w:ascii="Times New Roman" w:hAnsi="Times New Roman" w:cs="Times New Roman"/>
        </w:rPr>
        <w:t xml:space="preserve"> Students in Higher Education in India: AISHE-Based Trends</w:t>
      </w:r>
    </w:p>
    <w:p w14:paraId="3663DAC7" w14:textId="278F2693" w:rsidR="00AF5DE0" w:rsidRPr="00EB4F38" w:rsidRDefault="00AF5DE0" w:rsidP="00AF5DE0">
      <w:pPr>
        <w:jc w:val="both"/>
        <w:rPr>
          <w:rFonts w:ascii="Times New Roman" w:hAnsi="Times New Roman" w:cs="Times New Roman"/>
        </w:rPr>
      </w:pPr>
      <w:r w:rsidRPr="00EB4F38">
        <w:rPr>
          <w:rFonts w:ascii="Times New Roman" w:hAnsi="Times New Roman" w:cs="Times New Roman"/>
        </w:rPr>
        <w:t xml:space="preserve">Table 1: Year-wise Total Enrolment and </w:t>
      </w:r>
      <w:r w:rsidR="007A60E7" w:rsidRPr="00EB4F38">
        <w:rPr>
          <w:rFonts w:ascii="Times New Roman" w:hAnsi="Times New Roman" w:cs="Times New Roman"/>
        </w:rPr>
        <w:t>SC</w:t>
      </w:r>
      <w:r w:rsidRPr="00EB4F38">
        <w:rPr>
          <w:rFonts w:ascii="Times New Roman" w:hAnsi="Times New Roman" w:cs="Times New Roman"/>
        </w:rPr>
        <w:t xml:space="preserve"> Enrolment in Higher Education (India)</w:t>
      </w:r>
    </w:p>
    <w:tbl>
      <w:tblPr>
        <w:tblStyle w:val="TableGrid"/>
        <w:tblW w:w="0" w:type="auto"/>
        <w:tblLook w:val="04A0" w:firstRow="1" w:lastRow="0" w:firstColumn="1" w:lastColumn="0" w:noHBand="0" w:noVBand="1"/>
      </w:tblPr>
      <w:tblGrid>
        <w:gridCol w:w="2254"/>
        <w:gridCol w:w="2254"/>
        <w:gridCol w:w="2254"/>
        <w:gridCol w:w="2254"/>
      </w:tblGrid>
      <w:tr w:rsidR="00AF5DE0" w:rsidRPr="00EB4F38" w14:paraId="2D46C2A2" w14:textId="77777777" w:rsidTr="00AF5DE0">
        <w:tc>
          <w:tcPr>
            <w:tcW w:w="2254" w:type="dxa"/>
          </w:tcPr>
          <w:p w14:paraId="7E4E7F31" w14:textId="02EEFEA7" w:rsidR="00AF5DE0" w:rsidRPr="00EB4F38" w:rsidRDefault="00AF5DE0" w:rsidP="00AF5DE0">
            <w:pPr>
              <w:jc w:val="both"/>
              <w:rPr>
                <w:rFonts w:ascii="Times New Roman" w:hAnsi="Times New Roman" w:cs="Times New Roman"/>
              </w:rPr>
            </w:pPr>
            <w:r w:rsidRPr="00EB4F38">
              <w:rPr>
                <w:rFonts w:ascii="Times New Roman" w:hAnsi="Times New Roman" w:cs="Times New Roman"/>
              </w:rPr>
              <w:t>Academic Year</w:t>
            </w:r>
          </w:p>
        </w:tc>
        <w:tc>
          <w:tcPr>
            <w:tcW w:w="2254" w:type="dxa"/>
          </w:tcPr>
          <w:p w14:paraId="24726893" w14:textId="16BE3FE7" w:rsidR="00AF5DE0" w:rsidRPr="00EB4F38" w:rsidRDefault="00AF5DE0" w:rsidP="00AF5DE0">
            <w:pPr>
              <w:jc w:val="both"/>
              <w:rPr>
                <w:rFonts w:ascii="Times New Roman" w:hAnsi="Times New Roman" w:cs="Times New Roman"/>
              </w:rPr>
            </w:pPr>
            <w:r w:rsidRPr="00EB4F38">
              <w:rPr>
                <w:rFonts w:ascii="Times New Roman" w:hAnsi="Times New Roman" w:cs="Times New Roman"/>
              </w:rPr>
              <w:t>Total Enrolment (in crore</w:t>
            </w:r>
          </w:p>
        </w:tc>
        <w:tc>
          <w:tcPr>
            <w:tcW w:w="2254" w:type="dxa"/>
          </w:tcPr>
          <w:p w14:paraId="542286EC" w14:textId="1735B135" w:rsidR="00AF5DE0" w:rsidRPr="00EB4F38" w:rsidRDefault="00AF5DE0" w:rsidP="00AF5DE0">
            <w:pPr>
              <w:jc w:val="both"/>
              <w:rPr>
                <w:rFonts w:ascii="Times New Roman" w:hAnsi="Times New Roman" w:cs="Times New Roman"/>
              </w:rPr>
            </w:pPr>
            <w:r w:rsidRPr="00EB4F38">
              <w:rPr>
                <w:rFonts w:ascii="Times New Roman" w:hAnsi="Times New Roman" w:cs="Times New Roman"/>
              </w:rPr>
              <w:t>SC Enrolment (in lakh)</w:t>
            </w:r>
            <w:r w:rsidRPr="00EB4F38">
              <w:rPr>
                <w:rFonts w:ascii="Times New Roman" w:hAnsi="Times New Roman" w:cs="Times New Roman"/>
              </w:rPr>
              <w:tab/>
            </w:r>
          </w:p>
        </w:tc>
        <w:tc>
          <w:tcPr>
            <w:tcW w:w="2254" w:type="dxa"/>
          </w:tcPr>
          <w:p w14:paraId="26E38D12" w14:textId="77777777" w:rsidR="00AF5DE0" w:rsidRPr="00EB4F38" w:rsidRDefault="00AF5DE0" w:rsidP="00AF5DE0">
            <w:pPr>
              <w:jc w:val="both"/>
              <w:rPr>
                <w:rFonts w:ascii="Times New Roman" w:hAnsi="Times New Roman" w:cs="Times New Roman"/>
              </w:rPr>
            </w:pPr>
            <w:r w:rsidRPr="00EB4F38">
              <w:rPr>
                <w:rFonts w:ascii="Times New Roman" w:hAnsi="Times New Roman" w:cs="Times New Roman"/>
              </w:rPr>
              <w:t>Percentage of SC Enrolment (%)</w:t>
            </w:r>
          </w:p>
          <w:p w14:paraId="4B9EFC6D" w14:textId="77777777" w:rsidR="00AF5DE0" w:rsidRPr="00EB4F38" w:rsidRDefault="00AF5DE0" w:rsidP="00AF5DE0">
            <w:pPr>
              <w:jc w:val="both"/>
              <w:rPr>
                <w:rFonts w:ascii="Times New Roman" w:hAnsi="Times New Roman" w:cs="Times New Roman"/>
              </w:rPr>
            </w:pPr>
          </w:p>
        </w:tc>
      </w:tr>
      <w:tr w:rsidR="00AF5DE0" w:rsidRPr="00EB4F38" w14:paraId="35F6D2C9" w14:textId="77777777" w:rsidTr="00AF5DE0">
        <w:tc>
          <w:tcPr>
            <w:tcW w:w="2254" w:type="dxa"/>
          </w:tcPr>
          <w:p w14:paraId="0EA57CF3" w14:textId="17A8BAA3" w:rsidR="00AF5DE0" w:rsidRPr="00EB4F38" w:rsidRDefault="00AF5DE0" w:rsidP="00A02DF5">
            <w:pPr>
              <w:jc w:val="both"/>
              <w:rPr>
                <w:rFonts w:ascii="Times New Roman" w:hAnsi="Times New Roman" w:cs="Times New Roman"/>
              </w:rPr>
            </w:pPr>
            <w:r w:rsidRPr="00EB4F38">
              <w:rPr>
                <w:rFonts w:ascii="Times New Roman" w:hAnsi="Times New Roman" w:cs="Times New Roman"/>
              </w:rPr>
              <w:t>2014–15</w:t>
            </w:r>
            <w:r w:rsidRPr="00EB4F38">
              <w:rPr>
                <w:rFonts w:ascii="Times New Roman" w:hAnsi="Times New Roman" w:cs="Times New Roman"/>
              </w:rPr>
              <w:tab/>
            </w:r>
          </w:p>
        </w:tc>
        <w:tc>
          <w:tcPr>
            <w:tcW w:w="2254" w:type="dxa"/>
          </w:tcPr>
          <w:p w14:paraId="7DB71D50" w14:textId="1BB5F368" w:rsidR="00AF5DE0" w:rsidRPr="00EB4F38" w:rsidRDefault="00AF5DE0" w:rsidP="00AF5DE0">
            <w:pPr>
              <w:jc w:val="both"/>
              <w:rPr>
                <w:rFonts w:ascii="Times New Roman" w:hAnsi="Times New Roman" w:cs="Times New Roman"/>
              </w:rPr>
            </w:pPr>
            <w:r w:rsidRPr="00EB4F38">
              <w:rPr>
                <w:rFonts w:ascii="Times New Roman" w:hAnsi="Times New Roman" w:cs="Times New Roman"/>
              </w:rPr>
              <w:t>3.42</w:t>
            </w:r>
          </w:p>
        </w:tc>
        <w:tc>
          <w:tcPr>
            <w:tcW w:w="2254" w:type="dxa"/>
          </w:tcPr>
          <w:p w14:paraId="74EC7840" w14:textId="61EE7BE2" w:rsidR="00AF5DE0" w:rsidRPr="00EB4F38" w:rsidRDefault="00AF5DE0" w:rsidP="00AF5DE0">
            <w:pPr>
              <w:jc w:val="both"/>
              <w:rPr>
                <w:rFonts w:ascii="Times New Roman" w:hAnsi="Times New Roman" w:cs="Times New Roman"/>
              </w:rPr>
            </w:pPr>
            <w:r w:rsidRPr="00EB4F38">
              <w:rPr>
                <w:rFonts w:ascii="Times New Roman" w:hAnsi="Times New Roman" w:cs="Times New Roman"/>
              </w:rPr>
              <w:t>51</w:t>
            </w:r>
            <w:r w:rsidR="00A02DF5" w:rsidRPr="00EB4F38">
              <w:rPr>
                <w:rFonts w:ascii="Times New Roman" w:hAnsi="Times New Roman" w:cs="Times New Roman"/>
              </w:rPr>
              <w:t>.1</w:t>
            </w:r>
          </w:p>
        </w:tc>
        <w:tc>
          <w:tcPr>
            <w:tcW w:w="2254" w:type="dxa"/>
          </w:tcPr>
          <w:p w14:paraId="2ECE288F" w14:textId="4D2821E2" w:rsidR="00AF5DE0" w:rsidRPr="00EB4F38" w:rsidRDefault="00A02DF5" w:rsidP="00AF5DE0">
            <w:pPr>
              <w:jc w:val="both"/>
              <w:rPr>
                <w:rFonts w:ascii="Times New Roman" w:hAnsi="Times New Roman" w:cs="Times New Roman"/>
              </w:rPr>
            </w:pPr>
            <w:r w:rsidRPr="00EB4F38">
              <w:rPr>
                <w:rFonts w:ascii="Times New Roman" w:hAnsi="Times New Roman" w:cs="Times New Roman"/>
              </w:rPr>
              <w:t>14.9</w:t>
            </w:r>
          </w:p>
        </w:tc>
      </w:tr>
      <w:tr w:rsidR="00AF5DE0" w:rsidRPr="00EB4F38" w14:paraId="68B91F58" w14:textId="77777777" w:rsidTr="00AF5DE0">
        <w:tc>
          <w:tcPr>
            <w:tcW w:w="2254" w:type="dxa"/>
          </w:tcPr>
          <w:p w14:paraId="590144E1" w14:textId="21815888" w:rsidR="00AF5DE0" w:rsidRPr="00EB4F38" w:rsidRDefault="00A02DF5" w:rsidP="00AF5DE0">
            <w:pPr>
              <w:jc w:val="both"/>
              <w:rPr>
                <w:rFonts w:ascii="Times New Roman" w:hAnsi="Times New Roman" w:cs="Times New Roman"/>
              </w:rPr>
            </w:pPr>
            <w:r w:rsidRPr="00EB4F38">
              <w:rPr>
                <w:rFonts w:ascii="Times New Roman" w:hAnsi="Times New Roman" w:cs="Times New Roman"/>
              </w:rPr>
              <w:t>2015–16</w:t>
            </w:r>
          </w:p>
        </w:tc>
        <w:tc>
          <w:tcPr>
            <w:tcW w:w="2254" w:type="dxa"/>
          </w:tcPr>
          <w:p w14:paraId="20BC601B" w14:textId="30375B8A" w:rsidR="00AF5DE0" w:rsidRPr="00EB4F38" w:rsidRDefault="00A02DF5" w:rsidP="00AF5DE0">
            <w:pPr>
              <w:jc w:val="both"/>
              <w:rPr>
                <w:rFonts w:ascii="Times New Roman" w:hAnsi="Times New Roman" w:cs="Times New Roman"/>
              </w:rPr>
            </w:pPr>
            <w:r w:rsidRPr="00EB4F38">
              <w:rPr>
                <w:rFonts w:ascii="Times New Roman" w:hAnsi="Times New Roman" w:cs="Times New Roman"/>
              </w:rPr>
              <w:t>3.46</w:t>
            </w:r>
          </w:p>
        </w:tc>
        <w:tc>
          <w:tcPr>
            <w:tcW w:w="2254" w:type="dxa"/>
          </w:tcPr>
          <w:p w14:paraId="75BFA2A7" w14:textId="3B6EAE80" w:rsidR="00AF5DE0" w:rsidRPr="00EB4F38" w:rsidRDefault="00A02DF5" w:rsidP="00AF5DE0">
            <w:pPr>
              <w:jc w:val="both"/>
              <w:rPr>
                <w:rFonts w:ascii="Times New Roman" w:hAnsi="Times New Roman" w:cs="Times New Roman"/>
              </w:rPr>
            </w:pPr>
            <w:r w:rsidRPr="00EB4F38">
              <w:rPr>
                <w:rFonts w:ascii="Times New Roman" w:hAnsi="Times New Roman" w:cs="Times New Roman"/>
              </w:rPr>
              <w:t>52.5</w:t>
            </w:r>
          </w:p>
        </w:tc>
        <w:tc>
          <w:tcPr>
            <w:tcW w:w="2254" w:type="dxa"/>
          </w:tcPr>
          <w:p w14:paraId="0F7C6ECF" w14:textId="77777777" w:rsidR="00A02DF5" w:rsidRPr="00EB4F38" w:rsidRDefault="00A02DF5" w:rsidP="00A02DF5">
            <w:pPr>
              <w:jc w:val="both"/>
              <w:rPr>
                <w:rFonts w:ascii="Times New Roman" w:hAnsi="Times New Roman" w:cs="Times New Roman"/>
              </w:rPr>
            </w:pPr>
            <w:r w:rsidRPr="00EB4F38">
              <w:rPr>
                <w:rFonts w:ascii="Times New Roman" w:hAnsi="Times New Roman" w:cs="Times New Roman"/>
              </w:rPr>
              <w:t>15.2</w:t>
            </w:r>
          </w:p>
          <w:p w14:paraId="53CFDF5F" w14:textId="77777777" w:rsidR="00AF5DE0" w:rsidRPr="00EB4F38" w:rsidRDefault="00AF5DE0" w:rsidP="00AF5DE0">
            <w:pPr>
              <w:jc w:val="both"/>
              <w:rPr>
                <w:rFonts w:ascii="Times New Roman" w:hAnsi="Times New Roman" w:cs="Times New Roman"/>
              </w:rPr>
            </w:pPr>
          </w:p>
        </w:tc>
      </w:tr>
      <w:tr w:rsidR="00AF5DE0" w:rsidRPr="00EB4F38" w14:paraId="74776DD6" w14:textId="77777777" w:rsidTr="00AF5DE0">
        <w:tc>
          <w:tcPr>
            <w:tcW w:w="2254" w:type="dxa"/>
          </w:tcPr>
          <w:p w14:paraId="20F45906" w14:textId="55575ACD" w:rsidR="00AF5DE0" w:rsidRPr="00EB4F38" w:rsidRDefault="00A02DF5" w:rsidP="00AF5DE0">
            <w:pPr>
              <w:jc w:val="both"/>
              <w:rPr>
                <w:rFonts w:ascii="Times New Roman" w:hAnsi="Times New Roman" w:cs="Times New Roman"/>
              </w:rPr>
            </w:pPr>
            <w:r w:rsidRPr="00EB4F38">
              <w:rPr>
                <w:rFonts w:ascii="Times New Roman" w:hAnsi="Times New Roman" w:cs="Times New Roman"/>
              </w:rPr>
              <w:t>2016–17</w:t>
            </w:r>
          </w:p>
        </w:tc>
        <w:tc>
          <w:tcPr>
            <w:tcW w:w="2254" w:type="dxa"/>
          </w:tcPr>
          <w:p w14:paraId="5907FDCA" w14:textId="188221F2" w:rsidR="00AF5DE0" w:rsidRPr="00EB4F38" w:rsidRDefault="00A02DF5" w:rsidP="00AF5DE0">
            <w:pPr>
              <w:jc w:val="both"/>
              <w:rPr>
                <w:rFonts w:ascii="Times New Roman" w:hAnsi="Times New Roman" w:cs="Times New Roman"/>
              </w:rPr>
            </w:pPr>
            <w:r w:rsidRPr="00EB4F38">
              <w:rPr>
                <w:rFonts w:ascii="Times New Roman" w:hAnsi="Times New Roman" w:cs="Times New Roman"/>
              </w:rPr>
              <w:t>3.67</w:t>
            </w:r>
            <w:r w:rsidRPr="00EB4F38">
              <w:rPr>
                <w:rFonts w:ascii="Times New Roman" w:hAnsi="Times New Roman" w:cs="Times New Roman"/>
              </w:rPr>
              <w:tab/>
            </w:r>
          </w:p>
        </w:tc>
        <w:tc>
          <w:tcPr>
            <w:tcW w:w="2254" w:type="dxa"/>
          </w:tcPr>
          <w:p w14:paraId="22A01A95" w14:textId="15C03F21" w:rsidR="00AF5DE0" w:rsidRPr="00EB4F38" w:rsidRDefault="00A02DF5" w:rsidP="00AF5DE0">
            <w:pPr>
              <w:jc w:val="both"/>
              <w:rPr>
                <w:rFonts w:ascii="Times New Roman" w:hAnsi="Times New Roman" w:cs="Times New Roman"/>
              </w:rPr>
            </w:pPr>
            <w:r w:rsidRPr="00EB4F38">
              <w:rPr>
                <w:rFonts w:ascii="Times New Roman" w:hAnsi="Times New Roman" w:cs="Times New Roman"/>
              </w:rPr>
              <w:t>55.2</w:t>
            </w:r>
          </w:p>
        </w:tc>
        <w:tc>
          <w:tcPr>
            <w:tcW w:w="2254" w:type="dxa"/>
          </w:tcPr>
          <w:p w14:paraId="22A775E9" w14:textId="77777777" w:rsidR="00A02DF5" w:rsidRPr="00EB4F38" w:rsidRDefault="00A02DF5" w:rsidP="00A02DF5">
            <w:pPr>
              <w:jc w:val="both"/>
              <w:rPr>
                <w:rFonts w:ascii="Times New Roman" w:hAnsi="Times New Roman" w:cs="Times New Roman"/>
              </w:rPr>
            </w:pPr>
            <w:r w:rsidRPr="00EB4F38">
              <w:rPr>
                <w:rFonts w:ascii="Times New Roman" w:hAnsi="Times New Roman" w:cs="Times New Roman"/>
              </w:rPr>
              <w:t>15.0</w:t>
            </w:r>
          </w:p>
          <w:p w14:paraId="732884B1" w14:textId="77777777" w:rsidR="00AF5DE0" w:rsidRPr="00EB4F38" w:rsidRDefault="00AF5DE0" w:rsidP="00AF5DE0">
            <w:pPr>
              <w:jc w:val="both"/>
              <w:rPr>
                <w:rFonts w:ascii="Times New Roman" w:hAnsi="Times New Roman" w:cs="Times New Roman"/>
              </w:rPr>
            </w:pPr>
          </w:p>
        </w:tc>
      </w:tr>
      <w:tr w:rsidR="00AF5DE0" w:rsidRPr="00EB4F38" w14:paraId="2A673F72" w14:textId="77777777" w:rsidTr="00AF5DE0">
        <w:tc>
          <w:tcPr>
            <w:tcW w:w="2254" w:type="dxa"/>
          </w:tcPr>
          <w:p w14:paraId="24BDAE65" w14:textId="5A3530CF" w:rsidR="00AF5DE0" w:rsidRPr="00EB4F38" w:rsidRDefault="00A02DF5" w:rsidP="00AF5DE0">
            <w:pPr>
              <w:jc w:val="both"/>
              <w:rPr>
                <w:rFonts w:ascii="Times New Roman" w:hAnsi="Times New Roman" w:cs="Times New Roman"/>
              </w:rPr>
            </w:pPr>
            <w:r w:rsidRPr="00EB4F38">
              <w:rPr>
                <w:rFonts w:ascii="Times New Roman" w:hAnsi="Times New Roman" w:cs="Times New Roman"/>
              </w:rPr>
              <w:t>2017–18</w:t>
            </w:r>
          </w:p>
        </w:tc>
        <w:tc>
          <w:tcPr>
            <w:tcW w:w="2254" w:type="dxa"/>
          </w:tcPr>
          <w:p w14:paraId="1BD811B7" w14:textId="40507323" w:rsidR="00AF5DE0" w:rsidRPr="00EB4F38" w:rsidRDefault="00A02DF5" w:rsidP="00AF5DE0">
            <w:pPr>
              <w:jc w:val="both"/>
              <w:rPr>
                <w:rFonts w:ascii="Times New Roman" w:hAnsi="Times New Roman" w:cs="Times New Roman"/>
              </w:rPr>
            </w:pPr>
            <w:r w:rsidRPr="00EB4F38">
              <w:rPr>
                <w:rFonts w:ascii="Times New Roman" w:hAnsi="Times New Roman" w:cs="Times New Roman"/>
              </w:rPr>
              <w:t>3.74</w:t>
            </w:r>
          </w:p>
        </w:tc>
        <w:tc>
          <w:tcPr>
            <w:tcW w:w="2254" w:type="dxa"/>
          </w:tcPr>
          <w:p w14:paraId="4B2C55B9" w14:textId="087B5882" w:rsidR="00AF5DE0" w:rsidRPr="00EB4F38" w:rsidRDefault="00A02DF5" w:rsidP="00AF5DE0">
            <w:pPr>
              <w:jc w:val="both"/>
              <w:rPr>
                <w:rFonts w:ascii="Times New Roman" w:hAnsi="Times New Roman" w:cs="Times New Roman"/>
              </w:rPr>
            </w:pPr>
            <w:r w:rsidRPr="00EB4F38">
              <w:rPr>
                <w:rFonts w:ascii="Times New Roman" w:hAnsi="Times New Roman" w:cs="Times New Roman"/>
              </w:rPr>
              <w:t>57.3</w:t>
            </w:r>
          </w:p>
        </w:tc>
        <w:tc>
          <w:tcPr>
            <w:tcW w:w="2254" w:type="dxa"/>
          </w:tcPr>
          <w:p w14:paraId="7EE1758B" w14:textId="7178B575" w:rsidR="00AF5DE0" w:rsidRPr="00EB4F38" w:rsidRDefault="00A02DF5" w:rsidP="00AF5DE0">
            <w:pPr>
              <w:jc w:val="both"/>
              <w:rPr>
                <w:rFonts w:ascii="Times New Roman" w:hAnsi="Times New Roman" w:cs="Times New Roman"/>
              </w:rPr>
            </w:pPr>
            <w:r w:rsidRPr="00EB4F38">
              <w:rPr>
                <w:rFonts w:ascii="Times New Roman" w:hAnsi="Times New Roman" w:cs="Times New Roman"/>
              </w:rPr>
              <w:t>15.3</w:t>
            </w:r>
          </w:p>
        </w:tc>
      </w:tr>
      <w:tr w:rsidR="00A02DF5" w:rsidRPr="00EB4F38" w14:paraId="6D65E3B0" w14:textId="77777777" w:rsidTr="00AF5DE0">
        <w:tc>
          <w:tcPr>
            <w:tcW w:w="2254" w:type="dxa"/>
          </w:tcPr>
          <w:p w14:paraId="40E8458D" w14:textId="43889C3C" w:rsidR="00A02DF5" w:rsidRPr="00EB4F38" w:rsidRDefault="00A02DF5" w:rsidP="00AF5DE0">
            <w:pPr>
              <w:jc w:val="both"/>
              <w:rPr>
                <w:rFonts w:ascii="Times New Roman" w:hAnsi="Times New Roman" w:cs="Times New Roman"/>
              </w:rPr>
            </w:pPr>
            <w:r w:rsidRPr="00EB4F38">
              <w:rPr>
                <w:rFonts w:ascii="Times New Roman" w:hAnsi="Times New Roman" w:cs="Times New Roman"/>
              </w:rPr>
              <w:t>2018–19</w:t>
            </w:r>
          </w:p>
        </w:tc>
        <w:tc>
          <w:tcPr>
            <w:tcW w:w="2254" w:type="dxa"/>
          </w:tcPr>
          <w:p w14:paraId="29C11654" w14:textId="695DD8BC" w:rsidR="00A02DF5" w:rsidRPr="00EB4F38" w:rsidRDefault="00A02DF5" w:rsidP="00AF5DE0">
            <w:pPr>
              <w:jc w:val="both"/>
              <w:rPr>
                <w:rFonts w:ascii="Times New Roman" w:hAnsi="Times New Roman" w:cs="Times New Roman"/>
              </w:rPr>
            </w:pPr>
            <w:r w:rsidRPr="00EB4F38">
              <w:rPr>
                <w:rFonts w:ascii="Times New Roman" w:hAnsi="Times New Roman" w:cs="Times New Roman"/>
              </w:rPr>
              <w:t>3.74</w:t>
            </w:r>
          </w:p>
        </w:tc>
        <w:tc>
          <w:tcPr>
            <w:tcW w:w="2254" w:type="dxa"/>
          </w:tcPr>
          <w:p w14:paraId="6F8261C4" w14:textId="4891478A" w:rsidR="00A02DF5" w:rsidRPr="00EB4F38" w:rsidRDefault="00A02DF5" w:rsidP="00AF5DE0">
            <w:pPr>
              <w:jc w:val="both"/>
              <w:rPr>
                <w:rFonts w:ascii="Times New Roman" w:hAnsi="Times New Roman" w:cs="Times New Roman"/>
              </w:rPr>
            </w:pPr>
            <w:r w:rsidRPr="00EB4F38">
              <w:rPr>
                <w:rFonts w:ascii="Times New Roman" w:hAnsi="Times New Roman" w:cs="Times New Roman"/>
              </w:rPr>
              <w:t>59.3</w:t>
            </w:r>
          </w:p>
        </w:tc>
        <w:tc>
          <w:tcPr>
            <w:tcW w:w="2254" w:type="dxa"/>
          </w:tcPr>
          <w:p w14:paraId="0257E09D" w14:textId="77777777" w:rsidR="00A02DF5" w:rsidRPr="00EB4F38" w:rsidRDefault="00A02DF5" w:rsidP="00A02DF5">
            <w:pPr>
              <w:jc w:val="both"/>
              <w:rPr>
                <w:rFonts w:ascii="Times New Roman" w:hAnsi="Times New Roman" w:cs="Times New Roman"/>
              </w:rPr>
            </w:pPr>
            <w:r w:rsidRPr="00EB4F38">
              <w:rPr>
                <w:rFonts w:ascii="Times New Roman" w:hAnsi="Times New Roman" w:cs="Times New Roman"/>
              </w:rPr>
              <w:t>15.9</w:t>
            </w:r>
          </w:p>
          <w:p w14:paraId="77ED8074" w14:textId="77777777" w:rsidR="00A02DF5" w:rsidRPr="00EB4F38" w:rsidRDefault="00A02DF5" w:rsidP="00AF5DE0">
            <w:pPr>
              <w:jc w:val="both"/>
              <w:rPr>
                <w:rFonts w:ascii="Times New Roman" w:hAnsi="Times New Roman" w:cs="Times New Roman"/>
              </w:rPr>
            </w:pPr>
          </w:p>
        </w:tc>
      </w:tr>
      <w:tr w:rsidR="00A02DF5" w:rsidRPr="00EB4F38" w14:paraId="0EFFCD15" w14:textId="77777777" w:rsidTr="00AF5DE0">
        <w:tc>
          <w:tcPr>
            <w:tcW w:w="2254" w:type="dxa"/>
          </w:tcPr>
          <w:p w14:paraId="361B6641" w14:textId="1B35394C" w:rsidR="00A02DF5" w:rsidRPr="00EB4F38" w:rsidRDefault="00A02DF5" w:rsidP="00AF5DE0">
            <w:pPr>
              <w:jc w:val="both"/>
              <w:rPr>
                <w:rFonts w:ascii="Times New Roman" w:hAnsi="Times New Roman" w:cs="Times New Roman"/>
              </w:rPr>
            </w:pPr>
            <w:r w:rsidRPr="00EB4F38">
              <w:rPr>
                <w:rFonts w:ascii="Times New Roman" w:hAnsi="Times New Roman" w:cs="Times New Roman"/>
              </w:rPr>
              <w:t>2019–20</w:t>
            </w:r>
          </w:p>
        </w:tc>
        <w:tc>
          <w:tcPr>
            <w:tcW w:w="2254" w:type="dxa"/>
          </w:tcPr>
          <w:p w14:paraId="542E9019" w14:textId="02291DC1" w:rsidR="00A02DF5" w:rsidRPr="00EB4F38" w:rsidRDefault="00A02DF5" w:rsidP="00AF5DE0">
            <w:pPr>
              <w:jc w:val="both"/>
              <w:rPr>
                <w:rFonts w:ascii="Times New Roman" w:hAnsi="Times New Roman" w:cs="Times New Roman"/>
              </w:rPr>
            </w:pPr>
            <w:r w:rsidRPr="00EB4F38">
              <w:rPr>
                <w:rFonts w:ascii="Times New Roman" w:hAnsi="Times New Roman" w:cs="Times New Roman"/>
              </w:rPr>
              <w:t>3.85</w:t>
            </w:r>
          </w:p>
        </w:tc>
        <w:tc>
          <w:tcPr>
            <w:tcW w:w="2254" w:type="dxa"/>
          </w:tcPr>
          <w:p w14:paraId="195AE9AC" w14:textId="6B3FD43B" w:rsidR="00A02DF5" w:rsidRPr="00EB4F38" w:rsidRDefault="00A02DF5" w:rsidP="00AF5DE0">
            <w:pPr>
              <w:jc w:val="both"/>
              <w:rPr>
                <w:rFonts w:ascii="Times New Roman" w:hAnsi="Times New Roman" w:cs="Times New Roman"/>
              </w:rPr>
            </w:pPr>
            <w:r w:rsidRPr="00EB4F38">
              <w:rPr>
                <w:rFonts w:ascii="Times New Roman" w:hAnsi="Times New Roman" w:cs="Times New Roman"/>
              </w:rPr>
              <w:t>62.0</w:t>
            </w:r>
          </w:p>
        </w:tc>
        <w:tc>
          <w:tcPr>
            <w:tcW w:w="2254" w:type="dxa"/>
          </w:tcPr>
          <w:p w14:paraId="1F953FA4" w14:textId="77777777" w:rsidR="00A02DF5" w:rsidRPr="00EB4F38" w:rsidRDefault="00A02DF5" w:rsidP="00A02DF5">
            <w:pPr>
              <w:jc w:val="both"/>
              <w:rPr>
                <w:rFonts w:ascii="Times New Roman" w:hAnsi="Times New Roman" w:cs="Times New Roman"/>
              </w:rPr>
            </w:pPr>
            <w:r w:rsidRPr="00EB4F38">
              <w:rPr>
                <w:rFonts w:ascii="Times New Roman" w:hAnsi="Times New Roman" w:cs="Times New Roman"/>
              </w:rPr>
              <w:t>16.1</w:t>
            </w:r>
          </w:p>
          <w:p w14:paraId="4FC3361D" w14:textId="77777777" w:rsidR="00A02DF5" w:rsidRPr="00EB4F38" w:rsidRDefault="00A02DF5" w:rsidP="00AF5DE0">
            <w:pPr>
              <w:jc w:val="both"/>
              <w:rPr>
                <w:rFonts w:ascii="Times New Roman" w:hAnsi="Times New Roman" w:cs="Times New Roman"/>
              </w:rPr>
            </w:pPr>
          </w:p>
        </w:tc>
      </w:tr>
      <w:tr w:rsidR="00A02DF5" w:rsidRPr="00EB4F38" w14:paraId="5718EEA2" w14:textId="77777777" w:rsidTr="00AF5DE0">
        <w:tc>
          <w:tcPr>
            <w:tcW w:w="2254" w:type="dxa"/>
          </w:tcPr>
          <w:p w14:paraId="2CE2DDFF" w14:textId="3C6CEFAE" w:rsidR="00A02DF5" w:rsidRPr="00EB4F38" w:rsidRDefault="00A02DF5" w:rsidP="00AF5DE0">
            <w:pPr>
              <w:jc w:val="both"/>
              <w:rPr>
                <w:rFonts w:ascii="Times New Roman" w:hAnsi="Times New Roman" w:cs="Times New Roman"/>
              </w:rPr>
            </w:pPr>
            <w:r w:rsidRPr="00EB4F38">
              <w:rPr>
                <w:rFonts w:ascii="Times New Roman" w:hAnsi="Times New Roman" w:cs="Times New Roman"/>
              </w:rPr>
              <w:t>2020–21</w:t>
            </w:r>
          </w:p>
        </w:tc>
        <w:tc>
          <w:tcPr>
            <w:tcW w:w="2254" w:type="dxa"/>
          </w:tcPr>
          <w:p w14:paraId="166B5AD4" w14:textId="41276D2F" w:rsidR="00A02DF5" w:rsidRPr="00EB4F38" w:rsidRDefault="00A02DF5" w:rsidP="00AF5DE0">
            <w:pPr>
              <w:jc w:val="both"/>
              <w:rPr>
                <w:rFonts w:ascii="Times New Roman" w:hAnsi="Times New Roman" w:cs="Times New Roman"/>
              </w:rPr>
            </w:pPr>
            <w:r w:rsidRPr="00EB4F38">
              <w:rPr>
                <w:rFonts w:ascii="Times New Roman" w:hAnsi="Times New Roman" w:cs="Times New Roman"/>
              </w:rPr>
              <w:t>4.14</w:t>
            </w:r>
          </w:p>
        </w:tc>
        <w:tc>
          <w:tcPr>
            <w:tcW w:w="2254" w:type="dxa"/>
          </w:tcPr>
          <w:p w14:paraId="2F882CAA" w14:textId="2948CE09" w:rsidR="00A02DF5" w:rsidRPr="00EB4F38" w:rsidRDefault="00A02DF5" w:rsidP="00AF5DE0">
            <w:pPr>
              <w:jc w:val="both"/>
              <w:rPr>
                <w:rFonts w:ascii="Times New Roman" w:hAnsi="Times New Roman" w:cs="Times New Roman"/>
              </w:rPr>
            </w:pPr>
            <w:r w:rsidRPr="00EB4F38">
              <w:rPr>
                <w:rFonts w:ascii="Times New Roman" w:hAnsi="Times New Roman" w:cs="Times New Roman"/>
              </w:rPr>
              <w:t>63.8</w:t>
            </w:r>
          </w:p>
        </w:tc>
        <w:tc>
          <w:tcPr>
            <w:tcW w:w="2254" w:type="dxa"/>
          </w:tcPr>
          <w:p w14:paraId="6EB14C70" w14:textId="77777777" w:rsidR="00A02DF5" w:rsidRPr="00EB4F38" w:rsidRDefault="00A02DF5" w:rsidP="00A02DF5">
            <w:pPr>
              <w:jc w:val="both"/>
              <w:rPr>
                <w:rFonts w:ascii="Times New Roman" w:hAnsi="Times New Roman" w:cs="Times New Roman"/>
              </w:rPr>
            </w:pPr>
            <w:r w:rsidRPr="00EB4F38">
              <w:rPr>
                <w:rFonts w:ascii="Times New Roman" w:hAnsi="Times New Roman" w:cs="Times New Roman"/>
              </w:rPr>
              <w:t>15.4</w:t>
            </w:r>
          </w:p>
          <w:p w14:paraId="162651B3" w14:textId="4994DB63" w:rsidR="00A02DF5" w:rsidRPr="00EB4F38" w:rsidRDefault="00A02DF5" w:rsidP="00AF5DE0">
            <w:pPr>
              <w:jc w:val="both"/>
              <w:rPr>
                <w:rFonts w:ascii="Times New Roman" w:hAnsi="Times New Roman" w:cs="Times New Roman"/>
              </w:rPr>
            </w:pPr>
          </w:p>
        </w:tc>
      </w:tr>
      <w:tr w:rsidR="00A02DF5" w:rsidRPr="00EB4F38" w14:paraId="3B5DF344" w14:textId="77777777" w:rsidTr="00AF5DE0">
        <w:tc>
          <w:tcPr>
            <w:tcW w:w="2254" w:type="dxa"/>
          </w:tcPr>
          <w:p w14:paraId="32FF2283" w14:textId="4D70978D" w:rsidR="00A02DF5" w:rsidRPr="00EB4F38" w:rsidRDefault="00A02DF5" w:rsidP="00AF5DE0">
            <w:pPr>
              <w:jc w:val="both"/>
              <w:rPr>
                <w:rFonts w:ascii="Times New Roman" w:hAnsi="Times New Roman" w:cs="Times New Roman"/>
              </w:rPr>
            </w:pPr>
            <w:r w:rsidRPr="00EB4F38">
              <w:rPr>
                <w:rFonts w:ascii="Times New Roman" w:hAnsi="Times New Roman" w:cs="Times New Roman"/>
              </w:rPr>
              <w:t>2021–22</w:t>
            </w:r>
          </w:p>
        </w:tc>
        <w:tc>
          <w:tcPr>
            <w:tcW w:w="2254" w:type="dxa"/>
          </w:tcPr>
          <w:p w14:paraId="00DBD5CF" w14:textId="03F2D10A" w:rsidR="00A02DF5" w:rsidRPr="00EB4F38" w:rsidRDefault="00A02DF5" w:rsidP="00AF5DE0">
            <w:pPr>
              <w:jc w:val="both"/>
              <w:rPr>
                <w:rFonts w:ascii="Times New Roman" w:hAnsi="Times New Roman" w:cs="Times New Roman"/>
              </w:rPr>
            </w:pPr>
            <w:r w:rsidRPr="00EB4F38">
              <w:rPr>
                <w:rFonts w:ascii="Times New Roman" w:hAnsi="Times New Roman" w:cs="Times New Roman"/>
              </w:rPr>
              <w:t>4.33</w:t>
            </w:r>
          </w:p>
        </w:tc>
        <w:tc>
          <w:tcPr>
            <w:tcW w:w="2254" w:type="dxa"/>
          </w:tcPr>
          <w:p w14:paraId="0CA60DFD" w14:textId="77A86143" w:rsidR="00A02DF5" w:rsidRPr="00EB4F38" w:rsidRDefault="00A02DF5" w:rsidP="00AF5DE0">
            <w:pPr>
              <w:jc w:val="both"/>
              <w:rPr>
                <w:rFonts w:ascii="Times New Roman" w:hAnsi="Times New Roman" w:cs="Times New Roman"/>
              </w:rPr>
            </w:pPr>
            <w:r w:rsidRPr="00EB4F38">
              <w:rPr>
                <w:rFonts w:ascii="Times New Roman" w:hAnsi="Times New Roman" w:cs="Times New Roman"/>
              </w:rPr>
              <w:t>66.2</w:t>
            </w:r>
          </w:p>
        </w:tc>
        <w:tc>
          <w:tcPr>
            <w:tcW w:w="2254" w:type="dxa"/>
          </w:tcPr>
          <w:p w14:paraId="597367B2" w14:textId="322D530E" w:rsidR="00A02DF5" w:rsidRPr="00EB4F38" w:rsidRDefault="00A02DF5" w:rsidP="00AF5DE0">
            <w:pPr>
              <w:jc w:val="both"/>
              <w:rPr>
                <w:rFonts w:ascii="Times New Roman" w:hAnsi="Times New Roman" w:cs="Times New Roman"/>
              </w:rPr>
            </w:pPr>
            <w:r w:rsidRPr="00EB4F38">
              <w:rPr>
                <w:rFonts w:ascii="Times New Roman" w:hAnsi="Times New Roman" w:cs="Times New Roman"/>
              </w:rPr>
              <w:t>15.3</w:t>
            </w:r>
          </w:p>
        </w:tc>
      </w:tr>
    </w:tbl>
    <w:p w14:paraId="74903A4D" w14:textId="77777777" w:rsidR="00AF5DE0" w:rsidRPr="00EB4F38" w:rsidRDefault="00AF5DE0" w:rsidP="00AF5DE0">
      <w:pPr>
        <w:jc w:val="both"/>
        <w:rPr>
          <w:rFonts w:ascii="Times New Roman" w:hAnsi="Times New Roman" w:cs="Times New Roman"/>
        </w:rPr>
      </w:pPr>
    </w:p>
    <w:p w14:paraId="5ACD9976" w14:textId="568798D5" w:rsidR="00AF5DE0" w:rsidRPr="00EB4F38" w:rsidRDefault="00AF5DE0" w:rsidP="00AF5DE0">
      <w:pPr>
        <w:jc w:val="both"/>
        <w:rPr>
          <w:rFonts w:ascii="Times New Roman" w:hAnsi="Times New Roman" w:cs="Times New Roman"/>
        </w:rPr>
      </w:pPr>
      <w:r w:rsidRPr="00EB4F38">
        <w:rPr>
          <w:rFonts w:ascii="Times New Roman" w:hAnsi="Times New Roman" w:cs="Times New Roman"/>
        </w:rPr>
        <w:t>Source: All India Survey on Higher Education (AISHE), Ministry of Education, Government of India</w:t>
      </w:r>
    </w:p>
    <w:p w14:paraId="1C8530F7" w14:textId="77777777" w:rsidR="00AF5DE0" w:rsidRPr="00EB4F38" w:rsidRDefault="00AF5DE0" w:rsidP="00AF5DE0">
      <w:pPr>
        <w:jc w:val="both"/>
        <w:rPr>
          <w:rFonts w:ascii="Times New Roman" w:hAnsi="Times New Roman" w:cs="Times New Roman"/>
        </w:rPr>
      </w:pPr>
      <w:r w:rsidRPr="00EB4F38">
        <w:rPr>
          <w:rFonts w:ascii="Times New Roman" w:hAnsi="Times New Roman" w:cs="Times New Roman"/>
        </w:rPr>
        <w:t>Table 2: Gross Enrolment Ratio (GER) by Social Group (Recent Estimates)</w:t>
      </w:r>
    </w:p>
    <w:tbl>
      <w:tblPr>
        <w:tblStyle w:val="TableGrid"/>
        <w:tblW w:w="0" w:type="auto"/>
        <w:tblLook w:val="04A0" w:firstRow="1" w:lastRow="0" w:firstColumn="1" w:lastColumn="0" w:noHBand="0" w:noVBand="1"/>
      </w:tblPr>
      <w:tblGrid>
        <w:gridCol w:w="4508"/>
        <w:gridCol w:w="4508"/>
      </w:tblGrid>
      <w:tr w:rsidR="00A02DF5" w:rsidRPr="00EB4F38" w14:paraId="37FCEBF6" w14:textId="77777777" w:rsidTr="00A02DF5">
        <w:tc>
          <w:tcPr>
            <w:tcW w:w="4508" w:type="dxa"/>
          </w:tcPr>
          <w:p w14:paraId="277976FD" w14:textId="32E19CF5" w:rsidR="00A02DF5" w:rsidRPr="00EB4F38" w:rsidRDefault="00A02DF5" w:rsidP="00AF5DE0">
            <w:pPr>
              <w:jc w:val="both"/>
              <w:rPr>
                <w:rFonts w:ascii="Times New Roman" w:hAnsi="Times New Roman" w:cs="Times New Roman"/>
              </w:rPr>
            </w:pPr>
            <w:r w:rsidRPr="00EB4F38">
              <w:rPr>
                <w:rFonts w:ascii="Times New Roman" w:hAnsi="Times New Roman" w:cs="Times New Roman"/>
              </w:rPr>
              <w:t>Social Group</w:t>
            </w:r>
          </w:p>
        </w:tc>
        <w:tc>
          <w:tcPr>
            <w:tcW w:w="4508" w:type="dxa"/>
          </w:tcPr>
          <w:p w14:paraId="79D6941C" w14:textId="6DB68041" w:rsidR="00A02DF5" w:rsidRPr="00EB4F38" w:rsidRDefault="00A02DF5" w:rsidP="00AF5DE0">
            <w:pPr>
              <w:jc w:val="both"/>
              <w:rPr>
                <w:rFonts w:ascii="Times New Roman" w:hAnsi="Times New Roman" w:cs="Times New Roman"/>
              </w:rPr>
            </w:pPr>
            <w:r w:rsidRPr="00EB4F38">
              <w:rPr>
                <w:rFonts w:ascii="Times New Roman" w:hAnsi="Times New Roman" w:cs="Times New Roman"/>
              </w:rPr>
              <w:t>GER (%)</w:t>
            </w:r>
          </w:p>
        </w:tc>
      </w:tr>
      <w:tr w:rsidR="00A02DF5" w:rsidRPr="00EB4F38" w14:paraId="55497F4A" w14:textId="77777777" w:rsidTr="00A02DF5">
        <w:tc>
          <w:tcPr>
            <w:tcW w:w="4508" w:type="dxa"/>
          </w:tcPr>
          <w:p w14:paraId="7CF50485" w14:textId="5DDF1A00" w:rsidR="00A02DF5" w:rsidRPr="00EB4F38" w:rsidRDefault="00A02DF5" w:rsidP="00AF5DE0">
            <w:pPr>
              <w:jc w:val="both"/>
              <w:rPr>
                <w:rFonts w:ascii="Times New Roman" w:hAnsi="Times New Roman" w:cs="Times New Roman"/>
              </w:rPr>
            </w:pPr>
            <w:r w:rsidRPr="00EB4F38">
              <w:rPr>
                <w:rFonts w:ascii="Times New Roman" w:hAnsi="Times New Roman" w:cs="Times New Roman"/>
              </w:rPr>
              <w:t>Scheduled Castes (SC)</w:t>
            </w:r>
            <w:r w:rsidRPr="00EB4F38">
              <w:rPr>
                <w:rFonts w:ascii="Times New Roman" w:hAnsi="Times New Roman" w:cs="Times New Roman"/>
              </w:rPr>
              <w:tab/>
            </w:r>
          </w:p>
        </w:tc>
        <w:tc>
          <w:tcPr>
            <w:tcW w:w="4508" w:type="dxa"/>
          </w:tcPr>
          <w:p w14:paraId="5EBB5F72" w14:textId="4EA18D87" w:rsidR="00A02DF5" w:rsidRPr="00EB4F38" w:rsidRDefault="00A02DF5" w:rsidP="00AF5DE0">
            <w:pPr>
              <w:jc w:val="both"/>
              <w:rPr>
                <w:rFonts w:ascii="Times New Roman" w:hAnsi="Times New Roman" w:cs="Times New Roman"/>
              </w:rPr>
            </w:pPr>
            <w:r w:rsidRPr="00EB4F38">
              <w:rPr>
                <w:rFonts w:ascii="Times New Roman" w:hAnsi="Times New Roman" w:cs="Times New Roman"/>
              </w:rPr>
              <w:t>23–24</w:t>
            </w:r>
          </w:p>
        </w:tc>
      </w:tr>
      <w:tr w:rsidR="00A02DF5" w:rsidRPr="00EB4F38" w14:paraId="5750C23A" w14:textId="77777777" w:rsidTr="00A02DF5">
        <w:tc>
          <w:tcPr>
            <w:tcW w:w="4508" w:type="dxa"/>
          </w:tcPr>
          <w:p w14:paraId="7FA522C7" w14:textId="7A3B60B0" w:rsidR="00A02DF5" w:rsidRPr="00EB4F38" w:rsidRDefault="00A02DF5" w:rsidP="00AF5DE0">
            <w:pPr>
              <w:jc w:val="both"/>
              <w:rPr>
                <w:rFonts w:ascii="Times New Roman" w:hAnsi="Times New Roman" w:cs="Times New Roman"/>
              </w:rPr>
            </w:pPr>
            <w:r w:rsidRPr="00EB4F38">
              <w:rPr>
                <w:rFonts w:ascii="Times New Roman" w:hAnsi="Times New Roman" w:cs="Times New Roman"/>
              </w:rPr>
              <w:t>Scheduled Tribes</w:t>
            </w:r>
          </w:p>
        </w:tc>
        <w:tc>
          <w:tcPr>
            <w:tcW w:w="4508" w:type="dxa"/>
          </w:tcPr>
          <w:p w14:paraId="7D3437E2" w14:textId="66D1C5EA" w:rsidR="00A02DF5" w:rsidRPr="00EB4F38" w:rsidRDefault="00A02DF5" w:rsidP="00AF5DE0">
            <w:pPr>
              <w:jc w:val="both"/>
              <w:rPr>
                <w:rFonts w:ascii="Times New Roman" w:hAnsi="Times New Roman" w:cs="Times New Roman"/>
              </w:rPr>
            </w:pPr>
            <w:r w:rsidRPr="00EB4F38">
              <w:rPr>
                <w:rFonts w:ascii="Times New Roman" w:hAnsi="Times New Roman" w:cs="Times New Roman"/>
              </w:rPr>
              <w:t>18–19</w:t>
            </w:r>
          </w:p>
        </w:tc>
      </w:tr>
      <w:tr w:rsidR="00A02DF5" w:rsidRPr="00EB4F38" w14:paraId="6E46558F" w14:textId="77777777" w:rsidTr="00A02DF5">
        <w:tc>
          <w:tcPr>
            <w:tcW w:w="4508" w:type="dxa"/>
          </w:tcPr>
          <w:p w14:paraId="5037FEEA" w14:textId="43D0B869" w:rsidR="00A02DF5" w:rsidRPr="00EB4F38" w:rsidRDefault="00A02DF5" w:rsidP="00AF5DE0">
            <w:pPr>
              <w:jc w:val="both"/>
              <w:rPr>
                <w:rFonts w:ascii="Times New Roman" w:hAnsi="Times New Roman" w:cs="Times New Roman"/>
              </w:rPr>
            </w:pPr>
            <w:r w:rsidRPr="00EB4F38">
              <w:rPr>
                <w:rFonts w:ascii="Times New Roman" w:hAnsi="Times New Roman" w:cs="Times New Roman"/>
              </w:rPr>
              <w:lastRenderedPageBreak/>
              <w:t>Other Backward Classes (OBC)</w:t>
            </w:r>
          </w:p>
        </w:tc>
        <w:tc>
          <w:tcPr>
            <w:tcW w:w="4508" w:type="dxa"/>
          </w:tcPr>
          <w:p w14:paraId="203B1408" w14:textId="77777777" w:rsidR="00A02DF5" w:rsidRPr="00EB4F38" w:rsidRDefault="00A02DF5" w:rsidP="00A02DF5">
            <w:pPr>
              <w:jc w:val="both"/>
              <w:rPr>
                <w:rFonts w:ascii="Times New Roman" w:hAnsi="Times New Roman" w:cs="Times New Roman"/>
              </w:rPr>
            </w:pPr>
            <w:r w:rsidRPr="00EB4F38">
              <w:rPr>
                <w:rFonts w:ascii="Times New Roman" w:hAnsi="Times New Roman" w:cs="Times New Roman"/>
              </w:rPr>
              <w:t>26–27</w:t>
            </w:r>
          </w:p>
          <w:p w14:paraId="0F3B3AAA" w14:textId="77777777" w:rsidR="00A02DF5" w:rsidRPr="00EB4F38" w:rsidRDefault="00A02DF5" w:rsidP="00AF5DE0">
            <w:pPr>
              <w:jc w:val="both"/>
              <w:rPr>
                <w:rFonts w:ascii="Times New Roman" w:hAnsi="Times New Roman" w:cs="Times New Roman"/>
              </w:rPr>
            </w:pPr>
          </w:p>
        </w:tc>
      </w:tr>
      <w:tr w:rsidR="00A02DF5" w:rsidRPr="00EB4F38" w14:paraId="243CB433" w14:textId="77777777" w:rsidTr="00A02DF5">
        <w:tc>
          <w:tcPr>
            <w:tcW w:w="4508" w:type="dxa"/>
          </w:tcPr>
          <w:p w14:paraId="1B4D4BEF" w14:textId="65885A61" w:rsidR="00A02DF5" w:rsidRPr="00EB4F38" w:rsidRDefault="00A02DF5" w:rsidP="00AF5DE0">
            <w:pPr>
              <w:jc w:val="both"/>
              <w:rPr>
                <w:rFonts w:ascii="Times New Roman" w:hAnsi="Times New Roman" w:cs="Times New Roman"/>
              </w:rPr>
            </w:pPr>
            <w:r w:rsidRPr="00EB4F38">
              <w:rPr>
                <w:rFonts w:ascii="Times New Roman" w:hAnsi="Times New Roman" w:cs="Times New Roman"/>
              </w:rPr>
              <w:t>General Category</w:t>
            </w:r>
          </w:p>
        </w:tc>
        <w:tc>
          <w:tcPr>
            <w:tcW w:w="4508" w:type="dxa"/>
          </w:tcPr>
          <w:p w14:paraId="7F66C266" w14:textId="5ACBB852" w:rsidR="00A02DF5" w:rsidRPr="00EB4F38" w:rsidRDefault="00A02DF5" w:rsidP="00AF5DE0">
            <w:pPr>
              <w:jc w:val="both"/>
              <w:rPr>
                <w:rFonts w:ascii="Times New Roman" w:hAnsi="Times New Roman" w:cs="Times New Roman"/>
              </w:rPr>
            </w:pPr>
            <w:r w:rsidRPr="00EB4F38">
              <w:rPr>
                <w:rFonts w:ascii="Times New Roman" w:hAnsi="Times New Roman" w:cs="Times New Roman"/>
              </w:rPr>
              <w:t>30–32</w:t>
            </w:r>
          </w:p>
        </w:tc>
      </w:tr>
      <w:tr w:rsidR="00A02DF5" w:rsidRPr="00EB4F38" w14:paraId="7463A321" w14:textId="77777777" w:rsidTr="00A02DF5">
        <w:tc>
          <w:tcPr>
            <w:tcW w:w="4508" w:type="dxa"/>
          </w:tcPr>
          <w:p w14:paraId="47D9C6A5" w14:textId="6636E22E" w:rsidR="00A02DF5" w:rsidRPr="00EB4F38" w:rsidRDefault="00A02DF5" w:rsidP="00AF5DE0">
            <w:pPr>
              <w:jc w:val="both"/>
              <w:rPr>
                <w:rFonts w:ascii="Times New Roman" w:hAnsi="Times New Roman" w:cs="Times New Roman"/>
              </w:rPr>
            </w:pPr>
            <w:r w:rsidRPr="00EB4F38">
              <w:rPr>
                <w:rFonts w:ascii="Times New Roman" w:hAnsi="Times New Roman" w:cs="Times New Roman"/>
              </w:rPr>
              <w:t>All India (Average)</w:t>
            </w:r>
          </w:p>
        </w:tc>
        <w:tc>
          <w:tcPr>
            <w:tcW w:w="4508" w:type="dxa"/>
          </w:tcPr>
          <w:p w14:paraId="6BAC92C6" w14:textId="77777777" w:rsidR="00A02DF5" w:rsidRPr="00EB4F38" w:rsidRDefault="00A02DF5" w:rsidP="00A02DF5">
            <w:pPr>
              <w:jc w:val="both"/>
              <w:rPr>
                <w:rFonts w:ascii="Times New Roman" w:hAnsi="Times New Roman" w:cs="Times New Roman"/>
              </w:rPr>
            </w:pPr>
            <w:r w:rsidRPr="00EB4F38">
              <w:rPr>
                <w:rFonts w:ascii="Times New Roman" w:hAnsi="Times New Roman" w:cs="Times New Roman"/>
              </w:rPr>
              <w:t>27.3</w:t>
            </w:r>
          </w:p>
          <w:p w14:paraId="08A671AD" w14:textId="77777777" w:rsidR="00A02DF5" w:rsidRPr="00EB4F38" w:rsidRDefault="00A02DF5" w:rsidP="00AF5DE0">
            <w:pPr>
              <w:jc w:val="both"/>
              <w:rPr>
                <w:rFonts w:ascii="Times New Roman" w:hAnsi="Times New Roman" w:cs="Times New Roman"/>
              </w:rPr>
            </w:pPr>
          </w:p>
        </w:tc>
      </w:tr>
    </w:tbl>
    <w:p w14:paraId="70112EA6" w14:textId="77777777" w:rsidR="00A02DF5" w:rsidRPr="00EB4F38" w:rsidRDefault="00A02DF5" w:rsidP="00AF5DE0">
      <w:pPr>
        <w:jc w:val="both"/>
        <w:rPr>
          <w:rFonts w:ascii="Times New Roman" w:hAnsi="Times New Roman" w:cs="Times New Roman"/>
        </w:rPr>
      </w:pPr>
    </w:p>
    <w:p w14:paraId="6D0AD01D" w14:textId="6302DD4C" w:rsidR="00AF5DE0" w:rsidRPr="00EB4F38" w:rsidRDefault="00AF5DE0" w:rsidP="00AF5DE0">
      <w:pPr>
        <w:jc w:val="both"/>
        <w:rPr>
          <w:rFonts w:ascii="Times New Roman" w:hAnsi="Times New Roman" w:cs="Times New Roman"/>
        </w:rPr>
      </w:pPr>
      <w:r w:rsidRPr="00EB4F38">
        <w:rPr>
          <w:rFonts w:ascii="Times New Roman" w:hAnsi="Times New Roman" w:cs="Times New Roman"/>
        </w:rPr>
        <w:t>Source: AISHE (2021–22)</w:t>
      </w:r>
    </w:p>
    <w:p w14:paraId="525DAC2E" w14:textId="77777777" w:rsidR="009A6D90" w:rsidRPr="00EB4F38" w:rsidRDefault="009A6D90" w:rsidP="009A6D90">
      <w:pPr>
        <w:jc w:val="both"/>
        <w:rPr>
          <w:rFonts w:ascii="Times New Roman" w:hAnsi="Times New Roman" w:cs="Times New Roman"/>
        </w:rPr>
      </w:pPr>
    </w:p>
    <w:p w14:paraId="0DE3265E" w14:textId="0608CA0C" w:rsidR="00A02DF5" w:rsidRPr="00EB4F38" w:rsidRDefault="00A02DF5" w:rsidP="00A02DF5">
      <w:pPr>
        <w:jc w:val="both"/>
        <w:rPr>
          <w:rFonts w:ascii="Times New Roman" w:hAnsi="Times New Roman" w:cs="Times New Roman"/>
        </w:rPr>
      </w:pPr>
      <w:r w:rsidRPr="00EB4F38">
        <w:rPr>
          <w:rFonts w:ascii="Times New Roman" w:hAnsi="Times New Roman" w:cs="Times New Roman"/>
        </w:rPr>
        <w:t xml:space="preserve">The year-wise AISHE data clearly indicate that </w:t>
      </w:r>
      <w:r w:rsidR="007A60E7" w:rsidRPr="00EB4F38">
        <w:rPr>
          <w:rFonts w:ascii="Times New Roman" w:hAnsi="Times New Roman" w:cs="Times New Roman"/>
        </w:rPr>
        <w:t>SC</w:t>
      </w:r>
      <w:r w:rsidRPr="00EB4F38">
        <w:rPr>
          <w:rFonts w:ascii="Times New Roman" w:hAnsi="Times New Roman" w:cs="Times New Roman"/>
        </w:rPr>
        <w:t xml:space="preserve"> enrolment in higher education has increased steadily in absolute numbers, rising from 51.1 lakh in 2014–15 to 66.23 lakh in 2021–22. However, the percentage share of SC students has remained </w:t>
      </w:r>
      <w:r w:rsidR="007A60E7" w:rsidRPr="00EB4F38">
        <w:rPr>
          <w:rFonts w:ascii="Times New Roman" w:hAnsi="Times New Roman" w:cs="Times New Roman"/>
        </w:rPr>
        <w:t>same with</w:t>
      </w:r>
      <w:r w:rsidRPr="00EB4F38">
        <w:rPr>
          <w:rFonts w:ascii="Times New Roman" w:hAnsi="Times New Roman" w:cs="Times New Roman"/>
        </w:rPr>
        <w:t xml:space="preserve"> around 15–16%, which is </w:t>
      </w:r>
      <w:r w:rsidR="007A60E7" w:rsidRPr="00EB4F38">
        <w:rPr>
          <w:rFonts w:ascii="Times New Roman" w:hAnsi="Times New Roman" w:cs="Times New Roman"/>
        </w:rPr>
        <w:t>less than their</w:t>
      </w:r>
      <w:r w:rsidRPr="00EB4F38">
        <w:rPr>
          <w:rFonts w:ascii="Times New Roman" w:hAnsi="Times New Roman" w:cs="Times New Roman"/>
        </w:rPr>
        <w:t xml:space="preserve"> population proportion.</w:t>
      </w:r>
    </w:p>
    <w:p w14:paraId="6119F26F" w14:textId="7AFDE503" w:rsidR="00A02DF5" w:rsidRPr="00EB4F38" w:rsidRDefault="00811111" w:rsidP="00A02DF5">
      <w:pPr>
        <w:jc w:val="both"/>
        <w:rPr>
          <w:rFonts w:ascii="Times New Roman" w:hAnsi="Times New Roman" w:cs="Times New Roman"/>
        </w:rPr>
      </w:pPr>
      <w:r w:rsidRPr="00EB4F38">
        <w:rPr>
          <w:rFonts w:ascii="Times New Roman" w:hAnsi="Times New Roman" w:cs="Times New Roman"/>
        </w:rPr>
        <w:t xml:space="preserve">Raju (2008) found that general category students have the highest participation rates in higher education, followed by OBCs, SCs, and STs. </w:t>
      </w:r>
      <w:r w:rsidR="00A02DF5" w:rsidRPr="00EB4F38">
        <w:rPr>
          <w:rFonts w:ascii="Times New Roman" w:hAnsi="Times New Roman" w:cs="Times New Roman"/>
        </w:rPr>
        <w:t>The Gross Enrolment Ratio for SCs remains significantly lower than that of the general category, reflecting unequal access despite expansion. Moreover, SC participation declines sharply at postgraduate and research levels, suggesting that reservation policies are more effective at entry-level access than at ensuring academic progression.</w:t>
      </w:r>
    </w:p>
    <w:p w14:paraId="4BFFFF7A" w14:textId="77777777" w:rsidR="00A02DF5" w:rsidRPr="00EB4F38" w:rsidRDefault="00A02DF5" w:rsidP="00A02DF5">
      <w:pPr>
        <w:jc w:val="both"/>
        <w:rPr>
          <w:rFonts w:ascii="Times New Roman" w:hAnsi="Times New Roman" w:cs="Times New Roman"/>
        </w:rPr>
      </w:pPr>
      <w:r w:rsidRPr="00EB4F38">
        <w:rPr>
          <w:rFonts w:ascii="Times New Roman" w:hAnsi="Times New Roman" w:cs="Times New Roman"/>
        </w:rPr>
        <w:t>Institutional data further reveal that SC students are largely concentrated in public institutions and general degree programmes, with limited representation in elite and professional institutions. Gender and rural–urban divides further intensify exclusion, particularly for SC women.</w:t>
      </w:r>
    </w:p>
    <w:p w14:paraId="76509488" w14:textId="6A58B5CB" w:rsidR="00A02DF5" w:rsidRPr="00EB4F38" w:rsidRDefault="00A02DF5" w:rsidP="007A60E7">
      <w:pPr>
        <w:jc w:val="both"/>
        <w:rPr>
          <w:rFonts w:ascii="Times New Roman" w:hAnsi="Times New Roman" w:cs="Times New Roman"/>
        </w:rPr>
      </w:pPr>
      <w:r w:rsidRPr="00EB4F38">
        <w:rPr>
          <w:rFonts w:ascii="Times New Roman" w:hAnsi="Times New Roman" w:cs="Times New Roman"/>
        </w:rPr>
        <w:t xml:space="preserve">Overall, the table-based evidence confirms that while quantitative expansion has occurred, qualitative and structural inequalities persist, limiting equitable participation of </w:t>
      </w:r>
      <w:r w:rsidR="007A60E7" w:rsidRPr="00EB4F38">
        <w:rPr>
          <w:rFonts w:ascii="Times New Roman" w:hAnsi="Times New Roman" w:cs="Times New Roman"/>
        </w:rPr>
        <w:t xml:space="preserve">SC </w:t>
      </w:r>
      <w:r w:rsidRPr="00EB4F38">
        <w:rPr>
          <w:rFonts w:ascii="Times New Roman" w:hAnsi="Times New Roman" w:cs="Times New Roman"/>
        </w:rPr>
        <w:t>students in higher education.</w:t>
      </w:r>
      <w:r w:rsidR="007A60E7" w:rsidRPr="00EB4F38">
        <w:rPr>
          <w:rFonts w:ascii="Times New Roman" w:hAnsi="Times New Roman" w:cs="Times New Roman"/>
        </w:rPr>
        <w:t xml:space="preserve"> </w:t>
      </w:r>
      <w:r w:rsidRPr="00EB4F38">
        <w:rPr>
          <w:rFonts w:ascii="Times New Roman" w:eastAsia="Times New Roman" w:hAnsi="Times New Roman" w:cs="Times New Roman"/>
          <w:kern w:val="0"/>
          <w:lang w:val="en-IN" w:eastAsia="en-GB"/>
          <w14:ligatures w14:val="none"/>
        </w:rPr>
        <w:t>Disparities are more pronounced at higher levels of education. While SC participation is relatively better at the undergraduate level, it declines sharply at postgraduate and research levels. Desai and Kulkarni (2008) observed that although reservation policies facilitate entry into undergraduate programmes, SC students are significantly underrepresented in postgraduate courses, professional degrees, and doctoral programmes.</w:t>
      </w:r>
    </w:p>
    <w:p w14:paraId="5FEDE37F" w14:textId="77777777" w:rsidR="007A60E7" w:rsidRPr="00EB4F38" w:rsidRDefault="00A02DF5" w:rsidP="00A02DF5">
      <w:pPr>
        <w:spacing w:before="100" w:beforeAutospacing="1" w:after="100" w:afterAutospacing="1"/>
        <w:jc w:val="both"/>
        <w:rPr>
          <w:rFonts w:ascii="Times New Roman" w:eastAsia="Times New Roman" w:hAnsi="Times New Roman" w:cs="Times New Roman"/>
          <w:kern w:val="0"/>
          <w:lang w:val="en-IN" w:eastAsia="en-GB"/>
          <w14:ligatures w14:val="none"/>
        </w:rPr>
      </w:pPr>
      <w:r w:rsidRPr="00EB4F38">
        <w:rPr>
          <w:rFonts w:ascii="Times New Roman" w:eastAsia="Times New Roman" w:hAnsi="Times New Roman" w:cs="Times New Roman"/>
          <w:kern w:val="0"/>
          <w:lang w:val="en-IN" w:eastAsia="en-GB"/>
          <w14:ligatures w14:val="none"/>
        </w:rPr>
        <w:t>Data from AISHE show that SC students are concentrated in general degree programmes (Arts, Commerce, and Science) and are underrepresented in professional and technical education, including engineering, medicine, and management. Azam and Bloom (2008) similarly found that expansion in tertiary education did not translate into equal participation across caste groups, particularly in elite and high-return fields of study.</w:t>
      </w:r>
    </w:p>
    <w:p w14:paraId="51A6568C" w14:textId="618FAD08" w:rsidR="00A02DF5" w:rsidRPr="00EB4F38" w:rsidRDefault="00A02DF5" w:rsidP="00A02DF5">
      <w:pPr>
        <w:spacing w:before="100" w:beforeAutospacing="1" w:after="100" w:afterAutospacing="1"/>
        <w:jc w:val="both"/>
        <w:rPr>
          <w:rFonts w:ascii="Times New Roman" w:eastAsia="Times New Roman" w:hAnsi="Times New Roman" w:cs="Times New Roman"/>
          <w:kern w:val="0"/>
          <w:lang w:val="en-IN" w:eastAsia="en-GB"/>
          <w14:ligatures w14:val="none"/>
        </w:rPr>
      </w:pPr>
      <w:r w:rsidRPr="00EB4F38">
        <w:rPr>
          <w:rFonts w:ascii="Times New Roman" w:eastAsia="Times New Roman" w:hAnsi="Times New Roman" w:cs="Times New Roman"/>
          <w:kern w:val="0"/>
          <w:lang w:val="en-IN" w:eastAsia="en-GB"/>
          <w14:ligatures w14:val="none"/>
        </w:rPr>
        <w:t>Studies reveal that SC students are disproportionately enrolled in state universities, affiliated colleges, and rural institutions, while their representation in central universities, IITs, IIMs, and private elite institutions remains limited (</w:t>
      </w:r>
      <w:proofErr w:type="spellStart"/>
      <w:r w:rsidRPr="00EB4F38">
        <w:rPr>
          <w:rFonts w:ascii="Times New Roman" w:eastAsia="Times New Roman" w:hAnsi="Times New Roman" w:cs="Times New Roman"/>
          <w:kern w:val="0"/>
          <w:lang w:val="en-IN" w:eastAsia="en-GB"/>
          <w14:ligatures w14:val="none"/>
        </w:rPr>
        <w:t>Jodhka</w:t>
      </w:r>
      <w:proofErr w:type="spellEnd"/>
      <w:r w:rsidRPr="00EB4F38">
        <w:rPr>
          <w:rFonts w:ascii="Times New Roman" w:eastAsia="Times New Roman" w:hAnsi="Times New Roman" w:cs="Times New Roman"/>
          <w:kern w:val="0"/>
          <w:lang w:val="en-IN" w:eastAsia="en-GB"/>
          <w14:ligatures w14:val="none"/>
        </w:rPr>
        <w:t xml:space="preserve"> &amp; Newman, 2007; Deshpande, 2013). Ghuman et al. (2009), in their study of professional education in rural Punjab, found that nearly three-fourths of students in professional courses belonged to upper-caste backgrounds, with SC and ST students accounting for only a quarter.</w:t>
      </w:r>
    </w:p>
    <w:p w14:paraId="22699A09" w14:textId="55D9CE29" w:rsidR="0067065C" w:rsidRPr="00EB4F38" w:rsidRDefault="00A02DF5" w:rsidP="0067065C">
      <w:pPr>
        <w:jc w:val="both"/>
        <w:rPr>
          <w:rFonts w:ascii="Times New Roman" w:hAnsi="Times New Roman" w:cs="Times New Roman"/>
        </w:rPr>
      </w:pPr>
      <w:r w:rsidRPr="00EB4F38">
        <w:rPr>
          <w:rFonts w:ascii="Times New Roman" w:hAnsi="Times New Roman" w:cs="Times New Roman"/>
        </w:rPr>
        <w:t xml:space="preserve"> </w:t>
      </w:r>
      <w:r w:rsidR="0067065C" w:rsidRPr="00EB4F38">
        <w:rPr>
          <w:rFonts w:ascii="Times New Roman" w:hAnsi="Times New Roman" w:cs="Times New Roman"/>
        </w:rPr>
        <w:t>Socio-economic status plays a decisive role in shaping access to and retention in higher education in India. Caste and class remain deeply intertwined, with SC households disproportionately represented among economically marginalized groups (Thorat &amp; Newman, 2010). Historical exclusion from land ownership, formal employment, and social capital has resulted in persistent intergenerational poverty among SC communities, directly affecting their educational participation and outcomes.</w:t>
      </w:r>
    </w:p>
    <w:p w14:paraId="48471BD1" w14:textId="77777777" w:rsidR="0067065C" w:rsidRPr="00EB4F38" w:rsidRDefault="0067065C" w:rsidP="0067065C">
      <w:pPr>
        <w:jc w:val="both"/>
        <w:rPr>
          <w:rFonts w:ascii="Times New Roman" w:hAnsi="Times New Roman" w:cs="Times New Roman"/>
        </w:rPr>
      </w:pPr>
    </w:p>
    <w:p w14:paraId="6B0304E1" w14:textId="0650749E" w:rsidR="0067065C" w:rsidRPr="00EB4F38" w:rsidRDefault="0067065C" w:rsidP="0067065C">
      <w:pPr>
        <w:jc w:val="both"/>
        <w:rPr>
          <w:rFonts w:ascii="Times New Roman" w:hAnsi="Times New Roman" w:cs="Times New Roman"/>
        </w:rPr>
      </w:pPr>
      <w:r w:rsidRPr="00EB4F38">
        <w:rPr>
          <w:rFonts w:ascii="Times New Roman" w:hAnsi="Times New Roman" w:cs="Times New Roman"/>
        </w:rPr>
        <w:lastRenderedPageBreak/>
        <w:t>Evidence from the National Sample Survey (NSS) consistently shows that economic constraints significantly limit the ability of SC students to pursue education beyond the secondary level (Chakrabarty, 2009). The cost of higher education including tuition fees, examination charges, textbooks, transportation, and accommodation poses a substantial barrier for SC households with limited and irregular incomes. Even in public institutions where tuition fees are relatively low, hidden costs often make continuation in higher education financially unsustainable.</w:t>
      </w:r>
    </w:p>
    <w:p w14:paraId="6DDF116A" w14:textId="77777777" w:rsidR="0067065C" w:rsidRPr="00EB4F38" w:rsidRDefault="0067065C" w:rsidP="0067065C">
      <w:pPr>
        <w:jc w:val="both"/>
        <w:rPr>
          <w:rFonts w:ascii="Times New Roman" w:hAnsi="Times New Roman" w:cs="Times New Roman"/>
        </w:rPr>
      </w:pPr>
    </w:p>
    <w:p w14:paraId="21ABFC15" w14:textId="135B29DB" w:rsidR="0067065C" w:rsidRPr="00EB4F38" w:rsidRDefault="0067065C" w:rsidP="0067065C">
      <w:pPr>
        <w:jc w:val="both"/>
        <w:rPr>
          <w:rFonts w:ascii="Times New Roman" w:hAnsi="Times New Roman" w:cs="Times New Roman"/>
        </w:rPr>
      </w:pPr>
      <w:r w:rsidRPr="00EB4F38">
        <w:rPr>
          <w:rFonts w:ascii="Times New Roman" w:hAnsi="Times New Roman" w:cs="Times New Roman"/>
        </w:rPr>
        <w:t xml:space="preserve">Weisskopf (2004) observed that SC and ST students typically come from households characterized by low income, inadequate housing, food insecurity, and limited access to educational resources such as books, private tutoring, and digital tools. These material disadvantages translate into lower academic preparedness and higher vulnerability to dropout. Poverty often compels SC students to engage in wage </w:t>
      </w:r>
      <w:r w:rsidR="007A60E7" w:rsidRPr="00EB4F38">
        <w:rPr>
          <w:rFonts w:ascii="Times New Roman" w:hAnsi="Times New Roman" w:cs="Times New Roman"/>
        </w:rPr>
        <w:t>labour</w:t>
      </w:r>
      <w:r w:rsidRPr="00EB4F38">
        <w:rPr>
          <w:rFonts w:ascii="Times New Roman" w:hAnsi="Times New Roman" w:cs="Times New Roman"/>
        </w:rPr>
        <w:t xml:space="preserve"> or household income-generating activities, reducing the time and energy available for academic engagement (Chanana, 1993). This “double burden” of study and work significantly affects attendance, academic performance, and psychological well-being.</w:t>
      </w:r>
    </w:p>
    <w:p w14:paraId="5DF26CBF" w14:textId="77777777" w:rsidR="0067065C" w:rsidRPr="00EB4F38" w:rsidRDefault="0067065C" w:rsidP="0067065C">
      <w:pPr>
        <w:jc w:val="both"/>
        <w:rPr>
          <w:rFonts w:ascii="Times New Roman" w:hAnsi="Times New Roman" w:cs="Times New Roman"/>
        </w:rPr>
      </w:pPr>
    </w:p>
    <w:p w14:paraId="3842C14A" w14:textId="34B381FF" w:rsidR="0067065C" w:rsidRPr="00EB4F38" w:rsidRDefault="0067065C" w:rsidP="0067065C">
      <w:pPr>
        <w:jc w:val="both"/>
        <w:rPr>
          <w:rFonts w:ascii="Times New Roman" w:hAnsi="Times New Roman" w:cs="Times New Roman"/>
        </w:rPr>
      </w:pPr>
      <w:r w:rsidRPr="00EB4F38">
        <w:rPr>
          <w:rFonts w:ascii="Times New Roman" w:hAnsi="Times New Roman" w:cs="Times New Roman"/>
        </w:rPr>
        <w:t xml:space="preserve">Parental occupation and employment insecurity further shape access and retention. Bhoi (2013) and </w:t>
      </w:r>
      <w:proofErr w:type="spellStart"/>
      <w:r w:rsidRPr="00EB4F38">
        <w:rPr>
          <w:rFonts w:ascii="Times New Roman" w:hAnsi="Times New Roman" w:cs="Times New Roman"/>
        </w:rPr>
        <w:t>Churiyana</w:t>
      </w:r>
      <w:proofErr w:type="spellEnd"/>
      <w:r w:rsidRPr="00EB4F38">
        <w:rPr>
          <w:rFonts w:ascii="Times New Roman" w:hAnsi="Times New Roman" w:cs="Times New Roman"/>
        </w:rPr>
        <w:t xml:space="preserve"> (2017) noted that parents of SC students, particularly girls, are predominantly engaged in unskilled and low-paying manual occupations such as agriculture, construction work, scavenging, mining, cobblery, and casual wage </w:t>
      </w:r>
      <w:r w:rsidR="007A60E7" w:rsidRPr="00EB4F38">
        <w:rPr>
          <w:rFonts w:ascii="Times New Roman" w:hAnsi="Times New Roman" w:cs="Times New Roman"/>
        </w:rPr>
        <w:t>labour</w:t>
      </w:r>
      <w:r w:rsidRPr="00EB4F38">
        <w:rPr>
          <w:rFonts w:ascii="Times New Roman" w:hAnsi="Times New Roman" w:cs="Times New Roman"/>
        </w:rPr>
        <w:t>. These occupations are characterized by income instability, lack of social security, and seasonal unemployment. As a result, families often struggle to support long-term educational investments, especially at the higher education level, where returns are delayed.</w:t>
      </w:r>
    </w:p>
    <w:p w14:paraId="73FE0EEB" w14:textId="77777777" w:rsidR="0067065C" w:rsidRPr="00EB4F38" w:rsidRDefault="0067065C" w:rsidP="0067065C">
      <w:pPr>
        <w:jc w:val="both"/>
        <w:rPr>
          <w:rFonts w:ascii="Times New Roman" w:hAnsi="Times New Roman" w:cs="Times New Roman"/>
        </w:rPr>
      </w:pPr>
    </w:p>
    <w:p w14:paraId="748F41CF" w14:textId="77777777" w:rsidR="0067065C" w:rsidRPr="00EB4F38" w:rsidRDefault="0067065C" w:rsidP="0067065C">
      <w:pPr>
        <w:jc w:val="both"/>
        <w:rPr>
          <w:rFonts w:ascii="Times New Roman" w:hAnsi="Times New Roman" w:cs="Times New Roman"/>
        </w:rPr>
      </w:pPr>
      <w:r w:rsidRPr="00EB4F38">
        <w:rPr>
          <w:rFonts w:ascii="Times New Roman" w:hAnsi="Times New Roman" w:cs="Times New Roman"/>
        </w:rPr>
        <w:t>First-generation learners constitute a large proportion of SC students in higher education (</w:t>
      </w:r>
      <w:proofErr w:type="spellStart"/>
      <w:r w:rsidRPr="00EB4F38">
        <w:rPr>
          <w:rFonts w:ascii="Times New Roman" w:hAnsi="Times New Roman" w:cs="Times New Roman"/>
        </w:rPr>
        <w:t>Nambissan</w:t>
      </w:r>
      <w:proofErr w:type="spellEnd"/>
      <w:r w:rsidRPr="00EB4F38">
        <w:rPr>
          <w:rFonts w:ascii="Times New Roman" w:hAnsi="Times New Roman" w:cs="Times New Roman"/>
        </w:rPr>
        <w:t>, 2016). The absence of educated family members limits access to academic guidance, information about institutional processes, scholarships, and career pathways. Desai and Kulkarni (2008) emphasized that first-generation SC students face difficulties navigating admission procedures, examination systems, and academic expectations, which adversely affects retention.</w:t>
      </w:r>
    </w:p>
    <w:p w14:paraId="36DC8661" w14:textId="77777777" w:rsidR="0067065C" w:rsidRPr="00EB4F38" w:rsidRDefault="0067065C" w:rsidP="0067065C">
      <w:pPr>
        <w:jc w:val="both"/>
        <w:rPr>
          <w:rFonts w:ascii="Times New Roman" w:hAnsi="Times New Roman" w:cs="Times New Roman"/>
        </w:rPr>
      </w:pPr>
    </w:p>
    <w:p w14:paraId="451C0B88" w14:textId="77777777" w:rsidR="0067065C" w:rsidRPr="00EB4F38" w:rsidRDefault="0067065C" w:rsidP="0067065C">
      <w:pPr>
        <w:jc w:val="both"/>
        <w:rPr>
          <w:rFonts w:ascii="Times New Roman" w:hAnsi="Times New Roman" w:cs="Times New Roman"/>
        </w:rPr>
      </w:pPr>
      <w:r w:rsidRPr="00EB4F38">
        <w:rPr>
          <w:rFonts w:ascii="Times New Roman" w:hAnsi="Times New Roman" w:cs="Times New Roman"/>
        </w:rPr>
        <w:t>Gender further intensifies socio-economic constraints. SC women experience compounded disadvantages due to the intersection of caste, class, and gender. Economic hardship often leads families to prioritize sons’ education over daughters’, particularly in contexts of limited financial resources (Jeffery &amp; Basu, 1996). Additionally, costs associated with safe accommodation, transportation, and hostels disproportionately affect SC women, contributing to higher dropout rates.</w:t>
      </w:r>
    </w:p>
    <w:p w14:paraId="5FF34782" w14:textId="77777777" w:rsidR="0067065C" w:rsidRPr="00EB4F38" w:rsidRDefault="0067065C" w:rsidP="0067065C">
      <w:pPr>
        <w:jc w:val="both"/>
        <w:rPr>
          <w:rFonts w:ascii="Times New Roman" w:hAnsi="Times New Roman" w:cs="Times New Roman"/>
        </w:rPr>
      </w:pPr>
    </w:p>
    <w:p w14:paraId="130B1DAC" w14:textId="77777777" w:rsidR="0067065C" w:rsidRPr="00EB4F38" w:rsidRDefault="0067065C" w:rsidP="0067065C">
      <w:pPr>
        <w:jc w:val="both"/>
        <w:rPr>
          <w:rFonts w:ascii="Times New Roman" w:hAnsi="Times New Roman" w:cs="Times New Roman"/>
        </w:rPr>
      </w:pPr>
      <w:r w:rsidRPr="00EB4F38">
        <w:rPr>
          <w:rFonts w:ascii="Times New Roman" w:hAnsi="Times New Roman" w:cs="Times New Roman"/>
        </w:rPr>
        <w:t>The digital divide has emerged as a significant socio-economic barrier in recent years. Studies indicate that SC students have lower access to digital devices, reliable internet connectivity, and digital literacy compared to upper-caste students (Tilak, 2020). The shift toward online education, especially during and after the COVID-19 pandemic, exacerbated existing inequalities, leading to exclusion and learning loss among economically disadvantaged SC students.</w:t>
      </w:r>
    </w:p>
    <w:p w14:paraId="2C7E01FD" w14:textId="77777777" w:rsidR="0067065C" w:rsidRPr="00EB4F38" w:rsidRDefault="0067065C" w:rsidP="0067065C">
      <w:pPr>
        <w:jc w:val="both"/>
        <w:rPr>
          <w:rFonts w:ascii="Times New Roman" w:hAnsi="Times New Roman" w:cs="Times New Roman"/>
        </w:rPr>
      </w:pPr>
    </w:p>
    <w:p w14:paraId="791F0AB8" w14:textId="77777777" w:rsidR="0067065C" w:rsidRPr="00EB4F38" w:rsidRDefault="0067065C" w:rsidP="0067065C">
      <w:pPr>
        <w:jc w:val="both"/>
        <w:rPr>
          <w:rFonts w:ascii="Times New Roman" w:hAnsi="Times New Roman" w:cs="Times New Roman"/>
        </w:rPr>
      </w:pPr>
      <w:r w:rsidRPr="00EB4F38">
        <w:rPr>
          <w:rFonts w:ascii="Times New Roman" w:hAnsi="Times New Roman" w:cs="Times New Roman"/>
        </w:rPr>
        <w:t xml:space="preserve">Scholarship schemes and financial aid, though crucial, often suffer from delayed disbursement, inadequate coverage, and bureaucratic hurdles. Several studies (UGC, 2019; Madan, 2020) report that delays in scholarship payments force SC students to borrow money, skip semesters, </w:t>
      </w:r>
      <w:r w:rsidRPr="00EB4F38">
        <w:rPr>
          <w:rFonts w:ascii="Times New Roman" w:hAnsi="Times New Roman" w:cs="Times New Roman"/>
        </w:rPr>
        <w:lastRenderedPageBreak/>
        <w:t>or drop out altogether. Inadequate awareness about available schemes further limits their effectiveness.</w:t>
      </w:r>
    </w:p>
    <w:p w14:paraId="36EB1D72" w14:textId="77777777" w:rsidR="0067065C" w:rsidRPr="00EB4F38" w:rsidRDefault="0067065C" w:rsidP="0067065C">
      <w:pPr>
        <w:jc w:val="both"/>
        <w:rPr>
          <w:rFonts w:ascii="Times New Roman" w:hAnsi="Times New Roman" w:cs="Times New Roman"/>
        </w:rPr>
      </w:pPr>
    </w:p>
    <w:p w14:paraId="74D567C4" w14:textId="77777777" w:rsidR="0067065C" w:rsidRPr="00EB4F38" w:rsidRDefault="0067065C" w:rsidP="0067065C">
      <w:pPr>
        <w:jc w:val="both"/>
        <w:rPr>
          <w:rFonts w:ascii="Times New Roman" w:hAnsi="Times New Roman" w:cs="Times New Roman"/>
        </w:rPr>
      </w:pPr>
      <w:r w:rsidRPr="00EB4F38">
        <w:rPr>
          <w:rFonts w:ascii="Times New Roman" w:hAnsi="Times New Roman" w:cs="Times New Roman"/>
        </w:rPr>
        <w:t>Retention is also affected by the opportunity cost of education. For many SC households, higher education represents a loss of immediate income that could otherwise contribute to family survival. Wankhede (2016) argued that when education fails to provide short-term economic security, marginalized students are more likely to discontinue their studies, reinforcing cycles of poverty and exclusion.</w:t>
      </w:r>
    </w:p>
    <w:p w14:paraId="39FAC3BD" w14:textId="77777777" w:rsidR="0067065C" w:rsidRPr="00EB4F38" w:rsidRDefault="0067065C" w:rsidP="0067065C">
      <w:pPr>
        <w:jc w:val="both"/>
        <w:rPr>
          <w:rFonts w:ascii="Times New Roman" w:hAnsi="Times New Roman" w:cs="Times New Roman"/>
        </w:rPr>
      </w:pPr>
    </w:p>
    <w:p w14:paraId="6EA333CE" w14:textId="6433F4F6" w:rsidR="009A6D90" w:rsidRPr="00EB4F38" w:rsidRDefault="0067065C" w:rsidP="0067065C">
      <w:pPr>
        <w:jc w:val="both"/>
        <w:rPr>
          <w:rFonts w:ascii="Times New Roman" w:hAnsi="Times New Roman" w:cs="Times New Roman"/>
        </w:rPr>
      </w:pPr>
      <w:r w:rsidRPr="00EB4F38">
        <w:rPr>
          <w:rFonts w:ascii="Times New Roman" w:hAnsi="Times New Roman" w:cs="Times New Roman"/>
        </w:rPr>
        <w:t>Thus, socio-economic challenges affecting SC students extend beyond mere affordability. They encompass structural poverty, occupational vulnerability, first-generation disadvantages, gendered expectations, digital exclusion, and weak financial support systems. Together, these factors significantly constrain both access to and retention in higher education, underscoring the need for comprehensive socio-economic interventions alongside educational reforms.</w:t>
      </w:r>
    </w:p>
    <w:p w14:paraId="0607508A" w14:textId="77777777" w:rsidR="009A6D90" w:rsidRPr="00EB4F38" w:rsidRDefault="009A6D90" w:rsidP="009A6D90">
      <w:pPr>
        <w:jc w:val="both"/>
        <w:rPr>
          <w:rFonts w:ascii="Times New Roman" w:hAnsi="Times New Roman" w:cs="Times New Roman"/>
        </w:rPr>
      </w:pPr>
    </w:p>
    <w:p w14:paraId="474CC6BD" w14:textId="5AD777B8" w:rsidR="009A6D90" w:rsidRPr="00EB4F38" w:rsidRDefault="009A6D90" w:rsidP="009A6D90">
      <w:pPr>
        <w:jc w:val="both"/>
        <w:rPr>
          <w:rFonts w:ascii="Times New Roman" w:hAnsi="Times New Roman" w:cs="Times New Roman"/>
        </w:rPr>
      </w:pPr>
      <w:r w:rsidRPr="00EB4F38">
        <w:rPr>
          <w:rFonts w:ascii="Times New Roman" w:hAnsi="Times New Roman" w:cs="Times New Roman"/>
        </w:rPr>
        <w:t>Gender and Intersectional Disadvantages</w:t>
      </w:r>
    </w:p>
    <w:p w14:paraId="67712B0E" w14:textId="77777777" w:rsidR="009A6D90" w:rsidRPr="00EB4F38" w:rsidRDefault="009A6D90" w:rsidP="009A6D90">
      <w:pPr>
        <w:jc w:val="both"/>
        <w:rPr>
          <w:rFonts w:ascii="Times New Roman" w:hAnsi="Times New Roman" w:cs="Times New Roman"/>
        </w:rPr>
      </w:pPr>
    </w:p>
    <w:p w14:paraId="7B8DB596" w14:textId="77777777" w:rsidR="009A6D90" w:rsidRPr="00EB4F38" w:rsidRDefault="009A6D90" w:rsidP="009A6D90">
      <w:pPr>
        <w:jc w:val="both"/>
        <w:rPr>
          <w:rFonts w:ascii="Times New Roman" w:hAnsi="Times New Roman" w:cs="Times New Roman"/>
        </w:rPr>
      </w:pPr>
      <w:r w:rsidRPr="00EB4F38">
        <w:rPr>
          <w:rFonts w:ascii="Times New Roman" w:hAnsi="Times New Roman" w:cs="Times New Roman"/>
        </w:rPr>
        <w:t>SC women face compounded disadvantages due to the intersection of caste, class, and gender. Studies show that SC female enrolment in higher education remains lower than that of SC males and upper-caste females (Jeffery &amp; Basu, 1996; Desai et al., 2010). Early marriage, household responsibilities, safety concerns, and lack of hostels further restrict their participation.</w:t>
      </w:r>
    </w:p>
    <w:p w14:paraId="2F14AF35" w14:textId="4779F0DD" w:rsidR="00AF5DE0" w:rsidRPr="00EB4F38" w:rsidRDefault="009A6D90" w:rsidP="00AF5DE0">
      <w:pPr>
        <w:jc w:val="both"/>
        <w:rPr>
          <w:rFonts w:ascii="Times New Roman" w:hAnsi="Times New Roman" w:cs="Times New Roman"/>
        </w:rPr>
      </w:pPr>
      <w:r w:rsidRPr="00EB4F38">
        <w:rPr>
          <w:rFonts w:ascii="Times New Roman" w:hAnsi="Times New Roman" w:cs="Times New Roman"/>
        </w:rPr>
        <w:t>Bhoi (2013) highlighted that parental occupation and education significantly affect the continuation of SC girls in higher education. Gendered expectations often prioritize sons’ education over daughters’, reinforcing educational inequalities.</w:t>
      </w:r>
      <w:r w:rsidR="00AF5DE0" w:rsidRPr="00EB4F38">
        <w:rPr>
          <w:rFonts w:ascii="Times New Roman" w:hAnsi="Times New Roman" w:cs="Times New Roman"/>
        </w:rPr>
        <w:t xml:space="preserve"> </w:t>
      </w:r>
      <w:proofErr w:type="spellStart"/>
      <w:r w:rsidR="00AF5DE0" w:rsidRPr="00EB4F38">
        <w:rPr>
          <w:rFonts w:ascii="Times New Roman" w:hAnsi="Times New Roman" w:cs="Times New Roman"/>
        </w:rPr>
        <w:t>Chauchard</w:t>
      </w:r>
      <w:proofErr w:type="spellEnd"/>
      <w:r w:rsidR="00AF5DE0" w:rsidRPr="00EB4F38">
        <w:rPr>
          <w:rFonts w:ascii="Times New Roman" w:hAnsi="Times New Roman" w:cs="Times New Roman"/>
        </w:rPr>
        <w:t xml:space="preserve"> (2014) emphasized that Dalit girls often bear the brunt of family pressures, particularly in contexts where economic resources are limited. When financial difficulties arise, families prioritize the education of male children, leaving girls with limited access to the educational support they need.</w:t>
      </w:r>
    </w:p>
    <w:p w14:paraId="47924D92" w14:textId="0C1FCA83" w:rsidR="00AF5DE0" w:rsidRPr="00EB4F38" w:rsidRDefault="00AF5DE0" w:rsidP="00AF5DE0">
      <w:pPr>
        <w:jc w:val="both"/>
        <w:rPr>
          <w:rFonts w:ascii="Times New Roman" w:hAnsi="Times New Roman" w:cs="Times New Roman"/>
        </w:rPr>
      </w:pPr>
      <w:r w:rsidRPr="00EB4F38">
        <w:rPr>
          <w:rFonts w:ascii="Times New Roman" w:hAnsi="Times New Roman" w:cs="Times New Roman"/>
        </w:rPr>
        <w:t xml:space="preserve">Sabharwal and </w:t>
      </w:r>
      <w:proofErr w:type="spellStart"/>
      <w:r w:rsidRPr="00EB4F38">
        <w:rPr>
          <w:rFonts w:ascii="Times New Roman" w:hAnsi="Times New Roman" w:cs="Times New Roman"/>
        </w:rPr>
        <w:t>Sonalkar</w:t>
      </w:r>
      <w:proofErr w:type="spellEnd"/>
      <w:r w:rsidRPr="00EB4F38">
        <w:rPr>
          <w:rFonts w:ascii="Times New Roman" w:hAnsi="Times New Roman" w:cs="Times New Roman"/>
        </w:rPr>
        <w:t xml:space="preserve"> (2015) explained that Dalit women in India face a "triple burden" of gender bias, caste discrimination, and economic hardship. Due to this triple burden, they perform worse than both Dalit men and non-Dalit women in areas like literacy and life expectancy. Similarly, Babu and </w:t>
      </w:r>
      <w:proofErr w:type="spellStart"/>
      <w:r w:rsidRPr="00EB4F38">
        <w:rPr>
          <w:rFonts w:ascii="Times New Roman" w:hAnsi="Times New Roman" w:cs="Times New Roman"/>
        </w:rPr>
        <w:t>Chandrasekarayy</w:t>
      </w:r>
      <w:proofErr w:type="spellEnd"/>
      <w:r w:rsidRPr="00EB4F38">
        <w:rPr>
          <w:rFonts w:ascii="Times New Roman" w:hAnsi="Times New Roman" w:cs="Times New Roman"/>
        </w:rPr>
        <w:t xml:space="preserve"> (2015) stated that SCs continue to face significant educational and socio-economic disadvantages, because of factors such as poverty, landlessness, and low income, which are both a cause and consequence of their limited educational opportunities. </w:t>
      </w:r>
    </w:p>
    <w:p w14:paraId="6877FCE9" w14:textId="3AA8C6F3" w:rsidR="009A6D90" w:rsidRPr="00EB4F38" w:rsidRDefault="00AF5DE0" w:rsidP="00AF5DE0">
      <w:pPr>
        <w:jc w:val="both"/>
        <w:rPr>
          <w:rFonts w:ascii="Times New Roman" w:hAnsi="Times New Roman" w:cs="Times New Roman"/>
        </w:rPr>
      </w:pPr>
      <w:r w:rsidRPr="00EB4F38">
        <w:rPr>
          <w:rFonts w:ascii="Times New Roman" w:hAnsi="Times New Roman" w:cs="Times New Roman"/>
        </w:rPr>
        <w:t xml:space="preserve">Many studies highlighted that the dual burden of poverty and caste-related barriers significantly impacts SC youth, particularly Dalit women, leading to higher dropout rates and limited participation in the educational system (Das &amp; Lalitha, 2023; </w:t>
      </w:r>
      <w:proofErr w:type="spellStart"/>
      <w:r w:rsidRPr="00EB4F38">
        <w:rPr>
          <w:rFonts w:ascii="Times New Roman" w:hAnsi="Times New Roman" w:cs="Times New Roman"/>
        </w:rPr>
        <w:t>Mastkar</w:t>
      </w:r>
      <w:proofErr w:type="spellEnd"/>
      <w:r w:rsidRPr="00EB4F38">
        <w:rPr>
          <w:rFonts w:ascii="Times New Roman" w:hAnsi="Times New Roman" w:cs="Times New Roman"/>
        </w:rPr>
        <w:t xml:space="preserve"> &amp; Sharma, 2022; Nagaraja et al., 2023).</w:t>
      </w:r>
      <w:proofErr w:type="spellStart"/>
      <w:r w:rsidRPr="00EB4F38">
        <w:rPr>
          <w:rFonts w:ascii="Times New Roman" w:hAnsi="Times New Roman" w:cs="Times New Roman"/>
        </w:rPr>
        <w:t>Ganjikunta</w:t>
      </w:r>
      <w:proofErr w:type="spellEnd"/>
      <w:r w:rsidRPr="00EB4F38">
        <w:rPr>
          <w:rFonts w:ascii="Times New Roman" w:hAnsi="Times New Roman" w:cs="Times New Roman"/>
        </w:rPr>
        <w:t xml:space="preserve"> and </w:t>
      </w:r>
      <w:proofErr w:type="spellStart"/>
      <w:r w:rsidRPr="00EB4F38">
        <w:rPr>
          <w:rFonts w:ascii="Times New Roman" w:hAnsi="Times New Roman" w:cs="Times New Roman"/>
        </w:rPr>
        <w:t>Kadavakollu</w:t>
      </w:r>
      <w:proofErr w:type="spellEnd"/>
      <w:r w:rsidRPr="00EB4F38">
        <w:rPr>
          <w:rFonts w:ascii="Times New Roman" w:hAnsi="Times New Roman" w:cs="Times New Roman"/>
        </w:rPr>
        <w:t xml:space="preserve"> (2022) emphasized that for many low-income families, the pursuit of long-term education for girls is not seen as a priority, and the education of daughters is often sacrificed in favour of more immediate financial needs. Dutta (2024) highlighted that due to a lack of resources, primarily caused by financial constraints, SC/ST girls face significant academic challenges that hinder their ability to keep up with coursework and meet academic expectations. Francis et al. (2020) emphasize</w:t>
      </w:r>
      <w:r w:rsidR="007A60E7" w:rsidRPr="00EB4F38">
        <w:rPr>
          <w:rFonts w:ascii="Times New Roman" w:hAnsi="Times New Roman" w:cs="Times New Roman"/>
        </w:rPr>
        <w:t>d</w:t>
      </w:r>
      <w:r w:rsidRPr="00EB4F38">
        <w:rPr>
          <w:rFonts w:ascii="Times New Roman" w:hAnsi="Times New Roman" w:cs="Times New Roman"/>
        </w:rPr>
        <w:t xml:space="preserve"> that about 40% of respondents point to the high cost of education as a key obstacle, 10 % said they have a Poor family background and other reasons. Rani (2023) argued that Dalit women from financially stable families with robust support systems are more likely to pursue higher education. These women benefit from a combination of economic resources and family encouragement, which enables them to continue their studies beyond the basic level.</w:t>
      </w:r>
    </w:p>
    <w:p w14:paraId="5E2E5DBF" w14:textId="77777777" w:rsidR="009A6D90" w:rsidRPr="00EB4F38" w:rsidRDefault="009A6D90" w:rsidP="009A6D90">
      <w:pPr>
        <w:jc w:val="both"/>
        <w:rPr>
          <w:rFonts w:ascii="Times New Roman" w:hAnsi="Times New Roman" w:cs="Times New Roman"/>
        </w:rPr>
      </w:pPr>
    </w:p>
    <w:p w14:paraId="33CF3FD4" w14:textId="1718A6F0" w:rsidR="009A6D90" w:rsidRPr="00EB4F38" w:rsidRDefault="009A6D90" w:rsidP="009A6D90">
      <w:pPr>
        <w:jc w:val="both"/>
        <w:rPr>
          <w:rFonts w:ascii="Times New Roman" w:hAnsi="Times New Roman" w:cs="Times New Roman"/>
        </w:rPr>
      </w:pPr>
      <w:r w:rsidRPr="00EB4F38">
        <w:rPr>
          <w:rFonts w:ascii="Times New Roman" w:hAnsi="Times New Roman" w:cs="Times New Roman"/>
        </w:rPr>
        <w:lastRenderedPageBreak/>
        <w:t>Institutional and Structural Barriers</w:t>
      </w:r>
    </w:p>
    <w:p w14:paraId="30D080E2" w14:textId="77777777" w:rsidR="009A6D90" w:rsidRPr="00EB4F38" w:rsidRDefault="009A6D90" w:rsidP="009A6D90">
      <w:pPr>
        <w:jc w:val="both"/>
        <w:rPr>
          <w:rFonts w:ascii="Times New Roman" w:hAnsi="Times New Roman" w:cs="Times New Roman"/>
        </w:rPr>
      </w:pPr>
    </w:p>
    <w:p w14:paraId="3C6F07B9" w14:textId="7C9C1D5F" w:rsidR="00AF5DE0" w:rsidRPr="00EB4F38" w:rsidRDefault="00AF5DE0" w:rsidP="00AF5DE0">
      <w:pPr>
        <w:jc w:val="both"/>
        <w:rPr>
          <w:rFonts w:ascii="Times New Roman" w:hAnsi="Times New Roman" w:cs="Times New Roman"/>
        </w:rPr>
      </w:pPr>
      <w:r w:rsidRPr="00EB4F38">
        <w:rPr>
          <w:rFonts w:ascii="Times New Roman" w:hAnsi="Times New Roman" w:cs="Times New Roman"/>
        </w:rPr>
        <w:t>Higher education institutions in India continue to grapple with a range of systemic and structural challenges that undermine educational quality and equity. Key issues include inadequate physical infrastructure, shortages of qualified faculty, outdated and rigid curricula, overcrowded classrooms, and weak academic governance (Singh, 2011; Chahal &amp; Dar, 2015). These structural deficiencies affect all students, but their consequences are disproportionately severe for students from marginalized communities such as SCs, who depend heavily on institutional support mechanisms for academic and social mobility.</w:t>
      </w:r>
    </w:p>
    <w:p w14:paraId="0A880BEB" w14:textId="77777777" w:rsidR="00AF5DE0" w:rsidRPr="00EB4F38" w:rsidRDefault="00AF5DE0" w:rsidP="00AF5DE0">
      <w:pPr>
        <w:jc w:val="both"/>
        <w:rPr>
          <w:rFonts w:ascii="Times New Roman" w:hAnsi="Times New Roman" w:cs="Times New Roman"/>
        </w:rPr>
      </w:pPr>
    </w:p>
    <w:p w14:paraId="203DE355" w14:textId="77777777" w:rsidR="00AF5DE0" w:rsidRPr="00EB4F38" w:rsidRDefault="00AF5DE0" w:rsidP="00AF5DE0">
      <w:pPr>
        <w:jc w:val="both"/>
        <w:rPr>
          <w:rFonts w:ascii="Times New Roman" w:hAnsi="Times New Roman" w:cs="Times New Roman"/>
        </w:rPr>
      </w:pPr>
      <w:r w:rsidRPr="00EB4F38">
        <w:rPr>
          <w:rFonts w:ascii="Times New Roman" w:hAnsi="Times New Roman" w:cs="Times New Roman"/>
        </w:rPr>
        <w:t>Faculty shortages remain a persistent concern in Indian higher education. According to the University Grants Commission (UGC), a significant proportion of teaching positions in central and state universities remain vacant, leading to high student–teacher ratios and reduced academic engagement (UGC, 2020). Tilak (2012) observed that faculty shortages particularly affect public institutions that cater to socially disadvantaged students, resulting in limited academic mentoring and weak classroom interaction. For SC students, who often come from first-generation learner households, the absence of adequate faculty support hampers comprehension, skill development, and academic confidence.</w:t>
      </w:r>
    </w:p>
    <w:p w14:paraId="0146E6C2" w14:textId="77777777" w:rsidR="00AF5DE0" w:rsidRPr="00EB4F38" w:rsidRDefault="00AF5DE0" w:rsidP="00AF5DE0">
      <w:pPr>
        <w:jc w:val="both"/>
        <w:rPr>
          <w:rFonts w:ascii="Times New Roman" w:hAnsi="Times New Roman" w:cs="Times New Roman"/>
        </w:rPr>
      </w:pPr>
    </w:p>
    <w:p w14:paraId="180F60C5" w14:textId="77777777" w:rsidR="00AF5DE0" w:rsidRPr="00EB4F38" w:rsidRDefault="00AF5DE0" w:rsidP="00AF5DE0">
      <w:pPr>
        <w:jc w:val="both"/>
        <w:rPr>
          <w:rFonts w:ascii="Times New Roman" w:hAnsi="Times New Roman" w:cs="Times New Roman"/>
        </w:rPr>
      </w:pPr>
      <w:r w:rsidRPr="00EB4F38">
        <w:rPr>
          <w:rFonts w:ascii="Times New Roman" w:hAnsi="Times New Roman" w:cs="Times New Roman"/>
        </w:rPr>
        <w:t>Outdated curricula and pedagogical practices further exacerbate institutional exclusion. Singh (2011) argued that higher education curricula in India remain largely theoretical, examination-oriented, and disconnected from students’ socio-economic realities. Such pedagogical rigidity disadvantages SC students, who may lack prior academic exposure, language proficiency, and cultural capital required to navigate abstract and elitist academic content (</w:t>
      </w:r>
      <w:proofErr w:type="spellStart"/>
      <w:r w:rsidRPr="00EB4F38">
        <w:rPr>
          <w:rFonts w:ascii="Times New Roman" w:hAnsi="Times New Roman" w:cs="Times New Roman"/>
        </w:rPr>
        <w:t>Jodhka</w:t>
      </w:r>
      <w:proofErr w:type="spellEnd"/>
      <w:r w:rsidRPr="00EB4F38">
        <w:rPr>
          <w:rFonts w:ascii="Times New Roman" w:hAnsi="Times New Roman" w:cs="Times New Roman"/>
        </w:rPr>
        <w:t>, 2012). Studies by Deshpande (2013) and Reay et al. (2010) suggest that when teaching methods fail to accommodate diverse learning backgrounds, marginalized students are more likely to experience alienation and poor academic outcomes.</w:t>
      </w:r>
    </w:p>
    <w:p w14:paraId="21001333" w14:textId="77777777" w:rsidR="00AF5DE0" w:rsidRPr="00EB4F38" w:rsidRDefault="00AF5DE0" w:rsidP="00AF5DE0">
      <w:pPr>
        <w:jc w:val="both"/>
        <w:rPr>
          <w:rFonts w:ascii="Times New Roman" w:hAnsi="Times New Roman" w:cs="Times New Roman"/>
        </w:rPr>
      </w:pPr>
    </w:p>
    <w:p w14:paraId="1AED6242" w14:textId="77777777" w:rsidR="00AF5DE0" w:rsidRPr="00EB4F38" w:rsidRDefault="00AF5DE0" w:rsidP="00AF5DE0">
      <w:pPr>
        <w:jc w:val="both"/>
        <w:rPr>
          <w:rFonts w:ascii="Times New Roman" w:hAnsi="Times New Roman" w:cs="Times New Roman"/>
        </w:rPr>
      </w:pPr>
      <w:r w:rsidRPr="00EB4F38">
        <w:rPr>
          <w:rFonts w:ascii="Times New Roman" w:hAnsi="Times New Roman" w:cs="Times New Roman"/>
        </w:rPr>
        <w:t>Overcrowding in classrooms and hostels is another structural issue affecting the learning environment. Chahal and Dar (2015) noted that rapid expansion of enrolment without proportional investment in infrastructure has resulted in congested classrooms, inadequate laboratories, libraries, and student housing. SC students, many of whom rely on public hostels due to financial constraints, face difficulties in securing accommodation, which negatively affects attendance and academic continuity (UGC, 2019).</w:t>
      </w:r>
    </w:p>
    <w:p w14:paraId="1FDF4E31" w14:textId="77777777" w:rsidR="00AF5DE0" w:rsidRPr="00EB4F38" w:rsidRDefault="00AF5DE0" w:rsidP="00AF5DE0">
      <w:pPr>
        <w:jc w:val="both"/>
        <w:rPr>
          <w:rFonts w:ascii="Times New Roman" w:hAnsi="Times New Roman" w:cs="Times New Roman"/>
        </w:rPr>
      </w:pPr>
    </w:p>
    <w:p w14:paraId="54C75F37" w14:textId="77777777" w:rsidR="00AF5DE0" w:rsidRPr="00EB4F38" w:rsidRDefault="00AF5DE0" w:rsidP="00AF5DE0">
      <w:pPr>
        <w:jc w:val="both"/>
        <w:rPr>
          <w:rFonts w:ascii="Times New Roman" w:hAnsi="Times New Roman" w:cs="Times New Roman"/>
        </w:rPr>
      </w:pPr>
      <w:proofErr w:type="spellStart"/>
      <w:r w:rsidRPr="00EB4F38">
        <w:rPr>
          <w:rFonts w:ascii="Times New Roman" w:hAnsi="Times New Roman" w:cs="Times New Roman"/>
        </w:rPr>
        <w:t>Jaysawal</w:t>
      </w:r>
      <w:proofErr w:type="spellEnd"/>
      <w:r w:rsidRPr="00EB4F38">
        <w:rPr>
          <w:rFonts w:ascii="Times New Roman" w:hAnsi="Times New Roman" w:cs="Times New Roman"/>
        </w:rPr>
        <w:t xml:space="preserve"> et al. (2023) emphasized that despite policy commitments, challenges related to access, equity, and affordability remain unresolved in Indian higher education. While reservation policies facilitate entry, they do not adequately address issues of retention, academic integration, and institutional support. SC students often lack access to mentoring programmes, remedial coaching, language support, and career guidance, which are crucial for navigating higher education environments (UGC, 2019; Desai &amp; Kulkarni, 2008).</w:t>
      </w:r>
    </w:p>
    <w:p w14:paraId="7F9CA605" w14:textId="77777777" w:rsidR="00AF5DE0" w:rsidRPr="00EB4F38" w:rsidRDefault="00AF5DE0" w:rsidP="00AF5DE0">
      <w:pPr>
        <w:jc w:val="both"/>
        <w:rPr>
          <w:rFonts w:ascii="Times New Roman" w:hAnsi="Times New Roman" w:cs="Times New Roman"/>
        </w:rPr>
      </w:pPr>
    </w:p>
    <w:p w14:paraId="3799F8AA" w14:textId="77777777" w:rsidR="00AF5DE0" w:rsidRPr="00EB4F38" w:rsidRDefault="00AF5DE0" w:rsidP="00AF5DE0">
      <w:pPr>
        <w:jc w:val="both"/>
        <w:rPr>
          <w:rFonts w:ascii="Times New Roman" w:hAnsi="Times New Roman" w:cs="Times New Roman"/>
        </w:rPr>
      </w:pPr>
      <w:r w:rsidRPr="00EB4F38">
        <w:rPr>
          <w:rFonts w:ascii="Times New Roman" w:hAnsi="Times New Roman" w:cs="Times New Roman"/>
        </w:rPr>
        <w:t xml:space="preserve">Empirical studies have shown that remedial and mentoring programmes, where available, are poorly implemented and inadequately funded. </w:t>
      </w:r>
      <w:proofErr w:type="spellStart"/>
      <w:r w:rsidRPr="00EB4F38">
        <w:rPr>
          <w:rFonts w:ascii="Times New Roman" w:hAnsi="Times New Roman" w:cs="Times New Roman"/>
        </w:rPr>
        <w:t>Nambissan</w:t>
      </w:r>
      <w:proofErr w:type="spellEnd"/>
      <w:r w:rsidRPr="00EB4F38">
        <w:rPr>
          <w:rFonts w:ascii="Times New Roman" w:hAnsi="Times New Roman" w:cs="Times New Roman"/>
        </w:rPr>
        <w:t xml:space="preserve"> (2016) observed that special support schemes for SC students often exist only on paper, with limited outreach and ineffective monitoring. As a result, SC students struggle with academic workload, assessment methods, and competitive evaluation systems, leading to higher dropout rates and lower completion levels (MHRD, 2018).</w:t>
      </w:r>
    </w:p>
    <w:p w14:paraId="28E56C59" w14:textId="77777777" w:rsidR="00AF5DE0" w:rsidRPr="00EB4F38" w:rsidRDefault="00AF5DE0" w:rsidP="00AF5DE0">
      <w:pPr>
        <w:jc w:val="both"/>
        <w:rPr>
          <w:rFonts w:ascii="Times New Roman" w:hAnsi="Times New Roman" w:cs="Times New Roman"/>
        </w:rPr>
      </w:pPr>
    </w:p>
    <w:p w14:paraId="047A5CF7" w14:textId="77777777" w:rsidR="00AF5DE0" w:rsidRPr="00EB4F38" w:rsidRDefault="00AF5DE0" w:rsidP="00AF5DE0">
      <w:pPr>
        <w:jc w:val="both"/>
        <w:rPr>
          <w:rFonts w:ascii="Times New Roman" w:hAnsi="Times New Roman" w:cs="Times New Roman"/>
        </w:rPr>
      </w:pPr>
      <w:r w:rsidRPr="00EB4F38">
        <w:rPr>
          <w:rFonts w:ascii="Times New Roman" w:hAnsi="Times New Roman" w:cs="Times New Roman"/>
        </w:rPr>
        <w:lastRenderedPageBreak/>
        <w:t xml:space="preserve">Moreover, institutional cultures in many higher education settings remain exclusionary. </w:t>
      </w:r>
      <w:proofErr w:type="spellStart"/>
      <w:r w:rsidRPr="00EB4F38">
        <w:rPr>
          <w:rFonts w:ascii="Times New Roman" w:hAnsi="Times New Roman" w:cs="Times New Roman"/>
        </w:rPr>
        <w:t>Jodhka</w:t>
      </w:r>
      <w:proofErr w:type="spellEnd"/>
      <w:r w:rsidRPr="00EB4F38">
        <w:rPr>
          <w:rFonts w:ascii="Times New Roman" w:hAnsi="Times New Roman" w:cs="Times New Roman"/>
        </w:rPr>
        <w:t xml:space="preserve"> and Newman (2007) argued that universities often reflect upper-caste norms and values, which marginalize students from Dalit backgrounds. The absence of sensitization among faculty and administrators further perpetuates subtle forms of bias, discouraging SC students from seeking academic help or participating in classroom discussions (Bhoi, 2022).</w:t>
      </w:r>
    </w:p>
    <w:p w14:paraId="654D1FE8" w14:textId="77777777" w:rsidR="00AF5DE0" w:rsidRPr="00EB4F38" w:rsidRDefault="00AF5DE0" w:rsidP="00AF5DE0">
      <w:pPr>
        <w:jc w:val="both"/>
        <w:rPr>
          <w:rFonts w:ascii="Times New Roman" w:hAnsi="Times New Roman" w:cs="Times New Roman"/>
        </w:rPr>
      </w:pPr>
    </w:p>
    <w:p w14:paraId="5053CA3E" w14:textId="1BEE81A1" w:rsidR="009A6D90" w:rsidRPr="00EB4F38" w:rsidRDefault="00AF5DE0" w:rsidP="00AF5DE0">
      <w:pPr>
        <w:jc w:val="both"/>
        <w:rPr>
          <w:rFonts w:ascii="Times New Roman" w:hAnsi="Times New Roman" w:cs="Times New Roman"/>
        </w:rPr>
      </w:pPr>
      <w:r w:rsidRPr="00EB4F38">
        <w:rPr>
          <w:rFonts w:ascii="Times New Roman" w:hAnsi="Times New Roman" w:cs="Times New Roman"/>
        </w:rPr>
        <w:t>Thus, institutional and structural inadequacies in Indian higher education not only limit academic quality but also reinforce existing social inequalities. Without targeted reforms aimed at strengthening infrastructure, filling faculty vacancies, modernizing curricula, and institutionalizing inclusive academic support systems, higher education will continue to remain an unequal space for Scheduled Caste students.</w:t>
      </w:r>
    </w:p>
    <w:p w14:paraId="39827FB2" w14:textId="77777777" w:rsidR="009A6D90" w:rsidRPr="00EB4F38" w:rsidRDefault="009A6D90" w:rsidP="009A6D90">
      <w:pPr>
        <w:jc w:val="both"/>
        <w:rPr>
          <w:rFonts w:ascii="Times New Roman" w:hAnsi="Times New Roman" w:cs="Times New Roman"/>
        </w:rPr>
      </w:pPr>
    </w:p>
    <w:p w14:paraId="5E699AF7" w14:textId="27C8F78B" w:rsidR="009A6D90" w:rsidRPr="00EB4F38" w:rsidRDefault="009A6D90" w:rsidP="009A6D90">
      <w:pPr>
        <w:jc w:val="both"/>
        <w:rPr>
          <w:rFonts w:ascii="Times New Roman" w:hAnsi="Times New Roman" w:cs="Times New Roman"/>
        </w:rPr>
      </w:pPr>
      <w:r w:rsidRPr="00EB4F38">
        <w:rPr>
          <w:rFonts w:ascii="Times New Roman" w:hAnsi="Times New Roman" w:cs="Times New Roman"/>
        </w:rPr>
        <w:t>Caste-Based Discrimination and Campus Climate</w:t>
      </w:r>
    </w:p>
    <w:p w14:paraId="5AC0CAC8" w14:textId="69D0010A" w:rsidR="0067065C" w:rsidRPr="00EB4F38" w:rsidRDefault="0067065C" w:rsidP="0067065C">
      <w:pPr>
        <w:jc w:val="both"/>
        <w:rPr>
          <w:rFonts w:ascii="Times New Roman" w:hAnsi="Times New Roman" w:cs="Times New Roman"/>
        </w:rPr>
      </w:pPr>
      <w:r w:rsidRPr="00EB4F38">
        <w:rPr>
          <w:rFonts w:ascii="Times New Roman" w:hAnsi="Times New Roman" w:cs="Times New Roman"/>
        </w:rPr>
        <w:t>Caste-based discrimination in higher education institutions in India is often subtle, normalized, and embedded within institutional practices rather than expressed through overt acts of untouchability. While explicit caste exclusion has reduced due to constitutional safeguards and legal provisions, discrimination continues to operate through indirect mechanisms such as social exclusion, stereotyping, academic neglect, and differential treatment by peers and faculty (</w:t>
      </w:r>
      <w:proofErr w:type="spellStart"/>
      <w:r w:rsidRPr="00EB4F38">
        <w:rPr>
          <w:rFonts w:ascii="Times New Roman" w:hAnsi="Times New Roman" w:cs="Times New Roman"/>
        </w:rPr>
        <w:t>Jodhka</w:t>
      </w:r>
      <w:proofErr w:type="spellEnd"/>
      <w:r w:rsidRPr="00EB4F38">
        <w:rPr>
          <w:rFonts w:ascii="Times New Roman" w:hAnsi="Times New Roman" w:cs="Times New Roman"/>
        </w:rPr>
        <w:t>, 2012). These forms of discrimination create hostile campus environments that adversely affect the academic performance, psychological well-being, and sense of belonging of SC students.</w:t>
      </w:r>
    </w:p>
    <w:p w14:paraId="3130480E" w14:textId="77777777" w:rsidR="0067065C" w:rsidRPr="00EB4F38" w:rsidRDefault="0067065C" w:rsidP="0067065C">
      <w:pPr>
        <w:jc w:val="both"/>
        <w:rPr>
          <w:rFonts w:ascii="Times New Roman" w:hAnsi="Times New Roman" w:cs="Times New Roman"/>
        </w:rPr>
      </w:pPr>
    </w:p>
    <w:p w14:paraId="2448FC0E" w14:textId="7A2AD17B" w:rsidR="0067065C" w:rsidRPr="00EB4F38" w:rsidRDefault="0067065C" w:rsidP="0067065C">
      <w:pPr>
        <w:jc w:val="both"/>
        <w:rPr>
          <w:rFonts w:ascii="Times New Roman" w:hAnsi="Times New Roman" w:cs="Times New Roman"/>
        </w:rPr>
      </w:pPr>
      <w:proofErr w:type="spellStart"/>
      <w:r w:rsidRPr="00EB4F38">
        <w:rPr>
          <w:rFonts w:ascii="Times New Roman" w:hAnsi="Times New Roman" w:cs="Times New Roman"/>
        </w:rPr>
        <w:t>Jodhka</w:t>
      </w:r>
      <w:proofErr w:type="spellEnd"/>
      <w:r w:rsidRPr="00EB4F38">
        <w:rPr>
          <w:rFonts w:ascii="Times New Roman" w:hAnsi="Times New Roman" w:cs="Times New Roman"/>
        </w:rPr>
        <w:t xml:space="preserve"> (2012) argue</w:t>
      </w:r>
      <w:r w:rsidR="007A60E7" w:rsidRPr="00EB4F38">
        <w:rPr>
          <w:rFonts w:ascii="Times New Roman" w:hAnsi="Times New Roman" w:cs="Times New Roman"/>
        </w:rPr>
        <w:t>d</w:t>
      </w:r>
      <w:r w:rsidRPr="00EB4F38">
        <w:rPr>
          <w:rFonts w:ascii="Times New Roman" w:hAnsi="Times New Roman" w:cs="Times New Roman"/>
        </w:rPr>
        <w:t xml:space="preserve"> that Indian universities largely reflect upper-caste social norms, cultural values, and linguistic practices, which marginalize students from Dalit backgrounds. SC students often experience exclusion in classrooms, hostels, and informal social spaces, limiting their participation in academic discussions and peer networks. Such exclusion reinforces feelings of alienation and reinforces existing power hierarchies within educational spaces.</w:t>
      </w:r>
    </w:p>
    <w:p w14:paraId="0A9C3F02" w14:textId="77777777" w:rsidR="0067065C" w:rsidRPr="00EB4F38" w:rsidRDefault="0067065C" w:rsidP="0067065C">
      <w:pPr>
        <w:jc w:val="both"/>
        <w:rPr>
          <w:rFonts w:ascii="Times New Roman" w:hAnsi="Times New Roman" w:cs="Times New Roman"/>
        </w:rPr>
      </w:pPr>
      <w:r w:rsidRPr="00EB4F38">
        <w:rPr>
          <w:rFonts w:ascii="Times New Roman" w:hAnsi="Times New Roman" w:cs="Times New Roman"/>
        </w:rPr>
        <w:t>Tierney et al. (2018) emphasized that SC students face systemic disadvantages due to limited access to social networks and cultural capital that are critical for academic success. These networks often provide informal academic support, information about internships, research opportunities, and career pathways. The absence of such social capital places SC students at a disadvantage, even when formal access through reservation policies is ensured.</w:t>
      </w:r>
    </w:p>
    <w:p w14:paraId="0B1E092A" w14:textId="77777777" w:rsidR="0067065C" w:rsidRPr="00EB4F38" w:rsidRDefault="0067065C" w:rsidP="0067065C">
      <w:pPr>
        <w:jc w:val="both"/>
        <w:rPr>
          <w:rFonts w:ascii="Times New Roman" w:hAnsi="Times New Roman" w:cs="Times New Roman"/>
        </w:rPr>
      </w:pPr>
      <w:proofErr w:type="spellStart"/>
      <w:r w:rsidRPr="00EB4F38">
        <w:rPr>
          <w:rFonts w:ascii="Times New Roman" w:hAnsi="Times New Roman" w:cs="Times New Roman"/>
        </w:rPr>
        <w:t>Narwana</w:t>
      </w:r>
      <w:proofErr w:type="spellEnd"/>
      <w:r w:rsidRPr="00EB4F38">
        <w:rPr>
          <w:rFonts w:ascii="Times New Roman" w:hAnsi="Times New Roman" w:cs="Times New Roman"/>
        </w:rPr>
        <w:t xml:space="preserve"> and Gill (2020) identified a “hidden culture of silence” within higher education institutions, wherein Dalit students refrain from reporting discrimination due to fear of retaliation, social isolation, or institutional inaction. This culture is reinforced by weak grievance redressal mechanisms and the lack of sensitization among faculty and administrators. As a result, discriminatory practices often go unchallenged, perpetuating an environment of impunity.</w:t>
      </w:r>
    </w:p>
    <w:p w14:paraId="6092F9C1" w14:textId="77777777" w:rsidR="0067065C" w:rsidRPr="00EB4F38" w:rsidRDefault="0067065C" w:rsidP="0067065C">
      <w:pPr>
        <w:jc w:val="both"/>
        <w:rPr>
          <w:rFonts w:ascii="Times New Roman" w:hAnsi="Times New Roman" w:cs="Times New Roman"/>
        </w:rPr>
      </w:pPr>
      <w:r w:rsidRPr="00EB4F38">
        <w:rPr>
          <w:rFonts w:ascii="Times New Roman" w:hAnsi="Times New Roman" w:cs="Times New Roman"/>
        </w:rPr>
        <w:t xml:space="preserve">The psychological consequences of caste-based discrimination are severe and long-lasting. </w:t>
      </w:r>
      <w:proofErr w:type="spellStart"/>
      <w:r w:rsidRPr="00EB4F38">
        <w:rPr>
          <w:rFonts w:ascii="Times New Roman" w:hAnsi="Times New Roman" w:cs="Times New Roman"/>
        </w:rPr>
        <w:t>Komanapalli</w:t>
      </w:r>
      <w:proofErr w:type="spellEnd"/>
      <w:r w:rsidRPr="00EB4F38">
        <w:rPr>
          <w:rFonts w:ascii="Times New Roman" w:hAnsi="Times New Roman" w:cs="Times New Roman"/>
        </w:rPr>
        <w:t xml:space="preserve"> and Rao (2020) documented cases of caste-based harassment, humiliation, and institutional neglect experienced by Dalit students, linking these experiences to mental health distress, anxiety, depression, and in extreme cases, student suicides. They argued that institutional apathy and the absence of accountability mechanisms exacerbate vulnerability among SC students, particularly those who are first-generation learners and economically disadvantaged.</w:t>
      </w:r>
    </w:p>
    <w:p w14:paraId="201B62C2" w14:textId="04C616E2" w:rsidR="0067065C" w:rsidRPr="00EB4F38" w:rsidRDefault="0067065C" w:rsidP="0067065C">
      <w:pPr>
        <w:jc w:val="both"/>
        <w:rPr>
          <w:rFonts w:ascii="Times New Roman" w:hAnsi="Times New Roman" w:cs="Times New Roman"/>
        </w:rPr>
      </w:pPr>
      <w:r w:rsidRPr="00EB4F38">
        <w:rPr>
          <w:rFonts w:ascii="Times New Roman" w:hAnsi="Times New Roman" w:cs="Times New Roman"/>
        </w:rPr>
        <w:t xml:space="preserve">Bhoi (2022) </w:t>
      </w:r>
      <w:proofErr w:type="gramStart"/>
      <w:r w:rsidR="007A60E7" w:rsidRPr="00EB4F38">
        <w:rPr>
          <w:rFonts w:ascii="Times New Roman" w:hAnsi="Times New Roman" w:cs="Times New Roman"/>
        </w:rPr>
        <w:t xml:space="preserve">reported </w:t>
      </w:r>
      <w:r w:rsidRPr="00EB4F38">
        <w:rPr>
          <w:rFonts w:ascii="Times New Roman" w:hAnsi="Times New Roman" w:cs="Times New Roman"/>
        </w:rPr>
        <w:t xml:space="preserve"> the</w:t>
      </w:r>
      <w:proofErr w:type="gramEnd"/>
      <w:r w:rsidRPr="00EB4F38">
        <w:rPr>
          <w:rFonts w:ascii="Times New Roman" w:hAnsi="Times New Roman" w:cs="Times New Roman"/>
        </w:rPr>
        <w:t xml:space="preserve"> prevalence of everyday discrimination </w:t>
      </w:r>
      <w:r w:rsidR="007A60E7" w:rsidRPr="00EB4F38">
        <w:rPr>
          <w:rFonts w:ascii="Times New Roman" w:hAnsi="Times New Roman" w:cs="Times New Roman"/>
        </w:rPr>
        <w:t>against</w:t>
      </w:r>
      <w:r w:rsidRPr="00EB4F38">
        <w:rPr>
          <w:rFonts w:ascii="Times New Roman" w:hAnsi="Times New Roman" w:cs="Times New Roman"/>
        </w:rPr>
        <w:t xml:space="preserve"> SC students in higher education institutions. His study revealed that</w:t>
      </w:r>
      <w:r w:rsidR="007A60E7" w:rsidRPr="00EB4F38">
        <w:rPr>
          <w:rFonts w:ascii="Times New Roman" w:hAnsi="Times New Roman" w:cs="Times New Roman"/>
        </w:rPr>
        <w:t xml:space="preserve"> </w:t>
      </w:r>
      <w:r w:rsidRPr="00EB4F38">
        <w:rPr>
          <w:rFonts w:ascii="Times New Roman" w:hAnsi="Times New Roman" w:cs="Times New Roman"/>
        </w:rPr>
        <w:t>74% of SC students reported experiencing caste-based segregation in academic or residential spaces</w:t>
      </w:r>
      <w:r w:rsidR="00B307FB" w:rsidRPr="00EB4F38">
        <w:rPr>
          <w:rFonts w:ascii="Times New Roman" w:hAnsi="Times New Roman" w:cs="Times New Roman"/>
        </w:rPr>
        <w:t>,</w:t>
      </w:r>
      <w:r w:rsidRPr="00EB4F38">
        <w:rPr>
          <w:rFonts w:ascii="Times New Roman" w:hAnsi="Times New Roman" w:cs="Times New Roman"/>
        </w:rPr>
        <w:t>68% encountered caste-based verbal abuse or derogatory slurs</w:t>
      </w:r>
      <w:r w:rsidR="00B307FB" w:rsidRPr="00EB4F38">
        <w:rPr>
          <w:rFonts w:ascii="Times New Roman" w:hAnsi="Times New Roman" w:cs="Times New Roman"/>
        </w:rPr>
        <w:t>,</w:t>
      </w:r>
      <w:r w:rsidRPr="00EB4F38">
        <w:rPr>
          <w:rFonts w:ascii="Times New Roman" w:hAnsi="Times New Roman" w:cs="Times New Roman"/>
        </w:rPr>
        <w:t>65% faced marginalization due to language, dress, accent, or body language</w:t>
      </w:r>
      <w:r w:rsidR="00B307FB" w:rsidRPr="00EB4F38">
        <w:rPr>
          <w:rFonts w:ascii="Times New Roman" w:hAnsi="Times New Roman" w:cs="Times New Roman"/>
        </w:rPr>
        <w:t xml:space="preserve"> and </w:t>
      </w:r>
      <w:r w:rsidRPr="00EB4F38">
        <w:rPr>
          <w:rFonts w:ascii="Times New Roman" w:hAnsi="Times New Roman" w:cs="Times New Roman"/>
        </w:rPr>
        <w:t>68% reported the absence of effective grievance redressal mechanisms in their institutions</w:t>
      </w:r>
      <w:r w:rsidR="00B307FB" w:rsidRPr="00EB4F38">
        <w:rPr>
          <w:rFonts w:ascii="Times New Roman" w:hAnsi="Times New Roman" w:cs="Times New Roman"/>
        </w:rPr>
        <w:t>.</w:t>
      </w:r>
      <w:r w:rsidR="007A60E7" w:rsidRPr="00EB4F38">
        <w:rPr>
          <w:rFonts w:ascii="Times New Roman" w:hAnsi="Times New Roman" w:cs="Times New Roman"/>
        </w:rPr>
        <w:t xml:space="preserve"> </w:t>
      </w:r>
      <w:r w:rsidR="007A60E7" w:rsidRPr="00EB4F38">
        <w:rPr>
          <w:rFonts w:ascii="Times New Roman" w:hAnsi="Times New Roman" w:cs="Times New Roman"/>
        </w:rPr>
        <w:lastRenderedPageBreak/>
        <w:t xml:space="preserve">According to him, </w:t>
      </w:r>
      <w:r w:rsidRPr="00EB4F38">
        <w:rPr>
          <w:rFonts w:ascii="Times New Roman" w:hAnsi="Times New Roman" w:cs="Times New Roman"/>
        </w:rPr>
        <w:t>discrimination is widespread and systemic issue affecting the daily lives of SC students. Judgments based on speech patterns, physical appearance, and economic background often serve as markers of caste identity, reinforcing stigma and exclusion (Bhoi, 2022).</w:t>
      </w:r>
    </w:p>
    <w:p w14:paraId="3A9DA0F9" w14:textId="16C2E477" w:rsidR="0067065C" w:rsidRPr="00EB4F38" w:rsidRDefault="0067065C" w:rsidP="0067065C">
      <w:pPr>
        <w:jc w:val="both"/>
        <w:rPr>
          <w:rFonts w:ascii="Times New Roman" w:hAnsi="Times New Roman" w:cs="Times New Roman"/>
        </w:rPr>
      </w:pPr>
      <w:r w:rsidRPr="00EB4F38">
        <w:rPr>
          <w:rFonts w:ascii="Times New Roman" w:hAnsi="Times New Roman" w:cs="Times New Roman"/>
        </w:rPr>
        <w:t xml:space="preserve">Several studies indicate that SC students are sometimes perceived as “less meritorious” due to their entry through reservation, leading to biased evaluation, lack of mentoring, and discouragement from pursuing research and leadership roles (Deshpande, 2013; </w:t>
      </w:r>
      <w:proofErr w:type="spellStart"/>
      <w:r w:rsidRPr="00EB4F38">
        <w:rPr>
          <w:rFonts w:ascii="Times New Roman" w:hAnsi="Times New Roman" w:cs="Times New Roman"/>
        </w:rPr>
        <w:t>Jodhka</w:t>
      </w:r>
      <w:proofErr w:type="spellEnd"/>
      <w:r w:rsidRPr="00EB4F38">
        <w:rPr>
          <w:rFonts w:ascii="Times New Roman" w:hAnsi="Times New Roman" w:cs="Times New Roman"/>
        </w:rPr>
        <w:t xml:space="preserve"> &amp; Newman, 2007). </w:t>
      </w:r>
    </w:p>
    <w:p w14:paraId="146AE4A1" w14:textId="385D5B86" w:rsidR="009A6D90" w:rsidRPr="00EB4F38" w:rsidRDefault="007A60E7" w:rsidP="0067065C">
      <w:pPr>
        <w:jc w:val="both"/>
        <w:rPr>
          <w:rFonts w:ascii="Times New Roman" w:hAnsi="Times New Roman" w:cs="Times New Roman"/>
        </w:rPr>
      </w:pPr>
      <w:r w:rsidRPr="00EB4F38">
        <w:rPr>
          <w:rFonts w:ascii="Times New Roman" w:hAnsi="Times New Roman" w:cs="Times New Roman"/>
        </w:rPr>
        <w:t xml:space="preserve"> It can be argued that </w:t>
      </w:r>
      <w:r w:rsidR="0067065C" w:rsidRPr="00EB4F38">
        <w:rPr>
          <w:rFonts w:ascii="Times New Roman" w:hAnsi="Times New Roman" w:cs="Times New Roman"/>
        </w:rPr>
        <w:t xml:space="preserve">caste-based discrimination and hostile campus climates significantly hinder the academic integration and well-being of </w:t>
      </w:r>
      <w:r w:rsidRPr="00EB4F38">
        <w:rPr>
          <w:rFonts w:ascii="Times New Roman" w:hAnsi="Times New Roman" w:cs="Times New Roman"/>
        </w:rPr>
        <w:t>SC</w:t>
      </w:r>
      <w:r w:rsidR="0067065C" w:rsidRPr="00EB4F38">
        <w:rPr>
          <w:rFonts w:ascii="Times New Roman" w:hAnsi="Times New Roman" w:cs="Times New Roman"/>
        </w:rPr>
        <w:t xml:space="preserve"> students. </w:t>
      </w:r>
      <w:r w:rsidRPr="00EB4F38">
        <w:rPr>
          <w:rFonts w:ascii="Times New Roman" w:hAnsi="Times New Roman" w:cs="Times New Roman"/>
        </w:rPr>
        <w:t>In order to a</w:t>
      </w:r>
      <w:r w:rsidR="0067065C" w:rsidRPr="00EB4F38">
        <w:rPr>
          <w:rFonts w:ascii="Times New Roman" w:hAnsi="Times New Roman" w:cs="Times New Roman"/>
        </w:rPr>
        <w:t xml:space="preserve">ddressing these challenges institutional reforms such as mandatory sensitization programmes, transparent grievance redressal mechanisms, inclusive pedagogy, and mental health support </w:t>
      </w:r>
      <w:proofErr w:type="gramStart"/>
      <w:r w:rsidR="0067065C" w:rsidRPr="00EB4F38">
        <w:rPr>
          <w:rFonts w:ascii="Times New Roman" w:hAnsi="Times New Roman" w:cs="Times New Roman"/>
        </w:rPr>
        <w:t>systems</w:t>
      </w:r>
      <w:r w:rsidRPr="00EB4F38">
        <w:rPr>
          <w:rFonts w:ascii="Times New Roman" w:hAnsi="Times New Roman" w:cs="Times New Roman"/>
        </w:rPr>
        <w:t xml:space="preserve">  are</w:t>
      </w:r>
      <w:proofErr w:type="gramEnd"/>
      <w:r w:rsidRPr="00EB4F38">
        <w:rPr>
          <w:rFonts w:ascii="Times New Roman" w:hAnsi="Times New Roman" w:cs="Times New Roman"/>
        </w:rPr>
        <w:t xml:space="preserve"> required.</w:t>
      </w:r>
      <w:r w:rsidR="0067065C" w:rsidRPr="00EB4F38">
        <w:rPr>
          <w:rFonts w:ascii="Times New Roman" w:hAnsi="Times New Roman" w:cs="Times New Roman"/>
        </w:rPr>
        <w:t xml:space="preserve"> Without transforming campus cultures, higher education institutions will continue to reproduce caste inequalities rather than dismantle them.</w:t>
      </w:r>
    </w:p>
    <w:p w14:paraId="59600BD1" w14:textId="77777777" w:rsidR="009A6D90" w:rsidRPr="00EB4F38" w:rsidRDefault="009A6D90" w:rsidP="009A6D90">
      <w:pPr>
        <w:jc w:val="both"/>
        <w:rPr>
          <w:rFonts w:ascii="Times New Roman" w:hAnsi="Times New Roman" w:cs="Times New Roman"/>
        </w:rPr>
      </w:pPr>
    </w:p>
    <w:p w14:paraId="54B22ECF" w14:textId="47F11C49" w:rsidR="009A6D90" w:rsidRPr="00EB4F38" w:rsidRDefault="009A6D90" w:rsidP="009A6D90">
      <w:pPr>
        <w:jc w:val="both"/>
        <w:rPr>
          <w:rFonts w:ascii="Times New Roman" w:hAnsi="Times New Roman" w:cs="Times New Roman"/>
        </w:rPr>
      </w:pPr>
      <w:r w:rsidRPr="00EB4F38">
        <w:rPr>
          <w:rFonts w:ascii="Times New Roman" w:hAnsi="Times New Roman" w:cs="Times New Roman"/>
        </w:rPr>
        <w:t>Privatization and Marketization of Higher Education</w:t>
      </w:r>
    </w:p>
    <w:p w14:paraId="52BAABE4" w14:textId="77777777" w:rsidR="009A6D90" w:rsidRPr="00EB4F38" w:rsidRDefault="009A6D90" w:rsidP="009A6D90">
      <w:pPr>
        <w:jc w:val="both"/>
        <w:rPr>
          <w:rFonts w:ascii="Times New Roman" w:hAnsi="Times New Roman" w:cs="Times New Roman"/>
        </w:rPr>
      </w:pPr>
    </w:p>
    <w:p w14:paraId="01CF7CF0" w14:textId="07D1518D" w:rsidR="00EC67BC" w:rsidRPr="00EB4F38" w:rsidRDefault="00EC67BC" w:rsidP="00EC67BC">
      <w:pPr>
        <w:jc w:val="both"/>
        <w:rPr>
          <w:rFonts w:ascii="Times New Roman" w:hAnsi="Times New Roman" w:cs="Times New Roman"/>
        </w:rPr>
      </w:pPr>
      <w:r w:rsidRPr="00EB4F38">
        <w:rPr>
          <w:rFonts w:ascii="Times New Roman" w:hAnsi="Times New Roman" w:cs="Times New Roman"/>
        </w:rPr>
        <w:t xml:space="preserve">The rapid privatization of higher education in India has significantly altered the structure, accessibility, and objectives of the sector. While privatization has contributed to the expansion of institutions and seats, it has simultaneously intensified inequalities by privileging market-driven logic over social justice concerns. This shift has had particularly adverse consequences for </w:t>
      </w:r>
      <w:proofErr w:type="gramStart"/>
      <w:r w:rsidRPr="00EB4F38">
        <w:rPr>
          <w:rFonts w:ascii="Times New Roman" w:hAnsi="Times New Roman" w:cs="Times New Roman"/>
        </w:rPr>
        <w:t>SC</w:t>
      </w:r>
      <w:r w:rsidR="00B307FB" w:rsidRPr="00EB4F38">
        <w:rPr>
          <w:rFonts w:ascii="Times New Roman" w:hAnsi="Times New Roman" w:cs="Times New Roman"/>
        </w:rPr>
        <w:t xml:space="preserve"> </w:t>
      </w:r>
      <w:r w:rsidRPr="00EB4F38">
        <w:rPr>
          <w:rFonts w:ascii="Times New Roman" w:hAnsi="Times New Roman" w:cs="Times New Roman"/>
        </w:rPr>
        <w:t xml:space="preserve"> students</w:t>
      </w:r>
      <w:proofErr w:type="gramEnd"/>
      <w:r w:rsidRPr="00EB4F38">
        <w:rPr>
          <w:rFonts w:ascii="Times New Roman" w:hAnsi="Times New Roman" w:cs="Times New Roman"/>
        </w:rPr>
        <w:t>, who already face economic and social disadvantages (Tilak, 2015).</w:t>
      </w:r>
    </w:p>
    <w:p w14:paraId="6EA65360" w14:textId="6872FD14" w:rsidR="00EC67BC" w:rsidRPr="00EB4F38" w:rsidRDefault="00EC67BC" w:rsidP="00EC67BC">
      <w:pPr>
        <w:jc w:val="both"/>
        <w:rPr>
          <w:rFonts w:ascii="Times New Roman" w:hAnsi="Times New Roman" w:cs="Times New Roman"/>
        </w:rPr>
      </w:pPr>
      <w:r w:rsidRPr="00EB4F38">
        <w:rPr>
          <w:rFonts w:ascii="Times New Roman" w:hAnsi="Times New Roman" w:cs="Times New Roman"/>
        </w:rPr>
        <w:t>Table 2: SC Enrolment in Public vs Private Institutions by Level of Education</w:t>
      </w:r>
    </w:p>
    <w:tbl>
      <w:tblPr>
        <w:tblStyle w:val="TableGrid"/>
        <w:tblW w:w="0" w:type="auto"/>
        <w:tblLook w:val="04A0" w:firstRow="1" w:lastRow="0" w:firstColumn="1" w:lastColumn="0" w:noHBand="0" w:noVBand="1"/>
      </w:tblPr>
      <w:tblGrid>
        <w:gridCol w:w="3005"/>
        <w:gridCol w:w="3005"/>
        <w:gridCol w:w="3006"/>
      </w:tblGrid>
      <w:tr w:rsidR="00EC67BC" w:rsidRPr="00EB4F38" w14:paraId="01C931D3" w14:textId="77777777" w:rsidTr="00EC67BC">
        <w:tc>
          <w:tcPr>
            <w:tcW w:w="3005" w:type="dxa"/>
          </w:tcPr>
          <w:p w14:paraId="1606EFBD" w14:textId="2F9EF462" w:rsidR="00EC67BC" w:rsidRPr="00EB4F38" w:rsidRDefault="00EC67BC" w:rsidP="00EC67BC">
            <w:pPr>
              <w:jc w:val="both"/>
              <w:rPr>
                <w:rFonts w:ascii="Times New Roman" w:hAnsi="Times New Roman" w:cs="Times New Roman"/>
              </w:rPr>
            </w:pPr>
            <w:r w:rsidRPr="00EB4F38">
              <w:rPr>
                <w:rFonts w:ascii="Times New Roman" w:hAnsi="Times New Roman" w:cs="Times New Roman"/>
              </w:rPr>
              <w:t>Level of Education</w:t>
            </w:r>
          </w:p>
        </w:tc>
        <w:tc>
          <w:tcPr>
            <w:tcW w:w="3005" w:type="dxa"/>
          </w:tcPr>
          <w:p w14:paraId="2327D564" w14:textId="1C3B652E" w:rsidR="00EC67BC" w:rsidRPr="00EB4F38" w:rsidRDefault="00EC67BC" w:rsidP="00EC67BC">
            <w:pPr>
              <w:jc w:val="both"/>
              <w:rPr>
                <w:rFonts w:ascii="Times New Roman" w:hAnsi="Times New Roman" w:cs="Times New Roman"/>
              </w:rPr>
            </w:pPr>
            <w:r w:rsidRPr="00EB4F38">
              <w:rPr>
                <w:rFonts w:ascii="Times New Roman" w:hAnsi="Times New Roman" w:cs="Times New Roman"/>
              </w:rPr>
              <w:t>Public Institutions (%)</w:t>
            </w:r>
          </w:p>
        </w:tc>
        <w:tc>
          <w:tcPr>
            <w:tcW w:w="3006" w:type="dxa"/>
          </w:tcPr>
          <w:p w14:paraId="4A322BDA" w14:textId="5542B3FE" w:rsidR="00EC67BC" w:rsidRPr="00EB4F38" w:rsidRDefault="00EC67BC" w:rsidP="00EC67BC">
            <w:pPr>
              <w:jc w:val="both"/>
              <w:rPr>
                <w:rFonts w:ascii="Times New Roman" w:hAnsi="Times New Roman" w:cs="Times New Roman"/>
              </w:rPr>
            </w:pPr>
            <w:r w:rsidRPr="00EB4F38">
              <w:rPr>
                <w:rFonts w:ascii="Times New Roman" w:hAnsi="Times New Roman" w:cs="Times New Roman"/>
              </w:rPr>
              <w:t>Private Institutions (%)</w:t>
            </w:r>
          </w:p>
        </w:tc>
      </w:tr>
      <w:tr w:rsidR="00EC67BC" w:rsidRPr="00EB4F38" w14:paraId="27B79D3D" w14:textId="77777777" w:rsidTr="00EC67BC">
        <w:tc>
          <w:tcPr>
            <w:tcW w:w="3005" w:type="dxa"/>
          </w:tcPr>
          <w:p w14:paraId="1E892726" w14:textId="150AC4CC" w:rsidR="00EC67BC" w:rsidRPr="00EB4F38" w:rsidRDefault="00EC67BC" w:rsidP="00EC67BC">
            <w:pPr>
              <w:jc w:val="both"/>
              <w:rPr>
                <w:rFonts w:ascii="Times New Roman" w:hAnsi="Times New Roman" w:cs="Times New Roman"/>
              </w:rPr>
            </w:pPr>
            <w:r w:rsidRPr="00EB4F38">
              <w:rPr>
                <w:rFonts w:ascii="Times New Roman" w:hAnsi="Times New Roman" w:cs="Times New Roman"/>
              </w:rPr>
              <w:t>Undergraduate</w:t>
            </w:r>
          </w:p>
        </w:tc>
        <w:tc>
          <w:tcPr>
            <w:tcW w:w="3005" w:type="dxa"/>
          </w:tcPr>
          <w:p w14:paraId="0EAF98D4" w14:textId="676B8F6B" w:rsidR="00EC67BC" w:rsidRPr="00EB4F38" w:rsidRDefault="00EC67BC" w:rsidP="00EC67BC">
            <w:pPr>
              <w:jc w:val="both"/>
              <w:rPr>
                <w:rFonts w:ascii="Times New Roman" w:hAnsi="Times New Roman" w:cs="Times New Roman"/>
              </w:rPr>
            </w:pPr>
            <w:r w:rsidRPr="00EB4F38">
              <w:rPr>
                <w:rFonts w:ascii="Times New Roman" w:hAnsi="Times New Roman" w:cs="Times New Roman"/>
              </w:rPr>
              <w:t>82</w:t>
            </w:r>
          </w:p>
        </w:tc>
        <w:tc>
          <w:tcPr>
            <w:tcW w:w="3006" w:type="dxa"/>
          </w:tcPr>
          <w:p w14:paraId="0186B418" w14:textId="451A8C45" w:rsidR="00EC67BC" w:rsidRPr="00EB4F38" w:rsidRDefault="00EC67BC" w:rsidP="00EC67BC">
            <w:pPr>
              <w:jc w:val="both"/>
              <w:rPr>
                <w:rFonts w:ascii="Times New Roman" w:hAnsi="Times New Roman" w:cs="Times New Roman"/>
              </w:rPr>
            </w:pPr>
            <w:r w:rsidRPr="00EB4F38">
              <w:rPr>
                <w:rFonts w:ascii="Times New Roman" w:hAnsi="Times New Roman" w:cs="Times New Roman"/>
              </w:rPr>
              <w:t>18</w:t>
            </w:r>
          </w:p>
        </w:tc>
      </w:tr>
      <w:tr w:rsidR="00EC67BC" w:rsidRPr="00EB4F38" w14:paraId="56B45B50" w14:textId="77777777" w:rsidTr="00EC67BC">
        <w:tc>
          <w:tcPr>
            <w:tcW w:w="3005" w:type="dxa"/>
          </w:tcPr>
          <w:p w14:paraId="4A18008E" w14:textId="26FDD2C1" w:rsidR="00EC67BC" w:rsidRPr="00EB4F38" w:rsidRDefault="00EC67BC" w:rsidP="00EC67BC">
            <w:pPr>
              <w:jc w:val="both"/>
              <w:rPr>
                <w:rFonts w:ascii="Times New Roman" w:hAnsi="Times New Roman" w:cs="Times New Roman"/>
              </w:rPr>
            </w:pPr>
            <w:r w:rsidRPr="00EB4F38">
              <w:rPr>
                <w:rFonts w:ascii="Times New Roman" w:hAnsi="Times New Roman" w:cs="Times New Roman"/>
              </w:rPr>
              <w:t>Postgraduate</w:t>
            </w:r>
          </w:p>
        </w:tc>
        <w:tc>
          <w:tcPr>
            <w:tcW w:w="3005" w:type="dxa"/>
          </w:tcPr>
          <w:p w14:paraId="15DA334C" w14:textId="0FE722DD" w:rsidR="00EC67BC" w:rsidRPr="00EB4F38" w:rsidRDefault="00EC67BC" w:rsidP="00EC67BC">
            <w:pPr>
              <w:jc w:val="both"/>
              <w:rPr>
                <w:rFonts w:ascii="Times New Roman" w:hAnsi="Times New Roman" w:cs="Times New Roman"/>
              </w:rPr>
            </w:pPr>
            <w:r w:rsidRPr="00EB4F38">
              <w:rPr>
                <w:rFonts w:ascii="Times New Roman" w:hAnsi="Times New Roman" w:cs="Times New Roman"/>
              </w:rPr>
              <w:t>85</w:t>
            </w:r>
          </w:p>
        </w:tc>
        <w:tc>
          <w:tcPr>
            <w:tcW w:w="3006" w:type="dxa"/>
          </w:tcPr>
          <w:p w14:paraId="6EEEB576" w14:textId="3309D0CA" w:rsidR="00EC67BC" w:rsidRPr="00EB4F38" w:rsidRDefault="00EC67BC" w:rsidP="00EC67BC">
            <w:pPr>
              <w:jc w:val="both"/>
              <w:rPr>
                <w:rFonts w:ascii="Times New Roman" w:hAnsi="Times New Roman" w:cs="Times New Roman"/>
              </w:rPr>
            </w:pPr>
            <w:r w:rsidRPr="00EB4F38">
              <w:rPr>
                <w:rFonts w:ascii="Times New Roman" w:hAnsi="Times New Roman" w:cs="Times New Roman"/>
              </w:rPr>
              <w:t>15</w:t>
            </w:r>
          </w:p>
        </w:tc>
      </w:tr>
      <w:tr w:rsidR="00EC67BC" w:rsidRPr="00EB4F38" w14:paraId="11F2022F" w14:textId="77777777" w:rsidTr="00EC67BC">
        <w:tc>
          <w:tcPr>
            <w:tcW w:w="3005" w:type="dxa"/>
          </w:tcPr>
          <w:p w14:paraId="601FF808" w14:textId="0CCA2558" w:rsidR="00EC67BC" w:rsidRPr="00EB4F38" w:rsidRDefault="00EC67BC" w:rsidP="00EC67BC">
            <w:pPr>
              <w:jc w:val="both"/>
              <w:rPr>
                <w:rFonts w:ascii="Times New Roman" w:hAnsi="Times New Roman" w:cs="Times New Roman"/>
              </w:rPr>
            </w:pPr>
            <w:r w:rsidRPr="00EB4F38">
              <w:rPr>
                <w:rFonts w:ascii="Times New Roman" w:hAnsi="Times New Roman" w:cs="Times New Roman"/>
              </w:rPr>
              <w:t>Professional &amp; Technical Courses</w:t>
            </w:r>
          </w:p>
        </w:tc>
        <w:tc>
          <w:tcPr>
            <w:tcW w:w="3005" w:type="dxa"/>
          </w:tcPr>
          <w:p w14:paraId="457B414B" w14:textId="47853CB5" w:rsidR="00EC67BC" w:rsidRPr="00EB4F38" w:rsidRDefault="00EC67BC" w:rsidP="00EC67BC">
            <w:pPr>
              <w:jc w:val="both"/>
              <w:rPr>
                <w:rFonts w:ascii="Times New Roman" w:hAnsi="Times New Roman" w:cs="Times New Roman"/>
              </w:rPr>
            </w:pPr>
            <w:r w:rsidRPr="00EB4F38">
              <w:rPr>
                <w:rFonts w:ascii="Times New Roman" w:hAnsi="Times New Roman" w:cs="Times New Roman"/>
              </w:rPr>
              <w:t>70</w:t>
            </w:r>
          </w:p>
        </w:tc>
        <w:tc>
          <w:tcPr>
            <w:tcW w:w="3006" w:type="dxa"/>
          </w:tcPr>
          <w:p w14:paraId="2484B3CA" w14:textId="61BD8DF4" w:rsidR="00EC67BC" w:rsidRPr="00EB4F38" w:rsidRDefault="00EC67BC" w:rsidP="00EC67BC">
            <w:pPr>
              <w:jc w:val="both"/>
              <w:rPr>
                <w:rFonts w:ascii="Times New Roman" w:hAnsi="Times New Roman" w:cs="Times New Roman"/>
              </w:rPr>
            </w:pPr>
            <w:r w:rsidRPr="00EB4F38">
              <w:rPr>
                <w:rFonts w:ascii="Times New Roman" w:hAnsi="Times New Roman" w:cs="Times New Roman"/>
              </w:rPr>
              <w:t>30</w:t>
            </w:r>
          </w:p>
        </w:tc>
      </w:tr>
      <w:tr w:rsidR="00EC67BC" w:rsidRPr="00EB4F38" w14:paraId="7BD1C9BE" w14:textId="77777777" w:rsidTr="00EC67BC">
        <w:tc>
          <w:tcPr>
            <w:tcW w:w="3005" w:type="dxa"/>
          </w:tcPr>
          <w:p w14:paraId="0C4A8897" w14:textId="54466BE2" w:rsidR="00EC67BC" w:rsidRPr="00EB4F38" w:rsidRDefault="00EC67BC" w:rsidP="00EC67BC">
            <w:pPr>
              <w:jc w:val="both"/>
              <w:rPr>
                <w:rFonts w:ascii="Times New Roman" w:hAnsi="Times New Roman" w:cs="Times New Roman"/>
              </w:rPr>
            </w:pPr>
            <w:r w:rsidRPr="00EB4F38">
              <w:rPr>
                <w:rFonts w:ascii="Times New Roman" w:hAnsi="Times New Roman" w:cs="Times New Roman"/>
              </w:rPr>
              <w:t>Research (M.Phil./PhD)</w:t>
            </w:r>
          </w:p>
        </w:tc>
        <w:tc>
          <w:tcPr>
            <w:tcW w:w="3005" w:type="dxa"/>
          </w:tcPr>
          <w:p w14:paraId="2266AF39" w14:textId="328F727C" w:rsidR="00EC67BC" w:rsidRPr="00EB4F38" w:rsidRDefault="00EC67BC" w:rsidP="00EC67BC">
            <w:pPr>
              <w:jc w:val="both"/>
              <w:rPr>
                <w:rFonts w:ascii="Times New Roman" w:hAnsi="Times New Roman" w:cs="Times New Roman"/>
              </w:rPr>
            </w:pPr>
            <w:r w:rsidRPr="00EB4F38">
              <w:rPr>
                <w:rFonts w:ascii="Times New Roman" w:hAnsi="Times New Roman" w:cs="Times New Roman"/>
              </w:rPr>
              <w:t>90</w:t>
            </w:r>
          </w:p>
        </w:tc>
        <w:tc>
          <w:tcPr>
            <w:tcW w:w="3006" w:type="dxa"/>
          </w:tcPr>
          <w:p w14:paraId="585CD12E" w14:textId="385EA1F2" w:rsidR="00EC67BC" w:rsidRPr="00EB4F38" w:rsidRDefault="00EC67BC" w:rsidP="00EC67BC">
            <w:pPr>
              <w:jc w:val="both"/>
              <w:rPr>
                <w:rFonts w:ascii="Times New Roman" w:hAnsi="Times New Roman" w:cs="Times New Roman"/>
              </w:rPr>
            </w:pPr>
            <w:r w:rsidRPr="00EB4F38">
              <w:rPr>
                <w:rFonts w:ascii="Times New Roman" w:hAnsi="Times New Roman" w:cs="Times New Roman"/>
              </w:rPr>
              <w:t>10</w:t>
            </w:r>
          </w:p>
        </w:tc>
      </w:tr>
    </w:tbl>
    <w:p w14:paraId="0FF8B744" w14:textId="5CAF33BD" w:rsidR="00EC67BC" w:rsidRPr="00EB4F38" w:rsidRDefault="00933674" w:rsidP="00EC67BC">
      <w:pPr>
        <w:jc w:val="both"/>
        <w:rPr>
          <w:rFonts w:ascii="Times New Roman" w:hAnsi="Times New Roman" w:cs="Times New Roman"/>
        </w:rPr>
      </w:pPr>
      <w:r w:rsidRPr="00EB4F38">
        <w:rPr>
          <w:rStyle w:val="Strong"/>
          <w:rFonts w:ascii="Times New Roman" w:hAnsi="Times New Roman" w:cs="Times New Roman"/>
        </w:rPr>
        <w:t>Source:</w:t>
      </w:r>
      <w:r w:rsidRPr="00EB4F38">
        <w:rPr>
          <w:rFonts w:ascii="Times New Roman" w:hAnsi="Times New Roman" w:cs="Times New Roman"/>
        </w:rPr>
        <w:t xml:space="preserve"> AISHE; Desai &amp; Kulkarni (2008); Deshpande (2013)</w:t>
      </w:r>
    </w:p>
    <w:p w14:paraId="539B6866" w14:textId="77777777" w:rsidR="00EC67BC" w:rsidRPr="00EB4F38" w:rsidRDefault="00EC67BC" w:rsidP="00EC67BC">
      <w:pPr>
        <w:jc w:val="both"/>
        <w:rPr>
          <w:rFonts w:ascii="Times New Roman" w:hAnsi="Times New Roman" w:cs="Times New Roman"/>
        </w:rPr>
      </w:pPr>
      <w:r w:rsidRPr="00EB4F38">
        <w:rPr>
          <w:rFonts w:ascii="Times New Roman" w:hAnsi="Times New Roman" w:cs="Times New Roman"/>
        </w:rPr>
        <w:t>Private higher education institutions typically charge substantially higher tuition fees compared to public universities, making them largely inaccessible to students from low-income households. Since a significant proportion of SC families rely on unstable and low-paying occupations, the rising cost of private education acts as a major barrier to access (Thorat &amp; Newman, 2010). Even where private institutions offer scholarships or fee concessions, these are often limited, merit-based, or discretionary, thereby excluding students who lack prior academic advantages.</w:t>
      </w:r>
    </w:p>
    <w:p w14:paraId="0C00E07B" w14:textId="77777777" w:rsidR="00EC67BC" w:rsidRPr="00EB4F38" w:rsidRDefault="00EC67BC" w:rsidP="00EC67BC">
      <w:pPr>
        <w:jc w:val="both"/>
        <w:rPr>
          <w:rFonts w:ascii="Times New Roman" w:hAnsi="Times New Roman" w:cs="Times New Roman"/>
        </w:rPr>
      </w:pPr>
    </w:p>
    <w:p w14:paraId="18B096D8" w14:textId="77777777" w:rsidR="00EC67BC" w:rsidRPr="00EB4F38" w:rsidRDefault="00EC67BC" w:rsidP="00EC67BC">
      <w:pPr>
        <w:jc w:val="both"/>
        <w:rPr>
          <w:rFonts w:ascii="Times New Roman" w:hAnsi="Times New Roman" w:cs="Times New Roman"/>
        </w:rPr>
      </w:pPr>
      <w:r w:rsidRPr="00EB4F38">
        <w:rPr>
          <w:rFonts w:ascii="Times New Roman" w:hAnsi="Times New Roman" w:cs="Times New Roman"/>
        </w:rPr>
        <w:t xml:space="preserve">Tilak (2015) argued that privatization has shifted the burden of financing higher education from the state to households, disproportionately affecting marginalized communities. In the absence of adequate public investment, SC students are increasingly compelled to either opt out of higher education altogether or </w:t>
      </w:r>
      <w:proofErr w:type="spellStart"/>
      <w:r w:rsidRPr="00EB4F38">
        <w:rPr>
          <w:rFonts w:ascii="Times New Roman" w:hAnsi="Times New Roman" w:cs="Times New Roman"/>
        </w:rPr>
        <w:t>enroll</w:t>
      </w:r>
      <w:proofErr w:type="spellEnd"/>
      <w:r w:rsidRPr="00EB4F38">
        <w:rPr>
          <w:rFonts w:ascii="Times New Roman" w:hAnsi="Times New Roman" w:cs="Times New Roman"/>
        </w:rPr>
        <w:t xml:space="preserve"> in low-quality institutions that offer limited academic and employment returns. This trend has contributed to the stratification of higher </w:t>
      </w:r>
      <w:proofErr w:type="gramStart"/>
      <w:r w:rsidRPr="00EB4F38">
        <w:rPr>
          <w:rFonts w:ascii="Times New Roman" w:hAnsi="Times New Roman" w:cs="Times New Roman"/>
        </w:rPr>
        <w:t>education,</w:t>
      </w:r>
      <w:proofErr w:type="gramEnd"/>
      <w:r w:rsidRPr="00EB4F38">
        <w:rPr>
          <w:rFonts w:ascii="Times New Roman" w:hAnsi="Times New Roman" w:cs="Times New Roman"/>
        </w:rPr>
        <w:t xml:space="preserve"> wherein elite and professional programmes are dominated by upper-caste and economically privileged groups.</w:t>
      </w:r>
    </w:p>
    <w:p w14:paraId="49978CDF" w14:textId="77777777" w:rsidR="00EC67BC" w:rsidRPr="00EB4F38" w:rsidRDefault="00EC67BC" w:rsidP="00EC67BC">
      <w:pPr>
        <w:jc w:val="both"/>
        <w:rPr>
          <w:rFonts w:ascii="Times New Roman" w:hAnsi="Times New Roman" w:cs="Times New Roman"/>
        </w:rPr>
      </w:pPr>
    </w:p>
    <w:p w14:paraId="56042DE3" w14:textId="77777777" w:rsidR="00EC67BC" w:rsidRPr="00EB4F38" w:rsidRDefault="00EC67BC" w:rsidP="00EC67BC">
      <w:pPr>
        <w:jc w:val="both"/>
        <w:rPr>
          <w:rFonts w:ascii="Times New Roman" w:hAnsi="Times New Roman" w:cs="Times New Roman"/>
        </w:rPr>
      </w:pPr>
      <w:r w:rsidRPr="00EB4F38">
        <w:rPr>
          <w:rFonts w:ascii="Times New Roman" w:hAnsi="Times New Roman" w:cs="Times New Roman"/>
        </w:rPr>
        <w:t xml:space="preserve">Bhoi (2013) critically examined the impact of privatization on social equity and argued that private institutions often fail to effectively implement reservation policies mandated for public institutions. Weak regulatory oversight, ambiguous policy frameworks, and legal loopholes allow many private colleges, particularly in professional and technical fields, to bypass social </w:t>
      </w:r>
      <w:r w:rsidRPr="00EB4F38">
        <w:rPr>
          <w:rFonts w:ascii="Times New Roman" w:hAnsi="Times New Roman" w:cs="Times New Roman"/>
        </w:rPr>
        <w:lastRenderedPageBreak/>
        <w:t>inclusion mandates. As a result, SC students remain underrepresented in engineering, medical, and management education, which are increasingly dominated by private providers.</w:t>
      </w:r>
    </w:p>
    <w:p w14:paraId="7961465C" w14:textId="77777777" w:rsidR="00EC67BC" w:rsidRPr="00EB4F38" w:rsidRDefault="00EC67BC" w:rsidP="00EC67BC">
      <w:pPr>
        <w:jc w:val="both"/>
        <w:rPr>
          <w:rFonts w:ascii="Times New Roman" w:hAnsi="Times New Roman" w:cs="Times New Roman"/>
        </w:rPr>
      </w:pPr>
    </w:p>
    <w:p w14:paraId="23D54304" w14:textId="77777777" w:rsidR="00EC67BC" w:rsidRPr="00EB4F38" w:rsidRDefault="00EC67BC" w:rsidP="00EC67BC">
      <w:pPr>
        <w:jc w:val="both"/>
        <w:rPr>
          <w:rFonts w:ascii="Times New Roman" w:hAnsi="Times New Roman" w:cs="Times New Roman"/>
        </w:rPr>
      </w:pPr>
      <w:r w:rsidRPr="00EB4F38">
        <w:rPr>
          <w:rFonts w:ascii="Times New Roman" w:hAnsi="Times New Roman" w:cs="Times New Roman"/>
        </w:rPr>
        <w:t>The commodification of higher education has also redefined students as consumers rather than citizens with educational rights. This market-oriented approach prioritizes profitability, rankings, and employability metrics over inclusivity and social responsibility (Tilak, 2012). For SC students, this shift reduces education to a financial transaction, where access is determined by purchasing power rather than merit or social need.</w:t>
      </w:r>
    </w:p>
    <w:p w14:paraId="4778B337" w14:textId="77777777" w:rsidR="00EC67BC" w:rsidRPr="00EB4F38" w:rsidRDefault="00EC67BC" w:rsidP="00EC67BC">
      <w:pPr>
        <w:jc w:val="both"/>
        <w:rPr>
          <w:rFonts w:ascii="Times New Roman" w:hAnsi="Times New Roman" w:cs="Times New Roman"/>
        </w:rPr>
      </w:pPr>
    </w:p>
    <w:p w14:paraId="7C8018BF" w14:textId="77777777" w:rsidR="00EC67BC" w:rsidRPr="00EB4F38" w:rsidRDefault="00EC67BC" w:rsidP="00EC67BC">
      <w:pPr>
        <w:jc w:val="both"/>
        <w:rPr>
          <w:rFonts w:ascii="Times New Roman" w:hAnsi="Times New Roman" w:cs="Times New Roman"/>
        </w:rPr>
      </w:pPr>
      <w:r w:rsidRPr="00EB4F38">
        <w:rPr>
          <w:rFonts w:ascii="Times New Roman" w:hAnsi="Times New Roman" w:cs="Times New Roman"/>
        </w:rPr>
        <w:t xml:space="preserve">Several studies have highlighted that privatization exacerbates retention challenges as well. SC students who manage to </w:t>
      </w:r>
      <w:proofErr w:type="spellStart"/>
      <w:r w:rsidRPr="00EB4F38">
        <w:rPr>
          <w:rFonts w:ascii="Times New Roman" w:hAnsi="Times New Roman" w:cs="Times New Roman"/>
        </w:rPr>
        <w:t>enroll</w:t>
      </w:r>
      <w:proofErr w:type="spellEnd"/>
      <w:r w:rsidRPr="00EB4F38">
        <w:rPr>
          <w:rFonts w:ascii="Times New Roman" w:hAnsi="Times New Roman" w:cs="Times New Roman"/>
        </w:rPr>
        <w:t xml:space="preserve"> in private institutions often struggle with recurring fees, additional charges, and lack of institutional support, leading to stress and higher dropout rates (</w:t>
      </w:r>
      <w:proofErr w:type="spellStart"/>
      <w:r w:rsidRPr="00EB4F38">
        <w:rPr>
          <w:rFonts w:ascii="Times New Roman" w:hAnsi="Times New Roman" w:cs="Times New Roman"/>
        </w:rPr>
        <w:t>Beteille</w:t>
      </w:r>
      <w:proofErr w:type="spellEnd"/>
      <w:r w:rsidRPr="00EB4F38">
        <w:rPr>
          <w:rFonts w:ascii="Times New Roman" w:hAnsi="Times New Roman" w:cs="Times New Roman"/>
        </w:rPr>
        <w:t xml:space="preserve">, 2012). Unlike public universities, many private institutions lack adequate grievance redressal mechanisms, academic </w:t>
      </w:r>
      <w:proofErr w:type="spellStart"/>
      <w:r w:rsidRPr="00EB4F38">
        <w:rPr>
          <w:rFonts w:ascii="Times New Roman" w:hAnsi="Times New Roman" w:cs="Times New Roman"/>
        </w:rPr>
        <w:t>counseling</w:t>
      </w:r>
      <w:proofErr w:type="spellEnd"/>
      <w:r w:rsidRPr="00EB4F38">
        <w:rPr>
          <w:rFonts w:ascii="Times New Roman" w:hAnsi="Times New Roman" w:cs="Times New Roman"/>
        </w:rPr>
        <w:t xml:space="preserve"> services, and inclusive support systems for marginalized students.</w:t>
      </w:r>
    </w:p>
    <w:p w14:paraId="59425A6F" w14:textId="77777777" w:rsidR="00EC67BC" w:rsidRPr="00EB4F38" w:rsidRDefault="00EC67BC" w:rsidP="00EC67BC">
      <w:pPr>
        <w:jc w:val="both"/>
        <w:rPr>
          <w:rFonts w:ascii="Times New Roman" w:hAnsi="Times New Roman" w:cs="Times New Roman"/>
        </w:rPr>
      </w:pPr>
    </w:p>
    <w:p w14:paraId="619448B0" w14:textId="77777777" w:rsidR="00EC67BC" w:rsidRPr="00EB4F38" w:rsidRDefault="00EC67BC" w:rsidP="00EC67BC">
      <w:pPr>
        <w:jc w:val="both"/>
        <w:rPr>
          <w:rFonts w:ascii="Times New Roman" w:hAnsi="Times New Roman" w:cs="Times New Roman"/>
        </w:rPr>
      </w:pPr>
      <w:r w:rsidRPr="00EB4F38">
        <w:rPr>
          <w:rFonts w:ascii="Times New Roman" w:hAnsi="Times New Roman" w:cs="Times New Roman"/>
        </w:rPr>
        <w:t>Furthermore, privatization has implications for the quality of education accessed by SC students. Deshpande (2013) observed that marginalized students are often concentrated in lower-tier private institutions with poor infrastructure, contractual faculty, and limited research orientation. Such institutional segmentation reinforces existing inequalities and limits upward mobility.</w:t>
      </w:r>
    </w:p>
    <w:p w14:paraId="10B56527" w14:textId="77777777" w:rsidR="00EC67BC" w:rsidRPr="00EB4F38" w:rsidRDefault="00EC67BC" w:rsidP="00EC67BC">
      <w:pPr>
        <w:jc w:val="both"/>
        <w:rPr>
          <w:rFonts w:ascii="Times New Roman" w:hAnsi="Times New Roman" w:cs="Times New Roman"/>
        </w:rPr>
      </w:pPr>
    </w:p>
    <w:p w14:paraId="5034EBE5" w14:textId="19F63B26" w:rsidR="00EC67BC" w:rsidRPr="00EB4F38" w:rsidRDefault="00EC67BC" w:rsidP="00EC67BC">
      <w:pPr>
        <w:jc w:val="both"/>
        <w:rPr>
          <w:rFonts w:ascii="Times New Roman" w:hAnsi="Times New Roman" w:cs="Times New Roman"/>
        </w:rPr>
      </w:pPr>
      <w:r w:rsidRPr="00EB4F38">
        <w:rPr>
          <w:rFonts w:ascii="Times New Roman" w:hAnsi="Times New Roman" w:cs="Times New Roman"/>
        </w:rPr>
        <w:t>In this context, privatization not only restricts access but also undermines the broader objectives of social justice enshrined in India’s higher education policy framework. Without strong regulatory mechanisms, increased public investment, and mandatory enforcement of inclusion policies across both public and private institutions, privatization risks deepening caste-based inequalities rather than alleviating them.</w:t>
      </w:r>
    </w:p>
    <w:p w14:paraId="5D8AB59C" w14:textId="77777777" w:rsidR="00EC67BC" w:rsidRPr="00EB4F38" w:rsidRDefault="00EC67BC" w:rsidP="009A6D90">
      <w:pPr>
        <w:jc w:val="both"/>
        <w:rPr>
          <w:rFonts w:ascii="Times New Roman" w:hAnsi="Times New Roman" w:cs="Times New Roman"/>
        </w:rPr>
      </w:pPr>
    </w:p>
    <w:p w14:paraId="122CFDBB" w14:textId="2D660EC5" w:rsidR="009A6D90" w:rsidRPr="00EB4F38" w:rsidRDefault="009A6D90" w:rsidP="009A6D90">
      <w:pPr>
        <w:jc w:val="both"/>
        <w:rPr>
          <w:rFonts w:ascii="Times New Roman" w:hAnsi="Times New Roman" w:cs="Times New Roman"/>
        </w:rPr>
      </w:pPr>
      <w:r w:rsidRPr="00EB4F38">
        <w:rPr>
          <w:rFonts w:ascii="Times New Roman" w:hAnsi="Times New Roman" w:cs="Times New Roman"/>
        </w:rPr>
        <w:t>Policy Limitations and Implementation Gaps</w:t>
      </w:r>
    </w:p>
    <w:p w14:paraId="630EA554" w14:textId="77777777" w:rsidR="009A6D90" w:rsidRPr="00EB4F38" w:rsidRDefault="009A6D90" w:rsidP="009A6D90">
      <w:pPr>
        <w:jc w:val="both"/>
        <w:rPr>
          <w:rFonts w:ascii="Times New Roman" w:hAnsi="Times New Roman" w:cs="Times New Roman"/>
        </w:rPr>
      </w:pPr>
    </w:p>
    <w:p w14:paraId="43E982C6" w14:textId="77777777" w:rsidR="009A6D90" w:rsidRPr="00EB4F38" w:rsidRDefault="009A6D90" w:rsidP="009A6D90">
      <w:pPr>
        <w:jc w:val="both"/>
        <w:rPr>
          <w:rFonts w:ascii="Times New Roman" w:hAnsi="Times New Roman" w:cs="Times New Roman"/>
        </w:rPr>
      </w:pPr>
      <w:r w:rsidRPr="00EB4F38">
        <w:rPr>
          <w:rFonts w:ascii="Times New Roman" w:hAnsi="Times New Roman" w:cs="Times New Roman"/>
        </w:rPr>
        <w:t>Although policies exist to support SC students, implementation remains weak. Scholarships are often delayed, hostels are inadequate, and grievance redressal mechanisms are ineffective (UGC, 2020). Madan (2020) noted that caste-based disparities are more pronounced among economically disadvantaged households.</w:t>
      </w:r>
    </w:p>
    <w:p w14:paraId="704AB80C" w14:textId="77777777" w:rsidR="009A6D90" w:rsidRPr="00EB4F38" w:rsidRDefault="009A6D90" w:rsidP="009A6D90">
      <w:pPr>
        <w:jc w:val="both"/>
        <w:rPr>
          <w:rFonts w:ascii="Times New Roman" w:hAnsi="Times New Roman" w:cs="Times New Roman"/>
        </w:rPr>
      </w:pPr>
    </w:p>
    <w:p w14:paraId="52ED84A0" w14:textId="77777777" w:rsidR="00CC1160" w:rsidRPr="00EB4F38" w:rsidRDefault="00CC1160" w:rsidP="00CC1160">
      <w:pPr>
        <w:jc w:val="both"/>
        <w:rPr>
          <w:rFonts w:ascii="Times New Roman" w:hAnsi="Times New Roman" w:cs="Times New Roman"/>
        </w:rPr>
      </w:pPr>
      <w:r w:rsidRPr="00EB4F38">
        <w:rPr>
          <w:rFonts w:ascii="Times New Roman" w:hAnsi="Times New Roman" w:cs="Times New Roman"/>
        </w:rPr>
        <w:t>Wankhede (2016) argued that educational policies alone are insufficient to dismantle caste-based exclusion unless they are accompanied by broader efforts to address social marginalization and institutional culture. Discrimination embedded in everyday interactions, academic evaluation, and administrative practices often negates the benefits of formal policy measures. Without institutional sensitization, faculty training, and accountability, policies risk becoming procedural formalities rather than instruments of social justice.</w:t>
      </w:r>
    </w:p>
    <w:p w14:paraId="7D05E02A" w14:textId="77777777" w:rsidR="00CC1160" w:rsidRPr="00EB4F38" w:rsidRDefault="00CC1160" w:rsidP="00CC1160">
      <w:pPr>
        <w:jc w:val="both"/>
        <w:rPr>
          <w:rFonts w:ascii="Times New Roman" w:hAnsi="Times New Roman" w:cs="Times New Roman"/>
        </w:rPr>
      </w:pPr>
    </w:p>
    <w:p w14:paraId="657596A1" w14:textId="77777777" w:rsidR="00CC1160" w:rsidRPr="00EB4F38" w:rsidRDefault="00CC1160" w:rsidP="00CC1160">
      <w:pPr>
        <w:jc w:val="both"/>
        <w:rPr>
          <w:rFonts w:ascii="Times New Roman" w:hAnsi="Times New Roman" w:cs="Times New Roman"/>
        </w:rPr>
      </w:pPr>
      <w:r w:rsidRPr="00EB4F38">
        <w:rPr>
          <w:rFonts w:ascii="Times New Roman" w:hAnsi="Times New Roman" w:cs="Times New Roman"/>
        </w:rPr>
        <w:t>Additionally, monitoring and evaluation of policy outcomes remain weak. There is limited systematic data on dropout rates, academic performance, and post-graduation outcomes of SC students, which restricts evidence-based policymaking (Tilak, 2015). The absence of disaggregated data hampers the identification of gaps and the formulation of targeted interventions.</w:t>
      </w:r>
    </w:p>
    <w:p w14:paraId="6B208390" w14:textId="77777777" w:rsidR="00CC1160" w:rsidRPr="00EB4F38" w:rsidRDefault="00CC1160" w:rsidP="00CC1160">
      <w:pPr>
        <w:jc w:val="both"/>
        <w:rPr>
          <w:rFonts w:ascii="Times New Roman" w:hAnsi="Times New Roman" w:cs="Times New Roman"/>
        </w:rPr>
      </w:pPr>
    </w:p>
    <w:p w14:paraId="3EBFF4E3" w14:textId="59642CCA" w:rsidR="009A6D90" w:rsidRPr="00EB4F38" w:rsidRDefault="00CC1160" w:rsidP="00CC1160">
      <w:pPr>
        <w:jc w:val="both"/>
        <w:rPr>
          <w:rFonts w:ascii="Times New Roman" w:hAnsi="Times New Roman" w:cs="Times New Roman"/>
        </w:rPr>
      </w:pPr>
      <w:r w:rsidRPr="00EB4F38">
        <w:rPr>
          <w:rFonts w:ascii="Times New Roman" w:hAnsi="Times New Roman" w:cs="Times New Roman"/>
        </w:rPr>
        <w:t xml:space="preserve">In sum, while policies supporting SC students in higher education are comprehensive in design, their impact is diluted by implementation failures, resource constraints, and persistent social </w:t>
      </w:r>
      <w:r w:rsidRPr="00EB4F38">
        <w:rPr>
          <w:rFonts w:ascii="Times New Roman" w:hAnsi="Times New Roman" w:cs="Times New Roman"/>
        </w:rPr>
        <w:lastRenderedPageBreak/>
        <w:t>biases. Bridging the gap between policy and practice requires strengthening administrative mechanisms, ensuring timely financial support, enhancing institutional accountability, and addressing the deeper social structures that reproduce caste-based exclusion.</w:t>
      </w:r>
    </w:p>
    <w:p w14:paraId="65227D82" w14:textId="12FE7E3C" w:rsidR="009A6D90" w:rsidRPr="00EB4F38" w:rsidRDefault="00EB4F38" w:rsidP="009A6D90">
      <w:pPr>
        <w:jc w:val="both"/>
        <w:rPr>
          <w:rFonts w:ascii="Times New Roman" w:hAnsi="Times New Roman" w:cs="Times New Roman"/>
          <w:b/>
          <w:bCs/>
          <w:u w:val="single"/>
        </w:rPr>
      </w:pPr>
      <w:r w:rsidRPr="00EB4F38">
        <w:rPr>
          <w:rFonts w:ascii="Times New Roman" w:hAnsi="Times New Roman" w:cs="Times New Roman"/>
          <w:b/>
          <w:bCs/>
          <w:u w:val="single"/>
        </w:rPr>
        <w:t>6.CONCLUSION</w:t>
      </w:r>
    </w:p>
    <w:p w14:paraId="7735C448" w14:textId="77777777" w:rsidR="009A6D90" w:rsidRPr="00EB4F38" w:rsidRDefault="009A6D90" w:rsidP="009A6D90">
      <w:pPr>
        <w:jc w:val="both"/>
        <w:rPr>
          <w:rFonts w:ascii="Times New Roman" w:hAnsi="Times New Roman" w:cs="Times New Roman"/>
        </w:rPr>
      </w:pPr>
    </w:p>
    <w:p w14:paraId="64B7F91D" w14:textId="120880B0" w:rsidR="009A6D90" w:rsidRPr="00EB4F38" w:rsidRDefault="009A6D90" w:rsidP="009A6D90">
      <w:pPr>
        <w:jc w:val="both"/>
        <w:rPr>
          <w:rFonts w:ascii="Times New Roman" w:hAnsi="Times New Roman" w:cs="Times New Roman"/>
        </w:rPr>
      </w:pPr>
      <w:r w:rsidRPr="00EB4F38">
        <w:rPr>
          <w:rFonts w:ascii="Times New Roman" w:hAnsi="Times New Roman" w:cs="Times New Roman"/>
        </w:rPr>
        <w:t xml:space="preserve">This paper demonstrates that </w:t>
      </w:r>
      <w:r w:rsidR="00B307FB" w:rsidRPr="00EB4F38">
        <w:rPr>
          <w:rFonts w:ascii="Times New Roman" w:hAnsi="Times New Roman" w:cs="Times New Roman"/>
        </w:rPr>
        <w:t>SC</w:t>
      </w:r>
      <w:r w:rsidRPr="00EB4F38">
        <w:rPr>
          <w:rFonts w:ascii="Times New Roman" w:hAnsi="Times New Roman" w:cs="Times New Roman"/>
        </w:rPr>
        <w:t xml:space="preserve"> students in India continue to face persistent challenges in higher education despite affirmative action and expansion of educational institutions. Economic deprivation, caste-based discrimination, institutional weaknesses, and privatization collectively undermine educational equity.</w:t>
      </w:r>
    </w:p>
    <w:p w14:paraId="00DCAA3A" w14:textId="77777777" w:rsidR="009A6D90" w:rsidRPr="00EB4F38" w:rsidRDefault="009A6D90" w:rsidP="009A6D90">
      <w:pPr>
        <w:jc w:val="both"/>
        <w:rPr>
          <w:rFonts w:ascii="Times New Roman" w:hAnsi="Times New Roman" w:cs="Times New Roman"/>
        </w:rPr>
      </w:pPr>
    </w:p>
    <w:p w14:paraId="2C7B1AA2" w14:textId="77777777" w:rsidR="009A6D90" w:rsidRPr="00EB4F38" w:rsidRDefault="009A6D90" w:rsidP="009A6D90">
      <w:pPr>
        <w:jc w:val="both"/>
        <w:rPr>
          <w:rFonts w:ascii="Times New Roman" w:hAnsi="Times New Roman" w:cs="Times New Roman"/>
        </w:rPr>
      </w:pPr>
      <w:r w:rsidRPr="00EB4F38">
        <w:rPr>
          <w:rFonts w:ascii="Times New Roman" w:hAnsi="Times New Roman" w:cs="Times New Roman"/>
        </w:rPr>
        <w:t>To ensure meaningful inclusion, policy interventions must move beyond access to focus on retention, dignity, and academic success. Strengthening financial aid, enforcing anti-discrimination mechanisms, promoting inclusive campus cultures, and regulating privatization are essential steps toward social justice in higher education.</w:t>
      </w:r>
    </w:p>
    <w:p w14:paraId="09B98F19" w14:textId="77777777" w:rsidR="009A6D90" w:rsidRPr="00EB4F38" w:rsidRDefault="009A6D90" w:rsidP="009A6D90">
      <w:pPr>
        <w:jc w:val="both"/>
        <w:rPr>
          <w:rFonts w:ascii="Times New Roman" w:hAnsi="Times New Roman" w:cs="Times New Roman"/>
        </w:rPr>
      </w:pPr>
    </w:p>
    <w:p w14:paraId="48EFC50C" w14:textId="046260A0" w:rsidR="00C71FFF" w:rsidRPr="00EB4F38" w:rsidRDefault="00EB4F38" w:rsidP="005820C5">
      <w:pPr>
        <w:jc w:val="both"/>
        <w:rPr>
          <w:rFonts w:ascii="Times New Roman" w:hAnsi="Times New Roman" w:cs="Times New Roman"/>
          <w:b/>
          <w:bCs/>
        </w:rPr>
      </w:pPr>
      <w:r w:rsidRPr="00EB4F38">
        <w:rPr>
          <w:rFonts w:ascii="Times New Roman" w:hAnsi="Times New Roman" w:cs="Times New Roman"/>
          <w:b/>
          <w:bCs/>
        </w:rPr>
        <w:t xml:space="preserve">REFERENCES </w:t>
      </w:r>
    </w:p>
    <w:p w14:paraId="7D3C476E" w14:textId="77777777" w:rsidR="005820C5" w:rsidRPr="00EB4F38" w:rsidRDefault="005820C5" w:rsidP="00EB4F38">
      <w:pPr>
        <w:pStyle w:val="NormalWeb"/>
        <w:numPr>
          <w:ilvl w:val="0"/>
          <w:numId w:val="5"/>
        </w:numPr>
        <w:jc w:val="both"/>
      </w:pPr>
      <w:r w:rsidRPr="00EB4F38">
        <w:t xml:space="preserve">Ambedkar, B. R. (1936). </w:t>
      </w:r>
      <w:r w:rsidRPr="00EB4F38">
        <w:rPr>
          <w:rStyle w:val="Emphasis"/>
          <w:rFonts w:eastAsiaTheme="majorEastAsia"/>
        </w:rPr>
        <w:t>Annihilation of caste</w:t>
      </w:r>
      <w:r w:rsidRPr="00EB4F38">
        <w:t>. Self-published.</w:t>
      </w:r>
    </w:p>
    <w:p w14:paraId="0C8D4CA3" w14:textId="77777777" w:rsidR="005820C5" w:rsidRPr="00EB4F38" w:rsidRDefault="005820C5" w:rsidP="00EB4F38">
      <w:pPr>
        <w:pStyle w:val="NormalWeb"/>
        <w:numPr>
          <w:ilvl w:val="0"/>
          <w:numId w:val="5"/>
        </w:numPr>
        <w:jc w:val="both"/>
      </w:pPr>
      <w:r w:rsidRPr="00EB4F38">
        <w:t xml:space="preserve">Azam, M., &amp; Bloom, D. E. (2008). Educational expansion and economic growth in India. </w:t>
      </w:r>
      <w:r w:rsidRPr="00EB4F38">
        <w:rPr>
          <w:rStyle w:val="Emphasis"/>
          <w:rFonts w:eastAsiaTheme="majorEastAsia"/>
        </w:rPr>
        <w:t>Harvard University Working Paper</w:t>
      </w:r>
      <w:r w:rsidRPr="00EB4F38">
        <w:t>.</w:t>
      </w:r>
    </w:p>
    <w:p w14:paraId="23C1BE7E" w14:textId="77777777" w:rsidR="005820C5" w:rsidRPr="00EB4F38" w:rsidRDefault="005820C5" w:rsidP="00EB4F38">
      <w:pPr>
        <w:pStyle w:val="NormalWeb"/>
        <w:numPr>
          <w:ilvl w:val="0"/>
          <w:numId w:val="5"/>
        </w:numPr>
        <w:jc w:val="both"/>
      </w:pPr>
      <w:r w:rsidRPr="00EB4F38">
        <w:t xml:space="preserve">Babu, S., &amp; </w:t>
      </w:r>
      <w:proofErr w:type="spellStart"/>
      <w:r w:rsidRPr="00EB4F38">
        <w:t>Chandrasekarayy</w:t>
      </w:r>
      <w:proofErr w:type="spellEnd"/>
      <w:r w:rsidRPr="00EB4F38">
        <w:t xml:space="preserve">, M. (2015). Educational and socio-economic status of Scheduled Castes in India. </w:t>
      </w:r>
      <w:r w:rsidRPr="00EB4F38">
        <w:rPr>
          <w:rStyle w:val="Emphasis"/>
          <w:rFonts w:eastAsiaTheme="majorEastAsia"/>
        </w:rPr>
        <w:t>International Journal of Social Science Studies, 3</w:t>
      </w:r>
      <w:r w:rsidRPr="00EB4F38">
        <w:t>(4), 45–56.</w:t>
      </w:r>
    </w:p>
    <w:p w14:paraId="5AB5A0DE" w14:textId="77777777" w:rsidR="005820C5" w:rsidRPr="00EB4F38" w:rsidRDefault="005820C5" w:rsidP="00EB4F38">
      <w:pPr>
        <w:pStyle w:val="NormalWeb"/>
        <w:numPr>
          <w:ilvl w:val="0"/>
          <w:numId w:val="5"/>
        </w:numPr>
        <w:jc w:val="both"/>
      </w:pPr>
      <w:proofErr w:type="spellStart"/>
      <w:r w:rsidRPr="00EB4F38">
        <w:t>Beteille</w:t>
      </w:r>
      <w:proofErr w:type="spellEnd"/>
      <w:r w:rsidRPr="00EB4F38">
        <w:t xml:space="preserve">, A. (2012). Universities at the crossroads. </w:t>
      </w:r>
      <w:r w:rsidRPr="00EB4F38">
        <w:rPr>
          <w:rStyle w:val="Emphasis"/>
          <w:rFonts w:eastAsiaTheme="majorEastAsia"/>
        </w:rPr>
        <w:t>Economic and Political Weekly, 47</w:t>
      </w:r>
      <w:r w:rsidRPr="00EB4F38">
        <w:t>(18), 10–12.</w:t>
      </w:r>
    </w:p>
    <w:p w14:paraId="04E94E3A" w14:textId="77777777" w:rsidR="005820C5" w:rsidRPr="00EB4F38" w:rsidRDefault="005820C5" w:rsidP="00EB4F38">
      <w:pPr>
        <w:pStyle w:val="NormalWeb"/>
        <w:numPr>
          <w:ilvl w:val="0"/>
          <w:numId w:val="5"/>
        </w:numPr>
        <w:jc w:val="both"/>
      </w:pPr>
      <w:r w:rsidRPr="00EB4F38">
        <w:t xml:space="preserve">Bhoi, G. (2013). Privatization of higher education and its impact on Scheduled Castes in India. </w:t>
      </w:r>
      <w:r w:rsidRPr="00EB4F38">
        <w:rPr>
          <w:rStyle w:val="Emphasis"/>
          <w:rFonts w:eastAsiaTheme="majorEastAsia"/>
        </w:rPr>
        <w:t>Journal of Social Inclusion Studies, 1</w:t>
      </w:r>
      <w:r w:rsidRPr="00EB4F38">
        <w:t>(2), 135–148.</w:t>
      </w:r>
    </w:p>
    <w:p w14:paraId="056AB7ED" w14:textId="77777777" w:rsidR="005820C5" w:rsidRPr="00EB4F38" w:rsidRDefault="005820C5" w:rsidP="00EB4F38">
      <w:pPr>
        <w:pStyle w:val="NormalWeb"/>
        <w:numPr>
          <w:ilvl w:val="0"/>
          <w:numId w:val="5"/>
        </w:numPr>
        <w:jc w:val="both"/>
      </w:pPr>
      <w:r w:rsidRPr="00EB4F38">
        <w:t xml:space="preserve">Bhoi, G. (2022). Caste discrimination and everyday marginalization of Scheduled Caste students in higher education institutions. </w:t>
      </w:r>
      <w:r w:rsidRPr="00EB4F38">
        <w:rPr>
          <w:rStyle w:val="Emphasis"/>
          <w:rFonts w:eastAsiaTheme="majorEastAsia"/>
        </w:rPr>
        <w:t>Journal of Social Justice Studies, 8</w:t>
      </w:r>
      <w:r w:rsidRPr="00EB4F38">
        <w:t>(1), 55–72.</w:t>
      </w:r>
    </w:p>
    <w:p w14:paraId="6A1EC30E" w14:textId="77777777" w:rsidR="005820C5" w:rsidRPr="00EB4F38" w:rsidRDefault="005820C5" w:rsidP="00EB4F38">
      <w:pPr>
        <w:pStyle w:val="NormalWeb"/>
        <w:numPr>
          <w:ilvl w:val="0"/>
          <w:numId w:val="5"/>
        </w:numPr>
        <w:jc w:val="both"/>
      </w:pPr>
      <w:r w:rsidRPr="00EB4F38">
        <w:t xml:space="preserve">Borah, R. R. (2023). Caste, inequality, and access to higher education in India. </w:t>
      </w:r>
      <w:r w:rsidRPr="00EB4F38">
        <w:rPr>
          <w:rStyle w:val="Emphasis"/>
          <w:rFonts w:eastAsiaTheme="majorEastAsia"/>
        </w:rPr>
        <w:t>Journal of Educational Planning and Administration, 37</w:t>
      </w:r>
      <w:r w:rsidRPr="00EB4F38">
        <w:t>(2), 189–204.</w:t>
      </w:r>
    </w:p>
    <w:p w14:paraId="392DE6A0" w14:textId="77777777" w:rsidR="005820C5" w:rsidRPr="00EB4F38" w:rsidRDefault="005820C5" w:rsidP="00EB4F38">
      <w:pPr>
        <w:pStyle w:val="NormalWeb"/>
        <w:numPr>
          <w:ilvl w:val="0"/>
          <w:numId w:val="5"/>
        </w:numPr>
        <w:jc w:val="both"/>
      </w:pPr>
      <w:r w:rsidRPr="00EB4F38">
        <w:t xml:space="preserve">Chahal, S., &amp; Dar, A. (2015). Issues and challenges in Indian higher education. </w:t>
      </w:r>
      <w:r w:rsidRPr="00EB4F38">
        <w:rPr>
          <w:rStyle w:val="Emphasis"/>
          <w:rFonts w:eastAsiaTheme="majorEastAsia"/>
        </w:rPr>
        <w:t>International Journal of Research in Humanities and Social Sciences, 3</w:t>
      </w:r>
      <w:r w:rsidRPr="00EB4F38">
        <w:t>(6), 44–50.</w:t>
      </w:r>
    </w:p>
    <w:p w14:paraId="30F5493D" w14:textId="77777777" w:rsidR="005820C5" w:rsidRPr="00EB4F38" w:rsidRDefault="005820C5" w:rsidP="00EB4F38">
      <w:pPr>
        <w:pStyle w:val="NormalWeb"/>
        <w:numPr>
          <w:ilvl w:val="0"/>
          <w:numId w:val="5"/>
        </w:numPr>
        <w:jc w:val="both"/>
      </w:pPr>
      <w:r w:rsidRPr="00EB4F38">
        <w:t xml:space="preserve">Chanana, K. (1993). Accessing higher education: The dilemma of schooling women, minorities, Scheduled Castes and Scheduled Tribes. </w:t>
      </w:r>
      <w:r w:rsidRPr="00EB4F38">
        <w:rPr>
          <w:rStyle w:val="Emphasis"/>
          <w:rFonts w:eastAsiaTheme="majorEastAsia"/>
        </w:rPr>
        <w:t>Economic and Political Weekly, 28</w:t>
      </w:r>
      <w:r w:rsidRPr="00EB4F38">
        <w:t>(50), 2748–2754.</w:t>
      </w:r>
    </w:p>
    <w:p w14:paraId="4D077D14" w14:textId="77777777" w:rsidR="005820C5" w:rsidRPr="00EB4F38" w:rsidRDefault="005820C5" w:rsidP="00EB4F38">
      <w:pPr>
        <w:pStyle w:val="NormalWeb"/>
        <w:numPr>
          <w:ilvl w:val="0"/>
          <w:numId w:val="5"/>
        </w:numPr>
        <w:jc w:val="both"/>
      </w:pPr>
      <w:r w:rsidRPr="00EB4F38">
        <w:t xml:space="preserve">Chakrabarty, M. (2009). Education of Scheduled Castes in India: Issues and challenges. </w:t>
      </w:r>
      <w:r w:rsidRPr="00EB4F38">
        <w:rPr>
          <w:rStyle w:val="Emphasis"/>
          <w:rFonts w:eastAsiaTheme="majorEastAsia"/>
        </w:rPr>
        <w:t>Indian Journal of Social Development, 9</w:t>
      </w:r>
      <w:r w:rsidRPr="00EB4F38">
        <w:t>(1), 1–15.</w:t>
      </w:r>
    </w:p>
    <w:p w14:paraId="335652E4" w14:textId="77777777" w:rsidR="005820C5" w:rsidRPr="00EB4F38" w:rsidRDefault="005820C5" w:rsidP="00EB4F38">
      <w:pPr>
        <w:pStyle w:val="NormalWeb"/>
        <w:numPr>
          <w:ilvl w:val="0"/>
          <w:numId w:val="5"/>
        </w:numPr>
        <w:jc w:val="both"/>
      </w:pPr>
      <w:proofErr w:type="spellStart"/>
      <w:r w:rsidRPr="00EB4F38">
        <w:t>Chauchard</w:t>
      </w:r>
      <w:proofErr w:type="spellEnd"/>
      <w:r w:rsidRPr="00EB4F38">
        <w:t xml:space="preserve">, S. (2014). Why representation matters: The meaning of ethnic quotas in rural India. </w:t>
      </w:r>
      <w:r w:rsidRPr="00EB4F38">
        <w:rPr>
          <w:rStyle w:val="Emphasis"/>
          <w:rFonts w:eastAsiaTheme="majorEastAsia"/>
        </w:rPr>
        <w:t>American Political Science Review, 108</w:t>
      </w:r>
      <w:r w:rsidRPr="00EB4F38">
        <w:t>(2), 403–420.</w:t>
      </w:r>
    </w:p>
    <w:p w14:paraId="11B6BA84" w14:textId="77777777" w:rsidR="005820C5" w:rsidRPr="00EB4F38" w:rsidRDefault="005820C5" w:rsidP="00EB4F38">
      <w:pPr>
        <w:pStyle w:val="NormalWeb"/>
        <w:numPr>
          <w:ilvl w:val="0"/>
          <w:numId w:val="5"/>
        </w:numPr>
        <w:jc w:val="both"/>
      </w:pPr>
      <w:proofErr w:type="spellStart"/>
      <w:r w:rsidRPr="00EB4F38">
        <w:t>Churiyana</w:t>
      </w:r>
      <w:proofErr w:type="spellEnd"/>
      <w:r w:rsidRPr="00EB4F38">
        <w:t xml:space="preserve">, P. (2017). Educational challenges of Scheduled Caste students in higher education. </w:t>
      </w:r>
      <w:r w:rsidRPr="00EB4F38">
        <w:rPr>
          <w:rStyle w:val="Emphasis"/>
          <w:rFonts w:eastAsiaTheme="majorEastAsia"/>
        </w:rPr>
        <w:t>International Journal of Academic Research, 4</w:t>
      </w:r>
      <w:r w:rsidRPr="00EB4F38">
        <w:t>(3), 112–119.</w:t>
      </w:r>
    </w:p>
    <w:p w14:paraId="2A1E0A95" w14:textId="77777777" w:rsidR="005820C5" w:rsidRPr="00EB4F38" w:rsidRDefault="005820C5" w:rsidP="00EB4F38">
      <w:pPr>
        <w:pStyle w:val="NormalWeb"/>
        <w:numPr>
          <w:ilvl w:val="0"/>
          <w:numId w:val="5"/>
        </w:numPr>
        <w:jc w:val="both"/>
      </w:pPr>
      <w:r w:rsidRPr="00EB4F38">
        <w:t xml:space="preserve">Das, S., &amp; Lalitha, N. (2023). Educational exclusion and caste-based inequalities among Dalit youth in India. </w:t>
      </w:r>
      <w:r w:rsidRPr="00EB4F38">
        <w:rPr>
          <w:rStyle w:val="Emphasis"/>
          <w:rFonts w:eastAsiaTheme="majorEastAsia"/>
        </w:rPr>
        <w:t>Journal of Social Inequality Studies, 5</w:t>
      </w:r>
      <w:r w:rsidRPr="00EB4F38">
        <w:t>(1), 67–84.</w:t>
      </w:r>
    </w:p>
    <w:p w14:paraId="5D88CB8C" w14:textId="77777777" w:rsidR="005820C5" w:rsidRPr="00EB4F38" w:rsidRDefault="005820C5" w:rsidP="00EB4F38">
      <w:pPr>
        <w:pStyle w:val="NormalWeb"/>
        <w:numPr>
          <w:ilvl w:val="0"/>
          <w:numId w:val="5"/>
        </w:numPr>
        <w:jc w:val="both"/>
      </w:pPr>
      <w:r w:rsidRPr="00EB4F38">
        <w:t xml:space="preserve">Desai, S., &amp; Kulkarni, V. (2008). Changing educational inequalities in India in the context of affirmative action. </w:t>
      </w:r>
      <w:r w:rsidRPr="00EB4F38">
        <w:rPr>
          <w:rStyle w:val="Emphasis"/>
          <w:rFonts w:eastAsiaTheme="majorEastAsia"/>
        </w:rPr>
        <w:t>Demography, 45</w:t>
      </w:r>
      <w:r w:rsidRPr="00EB4F38">
        <w:t>(2), 245–270.</w:t>
      </w:r>
    </w:p>
    <w:p w14:paraId="63F59665" w14:textId="77777777" w:rsidR="005820C5" w:rsidRPr="00EB4F38" w:rsidRDefault="005820C5" w:rsidP="00EB4F38">
      <w:pPr>
        <w:pStyle w:val="NormalWeb"/>
        <w:numPr>
          <w:ilvl w:val="0"/>
          <w:numId w:val="5"/>
        </w:numPr>
        <w:jc w:val="both"/>
      </w:pPr>
      <w:r w:rsidRPr="00EB4F38">
        <w:t xml:space="preserve">Desai, S., Dubey, A., Joshi, B. L., Sen, M., Shariff, A., &amp; Vanneman, R. (2010). </w:t>
      </w:r>
      <w:r w:rsidRPr="00EB4F38">
        <w:rPr>
          <w:rStyle w:val="Emphasis"/>
          <w:rFonts w:eastAsiaTheme="majorEastAsia"/>
        </w:rPr>
        <w:t>Human development in India: Challenges for a society in transition</w:t>
      </w:r>
      <w:r w:rsidRPr="00EB4F38">
        <w:t>. Oxford University Press.</w:t>
      </w:r>
    </w:p>
    <w:p w14:paraId="5F97870B" w14:textId="77777777" w:rsidR="005820C5" w:rsidRPr="00EB4F38" w:rsidRDefault="005820C5" w:rsidP="00EB4F38">
      <w:pPr>
        <w:pStyle w:val="NormalWeb"/>
        <w:numPr>
          <w:ilvl w:val="0"/>
          <w:numId w:val="5"/>
        </w:numPr>
        <w:jc w:val="both"/>
      </w:pPr>
      <w:r w:rsidRPr="00EB4F38">
        <w:t xml:space="preserve">Deshpande, A. (2013). </w:t>
      </w:r>
      <w:r w:rsidRPr="00EB4F38">
        <w:rPr>
          <w:rStyle w:val="Emphasis"/>
          <w:rFonts w:eastAsiaTheme="majorEastAsia"/>
        </w:rPr>
        <w:t>Affirmative action in India</w:t>
      </w:r>
      <w:r w:rsidRPr="00EB4F38">
        <w:t>. Oxford University Press.</w:t>
      </w:r>
    </w:p>
    <w:p w14:paraId="53248F7B" w14:textId="77777777" w:rsidR="005820C5" w:rsidRPr="00EB4F38" w:rsidRDefault="005820C5" w:rsidP="00EB4F38">
      <w:pPr>
        <w:pStyle w:val="NormalWeb"/>
        <w:numPr>
          <w:ilvl w:val="0"/>
          <w:numId w:val="5"/>
        </w:numPr>
        <w:jc w:val="both"/>
      </w:pPr>
      <w:r w:rsidRPr="00EB4F38">
        <w:lastRenderedPageBreak/>
        <w:t xml:space="preserve">Dutta, P. (2024). Financial constraints and academic challenges of SC/ST girls in higher education. </w:t>
      </w:r>
      <w:r w:rsidRPr="00EB4F38">
        <w:rPr>
          <w:rStyle w:val="Emphasis"/>
          <w:rFonts w:eastAsiaTheme="majorEastAsia"/>
        </w:rPr>
        <w:t>Journal of Gender and Education Studies, 6</w:t>
      </w:r>
      <w:r w:rsidRPr="00EB4F38">
        <w:t>(1), 21–38.</w:t>
      </w:r>
    </w:p>
    <w:p w14:paraId="3CA13D65" w14:textId="77777777" w:rsidR="005820C5" w:rsidRPr="00EB4F38" w:rsidRDefault="005820C5" w:rsidP="00EB4F38">
      <w:pPr>
        <w:pStyle w:val="NormalWeb"/>
        <w:numPr>
          <w:ilvl w:val="0"/>
          <w:numId w:val="5"/>
        </w:numPr>
        <w:jc w:val="both"/>
      </w:pPr>
      <w:r w:rsidRPr="00EB4F38">
        <w:t xml:space="preserve">Francis, A., George, S., &amp; Thomas, R. (2020). Barriers to higher education among marginalized communities in India. </w:t>
      </w:r>
      <w:r w:rsidRPr="00EB4F38">
        <w:rPr>
          <w:rStyle w:val="Emphasis"/>
          <w:rFonts w:eastAsiaTheme="majorEastAsia"/>
        </w:rPr>
        <w:t>Asian Journal of Education and Social Studies, 8</w:t>
      </w:r>
      <w:r w:rsidRPr="00EB4F38">
        <w:t>(3), 1–12.</w:t>
      </w:r>
    </w:p>
    <w:p w14:paraId="10BD321F" w14:textId="77777777" w:rsidR="005820C5" w:rsidRPr="00EB4F38" w:rsidRDefault="005820C5" w:rsidP="00EB4F38">
      <w:pPr>
        <w:pStyle w:val="NormalWeb"/>
        <w:numPr>
          <w:ilvl w:val="0"/>
          <w:numId w:val="5"/>
        </w:numPr>
        <w:jc w:val="both"/>
      </w:pPr>
      <w:proofErr w:type="spellStart"/>
      <w:r w:rsidRPr="00EB4F38">
        <w:t>Ganjikunta</w:t>
      </w:r>
      <w:proofErr w:type="spellEnd"/>
      <w:r w:rsidRPr="00EB4F38">
        <w:t xml:space="preserve">, S., &amp; </w:t>
      </w:r>
      <w:proofErr w:type="spellStart"/>
      <w:r w:rsidRPr="00EB4F38">
        <w:t>Kadavakollu</w:t>
      </w:r>
      <w:proofErr w:type="spellEnd"/>
      <w:r w:rsidRPr="00EB4F38">
        <w:t xml:space="preserve">, S. (2022). Socio-economic determinants of educational participation among Dalit women. </w:t>
      </w:r>
      <w:r w:rsidRPr="00EB4F38">
        <w:rPr>
          <w:rStyle w:val="Emphasis"/>
          <w:rFonts w:eastAsiaTheme="majorEastAsia"/>
        </w:rPr>
        <w:t>Journal of Development Studies, 58</w:t>
      </w:r>
      <w:r w:rsidRPr="00EB4F38">
        <w:t>(9), 1735–1751.</w:t>
      </w:r>
    </w:p>
    <w:p w14:paraId="45388E5A" w14:textId="77777777" w:rsidR="005820C5" w:rsidRPr="00EB4F38" w:rsidRDefault="005820C5" w:rsidP="00EB4F38">
      <w:pPr>
        <w:pStyle w:val="NormalWeb"/>
        <w:numPr>
          <w:ilvl w:val="0"/>
          <w:numId w:val="5"/>
        </w:numPr>
        <w:jc w:val="both"/>
      </w:pPr>
      <w:r w:rsidRPr="00EB4F38">
        <w:t xml:space="preserve">Ghuman, R. S., Singh, S., &amp; Brar, J. S. (2009). Caste differentials in professional education in Punjab. </w:t>
      </w:r>
      <w:r w:rsidRPr="00EB4F38">
        <w:rPr>
          <w:rStyle w:val="Emphasis"/>
          <w:rFonts w:eastAsiaTheme="majorEastAsia"/>
        </w:rPr>
        <w:t>Indian Journal of Labour Economics, 52</w:t>
      </w:r>
      <w:r w:rsidRPr="00EB4F38">
        <w:t>(2), 293–308.</w:t>
      </w:r>
    </w:p>
    <w:p w14:paraId="25B9EA4A" w14:textId="77777777" w:rsidR="005820C5" w:rsidRPr="00EB4F38" w:rsidRDefault="005820C5" w:rsidP="00EB4F38">
      <w:pPr>
        <w:pStyle w:val="NormalWeb"/>
        <w:numPr>
          <w:ilvl w:val="0"/>
          <w:numId w:val="5"/>
        </w:numPr>
        <w:jc w:val="both"/>
      </w:pPr>
      <w:r w:rsidRPr="00EB4F38">
        <w:t xml:space="preserve">Jeffery, R., &amp; Basu, A. M. (1996). </w:t>
      </w:r>
      <w:r w:rsidRPr="00EB4F38">
        <w:rPr>
          <w:rStyle w:val="Emphasis"/>
          <w:rFonts w:eastAsiaTheme="majorEastAsia"/>
        </w:rPr>
        <w:t>Girls’ schooling, women’s autonomy, and fertility change in South Asia</w:t>
      </w:r>
      <w:r w:rsidRPr="00EB4F38">
        <w:t>. Sage Publications.</w:t>
      </w:r>
    </w:p>
    <w:p w14:paraId="685DD952" w14:textId="77777777" w:rsidR="005820C5" w:rsidRPr="00EB4F38" w:rsidRDefault="005820C5" w:rsidP="00EB4F38">
      <w:pPr>
        <w:pStyle w:val="NormalWeb"/>
        <w:numPr>
          <w:ilvl w:val="0"/>
          <w:numId w:val="5"/>
        </w:numPr>
        <w:jc w:val="both"/>
      </w:pPr>
      <w:proofErr w:type="spellStart"/>
      <w:r w:rsidRPr="00EB4F38">
        <w:t>Jaysawal</w:t>
      </w:r>
      <w:proofErr w:type="spellEnd"/>
      <w:r w:rsidRPr="00EB4F38">
        <w:t xml:space="preserve">, N., Pradhan, R., &amp; Kumar, S. (2023). Equity and access in Indian higher education: Emerging challenges. </w:t>
      </w:r>
      <w:r w:rsidRPr="00EB4F38">
        <w:rPr>
          <w:rStyle w:val="Emphasis"/>
          <w:rFonts w:eastAsiaTheme="majorEastAsia"/>
        </w:rPr>
        <w:t>Journal of Higher Education Policy and Management, 45</w:t>
      </w:r>
      <w:r w:rsidRPr="00EB4F38">
        <w:t>(2), 123–138.</w:t>
      </w:r>
    </w:p>
    <w:p w14:paraId="736700B8" w14:textId="77777777" w:rsidR="005820C5" w:rsidRPr="00EB4F38" w:rsidRDefault="005820C5" w:rsidP="00EB4F38">
      <w:pPr>
        <w:pStyle w:val="NormalWeb"/>
        <w:numPr>
          <w:ilvl w:val="0"/>
          <w:numId w:val="5"/>
        </w:numPr>
        <w:jc w:val="both"/>
        <w:rPr>
          <w:i/>
          <w:iCs/>
        </w:rPr>
      </w:pPr>
      <w:proofErr w:type="spellStart"/>
      <w:r w:rsidRPr="00EB4F38">
        <w:t>Jodhka</w:t>
      </w:r>
      <w:proofErr w:type="spellEnd"/>
      <w:r w:rsidRPr="00EB4F38">
        <w:t xml:space="preserve">, S. S. (2012). </w:t>
      </w:r>
      <w:r w:rsidRPr="00EB4F38">
        <w:rPr>
          <w:i/>
          <w:iCs/>
        </w:rPr>
        <w:t>Caste in contemporary India.</w:t>
      </w:r>
      <w:r w:rsidRPr="00EB4F38">
        <w:t xml:space="preserve"> </w:t>
      </w:r>
      <w:r w:rsidRPr="00EB4F38">
        <w:rPr>
          <w:rStyle w:val="Emphasis"/>
          <w:rFonts w:eastAsiaTheme="majorEastAsia"/>
          <w:i w:val="0"/>
          <w:iCs w:val="0"/>
        </w:rPr>
        <w:t>Routledge India</w:t>
      </w:r>
      <w:r w:rsidRPr="00EB4F38">
        <w:rPr>
          <w:i/>
          <w:iCs/>
        </w:rPr>
        <w:t>.</w:t>
      </w:r>
    </w:p>
    <w:p w14:paraId="51937C31" w14:textId="77777777" w:rsidR="005820C5" w:rsidRPr="00EB4F38" w:rsidRDefault="005820C5" w:rsidP="00EB4F38">
      <w:pPr>
        <w:pStyle w:val="NormalWeb"/>
        <w:numPr>
          <w:ilvl w:val="0"/>
          <w:numId w:val="5"/>
        </w:numPr>
        <w:jc w:val="both"/>
      </w:pPr>
      <w:proofErr w:type="spellStart"/>
      <w:r w:rsidRPr="00EB4F38">
        <w:t>Jodhka</w:t>
      </w:r>
      <w:proofErr w:type="spellEnd"/>
      <w:r w:rsidRPr="00EB4F38">
        <w:t xml:space="preserve">, S. S., &amp; Newman, K. S. (2007). In the name of globalisation: Meritocracy, productivity, and the hidden language of caste. </w:t>
      </w:r>
      <w:r w:rsidRPr="00EB4F38">
        <w:rPr>
          <w:rStyle w:val="Emphasis"/>
          <w:rFonts w:eastAsiaTheme="majorEastAsia"/>
        </w:rPr>
        <w:t>Economic and Political Weekly, 42</w:t>
      </w:r>
      <w:r w:rsidRPr="00EB4F38">
        <w:t>(41), 4125–4132.</w:t>
      </w:r>
    </w:p>
    <w:p w14:paraId="22104C7A" w14:textId="77777777" w:rsidR="005820C5" w:rsidRPr="00EB4F38" w:rsidRDefault="005820C5" w:rsidP="00EB4F38">
      <w:pPr>
        <w:pStyle w:val="NormalWeb"/>
        <w:numPr>
          <w:ilvl w:val="0"/>
          <w:numId w:val="5"/>
        </w:numPr>
        <w:jc w:val="both"/>
      </w:pPr>
      <w:proofErr w:type="spellStart"/>
      <w:r w:rsidRPr="00EB4F38">
        <w:t>Komanapalli</w:t>
      </w:r>
      <w:proofErr w:type="spellEnd"/>
      <w:r w:rsidRPr="00EB4F38">
        <w:t xml:space="preserve">, A., &amp; Rao, P. (2020). Caste discrimination, mental health, and student suicides in Indian universities. </w:t>
      </w:r>
      <w:r w:rsidRPr="00EB4F38">
        <w:rPr>
          <w:rStyle w:val="Emphasis"/>
          <w:rFonts w:eastAsiaTheme="majorEastAsia"/>
        </w:rPr>
        <w:t>Journal of Social Justice and Education, 4</w:t>
      </w:r>
      <w:r w:rsidRPr="00EB4F38">
        <w:t>(2), 89–105.</w:t>
      </w:r>
    </w:p>
    <w:p w14:paraId="6652B4A4" w14:textId="77777777" w:rsidR="005820C5" w:rsidRPr="00EB4F38" w:rsidRDefault="005820C5" w:rsidP="00EB4F38">
      <w:pPr>
        <w:pStyle w:val="NormalWeb"/>
        <w:numPr>
          <w:ilvl w:val="0"/>
          <w:numId w:val="5"/>
        </w:numPr>
        <w:jc w:val="both"/>
      </w:pPr>
      <w:r w:rsidRPr="00EB4F38">
        <w:t xml:space="preserve">Madan, M. (2020). Economic inequality and caste disparities in higher education participation. </w:t>
      </w:r>
      <w:r w:rsidRPr="00EB4F38">
        <w:rPr>
          <w:rStyle w:val="Emphasis"/>
          <w:rFonts w:eastAsiaTheme="majorEastAsia"/>
        </w:rPr>
        <w:t>Journal of Educational Sociology, 12</w:t>
      </w:r>
      <w:r w:rsidRPr="00EB4F38">
        <w:t>(1), 44–59.</w:t>
      </w:r>
    </w:p>
    <w:p w14:paraId="0DE8ECFE" w14:textId="77777777" w:rsidR="005820C5" w:rsidRPr="00EB4F38" w:rsidRDefault="005820C5" w:rsidP="00EB4F38">
      <w:pPr>
        <w:pStyle w:val="NormalWeb"/>
        <w:numPr>
          <w:ilvl w:val="0"/>
          <w:numId w:val="5"/>
        </w:numPr>
        <w:jc w:val="both"/>
      </w:pPr>
      <w:proofErr w:type="spellStart"/>
      <w:r w:rsidRPr="00EB4F38">
        <w:t>Mastkar</w:t>
      </w:r>
      <w:proofErr w:type="spellEnd"/>
      <w:r w:rsidRPr="00EB4F38">
        <w:t xml:space="preserve">, N., &amp; Sharma, P. (2022). Poverty, caste, and dropout among marginalized youth in India. </w:t>
      </w:r>
      <w:r w:rsidRPr="00EB4F38">
        <w:rPr>
          <w:rStyle w:val="Emphasis"/>
          <w:rFonts w:eastAsiaTheme="majorEastAsia"/>
        </w:rPr>
        <w:t>Journal of Youth Studies, 25</w:t>
      </w:r>
      <w:r w:rsidRPr="00EB4F38">
        <w:t>(4), 489–505.</w:t>
      </w:r>
    </w:p>
    <w:p w14:paraId="3BD897F4" w14:textId="77777777" w:rsidR="005820C5" w:rsidRPr="00EB4F38" w:rsidRDefault="005820C5" w:rsidP="00EB4F38">
      <w:pPr>
        <w:pStyle w:val="NormalWeb"/>
        <w:numPr>
          <w:ilvl w:val="0"/>
          <w:numId w:val="5"/>
        </w:numPr>
        <w:jc w:val="both"/>
      </w:pPr>
      <w:r w:rsidRPr="00EB4F38">
        <w:t xml:space="preserve">Ministry of Education. (2022). </w:t>
      </w:r>
      <w:r w:rsidRPr="00EB4F38">
        <w:rPr>
          <w:rStyle w:val="Emphasis"/>
          <w:rFonts w:eastAsiaTheme="majorEastAsia"/>
        </w:rPr>
        <w:t>All India Survey on Higher Education (AISHE) 2021–22</w:t>
      </w:r>
      <w:r w:rsidRPr="00EB4F38">
        <w:t>. Government of India.</w:t>
      </w:r>
    </w:p>
    <w:p w14:paraId="7F4A30A5" w14:textId="77777777" w:rsidR="005820C5" w:rsidRPr="00EB4F38" w:rsidRDefault="005820C5" w:rsidP="00EB4F38">
      <w:pPr>
        <w:pStyle w:val="NormalWeb"/>
        <w:numPr>
          <w:ilvl w:val="0"/>
          <w:numId w:val="5"/>
        </w:numPr>
        <w:jc w:val="both"/>
      </w:pPr>
      <w:r w:rsidRPr="00EB4F38">
        <w:t xml:space="preserve">Ministry of Human Resource Development. (2018). </w:t>
      </w:r>
      <w:r w:rsidRPr="00EB4F38">
        <w:rPr>
          <w:rStyle w:val="Emphasis"/>
          <w:rFonts w:eastAsiaTheme="majorEastAsia"/>
        </w:rPr>
        <w:t>Annual report on higher education</w:t>
      </w:r>
      <w:r w:rsidRPr="00EB4F38">
        <w:t>. Government of India.</w:t>
      </w:r>
    </w:p>
    <w:p w14:paraId="5C39354E" w14:textId="77777777" w:rsidR="005820C5" w:rsidRPr="00EB4F38" w:rsidRDefault="005820C5" w:rsidP="00EB4F38">
      <w:pPr>
        <w:pStyle w:val="NormalWeb"/>
        <w:numPr>
          <w:ilvl w:val="0"/>
          <w:numId w:val="5"/>
        </w:numPr>
        <w:jc w:val="both"/>
      </w:pPr>
      <w:r w:rsidRPr="00EB4F38">
        <w:t xml:space="preserve">Nagaraja, R., Singh, M., &amp; Rao, K. (2023). Intersectional disadvantages and educational exclusion among Dalit women. </w:t>
      </w:r>
      <w:r w:rsidRPr="00EB4F38">
        <w:rPr>
          <w:rStyle w:val="Emphasis"/>
          <w:rFonts w:eastAsiaTheme="majorEastAsia"/>
        </w:rPr>
        <w:t>Indian Journal of Gender Studies, 30</w:t>
      </w:r>
      <w:r w:rsidRPr="00EB4F38">
        <w:t>(2), 245–262.</w:t>
      </w:r>
    </w:p>
    <w:p w14:paraId="19BEEBD9" w14:textId="77777777" w:rsidR="005820C5" w:rsidRPr="00EB4F38" w:rsidRDefault="005820C5" w:rsidP="00EB4F38">
      <w:pPr>
        <w:pStyle w:val="NormalWeb"/>
        <w:numPr>
          <w:ilvl w:val="0"/>
          <w:numId w:val="5"/>
        </w:numPr>
        <w:jc w:val="both"/>
        <w:rPr>
          <w:i/>
          <w:iCs/>
        </w:rPr>
      </w:pPr>
      <w:proofErr w:type="spellStart"/>
      <w:r w:rsidRPr="00EB4F38">
        <w:t>Nambissan</w:t>
      </w:r>
      <w:proofErr w:type="spellEnd"/>
      <w:r w:rsidRPr="00EB4F38">
        <w:t xml:space="preserve">, G. B. (2016). </w:t>
      </w:r>
      <w:r w:rsidRPr="00EB4F38">
        <w:rPr>
          <w:i/>
          <w:iCs/>
        </w:rPr>
        <w:t>Exclusion, inclusion, and educational inequality</w:t>
      </w:r>
      <w:r w:rsidRPr="00EB4F38">
        <w:t xml:space="preserve">. </w:t>
      </w:r>
      <w:r w:rsidRPr="00EB4F38">
        <w:rPr>
          <w:rStyle w:val="Emphasis"/>
          <w:rFonts w:eastAsiaTheme="majorEastAsia"/>
          <w:i w:val="0"/>
          <w:iCs w:val="0"/>
        </w:rPr>
        <w:t>Oxford University Press</w:t>
      </w:r>
      <w:r w:rsidRPr="00EB4F38">
        <w:rPr>
          <w:i/>
          <w:iCs/>
        </w:rPr>
        <w:t>.</w:t>
      </w:r>
    </w:p>
    <w:p w14:paraId="4C6A96A2" w14:textId="77777777" w:rsidR="005820C5" w:rsidRPr="00EB4F38" w:rsidRDefault="005820C5" w:rsidP="00EB4F38">
      <w:pPr>
        <w:pStyle w:val="NormalWeb"/>
        <w:numPr>
          <w:ilvl w:val="0"/>
          <w:numId w:val="5"/>
        </w:numPr>
        <w:jc w:val="both"/>
      </w:pPr>
      <w:proofErr w:type="spellStart"/>
      <w:r w:rsidRPr="00EB4F38">
        <w:t>Narwana</w:t>
      </w:r>
      <w:proofErr w:type="spellEnd"/>
      <w:r w:rsidRPr="00EB4F38">
        <w:t xml:space="preserve">, G., &amp; Gill, R. (2020). Dalit students and the culture of silence in Indian universities. </w:t>
      </w:r>
      <w:r w:rsidRPr="00EB4F38">
        <w:rPr>
          <w:rStyle w:val="Emphasis"/>
          <w:rFonts w:eastAsiaTheme="majorEastAsia"/>
        </w:rPr>
        <w:t>Social Change, 50</w:t>
      </w:r>
      <w:r w:rsidRPr="00EB4F38">
        <w:t>(3), 1–17.</w:t>
      </w:r>
    </w:p>
    <w:p w14:paraId="3021A489" w14:textId="77777777" w:rsidR="005820C5" w:rsidRPr="00EB4F38" w:rsidRDefault="005820C5" w:rsidP="00EB4F38">
      <w:pPr>
        <w:pStyle w:val="NormalWeb"/>
        <w:numPr>
          <w:ilvl w:val="0"/>
          <w:numId w:val="5"/>
        </w:numPr>
        <w:jc w:val="both"/>
      </w:pPr>
      <w:r w:rsidRPr="00EB4F38">
        <w:t xml:space="preserve">Raju, S. (2008). Participation in higher education in India: Patterns and disparities. </w:t>
      </w:r>
      <w:r w:rsidRPr="00EB4F38">
        <w:rPr>
          <w:rStyle w:val="Emphasis"/>
          <w:rFonts w:eastAsiaTheme="majorEastAsia"/>
        </w:rPr>
        <w:t>Journal of Educational Planning and Administration, 22</w:t>
      </w:r>
      <w:r w:rsidRPr="00EB4F38">
        <w:t>(4), 377–395.</w:t>
      </w:r>
    </w:p>
    <w:p w14:paraId="15B1F3E3" w14:textId="77777777" w:rsidR="005820C5" w:rsidRPr="00EB4F38" w:rsidRDefault="005820C5" w:rsidP="00EB4F38">
      <w:pPr>
        <w:pStyle w:val="NormalWeb"/>
        <w:numPr>
          <w:ilvl w:val="0"/>
          <w:numId w:val="5"/>
        </w:numPr>
        <w:jc w:val="both"/>
      </w:pPr>
      <w:r w:rsidRPr="00EB4F38">
        <w:t xml:space="preserve">Rani, P. (2023). Family support and higher education participation of Dalit women. </w:t>
      </w:r>
      <w:r w:rsidRPr="00EB4F38">
        <w:rPr>
          <w:rStyle w:val="Emphasis"/>
          <w:rFonts w:eastAsiaTheme="majorEastAsia"/>
        </w:rPr>
        <w:t>Journal of Women’s Studies, 9</w:t>
      </w:r>
      <w:r w:rsidRPr="00EB4F38">
        <w:t>(2), 61–78.</w:t>
      </w:r>
    </w:p>
    <w:p w14:paraId="66E61651" w14:textId="77777777" w:rsidR="005820C5" w:rsidRPr="00EB4F38" w:rsidRDefault="005820C5" w:rsidP="00EB4F38">
      <w:pPr>
        <w:pStyle w:val="NormalWeb"/>
        <w:numPr>
          <w:ilvl w:val="0"/>
          <w:numId w:val="5"/>
        </w:numPr>
        <w:jc w:val="both"/>
      </w:pPr>
      <w:r w:rsidRPr="00EB4F38">
        <w:t xml:space="preserve">Reay, D., Crozier, G., &amp; Clayton, J. (2010). ‘Fitting in’ or ‘standing out’: Working-class students in UK higher education. </w:t>
      </w:r>
      <w:r w:rsidRPr="00EB4F38">
        <w:rPr>
          <w:rStyle w:val="Emphasis"/>
          <w:rFonts w:eastAsiaTheme="majorEastAsia"/>
        </w:rPr>
        <w:t>British Educational Research Journal, 36</w:t>
      </w:r>
      <w:r w:rsidRPr="00EB4F38">
        <w:t>(1), 107–124.</w:t>
      </w:r>
    </w:p>
    <w:p w14:paraId="23F30CE0" w14:textId="77777777" w:rsidR="005820C5" w:rsidRPr="00EB4F38" w:rsidRDefault="005820C5" w:rsidP="00EB4F38">
      <w:pPr>
        <w:pStyle w:val="NormalWeb"/>
        <w:numPr>
          <w:ilvl w:val="0"/>
          <w:numId w:val="5"/>
        </w:numPr>
        <w:jc w:val="both"/>
      </w:pPr>
      <w:r w:rsidRPr="00EB4F38">
        <w:t xml:space="preserve">Sabharwal, N. S., &amp; </w:t>
      </w:r>
      <w:proofErr w:type="spellStart"/>
      <w:r w:rsidRPr="00EB4F38">
        <w:t>Sonalkar</w:t>
      </w:r>
      <w:proofErr w:type="spellEnd"/>
      <w:r w:rsidRPr="00EB4F38">
        <w:t xml:space="preserve">, W. (2015). Dalit women in India: Issues and perspectives. </w:t>
      </w:r>
      <w:r w:rsidRPr="00EB4F38">
        <w:rPr>
          <w:rStyle w:val="Emphasis"/>
          <w:rFonts w:eastAsiaTheme="majorEastAsia"/>
        </w:rPr>
        <w:t>Indian Journal of Gender Studies, 22</w:t>
      </w:r>
      <w:r w:rsidRPr="00EB4F38">
        <w:t>(3), 311–330.</w:t>
      </w:r>
    </w:p>
    <w:p w14:paraId="3E41B2FC" w14:textId="77777777" w:rsidR="005820C5" w:rsidRPr="00EB4F38" w:rsidRDefault="005820C5" w:rsidP="00EB4F38">
      <w:pPr>
        <w:pStyle w:val="NormalWeb"/>
        <w:numPr>
          <w:ilvl w:val="0"/>
          <w:numId w:val="5"/>
        </w:numPr>
        <w:jc w:val="both"/>
      </w:pPr>
      <w:r w:rsidRPr="00EB4F38">
        <w:t xml:space="preserve">Singh, M. (2011). Higher education in India: Issues, challenges, and reforms. </w:t>
      </w:r>
      <w:r w:rsidRPr="00EB4F38">
        <w:rPr>
          <w:rStyle w:val="Emphasis"/>
          <w:rFonts w:eastAsiaTheme="majorEastAsia"/>
        </w:rPr>
        <w:t>University News, 49</w:t>
      </w:r>
      <w:r w:rsidRPr="00EB4F38">
        <w:t>(14), 1–8.</w:t>
      </w:r>
    </w:p>
    <w:p w14:paraId="797C3D91" w14:textId="77777777" w:rsidR="005820C5" w:rsidRPr="00EB4F38" w:rsidRDefault="005820C5" w:rsidP="00EB4F38">
      <w:pPr>
        <w:pStyle w:val="NormalWeb"/>
        <w:numPr>
          <w:ilvl w:val="0"/>
          <w:numId w:val="5"/>
        </w:numPr>
        <w:jc w:val="both"/>
      </w:pPr>
      <w:r w:rsidRPr="00EB4F38">
        <w:t xml:space="preserve">Thorat, S. (2006). </w:t>
      </w:r>
      <w:r w:rsidRPr="00EB4F38">
        <w:rPr>
          <w:rStyle w:val="Emphasis"/>
          <w:rFonts w:eastAsiaTheme="majorEastAsia"/>
        </w:rPr>
        <w:t>Caste, discrimination and exclusion in modern India</w:t>
      </w:r>
      <w:r w:rsidRPr="00EB4F38">
        <w:t>. Sage Publications.</w:t>
      </w:r>
    </w:p>
    <w:p w14:paraId="2E52E394" w14:textId="77777777" w:rsidR="005820C5" w:rsidRPr="00EB4F38" w:rsidRDefault="005820C5" w:rsidP="00EB4F38">
      <w:pPr>
        <w:pStyle w:val="NormalWeb"/>
        <w:numPr>
          <w:ilvl w:val="0"/>
          <w:numId w:val="5"/>
        </w:numPr>
        <w:jc w:val="both"/>
      </w:pPr>
      <w:r w:rsidRPr="00EB4F38">
        <w:t xml:space="preserve">Thorat, S., &amp; Newman, K. S. (2010). </w:t>
      </w:r>
      <w:r w:rsidRPr="00EB4F38">
        <w:rPr>
          <w:rStyle w:val="Emphasis"/>
          <w:rFonts w:eastAsiaTheme="majorEastAsia"/>
        </w:rPr>
        <w:t>Blocked by caste: Economic discrimination in modern India</w:t>
      </w:r>
      <w:r w:rsidRPr="00EB4F38">
        <w:t>. Oxford University Press.</w:t>
      </w:r>
    </w:p>
    <w:p w14:paraId="3CF18101" w14:textId="77777777" w:rsidR="005820C5" w:rsidRPr="00EB4F38" w:rsidRDefault="005820C5" w:rsidP="00EB4F38">
      <w:pPr>
        <w:pStyle w:val="NormalWeb"/>
        <w:numPr>
          <w:ilvl w:val="0"/>
          <w:numId w:val="5"/>
        </w:numPr>
        <w:jc w:val="both"/>
      </w:pPr>
      <w:r w:rsidRPr="00EB4F38">
        <w:lastRenderedPageBreak/>
        <w:t xml:space="preserve">Tilak, J. B. G. (2012). Higher education policy in India in transition. </w:t>
      </w:r>
      <w:r w:rsidRPr="00EB4F38">
        <w:rPr>
          <w:rStyle w:val="Emphasis"/>
          <w:rFonts w:eastAsiaTheme="majorEastAsia"/>
        </w:rPr>
        <w:t>Economic and Political Weekly, 47</w:t>
      </w:r>
      <w:r w:rsidRPr="00EB4F38">
        <w:t>(13), 36–40.</w:t>
      </w:r>
    </w:p>
    <w:p w14:paraId="17EECDD8" w14:textId="77777777" w:rsidR="005820C5" w:rsidRPr="00EB4F38" w:rsidRDefault="005820C5" w:rsidP="00EB4F38">
      <w:pPr>
        <w:pStyle w:val="NormalWeb"/>
        <w:numPr>
          <w:ilvl w:val="0"/>
          <w:numId w:val="5"/>
        </w:numPr>
        <w:jc w:val="both"/>
      </w:pPr>
      <w:r w:rsidRPr="00EB4F38">
        <w:t xml:space="preserve">Tilak, J. B. G. (2015). Private higher education in India. </w:t>
      </w:r>
      <w:r w:rsidRPr="00EB4F38">
        <w:rPr>
          <w:rStyle w:val="Emphasis"/>
          <w:rFonts w:eastAsiaTheme="majorEastAsia"/>
        </w:rPr>
        <w:t>Economic and Political Weekly, 50</w:t>
      </w:r>
      <w:r w:rsidRPr="00EB4F38">
        <w:t>(40), 32–38.</w:t>
      </w:r>
    </w:p>
    <w:p w14:paraId="3F5BA013" w14:textId="77777777" w:rsidR="005820C5" w:rsidRPr="00EB4F38" w:rsidRDefault="005820C5" w:rsidP="00EB4F38">
      <w:pPr>
        <w:pStyle w:val="NormalWeb"/>
        <w:numPr>
          <w:ilvl w:val="0"/>
          <w:numId w:val="5"/>
        </w:numPr>
        <w:jc w:val="both"/>
      </w:pPr>
      <w:r w:rsidRPr="00EB4F38">
        <w:t xml:space="preserve">Tilak, J. B. G. (2020). Digital divide and educational inequality in India. </w:t>
      </w:r>
      <w:r w:rsidRPr="00EB4F38">
        <w:rPr>
          <w:rStyle w:val="Emphasis"/>
          <w:rFonts w:eastAsiaTheme="majorEastAsia"/>
        </w:rPr>
        <w:t>Journal of Educational Technology and Society, 23</w:t>
      </w:r>
      <w:r w:rsidRPr="00EB4F38">
        <w:t>(3), 1–12.</w:t>
      </w:r>
    </w:p>
    <w:p w14:paraId="3918D31E" w14:textId="77777777" w:rsidR="005820C5" w:rsidRPr="00EB4F38" w:rsidRDefault="005820C5" w:rsidP="00EB4F38">
      <w:pPr>
        <w:pStyle w:val="NormalWeb"/>
        <w:numPr>
          <w:ilvl w:val="0"/>
          <w:numId w:val="5"/>
        </w:numPr>
        <w:jc w:val="both"/>
      </w:pPr>
      <w:r w:rsidRPr="00EB4F38">
        <w:t xml:space="preserve">University Grants Commission. (2019). </w:t>
      </w:r>
      <w:r w:rsidRPr="00EB4F38">
        <w:rPr>
          <w:rStyle w:val="Emphasis"/>
          <w:rFonts w:eastAsiaTheme="majorEastAsia"/>
        </w:rPr>
        <w:t>Guidelines for remedial coaching and equal opportunity cells</w:t>
      </w:r>
      <w:r w:rsidRPr="00EB4F38">
        <w:t>. Government of India.</w:t>
      </w:r>
    </w:p>
    <w:p w14:paraId="0867F40D" w14:textId="77777777" w:rsidR="005820C5" w:rsidRPr="00EB4F38" w:rsidRDefault="005820C5" w:rsidP="00EB4F38">
      <w:pPr>
        <w:pStyle w:val="NormalWeb"/>
        <w:numPr>
          <w:ilvl w:val="0"/>
          <w:numId w:val="5"/>
        </w:numPr>
        <w:jc w:val="both"/>
      </w:pPr>
      <w:r w:rsidRPr="00EB4F38">
        <w:t xml:space="preserve">University Grants Commission. (2020). </w:t>
      </w:r>
      <w:r w:rsidRPr="00EB4F38">
        <w:rPr>
          <w:rStyle w:val="Emphasis"/>
          <w:rFonts w:eastAsiaTheme="majorEastAsia"/>
        </w:rPr>
        <w:t>Annual report</w:t>
      </w:r>
      <w:r w:rsidRPr="00EB4F38">
        <w:t>. Government of India.</w:t>
      </w:r>
    </w:p>
    <w:p w14:paraId="170A5B82" w14:textId="77777777" w:rsidR="005820C5" w:rsidRPr="00EB4F38" w:rsidRDefault="005820C5" w:rsidP="00EB4F38">
      <w:pPr>
        <w:pStyle w:val="NormalWeb"/>
        <w:numPr>
          <w:ilvl w:val="0"/>
          <w:numId w:val="5"/>
        </w:numPr>
        <w:jc w:val="both"/>
      </w:pPr>
      <w:r w:rsidRPr="00EB4F38">
        <w:t xml:space="preserve">Wankhede, G. (2016). Social exclusion and education among Scheduled Castes in India. </w:t>
      </w:r>
      <w:r w:rsidRPr="00EB4F38">
        <w:rPr>
          <w:rStyle w:val="Emphasis"/>
          <w:rFonts w:eastAsiaTheme="majorEastAsia"/>
        </w:rPr>
        <w:t>Journal of Social Inclusion Studies, 2</w:t>
      </w:r>
      <w:r w:rsidRPr="00EB4F38">
        <w:t>(1), 1–15.</w:t>
      </w:r>
    </w:p>
    <w:p w14:paraId="6933FC22" w14:textId="77777777" w:rsidR="005820C5" w:rsidRDefault="005820C5" w:rsidP="00EB4F38">
      <w:pPr>
        <w:jc w:val="both"/>
      </w:pPr>
    </w:p>
    <w:sectPr w:rsidR="005820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FD0C" w14:textId="77777777" w:rsidR="00781C55" w:rsidRDefault="00781C55" w:rsidP="00542D60">
      <w:r>
        <w:separator/>
      </w:r>
    </w:p>
  </w:endnote>
  <w:endnote w:type="continuationSeparator" w:id="0">
    <w:p w14:paraId="2D368445" w14:textId="77777777" w:rsidR="00781C55" w:rsidRDefault="00781C55" w:rsidP="0054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4961315"/>
      <w:docPartObj>
        <w:docPartGallery w:val="Page Numbers (Bottom of Page)"/>
        <w:docPartUnique/>
      </w:docPartObj>
    </w:sdtPr>
    <w:sdtContent>
      <w:p w14:paraId="0244AFF9" w14:textId="755312FD" w:rsidR="007A60E7" w:rsidRDefault="007A60E7" w:rsidP="007815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0DE0EEB" w14:textId="77777777" w:rsidR="00542D60" w:rsidRDefault="00542D60" w:rsidP="007A60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9157289"/>
      <w:docPartObj>
        <w:docPartGallery w:val="Page Numbers (Bottom of Page)"/>
        <w:docPartUnique/>
      </w:docPartObj>
    </w:sdtPr>
    <w:sdtContent>
      <w:p w14:paraId="3BD25272" w14:textId="00435190" w:rsidR="007A60E7" w:rsidRDefault="007A60E7" w:rsidP="007815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DD810A" w14:textId="77777777" w:rsidR="00542D60" w:rsidRDefault="00542D60" w:rsidP="007A60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6B65" w14:textId="77777777" w:rsidR="00542D60" w:rsidRDefault="0054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2EE5" w14:textId="77777777" w:rsidR="00781C55" w:rsidRDefault="00781C55" w:rsidP="00542D60">
      <w:r>
        <w:separator/>
      </w:r>
    </w:p>
  </w:footnote>
  <w:footnote w:type="continuationSeparator" w:id="0">
    <w:p w14:paraId="150DC28F" w14:textId="77777777" w:rsidR="00781C55" w:rsidRDefault="00781C55" w:rsidP="0054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F7B0" w14:textId="77777777" w:rsidR="00542D60" w:rsidRDefault="00542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0FFC" w14:textId="77777777" w:rsidR="00542D60" w:rsidRDefault="00542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5B5" w14:textId="77777777" w:rsidR="00542D60" w:rsidRDefault="00542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064CC"/>
    <w:multiLevelType w:val="hybridMultilevel"/>
    <w:tmpl w:val="8AF8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81503"/>
    <w:multiLevelType w:val="hybridMultilevel"/>
    <w:tmpl w:val="83FE5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ED272E"/>
    <w:multiLevelType w:val="multilevel"/>
    <w:tmpl w:val="9096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5842E4"/>
    <w:multiLevelType w:val="hybridMultilevel"/>
    <w:tmpl w:val="E78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BD4BEC"/>
    <w:multiLevelType w:val="hybridMultilevel"/>
    <w:tmpl w:val="DF86D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2578483">
    <w:abstractNumId w:val="2"/>
  </w:num>
  <w:num w:numId="2" w16cid:durableId="865170245">
    <w:abstractNumId w:val="3"/>
  </w:num>
  <w:num w:numId="3" w16cid:durableId="228999582">
    <w:abstractNumId w:val="4"/>
  </w:num>
  <w:num w:numId="4" w16cid:durableId="1850021750">
    <w:abstractNumId w:val="0"/>
  </w:num>
  <w:num w:numId="5" w16cid:durableId="136726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FF"/>
    <w:rsid w:val="00113E88"/>
    <w:rsid w:val="00145F97"/>
    <w:rsid w:val="00235788"/>
    <w:rsid w:val="00241261"/>
    <w:rsid w:val="002D2CBA"/>
    <w:rsid w:val="0033057A"/>
    <w:rsid w:val="00460007"/>
    <w:rsid w:val="00494AE8"/>
    <w:rsid w:val="00542D60"/>
    <w:rsid w:val="005820C5"/>
    <w:rsid w:val="005E3A0D"/>
    <w:rsid w:val="0067065C"/>
    <w:rsid w:val="006A1AFC"/>
    <w:rsid w:val="00781C55"/>
    <w:rsid w:val="007A19BE"/>
    <w:rsid w:val="007A60E7"/>
    <w:rsid w:val="00811111"/>
    <w:rsid w:val="00831223"/>
    <w:rsid w:val="00933674"/>
    <w:rsid w:val="009A6D90"/>
    <w:rsid w:val="00A02DF5"/>
    <w:rsid w:val="00AF5DE0"/>
    <w:rsid w:val="00B307FB"/>
    <w:rsid w:val="00C31F4C"/>
    <w:rsid w:val="00C43B96"/>
    <w:rsid w:val="00C71FFF"/>
    <w:rsid w:val="00CC1160"/>
    <w:rsid w:val="00DF54F6"/>
    <w:rsid w:val="00EB4F38"/>
    <w:rsid w:val="00EC67BC"/>
    <w:rsid w:val="00FE14DA"/>
    <w:rsid w:val="00FF0F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693A"/>
  <w15:chartTrackingRefBased/>
  <w15:docId w15:val="{D173F508-872C-5C46-B45C-76782DD3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71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71F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F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F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F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F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F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F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FF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C71FF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C71FF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71FF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71FF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71FF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71FF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71FF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71FF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71F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FF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71F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FF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71F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1FFF"/>
    <w:rPr>
      <w:i/>
      <w:iCs/>
      <w:color w:val="404040" w:themeColor="text1" w:themeTint="BF"/>
      <w:lang w:val="en-GB"/>
    </w:rPr>
  </w:style>
  <w:style w:type="paragraph" w:styleId="ListParagraph">
    <w:name w:val="List Paragraph"/>
    <w:basedOn w:val="Normal"/>
    <w:uiPriority w:val="34"/>
    <w:qFormat/>
    <w:rsid w:val="00C71FFF"/>
    <w:pPr>
      <w:ind w:left="720"/>
      <w:contextualSpacing/>
    </w:pPr>
  </w:style>
  <w:style w:type="character" w:styleId="IntenseEmphasis">
    <w:name w:val="Intense Emphasis"/>
    <w:basedOn w:val="DefaultParagraphFont"/>
    <w:uiPriority w:val="21"/>
    <w:qFormat/>
    <w:rsid w:val="00C71FFF"/>
    <w:rPr>
      <w:i/>
      <w:iCs/>
      <w:color w:val="2F5496" w:themeColor="accent1" w:themeShade="BF"/>
    </w:rPr>
  </w:style>
  <w:style w:type="paragraph" w:styleId="IntenseQuote">
    <w:name w:val="Intense Quote"/>
    <w:basedOn w:val="Normal"/>
    <w:next w:val="Normal"/>
    <w:link w:val="IntenseQuoteChar"/>
    <w:uiPriority w:val="30"/>
    <w:qFormat/>
    <w:rsid w:val="00C71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FFF"/>
    <w:rPr>
      <w:i/>
      <w:iCs/>
      <w:color w:val="2F5496" w:themeColor="accent1" w:themeShade="BF"/>
      <w:lang w:val="en-GB"/>
    </w:rPr>
  </w:style>
  <w:style w:type="character" w:styleId="IntenseReference">
    <w:name w:val="Intense Reference"/>
    <w:basedOn w:val="DefaultParagraphFont"/>
    <w:uiPriority w:val="32"/>
    <w:qFormat/>
    <w:rsid w:val="00C71FFF"/>
    <w:rPr>
      <w:b/>
      <w:bCs/>
      <w:smallCaps/>
      <w:color w:val="2F5496" w:themeColor="accent1" w:themeShade="BF"/>
      <w:spacing w:val="5"/>
    </w:rPr>
  </w:style>
  <w:style w:type="table" w:styleId="TableGrid">
    <w:name w:val="Table Grid"/>
    <w:basedOn w:val="TableNormal"/>
    <w:uiPriority w:val="39"/>
    <w:rsid w:val="00AF5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2DF5"/>
    <w:pPr>
      <w:spacing w:before="100" w:beforeAutospacing="1" w:after="100" w:afterAutospacing="1"/>
    </w:pPr>
    <w:rPr>
      <w:rFonts w:ascii="Times New Roman" w:eastAsia="Times New Roman" w:hAnsi="Times New Roman" w:cs="Times New Roman"/>
      <w:kern w:val="0"/>
      <w:lang w:val="en-IN" w:eastAsia="en-GB"/>
      <w14:ligatures w14:val="none"/>
    </w:rPr>
  </w:style>
  <w:style w:type="character" w:styleId="Strong">
    <w:name w:val="Strong"/>
    <w:basedOn w:val="DefaultParagraphFont"/>
    <w:uiPriority w:val="22"/>
    <w:qFormat/>
    <w:rsid w:val="00A02DF5"/>
    <w:rPr>
      <w:b/>
      <w:bCs/>
    </w:rPr>
  </w:style>
  <w:style w:type="character" w:styleId="Emphasis">
    <w:name w:val="Emphasis"/>
    <w:basedOn w:val="DefaultParagraphFont"/>
    <w:uiPriority w:val="20"/>
    <w:qFormat/>
    <w:rsid w:val="005820C5"/>
    <w:rPr>
      <w:i/>
      <w:iCs/>
    </w:rPr>
  </w:style>
  <w:style w:type="paragraph" w:styleId="Header">
    <w:name w:val="header"/>
    <w:basedOn w:val="Normal"/>
    <w:link w:val="HeaderChar"/>
    <w:uiPriority w:val="99"/>
    <w:unhideWhenUsed/>
    <w:rsid w:val="00542D60"/>
    <w:pPr>
      <w:tabs>
        <w:tab w:val="center" w:pos="4513"/>
        <w:tab w:val="right" w:pos="9026"/>
      </w:tabs>
    </w:pPr>
  </w:style>
  <w:style w:type="character" w:customStyle="1" w:styleId="HeaderChar">
    <w:name w:val="Header Char"/>
    <w:basedOn w:val="DefaultParagraphFont"/>
    <w:link w:val="Header"/>
    <w:uiPriority w:val="99"/>
    <w:rsid w:val="00542D60"/>
    <w:rPr>
      <w:lang w:val="en-GB"/>
    </w:rPr>
  </w:style>
  <w:style w:type="paragraph" w:styleId="Footer">
    <w:name w:val="footer"/>
    <w:basedOn w:val="Normal"/>
    <w:link w:val="FooterChar"/>
    <w:uiPriority w:val="99"/>
    <w:unhideWhenUsed/>
    <w:rsid w:val="00542D60"/>
    <w:pPr>
      <w:tabs>
        <w:tab w:val="center" w:pos="4513"/>
        <w:tab w:val="right" w:pos="9026"/>
      </w:tabs>
    </w:pPr>
  </w:style>
  <w:style w:type="character" w:customStyle="1" w:styleId="FooterChar">
    <w:name w:val="Footer Char"/>
    <w:basedOn w:val="DefaultParagraphFont"/>
    <w:link w:val="Footer"/>
    <w:uiPriority w:val="99"/>
    <w:rsid w:val="00542D60"/>
    <w:rPr>
      <w:lang w:val="en-GB"/>
    </w:rPr>
  </w:style>
  <w:style w:type="character" w:styleId="PageNumber">
    <w:name w:val="page number"/>
    <w:basedOn w:val="DefaultParagraphFont"/>
    <w:uiPriority w:val="99"/>
    <w:semiHidden/>
    <w:unhideWhenUsed/>
    <w:rsid w:val="007A6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5592</Words>
  <Characters>31879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Madhurima Verma</dc:creator>
  <cp:keywords/>
  <dc:description/>
  <cp:lastModifiedBy>Madhurima Verma</cp:lastModifiedBy>
  <cp:revision>3</cp:revision>
  <dcterms:created xsi:type="dcterms:W3CDTF">2026-06-18T07:28:00Z</dcterms:created>
  <dcterms:modified xsi:type="dcterms:W3CDTF">2026-06-18T07:33:00Z</dcterms:modified>
</cp:coreProperties>
</file>