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B62" w:rsidRPr="00DD12D5" w:rsidRDefault="00E74B62" w:rsidP="00E74B62">
      <w:pPr>
        <w:spacing w:before="100" w:beforeAutospacing="1" w:after="100" w:afterAutospacing="1"/>
        <w:contextualSpacing/>
        <w:jc w:val="both"/>
        <w:rPr>
          <w:rFonts w:asciiTheme="majorBidi" w:hAnsiTheme="majorBidi" w:cstheme="majorBidi"/>
          <w:i/>
          <w:iCs/>
        </w:rPr>
      </w:pPr>
      <w:r w:rsidRPr="00E74B62">
        <w:rPr>
          <w:rStyle w:val="Strong"/>
          <w:rFonts w:asciiTheme="majorBidi" w:hAnsiTheme="majorBidi" w:cstheme="majorBidi"/>
        </w:rPr>
        <w:t xml:space="preserve">Integrating </w:t>
      </w:r>
      <w:proofErr w:type="spellStart"/>
      <w:r w:rsidRPr="00E74B62">
        <w:rPr>
          <w:rStyle w:val="Strong"/>
          <w:rFonts w:asciiTheme="majorBidi" w:hAnsiTheme="majorBidi" w:cstheme="majorBidi"/>
        </w:rPr>
        <w:t>Phytochemistry</w:t>
      </w:r>
      <w:proofErr w:type="spellEnd"/>
      <w:r w:rsidRPr="00E74B62">
        <w:rPr>
          <w:rStyle w:val="Strong"/>
          <w:rFonts w:asciiTheme="majorBidi" w:hAnsiTheme="majorBidi" w:cstheme="majorBidi"/>
        </w:rPr>
        <w:t xml:space="preserve"> and Computational Pharmacokinetics: Unveiling the Therapeutic Potential of </w:t>
      </w:r>
      <w:proofErr w:type="spellStart"/>
      <w:r w:rsidRPr="00DD12D5">
        <w:rPr>
          <w:rFonts w:asciiTheme="majorBidi" w:hAnsiTheme="majorBidi" w:cstheme="majorBidi"/>
          <w:b/>
          <w:bCs/>
          <w:i/>
          <w:iCs/>
          <w:shd w:val="clear" w:color="auto" w:fill="FFFFFF"/>
        </w:rPr>
        <w:t>Ocimum</w:t>
      </w:r>
      <w:proofErr w:type="spellEnd"/>
      <w:r w:rsidRPr="00DD12D5">
        <w:rPr>
          <w:rFonts w:asciiTheme="majorBidi" w:hAnsiTheme="majorBidi" w:cstheme="majorBidi"/>
          <w:b/>
          <w:bCs/>
          <w:i/>
          <w:iCs/>
          <w:shd w:val="clear" w:color="auto" w:fill="FFFFFF"/>
        </w:rPr>
        <w:t xml:space="preserve"> </w:t>
      </w:r>
      <w:proofErr w:type="spellStart"/>
      <w:r w:rsidRPr="00DD12D5">
        <w:rPr>
          <w:rFonts w:asciiTheme="majorBidi" w:hAnsiTheme="majorBidi" w:cstheme="majorBidi"/>
          <w:b/>
          <w:bCs/>
          <w:i/>
          <w:iCs/>
          <w:shd w:val="clear" w:color="auto" w:fill="FFFFFF"/>
        </w:rPr>
        <w:t>basilicum</w:t>
      </w:r>
      <w:proofErr w:type="spellEnd"/>
    </w:p>
    <w:p w:rsidR="00552480" w:rsidRDefault="00552480">
      <w:pPr>
        <w:rPr>
          <w:i/>
          <w:iCs/>
        </w:rPr>
      </w:pPr>
    </w:p>
    <w:p w:rsidR="00443B41" w:rsidRPr="00443B41" w:rsidRDefault="00F0133A" w:rsidP="00DD12D5">
      <w:pPr>
        <w:spacing w:before="100" w:beforeAutospacing="1" w:after="100" w:afterAutospacing="1"/>
        <w:jc w:val="both"/>
        <w:rPr>
          <w:rFonts w:asciiTheme="majorBidi" w:hAnsiTheme="majorBidi" w:cstheme="majorBidi"/>
        </w:rPr>
      </w:pPr>
      <w:proofErr w:type="spellStart"/>
      <w:r w:rsidRPr="00443B41">
        <w:rPr>
          <w:bCs/>
        </w:rPr>
        <w:t/>
      </w:r>
      <w:proofErr w:type="spellEnd"/>
      <w:r w:rsidRPr="00443B41">
        <w:rPr>
          <w:bCs/>
        </w:rPr>
        <w:t xml:space="preserve"/>
      </w:r>
      <w:proofErr w:type="spellStart"/>
      <w:r w:rsidRPr="00443B41">
        <w:rPr>
          <w:bCs/>
        </w:rPr>
        <w:t/>
      </w:r>
      <w:proofErr w:type="spellEnd"/>
      <w:r w:rsidRPr="00443B41">
        <w:rPr>
          <w:bCs/>
        </w:rPr>
        <w:t xml:space="preserve"/>
      </w:r>
      <w:r>
        <w:rPr>
          <w:bCs/>
          <w:vertAlign w:val="superscript"/>
        </w:rPr>
        <w:t xml:space="preserve"/>
      </w:r>
      <w:r w:rsidR="00443B41" w:rsidRPr="00443B41">
        <w:rPr>
          <w:bCs/>
        </w:rPr>
        <w:t/>
      </w:r>
      <w:r>
        <w:rPr>
          <w:bCs/>
          <w:vertAlign w:val="superscript"/>
        </w:rPr>
        <w:t/>
      </w:r>
      <w:r w:rsidR="00443B41" w:rsidRPr="00443B41">
        <w:rPr>
          <w:bCs/>
        </w:rPr>
        <w:t xml:space="preserve"/>
      </w:r>
      <w:proofErr w:type="spellStart"/>
      <w:r w:rsidR="00443B41">
        <w:rPr>
          <w:bCs/>
        </w:rPr>
        <w:t/>
      </w:r>
      <w:proofErr w:type="spellEnd"/>
      <w:r w:rsidR="00443B41">
        <w:rPr>
          <w:bCs/>
        </w:rPr>
        <w:t xml:space="preserve"/>
      </w:r>
      <w:r w:rsidRPr="00F0133A">
        <w:rPr>
          <w:bCs/>
          <w:vertAlign w:val="superscript"/>
        </w:rPr>
        <w:t/>
      </w:r>
      <w:r w:rsidR="00443B41">
        <w:rPr>
          <w:bCs/>
        </w:rPr>
        <w:t xml:space="preserve"/>
      </w:r>
      <w:proofErr w:type="spellStart"/>
      <w:r w:rsidR="00443B41">
        <w:rPr>
          <w:rFonts w:asciiTheme="majorBidi" w:hAnsiTheme="majorBidi" w:cstheme="majorBidi"/>
        </w:rPr>
        <w:t/>
      </w:r>
      <w:proofErr w:type="spellEnd"/>
      <w:r w:rsidR="00443B41">
        <w:rPr>
          <w:rFonts w:asciiTheme="majorBidi" w:hAnsiTheme="majorBidi" w:cstheme="majorBidi"/>
        </w:rPr>
        <w:t xml:space="preserve"/>
      </w:r>
      <w:r w:rsidR="00DD12D5">
        <w:rPr>
          <w:rFonts w:asciiTheme="majorBidi" w:hAnsiTheme="majorBidi" w:cstheme="majorBidi"/>
          <w:vertAlign w:val="superscript"/>
        </w:rPr>
        <w:t/>
      </w:r>
      <w:r w:rsidR="00443B41">
        <w:rPr>
          <w:rFonts w:asciiTheme="majorBidi" w:hAnsiTheme="majorBidi" w:cstheme="majorBidi"/>
        </w:rPr>
        <w:t xml:space="preserve"/>
      </w:r>
      <w:r w:rsidR="00443B41" w:rsidRPr="00443B41">
        <w:rPr>
          <w:rFonts w:asciiTheme="majorBidi" w:hAnsiTheme="majorBidi" w:cstheme="majorBidi"/>
        </w:rPr>
        <w:t/>
      </w:r>
      <w:r w:rsidR="00DD12D5">
        <w:rPr>
          <w:rFonts w:asciiTheme="majorBidi" w:hAnsiTheme="majorBidi" w:cstheme="majorBidi"/>
          <w:vertAlign w:val="superscript"/>
        </w:rPr>
        <w:t/>
      </w:r>
      <w:r w:rsidR="00443B41">
        <w:rPr>
          <w:rFonts w:asciiTheme="majorBidi" w:hAnsiTheme="majorBidi" w:cstheme="majorBidi"/>
        </w:rPr>
        <w:t xml:space="preserve"/>
      </w:r>
      <w:proofErr w:type="spellStart"/>
      <w:r w:rsidR="00443B41" w:rsidRPr="00443B41">
        <w:rPr>
          <w:rFonts w:asciiTheme="majorBidi" w:hAnsiTheme="majorBidi" w:cstheme="majorBidi"/>
        </w:rPr>
        <w:t/>
      </w:r>
      <w:proofErr w:type="spellEnd"/>
      <w:r w:rsidR="00443B41" w:rsidRPr="00443B41">
        <w:rPr>
          <w:rFonts w:asciiTheme="majorBidi" w:hAnsiTheme="majorBidi" w:cstheme="majorBidi"/>
        </w:rPr>
        <w:t xml:space="preserve"/>
      </w:r>
      <w:r w:rsidR="00443B41">
        <w:rPr>
          <w:rFonts w:asciiTheme="majorBidi" w:hAnsiTheme="majorBidi" w:cstheme="majorBidi"/>
        </w:rPr>
        <w:t/>
      </w:r>
      <w:r w:rsidR="00DD12D5">
        <w:rPr>
          <w:rFonts w:asciiTheme="majorBidi" w:hAnsiTheme="majorBidi" w:cstheme="majorBidi"/>
          <w:vertAlign w:val="superscript"/>
        </w:rPr>
        <w:t/>
      </w:r>
      <w:r w:rsidR="00443B41">
        <w:rPr>
          <w:rFonts w:asciiTheme="majorBidi" w:hAnsiTheme="majorBidi" w:cstheme="majorBidi"/>
        </w:rPr>
        <w:t xml:space="preserve"/>
      </w:r>
      <w:proofErr w:type="spellStart"/>
      <w:r w:rsidR="00443B41" w:rsidRPr="00443B41">
        <w:rPr>
          <w:rFonts w:asciiTheme="majorBidi" w:hAnsiTheme="majorBidi" w:cstheme="majorBidi"/>
        </w:rPr>
        <w:t/>
      </w:r>
      <w:proofErr w:type="spellEnd"/>
      <w:r w:rsidR="00443B41" w:rsidRPr="00443B41">
        <w:rPr>
          <w:rFonts w:asciiTheme="majorBidi" w:hAnsiTheme="majorBidi" w:cstheme="majorBidi"/>
        </w:rPr>
        <w:t xml:space="preserve"/>
      </w:r>
      <w:r w:rsidR="00DD12D5">
        <w:rPr>
          <w:rFonts w:asciiTheme="majorBidi" w:hAnsiTheme="majorBidi" w:cstheme="majorBidi"/>
          <w:vertAlign w:val="superscript"/>
        </w:rPr>
        <w:t/>
      </w:r>
      <w:r w:rsidR="00443B41">
        <w:rPr>
          <w:bCs/>
        </w:rPr>
        <w:t/>
      </w:r>
      <w:r w:rsidR="00DD12D5">
        <w:rPr>
          <w:bCs/>
          <w:vertAlign w:val="superscript"/>
        </w:rPr>
        <w:t/>
      </w:r>
      <w:r w:rsidR="00443B41">
        <w:rPr>
          <w:bCs/>
        </w:rPr>
        <w:t/>
      </w:r>
    </w:p>
    <w:p w:rsidR="00443B41" w:rsidRDefault="00443B41" w:rsidP="00443B41">
      <w:pPr>
        <w:pStyle w:val="MDPI16affiliation"/>
        <w:spacing w:line="240" w:lineRule="auto"/>
        <w:ind w:left="90"/>
        <w:jc w:val="both"/>
        <w:rPr>
          <w:rFonts w:ascii="Times New Roman" w:hAnsi="Times New Roman"/>
          <w:i/>
          <w:color w:val="auto"/>
          <w:sz w:val="24"/>
          <w:szCs w:val="24"/>
        </w:rPr>
      </w:pPr>
      <w:r w:rsidRPr="00FB347C">
        <w:rPr>
          <w:rFonts w:ascii="Times New Roman" w:hAnsi="Times New Roman"/>
          <w:i/>
          <w:color w:val="auto"/>
          <w:sz w:val="24"/>
          <w:szCs w:val="24"/>
          <w:vertAlign w:val="superscript"/>
        </w:rPr>
        <w:t/>
      </w:r>
      <w:r>
        <w:rPr>
          <w:rFonts w:ascii="Times New Roman" w:hAnsi="Times New Roman"/>
          <w:i/>
          <w:color w:val="auto"/>
          <w:sz w:val="24"/>
          <w:szCs w:val="24"/>
        </w:rPr>
        <w:t xml:space="preserve"/>
      </w:r>
      <w:proofErr w:type="gramStart"/>
      <w:r w:rsidRPr="00B173F3">
        <w:rPr>
          <w:rFonts w:ascii="Times New Roman" w:hAnsi="Times New Roman"/>
          <w:i/>
          <w:color w:val="auto"/>
          <w:sz w:val="24"/>
          <w:szCs w:val="24"/>
        </w:rPr>
        <w:t/>
      </w:r>
      <w:proofErr w:type="gramEnd"/>
      <w:r w:rsidRPr="00B173F3">
        <w:rPr>
          <w:rFonts w:ascii="Times New Roman" w:hAnsi="Times New Roman"/>
          <w:i/>
          <w:color w:val="auto"/>
          <w:sz w:val="24"/>
          <w:szCs w:val="24"/>
        </w:rPr>
        <w:t xml:space="preserve"/>
      </w:r>
      <w:proofErr w:type="spellStart"/>
      <w:r w:rsidRPr="00B173F3">
        <w:rPr>
          <w:rFonts w:ascii="Times New Roman" w:hAnsi="Times New Roman"/>
          <w:i/>
          <w:color w:val="auto"/>
          <w:sz w:val="24"/>
          <w:szCs w:val="24"/>
        </w:rPr>
        <w:t/>
      </w:r>
      <w:proofErr w:type="spellEnd"/>
      <w:r w:rsidRPr="00B173F3">
        <w:rPr>
          <w:rFonts w:ascii="Times New Roman" w:hAnsi="Times New Roman"/>
          <w:i/>
          <w:color w:val="auto"/>
          <w:sz w:val="24"/>
          <w:szCs w:val="24"/>
        </w:rPr>
        <w:t xml:space="preserve"/>
      </w:r>
    </w:p>
    <w:p w:rsidR="00F0133A" w:rsidRDefault="00F0133A" w:rsidP="00F0133A">
      <w:pPr>
        <w:pStyle w:val="MDPI16affiliation"/>
        <w:spacing w:line="240" w:lineRule="auto"/>
        <w:ind w:left="90"/>
        <w:jc w:val="both"/>
        <w:rPr>
          <w:rFonts w:ascii="Times New Roman" w:hAnsi="Times New Roman"/>
          <w:i/>
          <w:color w:val="auto"/>
          <w:sz w:val="24"/>
          <w:szCs w:val="24"/>
        </w:rPr>
      </w:pPr>
      <w:r>
        <w:rPr>
          <w:rFonts w:ascii="Times New Roman" w:hAnsi="Times New Roman"/>
          <w:i/>
          <w:color w:val="auto"/>
          <w:sz w:val="24"/>
          <w:szCs w:val="24"/>
          <w:vertAlign w:val="superscript"/>
        </w:rPr>
        <w:t/>
      </w:r>
      <w:r>
        <w:rPr>
          <w:rFonts w:ascii="Times New Roman" w:hAnsi="Times New Roman"/>
          <w:i/>
          <w:color w:val="auto"/>
          <w:sz w:val="24"/>
          <w:szCs w:val="24"/>
        </w:rPr>
        <w:t xml:space="preserve"/>
      </w:r>
      <w:r w:rsidRPr="00800772">
        <w:rPr>
          <w:rFonts w:ascii="Times New Roman" w:hAnsi="Times New Roman"/>
          <w:i/>
          <w:color w:val="auto"/>
          <w:sz w:val="24"/>
          <w:szCs w:val="24"/>
        </w:rPr>
        <w:t xml:space="preserve"/>
      </w:r>
      <w:proofErr w:type="spellStart"/>
      <w:r w:rsidRPr="00800772">
        <w:rPr>
          <w:rFonts w:ascii="Times New Roman" w:hAnsi="Times New Roman"/>
          <w:i/>
          <w:color w:val="auto"/>
          <w:sz w:val="24"/>
          <w:szCs w:val="24"/>
        </w:rPr>
        <w:t/>
      </w:r>
      <w:proofErr w:type="spellEnd"/>
      <w:r w:rsidRPr="00800772">
        <w:rPr>
          <w:rFonts w:ascii="Times New Roman" w:hAnsi="Times New Roman"/>
          <w:i/>
          <w:color w:val="auto"/>
          <w:sz w:val="24"/>
          <w:szCs w:val="24"/>
        </w:rPr>
        <w:t xml:space="preserve"/>
      </w:r>
    </w:p>
    <w:p w:rsidR="00443B41" w:rsidRDefault="00DD12D5" w:rsidP="00DD12D5">
      <w:pPr>
        <w:pStyle w:val="MDPI16affiliation"/>
        <w:spacing w:line="240" w:lineRule="auto"/>
        <w:ind w:left="-90" w:firstLine="0"/>
        <w:jc w:val="both"/>
        <w:rPr>
          <w:rFonts w:ascii="Times New Roman" w:hAnsi="Times New Roman"/>
          <w:i/>
          <w:color w:val="auto"/>
          <w:sz w:val="24"/>
          <w:szCs w:val="24"/>
        </w:rPr>
      </w:pPr>
      <w:r>
        <w:rPr>
          <w:rFonts w:ascii="Times New Roman" w:hAnsi="Times New Roman"/>
          <w:i/>
          <w:color w:val="auto"/>
          <w:sz w:val="24"/>
          <w:szCs w:val="24"/>
          <w:vertAlign w:val="superscript"/>
        </w:rPr>
        <w:t/>
      </w:r>
      <w:r w:rsidR="00443B41" w:rsidRPr="00B173F3">
        <w:rPr>
          <w:rFonts w:ascii="Times New Roman" w:hAnsi="Times New Roman"/>
          <w:i/>
          <w:color w:val="auto"/>
          <w:sz w:val="24"/>
          <w:szCs w:val="24"/>
        </w:rPr>
        <w:t xml:space="preserve"/>
      </w:r>
      <w:proofErr w:type="spellStart"/>
      <w:r w:rsidR="00443B41" w:rsidRPr="00B173F3">
        <w:rPr>
          <w:rFonts w:ascii="Times New Roman" w:hAnsi="Times New Roman"/>
          <w:i/>
          <w:color w:val="auto"/>
          <w:sz w:val="24"/>
          <w:szCs w:val="24"/>
        </w:rPr>
        <w:t/>
      </w:r>
      <w:proofErr w:type="spellEnd"/>
      <w:r w:rsidR="00443B41" w:rsidRPr="00B173F3">
        <w:rPr>
          <w:rFonts w:ascii="Times New Roman" w:hAnsi="Times New Roman"/>
          <w:i/>
          <w:color w:val="auto"/>
          <w:sz w:val="24"/>
          <w:szCs w:val="24"/>
        </w:rPr>
        <w:t xml:space="preserve"/>
      </w:r>
    </w:p>
    <w:p w:rsidR="00443B41" w:rsidRPr="00C127FC" w:rsidRDefault="00443B41" w:rsidP="00443B41">
      <w:pPr>
        <w:pStyle w:val="MDPI16affiliation"/>
        <w:spacing w:line="240" w:lineRule="auto"/>
        <w:ind w:left="90"/>
        <w:jc w:val="both"/>
        <w:rPr>
          <w:rFonts w:ascii="Times New Roman" w:hAnsi="Times New Roman"/>
          <w:i/>
          <w:color w:val="auto"/>
          <w:sz w:val="24"/>
          <w:szCs w:val="24"/>
        </w:rPr>
      </w:pPr>
    </w:p>
    <w:p w:rsidR="00443B41" w:rsidRPr="00B173F3" w:rsidRDefault="00443B41" w:rsidP="00443B41">
      <w:pPr>
        <w:pStyle w:val="MDPI16affiliation"/>
        <w:spacing w:line="360" w:lineRule="auto"/>
        <w:ind w:left="90"/>
        <w:jc w:val="both"/>
        <w:rPr>
          <w:rFonts w:ascii="Times New Roman" w:hAnsi="Times New Roman"/>
          <w:i/>
          <w:color w:val="auto"/>
          <w:sz w:val="24"/>
          <w:szCs w:val="24"/>
        </w:rPr>
      </w:pPr>
    </w:p>
    <w:p w:rsidR="00443B41" w:rsidRPr="00B173F3" w:rsidRDefault="00443B41" w:rsidP="00443B41">
      <w:pPr>
        <w:spacing w:line="360" w:lineRule="auto"/>
        <w:jc w:val="both"/>
        <w:rPr>
          <w:b/>
        </w:rPr>
      </w:pPr>
      <w:r w:rsidRPr="00B173F3">
        <w:rPr>
          <w:b/>
        </w:rPr>
        <w:t/>
      </w:r>
    </w:p>
    <w:p w:rsidR="00443B41" w:rsidRPr="007E51A6" w:rsidRDefault="00443B41" w:rsidP="00443B41">
      <w:pPr>
        <w:pStyle w:val="MDPI16affiliation"/>
        <w:spacing w:line="360" w:lineRule="auto"/>
        <w:ind w:left="90"/>
        <w:jc w:val="both"/>
        <w:rPr>
          <w:rFonts w:ascii="Times New Roman" w:hAnsi="Times New Roman"/>
          <w:i/>
          <w:color w:val="auto"/>
          <w:sz w:val="24"/>
          <w:szCs w:val="24"/>
        </w:rPr>
      </w:pPr>
      <w:r w:rsidRPr="00B173F3">
        <w:rPr>
          <w:rFonts w:ascii="Times New Roman" w:hAnsi="Times New Roman"/>
          <w:b/>
          <w:sz w:val="24"/>
          <w:szCs w:val="24"/>
        </w:rPr>
        <w:t xml:space="preserve"/>
      </w:r>
      <w:r w:rsidRPr="006F6702">
        <w:rPr>
          <w:rFonts w:ascii="Times New Roman" w:hAnsi="Times New Roman"/>
          <w:b/>
          <w:sz w:val="24"/>
          <w:szCs w:val="24"/>
        </w:rPr>
        <w:t/>
      </w:r>
      <w:r w:rsidRPr="00B173F3">
        <w:rPr>
          <w:rFonts w:ascii="Times New Roman" w:hAnsi="Times New Roman"/>
          <w:b/>
          <w:sz w:val="24"/>
          <w:szCs w:val="24"/>
        </w:rPr>
        <w:t xml:space="preserve"/>
      </w:r>
      <w:r w:rsidRPr="00B173F3">
        <w:rPr>
          <w:rFonts w:ascii="Times New Roman" w:hAnsi="Times New Roman"/>
          <w:i/>
          <w:color w:val="auto"/>
          <w:sz w:val="24"/>
          <w:szCs w:val="24"/>
        </w:rPr>
        <w:t xml:space="preserve"/>
      </w:r>
      <w:proofErr w:type="spellStart"/>
      <w:r w:rsidRPr="00B173F3">
        <w:rPr>
          <w:rFonts w:ascii="Times New Roman" w:hAnsi="Times New Roman"/>
          <w:i/>
          <w:color w:val="auto"/>
          <w:sz w:val="24"/>
          <w:szCs w:val="24"/>
        </w:rPr>
        <w:t/>
      </w:r>
      <w:proofErr w:type="spellEnd"/>
      <w:r w:rsidRPr="00B173F3">
        <w:rPr>
          <w:rFonts w:ascii="Times New Roman" w:hAnsi="Times New Roman"/>
          <w:i/>
          <w:color w:val="auto"/>
          <w:sz w:val="24"/>
          <w:szCs w:val="24"/>
        </w:rPr>
        <w:t xml:space="preserve"/>
      </w:r>
      <w:r w:rsidRPr="00B173F3">
        <w:rPr>
          <w:rFonts w:ascii="Times New Roman" w:hAnsi="Times New Roman"/>
          <w:sz w:val="24"/>
          <w:szCs w:val="24"/>
        </w:rPr>
        <w:t/>
      </w:r>
      <w:r>
        <w:rPr>
          <w:rFonts w:ascii="Times New Roman" w:hAnsi="Times New Roman"/>
          <w:sz w:val="24"/>
          <w:szCs w:val="24"/>
        </w:rPr>
        <w:t/>
      </w:r>
      <w:r w:rsidRPr="00B173F3">
        <w:rPr>
          <w:rFonts w:ascii="Times New Roman" w:hAnsi="Times New Roman"/>
          <w:sz w:val="24"/>
          <w:szCs w:val="24"/>
        </w:rPr>
        <w:t xml:space="preserve"/>
      </w:r>
      <w:r w:rsidRPr="00B173F3">
        <w:rPr>
          <w:rFonts w:ascii="Times New Roman" w:hAnsi="Times New Roman"/>
          <w:sz w:val="24"/>
          <w:szCs w:val="24"/>
          <w:shd w:val="clear" w:color="auto" w:fill="FFFFFF"/>
        </w:rPr>
        <w:t/>
      </w:r>
      <w:r w:rsidRPr="00B173F3">
        <w:rPr>
          <w:rStyle w:val="Emphasis"/>
          <w:rFonts w:ascii="Times New Roman" w:hAnsi="Times New Roman"/>
          <w:sz w:val="24"/>
          <w:szCs w:val="24"/>
          <w:shd w:val="clear" w:color="auto" w:fill="FFFFFF"/>
        </w:rPr>
        <w:t xml:space="preserve"/>
      </w:r>
      <w:r w:rsidRPr="00B173F3">
        <w:rPr>
          <w:rFonts w:ascii="Times New Roman" w:hAnsi="Times New Roman"/>
          <w:sz w:val="24"/>
          <w:szCs w:val="24"/>
        </w:rPr>
        <w:t xml:space="preserve"/>
      </w:r>
      <w:hyperlink r:id="rId5" w:history="1">
        <w:r w:rsidRPr="00305F98">
          <w:rPr>
            <w:rStyle w:val="Hyperlink"/>
            <w:rFonts w:ascii="Times New Roman" w:hAnsi="Times New Roman"/>
            <w:sz w:val="24"/>
            <w:szCs w:val="24"/>
          </w:rPr>
          <w:t/>
        </w:r>
      </w:hyperlink>
      <w:r>
        <w:rPr>
          <w:rFonts w:ascii="Times New Roman" w:hAnsi="Times New Roman"/>
          <w:sz w:val="24"/>
          <w:szCs w:val="24"/>
        </w:rPr>
        <w:t xml:space="preserve"/>
      </w:r>
    </w:p>
    <w:p w:rsidR="00A54387" w:rsidRDefault="00A54387" w:rsidP="00A54387">
      <w:pPr>
        <w:spacing w:line="360" w:lineRule="auto"/>
      </w:pPr>
    </w:p>
    <w:p w:rsidR="00A54387" w:rsidRDefault="00A54387" w:rsidP="00443B41">
      <w:pPr>
        <w:spacing w:line="360" w:lineRule="auto"/>
      </w:pPr>
    </w:p>
    <w:p w:rsidR="0039114A" w:rsidRDefault="0039114A" w:rsidP="0039114A">
      <w:pPr>
        <w:rPr>
          <w:b/>
          <w:sz w:val="28"/>
          <w:szCs w:val="28"/>
        </w:rPr>
      </w:pPr>
      <w:r w:rsidRPr="000F27FB">
        <w:rPr>
          <w:b/>
          <w:sz w:val="28"/>
          <w:szCs w:val="28"/>
        </w:rPr>
        <w:t>Abstract</w:t>
      </w:r>
    </w:p>
    <w:p w:rsidR="00A54387" w:rsidRDefault="00A54387" w:rsidP="00A54387">
      <w:pPr>
        <w:spacing w:line="360" w:lineRule="auto"/>
        <w:rPr>
          <w:bCs/>
        </w:rPr>
      </w:pPr>
    </w:p>
    <w:p w:rsidR="00E74B62" w:rsidRPr="00A54387" w:rsidRDefault="00A54387" w:rsidP="007B326C">
      <w:pPr>
        <w:spacing w:line="360" w:lineRule="auto"/>
        <w:jc w:val="both"/>
        <w:rPr>
          <w:bCs/>
        </w:rPr>
      </w:pPr>
      <w:r w:rsidRPr="00A54387">
        <w:t xml:space="preserve">Plants are one of the most </w:t>
      </w:r>
      <w:r w:rsidRPr="00A54387">
        <w:rPr>
          <w:bCs/>
        </w:rPr>
        <w:t xml:space="preserve">significant sources of medications. </w:t>
      </w:r>
      <w:r w:rsidRPr="00A54387">
        <w:t>Basil (</w:t>
      </w:r>
      <w:proofErr w:type="spellStart"/>
      <w:r w:rsidRPr="00A54387">
        <w:rPr>
          <w:i/>
          <w:iCs/>
        </w:rPr>
        <w:t>Ocimum</w:t>
      </w:r>
      <w:proofErr w:type="spellEnd"/>
      <w:r w:rsidRPr="00A54387">
        <w:rPr>
          <w:i/>
          <w:iCs/>
        </w:rPr>
        <w:t xml:space="preserve"> </w:t>
      </w:r>
      <w:proofErr w:type="spellStart"/>
      <w:r w:rsidRPr="00A54387">
        <w:rPr>
          <w:i/>
          <w:iCs/>
        </w:rPr>
        <w:t>basilicum</w:t>
      </w:r>
      <w:proofErr w:type="spellEnd"/>
      <w:r w:rsidRPr="00A54387">
        <w:t xml:space="preserve"> Linn.) is one such valuable plant </w:t>
      </w:r>
      <w:r w:rsidRPr="00A54387">
        <w:rPr>
          <w:bCs/>
        </w:rPr>
        <w:t>to have analgesic, anti-inflammatory, antimicrobial, antioxidant, anti-</w:t>
      </w:r>
      <w:proofErr w:type="spellStart"/>
      <w:r w:rsidRPr="00A54387">
        <w:rPr>
          <w:bCs/>
        </w:rPr>
        <w:t>ulcerogenic</w:t>
      </w:r>
      <w:proofErr w:type="spellEnd"/>
      <w:r w:rsidRPr="00A54387">
        <w:rPr>
          <w:bCs/>
        </w:rPr>
        <w:t xml:space="preserve">, cardiac stimulant, </w:t>
      </w:r>
      <w:proofErr w:type="spellStart"/>
      <w:r w:rsidRPr="00A54387">
        <w:rPr>
          <w:bCs/>
        </w:rPr>
        <w:t>chemomodulatory</w:t>
      </w:r>
      <w:proofErr w:type="spellEnd"/>
      <w:r w:rsidRPr="00A54387">
        <w:rPr>
          <w:bCs/>
        </w:rPr>
        <w:t xml:space="preserve">, CNS depressant, </w:t>
      </w:r>
      <w:proofErr w:type="spellStart"/>
      <w:r w:rsidRPr="00A54387">
        <w:rPr>
          <w:bCs/>
        </w:rPr>
        <w:t>hepatoprotective</w:t>
      </w:r>
      <w:proofErr w:type="spellEnd"/>
      <w:r w:rsidRPr="00A54387">
        <w:rPr>
          <w:bCs/>
        </w:rPr>
        <w:t xml:space="preserve">, hypoglycemia, </w:t>
      </w:r>
      <w:proofErr w:type="spellStart"/>
      <w:r w:rsidRPr="00A54387">
        <w:rPr>
          <w:bCs/>
        </w:rPr>
        <w:t>hypolipidemic</w:t>
      </w:r>
      <w:proofErr w:type="spellEnd"/>
      <w:r w:rsidRPr="00A54387">
        <w:rPr>
          <w:bCs/>
        </w:rPr>
        <w:t xml:space="preserve">, </w:t>
      </w:r>
      <w:proofErr w:type="spellStart"/>
      <w:r w:rsidRPr="00A54387">
        <w:rPr>
          <w:bCs/>
        </w:rPr>
        <w:t>immunomodulator</w:t>
      </w:r>
      <w:proofErr w:type="spellEnd"/>
      <w:r w:rsidRPr="00A54387">
        <w:rPr>
          <w:bCs/>
        </w:rPr>
        <w:t xml:space="preserve">, and </w:t>
      </w:r>
      <w:proofErr w:type="spellStart"/>
      <w:r w:rsidRPr="00A54387">
        <w:rPr>
          <w:bCs/>
        </w:rPr>
        <w:t>larvicidal</w:t>
      </w:r>
      <w:proofErr w:type="spellEnd"/>
      <w:r w:rsidRPr="00A54387">
        <w:rPr>
          <w:bCs/>
        </w:rPr>
        <w:t xml:space="preserve"> properties. In the current research, the phytochemical composition, and toxicity profile of </w:t>
      </w:r>
      <w:proofErr w:type="spellStart"/>
      <w:r w:rsidRPr="00A54387">
        <w:rPr>
          <w:i/>
          <w:iCs/>
        </w:rPr>
        <w:t>Ocimum</w:t>
      </w:r>
      <w:proofErr w:type="spellEnd"/>
      <w:r w:rsidRPr="00A54387">
        <w:rPr>
          <w:i/>
          <w:iCs/>
        </w:rPr>
        <w:t xml:space="preserve"> </w:t>
      </w:r>
      <w:proofErr w:type="spellStart"/>
      <w:r w:rsidRPr="00A54387">
        <w:rPr>
          <w:i/>
          <w:iCs/>
        </w:rPr>
        <w:t>basilicum</w:t>
      </w:r>
      <w:proofErr w:type="spellEnd"/>
      <w:r w:rsidRPr="00A54387">
        <w:rPr>
          <w:bCs/>
        </w:rPr>
        <w:t xml:space="preserve"> were investigated using experimental and computational strategies. The whole plant was extracted with ethanol, and was subjected to phytochemical screening, and GC–MS analysis revealed ten prominent chemical constituents (Ob1–Ob10). ADMET and medicinal chemistry evaluations revealed that compounds possessed the highest drug-</w:t>
      </w:r>
      <w:r w:rsidR="007B326C" w:rsidRPr="00A54387">
        <w:rPr>
          <w:bCs/>
        </w:rPr>
        <w:t>likeness and</w:t>
      </w:r>
      <w:r w:rsidRPr="00A54387">
        <w:rPr>
          <w:bCs/>
        </w:rPr>
        <w:t xml:space="preserve"> favorable absorption and stability parameters, high metabolic stability and compliance with Lipinski’s rule. Toxicity and Tox21 pathway analyses indicated moderate hepatotoxicity and nephrotoxicity but strong activation of the p53 and MMP pathways, suggesting potential anticancer and apoptotic activity. In general, </w:t>
      </w:r>
      <w:proofErr w:type="spellStart"/>
      <w:r w:rsidRPr="00A54387">
        <w:rPr>
          <w:i/>
          <w:iCs/>
        </w:rPr>
        <w:t>Ocimum</w:t>
      </w:r>
      <w:proofErr w:type="spellEnd"/>
      <w:r w:rsidRPr="00A54387">
        <w:rPr>
          <w:i/>
          <w:iCs/>
        </w:rPr>
        <w:t xml:space="preserve"> </w:t>
      </w:r>
      <w:proofErr w:type="spellStart"/>
      <w:r w:rsidRPr="00A54387">
        <w:rPr>
          <w:i/>
          <w:iCs/>
        </w:rPr>
        <w:t>basilicum</w:t>
      </w:r>
      <w:proofErr w:type="spellEnd"/>
      <w:r w:rsidRPr="00A54387">
        <w:rPr>
          <w:bCs/>
        </w:rPr>
        <w:t xml:space="preserve"> showed high phytochemical diversity, good pharmacological </w:t>
      </w:r>
      <w:r w:rsidRPr="00A54387">
        <w:rPr>
          <w:bCs/>
        </w:rPr>
        <w:lastRenderedPageBreak/>
        <w:t>promise, and controllable toxicity, validating its medicinal significance when appropriately detoxified and controlled in dosage.</w:t>
      </w:r>
    </w:p>
    <w:p w:rsidR="004C60B5" w:rsidRDefault="0039114A" w:rsidP="00542E37">
      <w:pPr>
        <w:spacing w:line="360" w:lineRule="auto"/>
        <w:jc w:val="both"/>
        <w:rPr>
          <w:b/>
        </w:rPr>
      </w:pPr>
      <w:r w:rsidRPr="008B546D">
        <w:rPr>
          <w:rFonts w:asciiTheme="majorBidi" w:hAnsiTheme="majorBidi" w:cstheme="majorBidi"/>
          <w:b/>
          <w:bCs/>
        </w:rPr>
        <w:t>Key words:</w:t>
      </w:r>
      <w:r w:rsidRPr="008B546D">
        <w:rPr>
          <w:bCs/>
          <w:i/>
          <w:iCs/>
        </w:rPr>
        <w:t xml:space="preserve"> </w:t>
      </w:r>
      <w:proofErr w:type="spellStart"/>
      <w:r w:rsidRPr="008B546D">
        <w:rPr>
          <w:rFonts w:asciiTheme="majorBidi" w:hAnsiTheme="majorBidi" w:cstheme="majorBidi"/>
          <w:i/>
          <w:iCs/>
          <w:color w:val="001D35"/>
          <w:shd w:val="clear" w:color="auto" w:fill="FFFFFF"/>
        </w:rPr>
        <w:t>Ocimum</w:t>
      </w:r>
      <w:proofErr w:type="spellEnd"/>
      <w:r w:rsidRPr="008B546D">
        <w:rPr>
          <w:rFonts w:asciiTheme="majorBidi" w:hAnsiTheme="majorBidi" w:cstheme="majorBidi"/>
          <w:i/>
          <w:iCs/>
          <w:color w:val="001D35"/>
          <w:shd w:val="clear" w:color="auto" w:fill="FFFFFF"/>
        </w:rPr>
        <w:t xml:space="preserve"> </w:t>
      </w:r>
      <w:proofErr w:type="spellStart"/>
      <w:r w:rsidRPr="008B546D">
        <w:rPr>
          <w:rFonts w:asciiTheme="majorBidi" w:hAnsiTheme="majorBidi" w:cstheme="majorBidi"/>
          <w:i/>
          <w:iCs/>
          <w:color w:val="001D35"/>
          <w:shd w:val="clear" w:color="auto" w:fill="FFFFFF"/>
        </w:rPr>
        <w:t>basilicum</w:t>
      </w:r>
      <w:proofErr w:type="spellEnd"/>
      <w:r w:rsidRPr="008B546D">
        <w:rPr>
          <w:bCs/>
          <w:i/>
          <w:iCs/>
        </w:rPr>
        <w:t xml:space="preserve">, </w:t>
      </w:r>
      <w:r w:rsidRPr="008B546D">
        <w:rPr>
          <w:bCs/>
        </w:rPr>
        <w:t>GC–MS an</w:t>
      </w:r>
      <w:r w:rsidR="00EF2E3C">
        <w:rPr>
          <w:bCs/>
        </w:rPr>
        <w:t>alysis, ADMET Analysis</w:t>
      </w:r>
      <w:r w:rsidR="004C60B5" w:rsidRPr="00A54387">
        <w:rPr>
          <w:bCs/>
        </w:rPr>
        <w:t xml:space="preserve">, </w:t>
      </w:r>
      <w:r w:rsidR="00542E37">
        <w:rPr>
          <w:bCs/>
        </w:rPr>
        <w:t>A</w:t>
      </w:r>
      <w:r w:rsidR="004C60B5" w:rsidRPr="00A54387">
        <w:rPr>
          <w:bCs/>
        </w:rPr>
        <w:t>ntioxidant</w:t>
      </w:r>
      <w:r w:rsidRPr="008B546D">
        <w:rPr>
          <w:bCs/>
        </w:rPr>
        <w:t xml:space="preserve">, </w:t>
      </w:r>
      <w:r w:rsidR="00542E37">
        <w:rPr>
          <w:bCs/>
        </w:rPr>
        <w:t>A</w:t>
      </w:r>
      <w:r w:rsidRPr="008B546D">
        <w:rPr>
          <w:bCs/>
        </w:rPr>
        <w:t xml:space="preserve">nti-inflammatory, </w:t>
      </w:r>
      <w:r w:rsidR="00542E37">
        <w:rPr>
          <w:bCs/>
        </w:rPr>
        <w:t>A</w:t>
      </w:r>
      <w:r w:rsidR="004C60B5" w:rsidRPr="00A54387">
        <w:rPr>
          <w:bCs/>
        </w:rPr>
        <w:t>nalgesic</w:t>
      </w:r>
      <w:r w:rsidR="004C60B5" w:rsidRPr="008B546D">
        <w:rPr>
          <w:b/>
        </w:rPr>
        <w:t xml:space="preserve"> </w:t>
      </w:r>
    </w:p>
    <w:p w:rsidR="000C4221" w:rsidRPr="000C4221" w:rsidRDefault="000C4221" w:rsidP="004C60B5">
      <w:pPr>
        <w:spacing w:line="360" w:lineRule="auto"/>
        <w:jc w:val="both"/>
        <w:rPr>
          <w:b/>
        </w:rPr>
      </w:pPr>
      <w:r w:rsidRPr="008B546D">
        <w:rPr>
          <w:b/>
        </w:rPr>
        <w:t>1. Introduction</w:t>
      </w:r>
    </w:p>
    <w:p w:rsidR="009C5CD6" w:rsidRPr="000C4221" w:rsidRDefault="009C5CD6" w:rsidP="00611177">
      <w:pPr>
        <w:spacing w:line="360" w:lineRule="auto"/>
        <w:jc w:val="both"/>
        <w:rPr>
          <w:bCs/>
        </w:rPr>
      </w:pPr>
      <w:r w:rsidRPr="000C4221">
        <w:rPr>
          <w:bCs/>
        </w:rPr>
        <w:t>Secondary metabolites and essential oils with therapeutic value are abundant in medicinal plants</w:t>
      </w:r>
      <w:r w:rsidR="00EF2E3C">
        <w:rPr>
          <w:bCs/>
        </w:rPr>
        <w:t xml:space="preserve"> </w:t>
      </w:r>
      <w:r w:rsidR="00EF2E3C">
        <w:rPr>
          <w:bCs/>
        </w:rPr>
        <w:fldChar w:fldCharType="begin"/>
      </w:r>
      <w:r w:rsidR="00EF2E3C">
        <w:rPr>
          <w:bCs/>
        </w:rPr>
        <w:instrText xml:space="preserve"> ADDIN EN.CITE &lt;EndNote&gt;&lt;Cite&gt;&lt;Author&gt;Elshafie&lt;/Author&gt;&lt;Year&gt;2023&lt;/Year&gt;&lt;RecNum&gt;613&lt;/RecNum&gt;&lt;DisplayText&gt;[1]&lt;/DisplayText&gt;&lt;record&gt;&lt;rec-number&gt;613&lt;/rec-number&gt;&lt;foreign-keys&gt;&lt;key app="EN" db-id="xzwdwxpsd2p0rrevxampz09aw9w9art9vs0d" timestamp="1782124240"&gt;613&lt;/key&gt;&lt;/foreign-keys&gt;&lt;ref-type name="Journal Article"&gt;17&lt;/ref-type&gt;&lt;contributors&gt;&lt;authors&gt;&lt;author&gt;Elshafie, Hazem S&lt;/author&gt;&lt;author&gt;Camele, Ippolito&lt;/author&gt;&lt;author&gt;Mohamed, Amira A&lt;/author&gt;&lt;/authors&gt;&lt;/contributors&gt;&lt;titles&gt;&lt;title&gt;A comprehensive review on the biological, agricultural and pharmaceutical properties of secondary metabolites based-plant origin&lt;/title&gt;&lt;secondary-title&gt;International journal of molecular sciences&lt;/secondary-title&gt;&lt;/titles&gt;&lt;periodical&gt;&lt;full-title&gt;International Journal of Molecular Sciences&lt;/full-title&gt;&lt;/periodical&gt;&lt;pages&gt;3266&lt;/pages&gt;&lt;volume&gt;24&lt;/volume&gt;&lt;number&gt;4&lt;/number&gt;&lt;dates&gt;&lt;year&gt;2023&lt;/year&gt;&lt;/dates&gt;&lt;isbn&gt;1422-0067&lt;/isbn&gt;&lt;urls&gt;&lt;/urls&gt;&lt;/record&gt;&lt;/Cite&gt;&lt;/EndNote&gt;</w:instrText>
      </w:r>
      <w:r w:rsidR="00EF2E3C">
        <w:rPr>
          <w:bCs/>
        </w:rPr>
        <w:fldChar w:fldCharType="separate"/>
      </w:r>
      <w:r w:rsidR="00EF2E3C">
        <w:rPr>
          <w:bCs/>
          <w:noProof/>
        </w:rPr>
        <w:t>[</w:t>
      </w:r>
      <w:hyperlink w:anchor="_ENREF_1" w:tooltip="Elshafie, 2023 #613" w:history="1">
        <w:r w:rsidR="00611177">
          <w:rPr>
            <w:bCs/>
            <w:noProof/>
          </w:rPr>
          <w:t>1</w:t>
        </w:r>
      </w:hyperlink>
      <w:r w:rsidR="00EF2E3C">
        <w:rPr>
          <w:bCs/>
          <w:noProof/>
        </w:rPr>
        <w:t>]</w:t>
      </w:r>
      <w:r w:rsidR="00EF2E3C">
        <w:rPr>
          <w:bCs/>
        </w:rPr>
        <w:fldChar w:fldCharType="end"/>
      </w:r>
      <w:r w:rsidRPr="000C4221">
        <w:rPr>
          <w:bCs/>
        </w:rPr>
        <w:t xml:space="preserve">. </w:t>
      </w:r>
      <w:r w:rsidR="00EF2E3C">
        <w:rPr>
          <w:bCs/>
        </w:rPr>
        <w:t xml:space="preserve"> </w:t>
      </w:r>
      <w:r w:rsidR="00EF2E3C" w:rsidRPr="000C4221">
        <w:rPr>
          <w:bCs/>
        </w:rPr>
        <w:t>In addition to being affordable, efficient, and readily accessible, the main benefits of using medicinal plants for therapeutic purposes in a variety of illnesses are their safety</w:t>
      </w:r>
      <w:r w:rsidR="00EF2E3C">
        <w:rPr>
          <w:bCs/>
        </w:rPr>
        <w:t xml:space="preserve"> </w:t>
      </w:r>
      <w:r w:rsidR="00EF2E3C">
        <w:rPr>
          <w:bCs/>
        </w:rPr>
        <w:fldChar w:fldCharType="begin"/>
      </w:r>
      <w:r w:rsidR="00EF2E3C">
        <w:rPr>
          <w:bCs/>
        </w:rPr>
        <w:instrText xml:space="preserve"> ADDIN EN.CITE &lt;EndNote&gt;&lt;Cite&gt;&lt;Author&gt;El-Saadony&lt;/Author&gt;&lt;Year&gt;2025&lt;/Year&gt;&lt;RecNum&gt;614&lt;/RecNum&gt;&lt;DisplayText&gt;[2]&lt;/DisplayText&gt;&lt;record&gt;&lt;rec-number&gt;614&lt;/rec-number&gt;&lt;foreign-keys&gt;&lt;key app="EN" db-id="xzwdwxpsd2p0rrevxampz09aw9w9art9vs0d" timestamp="1782124293"&gt;614&lt;/key&gt;&lt;/foreign-keys&gt;&lt;ref-type name="Journal Article"&gt;17&lt;/ref-type&gt;&lt;contributors&gt;&lt;authors&gt;&lt;author&gt;El-Saadony, Mohamed T&lt;/author&gt;&lt;author&gt;Saad, Ahmed M&lt;/author&gt;&lt;author&gt;Mohammed, Dina Mostafa&lt;/author&gt;&lt;author&gt;Korma, Sameh A&lt;/author&gt;&lt;author&gt;Alshahrani, Mohammad Y&lt;/author&gt;&lt;author&gt;Ahmed, Ahmed Ezzat&lt;/author&gt;&lt;author&gt;Ibrahim, Essam H&lt;/author&gt;&lt;author&gt;Salem, Heba M&lt;/author&gt;&lt;author&gt;Alkafaas, Samar Sami&lt;/author&gt;&lt;author&gt;Saif, Abdullah M&lt;/author&gt;&lt;/authors&gt;&lt;/contributors&gt;&lt;titles&gt;&lt;title&gt;Medicinal plants: bioactive compounds, biological activities, combating multidrug-resistant microorganisms, and human health benefits-a comprehensive review&lt;/title&gt;&lt;secondary-title&gt;Frontiers in immunology&lt;/secondary-title&gt;&lt;/titles&gt;&lt;periodical&gt;&lt;full-title&gt;Frontiers in immunology&lt;/full-title&gt;&lt;/periodical&gt;&lt;pages&gt;1491777&lt;/pages&gt;&lt;volume&gt;16&lt;/volume&gt;&lt;dates&gt;&lt;year&gt;2025&lt;/year&gt;&lt;/dates&gt;&lt;isbn&gt;1664-3224&lt;/isbn&gt;&lt;urls&gt;&lt;/urls&gt;&lt;/record&gt;&lt;/Cite&gt;&lt;/EndNote&gt;</w:instrText>
      </w:r>
      <w:r w:rsidR="00EF2E3C">
        <w:rPr>
          <w:bCs/>
        </w:rPr>
        <w:fldChar w:fldCharType="separate"/>
      </w:r>
      <w:r w:rsidR="00EF2E3C">
        <w:rPr>
          <w:bCs/>
          <w:noProof/>
        </w:rPr>
        <w:t>[</w:t>
      </w:r>
      <w:hyperlink w:anchor="_ENREF_2" w:tooltip="El-Saadony, 2025 #614" w:history="1">
        <w:r w:rsidR="00611177">
          <w:rPr>
            <w:bCs/>
            <w:noProof/>
          </w:rPr>
          <w:t>2</w:t>
        </w:r>
      </w:hyperlink>
      <w:r w:rsidR="00EF2E3C">
        <w:rPr>
          <w:bCs/>
          <w:noProof/>
        </w:rPr>
        <w:t>]</w:t>
      </w:r>
      <w:r w:rsidR="00EF2E3C">
        <w:rPr>
          <w:bCs/>
        </w:rPr>
        <w:fldChar w:fldCharType="end"/>
      </w:r>
      <w:r w:rsidRPr="000C4221">
        <w:rPr>
          <w:bCs/>
        </w:rPr>
        <w:t>. Traditional medical professionals have made extensive use of medicinal plants in their daily practices due to these benefits</w:t>
      </w:r>
      <w:r w:rsidR="00EF2E3C">
        <w:rPr>
          <w:bCs/>
        </w:rPr>
        <w:t xml:space="preserve"> </w:t>
      </w:r>
      <w:r w:rsidR="00EF2E3C">
        <w:rPr>
          <w:bCs/>
        </w:rPr>
        <w:fldChar w:fldCharType="begin"/>
      </w:r>
      <w:r w:rsidR="00EF2E3C">
        <w:rPr>
          <w:bCs/>
        </w:rPr>
        <w:instrText xml:space="preserve"> ADDIN EN.CITE &lt;EndNote&gt;&lt;Cite&gt;&lt;Author&gt;Manisha&lt;/Author&gt;&lt;Year&gt;2025&lt;/Year&gt;&lt;RecNum&gt;615&lt;/RecNum&gt;&lt;DisplayText&gt;[3]&lt;/DisplayText&gt;&lt;record&gt;&lt;rec-number&gt;615&lt;/rec-number&gt;&lt;foreign-keys&gt;&lt;key app="EN" db-id="xzwdwxpsd2p0rrevxampz09aw9w9art9vs0d" timestamp="1782124325"&gt;615&lt;/key&gt;&lt;/foreign-keys&gt;&lt;ref-type name="Journal Article"&gt;17&lt;/ref-type&gt;&lt;contributors&gt;&lt;authors&gt;&lt;author&gt;Manisha, Dr Ram Babu&lt;/author&gt;&lt;author&gt;Begam, A Maajitha&lt;/author&gt;&lt;author&gt;Chahal, Kavita Shakya&lt;/author&gt;&lt;author&gt;Ashok, Mr Akshay&lt;/author&gt;&lt;/authors&gt;&lt;/contributors&gt;&lt;titles&gt;&lt;title&gt;Medicinal plants and traditional uses and modern applications&lt;/title&gt;&lt;secondary-title&gt;Journal of Neonatal Surgery&lt;/secondary-title&gt;&lt;/titles&gt;&lt;periodical&gt;&lt;full-title&gt;Journal of Neonatal Surgery&lt;/full-title&gt;&lt;/periodical&gt;&lt;pages&gt;162-175&lt;/pages&gt;&lt;volume&gt;14&lt;/volume&gt;&lt;number&gt;3&lt;/number&gt;&lt;dates&gt;&lt;year&gt;2025&lt;/year&gt;&lt;/dates&gt;&lt;urls&gt;&lt;/urls&gt;&lt;/record&gt;&lt;/Cite&gt;&lt;/EndNote&gt;</w:instrText>
      </w:r>
      <w:r w:rsidR="00EF2E3C">
        <w:rPr>
          <w:bCs/>
        </w:rPr>
        <w:fldChar w:fldCharType="separate"/>
      </w:r>
      <w:r w:rsidR="00EF2E3C">
        <w:rPr>
          <w:bCs/>
          <w:noProof/>
        </w:rPr>
        <w:t>[</w:t>
      </w:r>
      <w:hyperlink w:anchor="_ENREF_3" w:tooltip="Manisha, 2025 #615" w:history="1">
        <w:r w:rsidR="00611177">
          <w:rPr>
            <w:bCs/>
            <w:noProof/>
          </w:rPr>
          <w:t>3</w:t>
        </w:r>
      </w:hyperlink>
      <w:r w:rsidR="00EF2E3C">
        <w:rPr>
          <w:bCs/>
          <w:noProof/>
        </w:rPr>
        <w:t>]</w:t>
      </w:r>
      <w:r w:rsidR="00EF2E3C">
        <w:rPr>
          <w:bCs/>
        </w:rPr>
        <w:fldChar w:fldCharType="end"/>
      </w:r>
      <w:r w:rsidRPr="000C4221">
        <w:rPr>
          <w:bCs/>
        </w:rPr>
        <w:t xml:space="preserve">. </w:t>
      </w:r>
      <w:proofErr w:type="spellStart"/>
      <w:r w:rsidRPr="007B326C">
        <w:rPr>
          <w:bCs/>
          <w:i/>
          <w:iCs/>
        </w:rPr>
        <w:t>Ocimum</w:t>
      </w:r>
      <w:proofErr w:type="spellEnd"/>
      <w:r w:rsidRPr="007B326C">
        <w:rPr>
          <w:bCs/>
          <w:i/>
          <w:iCs/>
        </w:rPr>
        <w:t xml:space="preserve"> </w:t>
      </w:r>
      <w:proofErr w:type="spellStart"/>
      <w:r w:rsidRPr="007B326C">
        <w:rPr>
          <w:bCs/>
          <w:i/>
          <w:iCs/>
        </w:rPr>
        <w:t>basilicum</w:t>
      </w:r>
      <w:proofErr w:type="spellEnd"/>
      <w:r w:rsidRPr="000C4221">
        <w:rPr>
          <w:bCs/>
        </w:rPr>
        <w:t xml:space="preserve"> Linn. Often referred to as "sweet basil," it is utilized in both </w:t>
      </w:r>
      <w:proofErr w:type="spellStart"/>
      <w:r w:rsidRPr="000C4221">
        <w:rPr>
          <w:bCs/>
        </w:rPr>
        <w:t>Ayurvedic</w:t>
      </w:r>
      <w:proofErr w:type="spellEnd"/>
      <w:r w:rsidRPr="000C4221">
        <w:rPr>
          <w:bCs/>
        </w:rPr>
        <w:t xml:space="preserve"> and </w:t>
      </w:r>
      <w:proofErr w:type="spellStart"/>
      <w:r w:rsidRPr="000C4221">
        <w:rPr>
          <w:bCs/>
        </w:rPr>
        <w:t>Unani</w:t>
      </w:r>
      <w:proofErr w:type="spellEnd"/>
      <w:r w:rsidRPr="000C4221">
        <w:rPr>
          <w:bCs/>
        </w:rPr>
        <w:t xml:space="preserve"> treatment</w:t>
      </w:r>
      <w:r w:rsidR="00EF2E3C">
        <w:rPr>
          <w:bCs/>
        </w:rPr>
        <w:t xml:space="preserve"> </w:t>
      </w:r>
      <w:r w:rsidR="00EF2E3C">
        <w:rPr>
          <w:bCs/>
        </w:rPr>
        <w:fldChar w:fldCharType="begin"/>
      </w:r>
      <w:r w:rsidR="00EF2E3C">
        <w:rPr>
          <w:bCs/>
        </w:rPr>
        <w:instrText xml:space="preserve"> ADDIN EN.CITE &lt;EndNote&gt;&lt;Cite&gt;&lt;Author&gt;Azizah&lt;/Author&gt;&lt;Year&gt;2023&lt;/Year&gt;&lt;RecNum&gt;616&lt;/RecNum&gt;&lt;DisplayText&gt;[4]&lt;/DisplayText&gt;&lt;record&gt;&lt;rec-number&gt;616&lt;/rec-number&gt;&lt;foreign-keys&gt;&lt;key app="EN" db-id="xzwdwxpsd2p0rrevxampz09aw9w9art9vs0d" timestamp="1782124355"&gt;616&lt;/key&gt;&lt;/foreign-keys&gt;&lt;ref-type name="Journal Article"&gt;17&lt;/ref-type&gt;&lt;contributors&gt;&lt;authors&gt;&lt;author&gt;Azizah, Nabilah Sekar&lt;/author&gt;&lt;author&gt;Irawan, Budi&lt;/author&gt;&lt;author&gt;Kusmoro, Joko&lt;/author&gt;&lt;author&gt;Safriansyah, Wahyu&lt;/author&gt;&lt;author&gt;Farabi, Kindi&lt;/author&gt;&lt;author&gt;Oktavia, Dina&lt;/author&gt;&lt;author&gt;Doni, Febri&lt;/author&gt;&lt;author&gt;Miranti, Mia&lt;/author&gt;&lt;/authors&gt;&lt;/contributors&gt;&lt;titles&gt;&lt;title&gt;Sweet basil (Ocimum basilicum L.)―A review of its botany, phytochemistry, pharmacological activities, and biotechnological development&lt;/title&gt;&lt;secondary-title&gt;Plants&lt;/secondary-title&gt;&lt;/titles&gt;&lt;periodical&gt;&lt;full-title&gt;Plants&lt;/full-title&gt;&lt;/periodical&gt;&lt;pages&gt;4148&lt;/pages&gt;&lt;volume&gt;12&lt;/volume&gt;&lt;number&gt;24&lt;/number&gt;&lt;dates&gt;&lt;year&gt;2023&lt;/year&gt;&lt;/dates&gt;&lt;isbn&gt;2223-7747&lt;/isbn&gt;&lt;urls&gt;&lt;/urls&gt;&lt;/record&gt;&lt;/Cite&gt;&lt;/EndNote&gt;</w:instrText>
      </w:r>
      <w:r w:rsidR="00EF2E3C">
        <w:rPr>
          <w:bCs/>
        </w:rPr>
        <w:fldChar w:fldCharType="separate"/>
      </w:r>
      <w:r w:rsidR="00EF2E3C">
        <w:rPr>
          <w:bCs/>
          <w:noProof/>
        </w:rPr>
        <w:t>[</w:t>
      </w:r>
      <w:hyperlink w:anchor="_ENREF_4" w:tooltip="Azizah, 2023 #616" w:history="1">
        <w:r w:rsidR="00611177">
          <w:rPr>
            <w:bCs/>
            <w:noProof/>
          </w:rPr>
          <w:t>4</w:t>
        </w:r>
      </w:hyperlink>
      <w:r w:rsidR="00EF2E3C">
        <w:rPr>
          <w:bCs/>
          <w:noProof/>
        </w:rPr>
        <w:t>]</w:t>
      </w:r>
      <w:r w:rsidR="00EF2E3C">
        <w:rPr>
          <w:bCs/>
        </w:rPr>
        <w:fldChar w:fldCharType="end"/>
      </w:r>
      <w:r w:rsidRPr="000C4221">
        <w:rPr>
          <w:bCs/>
        </w:rPr>
        <w:t xml:space="preserve">. Furthermore, out of the more than 150 species in the genus </w:t>
      </w:r>
      <w:proofErr w:type="spellStart"/>
      <w:r w:rsidRPr="000C4221">
        <w:rPr>
          <w:bCs/>
        </w:rPr>
        <w:t>Ocimum</w:t>
      </w:r>
      <w:proofErr w:type="spellEnd"/>
      <w:r w:rsidRPr="000C4221">
        <w:rPr>
          <w:bCs/>
        </w:rPr>
        <w:t>, basil is the main essential oil crop that is grown commercially in numerous nations</w:t>
      </w:r>
      <w:r w:rsidR="00EF2E3C">
        <w:rPr>
          <w:bCs/>
        </w:rPr>
        <w:t xml:space="preserve"> </w:t>
      </w:r>
      <w:r w:rsidR="00EF2E3C">
        <w:rPr>
          <w:bCs/>
        </w:rPr>
        <w:fldChar w:fldCharType="begin"/>
      </w:r>
      <w:r w:rsidR="00EF2E3C">
        <w:rPr>
          <w:bCs/>
        </w:rPr>
        <w:instrText xml:space="preserve"> ADDIN EN.CITE &lt;EndNote&gt;&lt;Cite&gt;&lt;Author&gt;Gurav&lt;/Author&gt;&lt;Year&gt;2022&lt;/Year&gt;&lt;RecNum&gt;617&lt;/RecNum&gt;&lt;DisplayText&gt;[5]&lt;/DisplayText&gt;&lt;record&gt;&lt;rec-number&gt;617&lt;/rec-number&gt;&lt;foreign-keys&gt;&lt;key app="EN" db-id="xzwdwxpsd2p0rrevxampz09aw9w9art9vs0d" timestamp="1782124383"&gt;617&lt;/key&gt;&lt;/foreign-keys&gt;&lt;ref-type name="Journal Article"&gt;17&lt;/ref-type&gt;&lt;contributors&gt;&lt;authors&gt;&lt;author&gt;Gurav, Tanuja P&lt;/author&gt;&lt;author&gt;Dholakia, Bhushan B&lt;/author&gt;&lt;author&gt;Giri, Ashok P&lt;/author&gt;&lt;/authors&gt;&lt;/contributors&gt;&lt;titles&gt;&lt;title&gt;A glance at the chemodiversity of Ocimum species: Trends, implications, and strategies for the quality and yield improvement of essential oil&lt;/title&gt;&lt;secondary-title&gt;Phytochemistry Reviews&lt;/secondary-title&gt;&lt;/titles&gt;&lt;periodical&gt;&lt;full-title&gt;Phytochemistry Reviews&lt;/full-title&gt;&lt;/periodical&gt;&lt;pages&gt;879-913&lt;/pages&gt;&lt;volume&gt;21&lt;/volume&gt;&lt;number&gt;3&lt;/number&gt;&lt;dates&gt;&lt;year&gt;2022&lt;/year&gt;&lt;/dates&gt;&lt;isbn&gt;1568-7767&lt;/isbn&gt;&lt;urls&gt;&lt;/urls&gt;&lt;/record&gt;&lt;/Cite&gt;&lt;/EndNote&gt;</w:instrText>
      </w:r>
      <w:r w:rsidR="00EF2E3C">
        <w:rPr>
          <w:bCs/>
        </w:rPr>
        <w:fldChar w:fldCharType="separate"/>
      </w:r>
      <w:r w:rsidR="00EF2E3C">
        <w:rPr>
          <w:bCs/>
          <w:noProof/>
        </w:rPr>
        <w:t>[</w:t>
      </w:r>
      <w:hyperlink w:anchor="_ENREF_5" w:tooltip="Gurav, 2022 #617" w:history="1">
        <w:r w:rsidR="00611177">
          <w:rPr>
            <w:bCs/>
            <w:noProof/>
          </w:rPr>
          <w:t>5</w:t>
        </w:r>
      </w:hyperlink>
      <w:r w:rsidR="00EF2E3C">
        <w:rPr>
          <w:bCs/>
          <w:noProof/>
        </w:rPr>
        <w:t>]</w:t>
      </w:r>
      <w:r w:rsidR="00EF2E3C">
        <w:rPr>
          <w:bCs/>
        </w:rPr>
        <w:fldChar w:fldCharType="end"/>
      </w:r>
      <w:r w:rsidRPr="000C4221">
        <w:rPr>
          <w:bCs/>
        </w:rPr>
        <w:t>. It is a well-liked herb that has been used extensively as a food ingredient to flavor baked goods, meat items, and confections because of its rich, spicy, somewhat peppery flavo</w:t>
      </w:r>
      <w:r w:rsidR="00CD7B49">
        <w:rPr>
          <w:bCs/>
        </w:rPr>
        <w:t>r with hints of mint and clove</w:t>
      </w:r>
      <w:r w:rsidR="00EF2E3C">
        <w:rPr>
          <w:bCs/>
        </w:rPr>
        <w:t xml:space="preserve"> </w:t>
      </w:r>
      <w:r w:rsidR="00EF2E3C">
        <w:rPr>
          <w:bCs/>
        </w:rPr>
        <w:fldChar w:fldCharType="begin"/>
      </w:r>
      <w:r w:rsidR="00EF2E3C">
        <w:rPr>
          <w:bCs/>
        </w:rPr>
        <w:instrText xml:space="preserve"> ADDIN EN.CITE &lt;EndNote&gt;&lt;Cite&gt;&lt;Author&gt;Acharya&lt;/Author&gt;&lt;Year&gt;2024&lt;/Year&gt;&lt;RecNum&gt;618&lt;/RecNum&gt;&lt;DisplayText&gt;[6]&lt;/DisplayText&gt;&lt;record&gt;&lt;rec-number&gt;618&lt;/rec-number&gt;&lt;foreign-keys&gt;&lt;key app="EN" db-id="xzwdwxpsd2p0rrevxampz09aw9w9art9vs0d" timestamp="1782124414"&gt;618&lt;/key&gt;&lt;/foreign-keys&gt;&lt;ref-type name="Journal Article"&gt;17&lt;/ref-type&gt;&lt;contributors&gt;&lt;authors&gt;&lt;author&gt;Acharya, Amrit&lt;/author&gt;&lt;author&gt;Ghimire, Gita&lt;/author&gt;&lt;author&gt;Shakya, Prabin&lt;/author&gt;&lt;/authors&gt;&lt;/contributors&gt;&lt;titles&gt;&lt;title&gt;Medicinal herbs&lt;/title&gt;&lt;secondary-title&gt;Herbs and Spices—New Perspectives in Human Health and Food Industry; IntechOpen: Rijeka, Croatia&lt;/secondary-title&gt;&lt;/titles&gt;&lt;periodical&gt;&lt;full-title&gt;Herbs and Spices—New Perspectives in Human Health and Food Industry; IntechOpen: Rijeka, Croatia&lt;/full-title&gt;&lt;/periodical&gt;&lt;pages&gt;161-186&lt;/pages&gt;&lt;volume&gt;1&lt;/volume&gt;&lt;dates&gt;&lt;year&gt;2024&lt;/year&gt;&lt;/dates&gt;&lt;urls&gt;&lt;/urls&gt;&lt;/record&gt;&lt;/Cite&gt;&lt;/EndNote&gt;</w:instrText>
      </w:r>
      <w:r w:rsidR="00EF2E3C">
        <w:rPr>
          <w:bCs/>
        </w:rPr>
        <w:fldChar w:fldCharType="separate"/>
      </w:r>
      <w:r w:rsidR="00EF2E3C">
        <w:rPr>
          <w:bCs/>
          <w:noProof/>
        </w:rPr>
        <w:t>[</w:t>
      </w:r>
      <w:hyperlink w:anchor="_ENREF_6" w:tooltip="Acharya, 2024 #618" w:history="1">
        <w:r w:rsidR="00611177">
          <w:rPr>
            <w:bCs/>
            <w:noProof/>
          </w:rPr>
          <w:t>6</w:t>
        </w:r>
      </w:hyperlink>
      <w:r w:rsidR="00EF2E3C">
        <w:rPr>
          <w:bCs/>
          <w:noProof/>
        </w:rPr>
        <w:t>]</w:t>
      </w:r>
      <w:r w:rsidR="00EF2E3C">
        <w:rPr>
          <w:bCs/>
        </w:rPr>
        <w:fldChar w:fldCharType="end"/>
      </w:r>
      <w:r w:rsidR="00CD7B49">
        <w:rPr>
          <w:bCs/>
        </w:rPr>
        <w:t>.</w:t>
      </w:r>
      <w:r w:rsidRPr="000C4221">
        <w:rPr>
          <w:bCs/>
        </w:rPr>
        <w:t xml:space="preserve"> It is a decorative herb as well as a food herb. The use of basil as medicine dates back to the time of </w:t>
      </w:r>
      <w:proofErr w:type="spellStart"/>
      <w:r w:rsidRPr="000C4221">
        <w:rPr>
          <w:bCs/>
        </w:rPr>
        <w:t>Dioscorides</w:t>
      </w:r>
      <w:proofErr w:type="spellEnd"/>
      <w:r w:rsidRPr="000C4221">
        <w:rPr>
          <w:bCs/>
        </w:rPr>
        <w:t xml:space="preserve">, who described it as a powerful remedy for scorpion stings in De </w:t>
      </w:r>
      <w:proofErr w:type="spellStart"/>
      <w:r w:rsidRPr="000C4221">
        <w:rPr>
          <w:bCs/>
        </w:rPr>
        <w:t>Materia</w:t>
      </w:r>
      <w:proofErr w:type="spellEnd"/>
      <w:r w:rsidRPr="000C4221">
        <w:rPr>
          <w:bCs/>
        </w:rPr>
        <w:t xml:space="preserve"> </w:t>
      </w:r>
      <w:proofErr w:type="spellStart"/>
      <w:r w:rsidRPr="000C4221">
        <w:rPr>
          <w:bCs/>
        </w:rPr>
        <w:t>medica</w:t>
      </w:r>
      <w:proofErr w:type="spellEnd"/>
      <w:r w:rsidRPr="000C4221">
        <w:rPr>
          <w:bCs/>
        </w:rPr>
        <w:t>, one of the first books on medicinal plants</w:t>
      </w:r>
      <w:r w:rsidR="00EF2E3C">
        <w:rPr>
          <w:bCs/>
        </w:rPr>
        <w:t xml:space="preserve"> </w:t>
      </w:r>
      <w:r w:rsidR="00EF2E3C">
        <w:rPr>
          <w:bCs/>
        </w:rPr>
        <w:fldChar w:fldCharType="begin"/>
      </w:r>
      <w:r w:rsidR="00EF2E3C">
        <w:rPr>
          <w:bCs/>
        </w:rPr>
        <w:instrText xml:space="preserve"> ADDIN EN.CITE &lt;EndNote&gt;&lt;Cite&gt;&lt;Author&gt;Stannard&lt;/Author&gt;&lt;Year&gt;1982&lt;/Year&gt;&lt;RecNum&gt;619&lt;/RecNum&gt;&lt;DisplayText&gt;[7]&lt;/DisplayText&gt;&lt;record&gt;&lt;rec-number&gt;619&lt;/rec-number&gt;&lt;foreign-keys&gt;&lt;key app="EN" db-id="xzwdwxpsd2p0rrevxampz09aw9w9art9vs0d" timestamp="1782124466"&gt;619&lt;/key&gt;&lt;/foreign-keys&gt;&lt;ref-type name="Journal Article"&gt;17&lt;/ref-type&gt;&lt;contributors&gt;&lt;authors&gt;&lt;author&gt;Stannard, Jerry&lt;/author&gt;&lt;/authors&gt;&lt;/contributors&gt;&lt;titles&gt;&lt;title&gt;Medicinal plants and folk remedies in pliny,&amp;quot; historia naturalis&amp;quot;&lt;/title&gt;&lt;secondary-title&gt;History and Philosophy of the Life Sciences&lt;/secondary-title&gt;&lt;/titles&gt;&lt;periodical&gt;&lt;full-title&gt;History and Philosophy of the Life Sciences&lt;/full-title&gt;&lt;/periodical&gt;&lt;pages&gt;3-23&lt;/pages&gt;&lt;volume&gt;4&lt;/volume&gt;&lt;number&gt;1&lt;/number&gt;&lt;dates&gt;&lt;year&gt;1982&lt;/year&gt;&lt;/dates&gt;&lt;isbn&gt;0391-9714&lt;/isbn&gt;&lt;urls&gt;&lt;/urls&gt;&lt;/record&gt;&lt;/Cite&gt;&lt;/EndNote&gt;</w:instrText>
      </w:r>
      <w:r w:rsidR="00EF2E3C">
        <w:rPr>
          <w:bCs/>
        </w:rPr>
        <w:fldChar w:fldCharType="separate"/>
      </w:r>
      <w:r w:rsidR="00EF2E3C">
        <w:rPr>
          <w:bCs/>
          <w:noProof/>
        </w:rPr>
        <w:t>[</w:t>
      </w:r>
      <w:hyperlink w:anchor="_ENREF_7" w:tooltip="Stannard, 1982 #619" w:history="1">
        <w:r w:rsidR="00611177">
          <w:rPr>
            <w:bCs/>
            <w:noProof/>
          </w:rPr>
          <w:t>7</w:t>
        </w:r>
      </w:hyperlink>
      <w:r w:rsidR="00EF2E3C">
        <w:rPr>
          <w:bCs/>
          <w:noProof/>
        </w:rPr>
        <w:t>]</w:t>
      </w:r>
      <w:r w:rsidR="00EF2E3C">
        <w:rPr>
          <w:bCs/>
        </w:rPr>
        <w:fldChar w:fldCharType="end"/>
      </w:r>
      <w:r w:rsidRPr="000C4221">
        <w:rPr>
          <w:bCs/>
        </w:rPr>
        <w:t>. There are a number of intriguing theories regarding the historical applications of basil</w:t>
      </w:r>
      <w:r w:rsidR="00EF2E3C">
        <w:rPr>
          <w:bCs/>
        </w:rPr>
        <w:t xml:space="preserve"> </w:t>
      </w:r>
      <w:r w:rsidR="00EF2E3C">
        <w:rPr>
          <w:bCs/>
        </w:rPr>
        <w:fldChar w:fldCharType="begin"/>
      </w:r>
      <w:r w:rsidR="00EF2E3C">
        <w:rPr>
          <w:bCs/>
        </w:rPr>
        <w:instrText xml:space="preserve"> ADDIN EN.CITE &lt;EndNote&gt;&lt;Cite&gt;&lt;Author&gt;Azizah&lt;/Author&gt;&lt;Year&gt;2023&lt;/Year&gt;&lt;RecNum&gt;620&lt;/RecNum&gt;&lt;DisplayText&gt;[4, 8]&lt;/DisplayText&gt;&lt;record&gt;&lt;rec-number&gt;620&lt;/rec-number&gt;&lt;foreign-keys&gt;&lt;key app="EN" db-id="xzwdwxpsd2p0rrevxampz09aw9w9art9vs0d" timestamp="1782124492"&gt;620&lt;/key&gt;&lt;/foreign-keys&gt;&lt;ref-type name="Journal Article"&gt;17&lt;/ref-type&gt;&lt;contributors&gt;&lt;authors&gt;&lt;author&gt;Azizah, Nabilah Sekar&lt;/author&gt;&lt;author&gt;Irawan, Budi&lt;/author&gt;&lt;author&gt;Kusmoro, Joko&lt;/author&gt;&lt;author&gt;Safriansyah, Wahyu&lt;/author&gt;&lt;author&gt;Farabi, Kindi&lt;/author&gt;&lt;author&gt;Oktavia, Dina&lt;/author&gt;&lt;author&gt;Doni, Febri&lt;/author&gt;&lt;author&gt;Miranti, Mia&lt;/author&gt;&lt;/authors&gt;&lt;/contributors&gt;&lt;titles&gt;&lt;title&gt;Sweet basil (Ocimum basilicum L.)―A review of its botany, phytochemistry, pharmacological activities, and biotechnological development&lt;/title&gt;&lt;secondary-title&gt;Plants&lt;/secondary-title&gt;&lt;/titles&gt;&lt;periodical&gt;&lt;full-title&gt;Plants&lt;/full-title&gt;&lt;/periodical&gt;&lt;pages&gt;4148&lt;/pages&gt;&lt;volume&gt;12&lt;/volume&gt;&lt;number&gt;24&lt;/number&gt;&lt;dates&gt;&lt;year&gt;2023&lt;/year&gt;&lt;/dates&gt;&lt;isbn&gt;2223-7747&lt;/isbn&gt;&lt;urls&gt;&lt;/urls&gt;&lt;/record&gt;&lt;/Cite&gt;&lt;Cite&gt;&lt;Author&gt;Ivanova&lt;/Author&gt;&lt;Year&gt;2023&lt;/Year&gt;&lt;RecNum&gt;621&lt;/RecNum&gt;&lt;record&gt;&lt;rec-number&gt;621&lt;/rec-number&gt;&lt;foreign-keys&gt;&lt;key app="EN" db-id="xzwdwxpsd2p0rrevxampz09aw9w9art9vs0d" timestamp="1782124509"&gt;621&lt;/key&gt;&lt;/foreign-keys&gt;&lt;ref-type name="Journal Article"&gt;17&lt;/ref-type&gt;&lt;contributors&gt;&lt;authors&gt;&lt;author&gt;Ivanova, Teodora&lt;/author&gt;&lt;author&gt;Bosseva, Yulia&lt;/author&gt;&lt;author&gt;Chervenkov, Mihail&lt;/author&gt;&lt;author&gt;Dimitrova, Dessislava&lt;/author&gt;&lt;/authors&gt;&lt;/contributors&gt;&lt;titles&gt;&lt;title&gt;Sweet Basil between the Soul and the Table—Transformation of Traditional Knowledge on Ocimum basilicum L. in Bulgaria&lt;/title&gt;&lt;secondary-title&gt;Plants&lt;/secondary-title&gt;&lt;/titles&gt;&lt;periodical&gt;&lt;full-title&gt;Plants&lt;/full-title&gt;&lt;/periodical&gt;&lt;pages&gt;2771&lt;/pages&gt;&lt;volume&gt;12&lt;/volume&gt;&lt;number&gt;15&lt;/number&gt;&lt;dates&gt;&lt;year&gt;2023&lt;/year&gt;&lt;/dates&gt;&lt;isbn&gt;2223-7747&lt;/isbn&gt;&lt;urls&gt;&lt;/urls&gt;&lt;/record&gt;&lt;/Cite&gt;&lt;/EndNote&gt;</w:instrText>
      </w:r>
      <w:r w:rsidR="00EF2E3C">
        <w:rPr>
          <w:bCs/>
        </w:rPr>
        <w:fldChar w:fldCharType="separate"/>
      </w:r>
      <w:r w:rsidR="00EF2E3C">
        <w:rPr>
          <w:bCs/>
          <w:noProof/>
        </w:rPr>
        <w:t>[</w:t>
      </w:r>
      <w:hyperlink w:anchor="_ENREF_4" w:tooltip="Azizah, 2023 #616" w:history="1">
        <w:r w:rsidR="00611177">
          <w:rPr>
            <w:bCs/>
            <w:noProof/>
          </w:rPr>
          <w:t>4</w:t>
        </w:r>
      </w:hyperlink>
      <w:r w:rsidR="00EF2E3C">
        <w:rPr>
          <w:bCs/>
          <w:noProof/>
        </w:rPr>
        <w:t xml:space="preserve">, </w:t>
      </w:r>
      <w:hyperlink w:anchor="_ENREF_8" w:tooltip="Ivanova, 2023 #621" w:history="1">
        <w:r w:rsidR="00611177">
          <w:rPr>
            <w:bCs/>
            <w:noProof/>
          </w:rPr>
          <w:t>8</w:t>
        </w:r>
      </w:hyperlink>
      <w:r w:rsidR="00EF2E3C">
        <w:rPr>
          <w:bCs/>
          <w:noProof/>
        </w:rPr>
        <w:t>]</w:t>
      </w:r>
      <w:r w:rsidR="00EF2E3C">
        <w:rPr>
          <w:bCs/>
        </w:rPr>
        <w:fldChar w:fldCharType="end"/>
      </w:r>
      <w:r w:rsidRPr="000C4221">
        <w:rPr>
          <w:bCs/>
        </w:rPr>
        <w:t>. In contrast to Italy, where ladies wear it in their hair and young people place a spring of it above their ears when they go on dates, Europeans thought it was unfortunate to dream of it. Hindus in India thought that if they buried a leaf of basil with them, it would be their ticket to paradise</w:t>
      </w:r>
      <w:r w:rsidR="00EF2E3C">
        <w:rPr>
          <w:bCs/>
        </w:rPr>
        <w:t xml:space="preserve"> </w:t>
      </w:r>
      <w:r w:rsidR="00EF2E3C">
        <w:rPr>
          <w:bCs/>
        </w:rPr>
        <w:fldChar w:fldCharType="begin"/>
      </w:r>
      <w:r w:rsidR="00EF2E3C">
        <w:rPr>
          <w:bCs/>
        </w:rPr>
        <w:instrText xml:space="preserve"> ADDIN EN.CITE &lt;EndNote&gt;&lt;Cite&gt;&lt;Author&gt;Lupton&lt;/Author&gt;&lt;Year&gt;2016&lt;/Year&gt;&lt;RecNum&gt;622&lt;/RecNum&gt;&lt;DisplayText&gt;[9]&lt;/DisplayText&gt;&lt;record&gt;&lt;rec-number&gt;622&lt;/rec-number&gt;&lt;foreign-keys&gt;&lt;key app="EN" db-id="xzwdwxpsd2p0rrevxampz09aw9w9art9vs0d" timestamp="1782124588"&gt;622&lt;/key&gt;&lt;/foreign-keys&gt;&lt;ref-type name="Book Section"&gt;5&lt;/ref-type&gt;&lt;contributors&gt;&lt;authors&gt;&lt;author&gt;Lupton, Darach&lt;/author&gt;&lt;author&gt;Khan, M Mumtaz&lt;/author&gt;&lt;author&gt;Al-Yahyai, RA&lt;/author&gt;&lt;author&gt;Hanif, M Asif&lt;/author&gt;&lt;/authors&gt;&lt;/contributors&gt;&lt;titles&gt;&lt;title&gt;Basil&lt;/title&gt;&lt;secondary-title&gt;Leafy medicinal herbs: Botany, chemistry, postharvest technology and uses&lt;/secondary-title&gt;&lt;/titles&gt;&lt;pages&gt;27-41&lt;/pages&gt;&lt;dates&gt;&lt;year&gt;2016&lt;/year&gt;&lt;/dates&gt;&lt;publisher&gt;CABI Wallingford UK&lt;/publisher&gt;&lt;urls&gt;&lt;/urls&gt;&lt;/record&gt;&lt;/Cite&gt;&lt;/EndNote&gt;</w:instrText>
      </w:r>
      <w:r w:rsidR="00EF2E3C">
        <w:rPr>
          <w:bCs/>
        </w:rPr>
        <w:fldChar w:fldCharType="separate"/>
      </w:r>
      <w:r w:rsidR="00EF2E3C">
        <w:rPr>
          <w:bCs/>
          <w:noProof/>
        </w:rPr>
        <w:t>[</w:t>
      </w:r>
      <w:hyperlink w:anchor="_ENREF_9" w:tooltip="Lupton, 2016 #622" w:history="1">
        <w:r w:rsidR="00611177">
          <w:rPr>
            <w:bCs/>
            <w:noProof/>
          </w:rPr>
          <w:t>9</w:t>
        </w:r>
      </w:hyperlink>
      <w:r w:rsidR="00EF2E3C">
        <w:rPr>
          <w:bCs/>
          <w:noProof/>
        </w:rPr>
        <w:t>]</w:t>
      </w:r>
      <w:r w:rsidR="00EF2E3C">
        <w:rPr>
          <w:bCs/>
        </w:rPr>
        <w:fldChar w:fldCharType="end"/>
      </w:r>
      <w:r w:rsidRPr="000C4221">
        <w:rPr>
          <w:bCs/>
        </w:rPr>
        <w:t xml:space="preserve">. </w:t>
      </w:r>
      <w:r w:rsidR="00EF2E3C" w:rsidRPr="000C4221">
        <w:rPr>
          <w:bCs/>
        </w:rPr>
        <w:t>Early in the 1600s, the English used it in their meals and entrances to fend off evil spirits and unwanted pests like flies</w:t>
      </w:r>
      <w:r w:rsidR="00EF2E3C">
        <w:rPr>
          <w:bCs/>
        </w:rPr>
        <w:t xml:space="preserve"> </w:t>
      </w:r>
      <w:r w:rsidR="00EF2E3C">
        <w:rPr>
          <w:bCs/>
        </w:rPr>
        <w:fldChar w:fldCharType="begin"/>
      </w:r>
      <w:r w:rsidR="00EF2E3C">
        <w:rPr>
          <w:bCs/>
        </w:rPr>
        <w:instrText xml:space="preserve"> ADDIN EN.CITE &lt;EndNote&gt;&lt;Cite&gt;&lt;Author&gt;Allen&lt;/Author&gt;&lt;Year&gt;2020&lt;/Year&gt;&lt;RecNum&gt;623&lt;/RecNum&gt;&lt;DisplayText&gt;[10]&lt;/DisplayText&gt;&lt;record&gt;&lt;rec-number&gt;623&lt;/rec-number&gt;&lt;foreign-keys&gt;&lt;key app="EN" db-id="xzwdwxpsd2p0rrevxampz09aw9w9art9vs0d" timestamp="1782124634"&gt;623&lt;/key&gt;&lt;/foreign-keys&gt;&lt;ref-type name="Conference Proceedings"&gt;10&lt;/ref-type&gt;&lt;contributors&gt;&lt;authors&gt;&lt;author&gt;Allen, Lauren&lt;/author&gt;&lt;/authors&gt;&lt;/contributors&gt;&lt;titles&gt;&lt;title&gt;A visual history of basil&lt;/title&gt;&lt;secondary-title&gt;Proceedings of th e Oxford Symposium on Food and Cookery&lt;/secondary-title&gt;&lt;/titles&gt;&lt;pages&gt;56-55&lt;/pages&gt;&lt;dates&gt;&lt;year&gt;2020&lt;/year&gt;&lt;/dates&gt;&lt;urls&gt;&lt;/urls&gt;&lt;/record&gt;&lt;/Cite&gt;&lt;/EndNote&gt;</w:instrText>
      </w:r>
      <w:r w:rsidR="00EF2E3C">
        <w:rPr>
          <w:bCs/>
        </w:rPr>
        <w:fldChar w:fldCharType="separate"/>
      </w:r>
      <w:r w:rsidR="00EF2E3C">
        <w:rPr>
          <w:bCs/>
          <w:noProof/>
        </w:rPr>
        <w:t>[</w:t>
      </w:r>
      <w:hyperlink w:anchor="_ENREF_10" w:tooltip="Allen, 2020 #623" w:history="1">
        <w:r w:rsidR="00611177">
          <w:rPr>
            <w:bCs/>
            <w:noProof/>
          </w:rPr>
          <w:t>10</w:t>
        </w:r>
      </w:hyperlink>
      <w:r w:rsidR="00EF2E3C">
        <w:rPr>
          <w:bCs/>
          <w:noProof/>
        </w:rPr>
        <w:t>]</w:t>
      </w:r>
      <w:r w:rsidR="00EF2E3C">
        <w:rPr>
          <w:bCs/>
        </w:rPr>
        <w:fldChar w:fldCharType="end"/>
      </w:r>
      <w:r w:rsidRPr="000C4221">
        <w:rPr>
          <w:bCs/>
        </w:rPr>
        <w:t>.</w:t>
      </w:r>
    </w:p>
    <w:p w:rsidR="009C5CD6" w:rsidRPr="000C4221" w:rsidRDefault="009C5CD6" w:rsidP="00611177">
      <w:pPr>
        <w:spacing w:line="360" w:lineRule="auto"/>
        <w:jc w:val="both"/>
        <w:rPr>
          <w:bCs/>
        </w:rPr>
      </w:pPr>
      <w:r w:rsidRPr="000C4221">
        <w:rPr>
          <w:bCs/>
        </w:rPr>
        <w:t xml:space="preserve">The plant has antipyretic, alexipharmic, and stomachic properties. Additionally, it has </w:t>
      </w:r>
      <w:proofErr w:type="spellStart"/>
      <w:r w:rsidRPr="000C4221">
        <w:rPr>
          <w:bCs/>
        </w:rPr>
        <w:t>emmenagogue</w:t>
      </w:r>
      <w:proofErr w:type="spellEnd"/>
      <w:r w:rsidRPr="000C4221">
        <w:rPr>
          <w:bCs/>
        </w:rPr>
        <w:t xml:space="preserve"> and diuretic qualities</w:t>
      </w:r>
      <w:r w:rsidR="00EF2E3C">
        <w:rPr>
          <w:bCs/>
        </w:rPr>
        <w:t xml:space="preserve"> </w:t>
      </w:r>
      <w:r w:rsidR="00EF2E3C">
        <w:rPr>
          <w:bCs/>
        </w:rPr>
        <w:fldChar w:fldCharType="begin"/>
      </w:r>
      <w:r w:rsidR="00EF2E3C">
        <w:rPr>
          <w:bCs/>
        </w:rPr>
        <w:instrText xml:space="preserve"> ADDIN EN.CITE &lt;EndNote&gt;&lt;Cite&gt;&lt;Author&gt;Bilal&lt;/Author&gt;&lt;Year&gt;2012&lt;/Year&gt;&lt;RecNum&gt;624&lt;/RecNum&gt;&lt;DisplayText&gt;[11]&lt;/DisplayText&gt;&lt;record&gt;&lt;rec-number&gt;624&lt;/rec-number&gt;&lt;foreign-keys&gt;&lt;key app="EN" db-id="xzwdwxpsd2p0rrevxampz09aw9w9art9vs0d" timestamp="1782124695"&gt;624&lt;/key&gt;&lt;/foreign-keys&gt;&lt;ref-type name="Journal Article"&gt;17&lt;/ref-type&gt;&lt;contributors&gt;&lt;authors&gt;&lt;author&gt;Bilal, Alia&lt;/author&gt;&lt;author&gt;Jahan, Nasreen&lt;/author&gt;&lt;author&gt;Ahmed, Ajij&lt;/author&gt;&lt;author&gt;Bilal, Saima Naaz&lt;/author&gt;&lt;author&gt;Habib, Shahida&lt;/author&gt;&lt;author&gt;Hajra, Syeda&lt;/author&gt;&lt;/authors&gt;&lt;/contributors&gt;&lt;titles&gt;&lt;title&gt;Phytochemical and pharmacological studies on Ocimum basilicum Linn-A review&lt;/title&gt;&lt;secondary-title&gt;International Journal of Current Research and Review&lt;/secondary-title&gt;&lt;/titles&gt;&lt;periodical&gt;&lt;full-title&gt;International Journal of Current Research and Review&lt;/full-title&gt;&lt;/periodical&gt;&lt;pages&gt;73-83&lt;/pages&gt;&lt;volume&gt;4&lt;/volume&gt;&lt;number&gt;23&lt;/number&gt;&lt;dates&gt;&lt;year&gt;2012&lt;/year&gt;&lt;/dates&gt;&lt;isbn&gt;2231-2196&lt;/isbn&gt;&lt;urls&gt;&lt;/urls&gt;&lt;/record&gt;&lt;/Cite&gt;&lt;/EndNote&gt;</w:instrText>
      </w:r>
      <w:r w:rsidR="00EF2E3C">
        <w:rPr>
          <w:bCs/>
        </w:rPr>
        <w:fldChar w:fldCharType="separate"/>
      </w:r>
      <w:r w:rsidR="00EF2E3C">
        <w:rPr>
          <w:bCs/>
          <w:noProof/>
        </w:rPr>
        <w:t>[</w:t>
      </w:r>
      <w:hyperlink w:anchor="_ENREF_11" w:tooltip="Bilal, 2012 #624" w:history="1">
        <w:r w:rsidR="00611177">
          <w:rPr>
            <w:bCs/>
            <w:noProof/>
          </w:rPr>
          <w:t>11</w:t>
        </w:r>
      </w:hyperlink>
      <w:r w:rsidR="00EF2E3C">
        <w:rPr>
          <w:bCs/>
          <w:noProof/>
        </w:rPr>
        <w:t>]</w:t>
      </w:r>
      <w:r w:rsidR="00EF2E3C">
        <w:rPr>
          <w:bCs/>
        </w:rPr>
        <w:fldChar w:fldCharType="end"/>
      </w:r>
      <w:r w:rsidRPr="000C4221">
        <w:rPr>
          <w:bCs/>
        </w:rPr>
        <w:t xml:space="preserve">. An infusion of the plant is thought to have </w:t>
      </w:r>
      <w:proofErr w:type="spellStart"/>
      <w:r w:rsidRPr="000C4221">
        <w:rPr>
          <w:bCs/>
        </w:rPr>
        <w:t>antihelminthic</w:t>
      </w:r>
      <w:proofErr w:type="spellEnd"/>
      <w:r w:rsidRPr="000C4221">
        <w:rPr>
          <w:bCs/>
        </w:rPr>
        <w:t>, diaphoretic, antiemetic, and anti</w:t>
      </w:r>
      <w:r w:rsidR="00CD7B49">
        <w:rPr>
          <w:bCs/>
        </w:rPr>
        <w:t>-diarrheal properties in Annam</w:t>
      </w:r>
      <w:r w:rsidR="00EF2E3C">
        <w:rPr>
          <w:bCs/>
        </w:rPr>
        <w:t xml:space="preserve"> </w:t>
      </w:r>
      <w:r w:rsidR="00EF2E3C">
        <w:rPr>
          <w:bCs/>
        </w:rPr>
        <w:fldChar w:fldCharType="begin"/>
      </w:r>
      <w:r w:rsidR="00EF2E3C">
        <w:rPr>
          <w:bCs/>
        </w:rPr>
        <w:instrText xml:space="preserve"> ADDIN EN.CITE &lt;EndNote&gt;&lt;Cite&gt;&lt;Author&gt;Qasem&lt;/Author&gt;&lt;Year&gt;2015&lt;/Year&gt;&lt;RecNum&gt;625&lt;/RecNum&gt;&lt;DisplayText&gt;[12]&lt;/DisplayText&gt;&lt;record&gt;&lt;rec-number&gt;625&lt;/rec-number&gt;&lt;foreign-keys&gt;&lt;key app="EN" db-id="xzwdwxpsd2p0rrevxampz09aw9w9art9vs0d" timestamp="1782124740"&gt;625&lt;/key&gt;&lt;/foreign-keys&gt;&lt;ref-type name="Journal Article"&gt;17&lt;/ref-type&gt;&lt;contributors&gt;&lt;authors&gt;&lt;author&gt;Qasem, Jamal R&lt;/author&gt;&lt;/authors&gt;&lt;/contributors&gt;&lt;titles&gt;&lt;title&gt;Prospects of wild medicinal and industrial plants of saline habitats in the Jordan valley&lt;/title&gt;&lt;secondary-title&gt;Pak J Bot&lt;/secondary-title&gt;&lt;/titles&gt;&lt;periodical&gt;&lt;full-title&gt;Pak J Bot&lt;/full-title&gt;&lt;/periodical&gt;&lt;pages&gt;551-570&lt;/pages&gt;&lt;volume&gt;47&lt;/volume&gt;&lt;number&gt;2&lt;/number&gt;&lt;dates&gt;&lt;year&gt;2015&lt;/year&gt;&lt;/dates&gt;&lt;urls&gt;&lt;/urls&gt;&lt;/record&gt;&lt;/Cite&gt;&lt;/EndNote&gt;</w:instrText>
      </w:r>
      <w:r w:rsidR="00EF2E3C">
        <w:rPr>
          <w:bCs/>
        </w:rPr>
        <w:fldChar w:fldCharType="separate"/>
      </w:r>
      <w:r w:rsidR="00EF2E3C">
        <w:rPr>
          <w:bCs/>
          <w:noProof/>
        </w:rPr>
        <w:t>[</w:t>
      </w:r>
      <w:hyperlink w:anchor="_ENREF_12" w:tooltip="Qasem, 2015 #625" w:history="1">
        <w:r w:rsidR="00611177">
          <w:rPr>
            <w:bCs/>
            <w:noProof/>
          </w:rPr>
          <w:t>12</w:t>
        </w:r>
      </w:hyperlink>
      <w:r w:rsidR="00EF2E3C">
        <w:rPr>
          <w:bCs/>
          <w:noProof/>
        </w:rPr>
        <w:t>]</w:t>
      </w:r>
      <w:r w:rsidR="00EF2E3C">
        <w:rPr>
          <w:bCs/>
        </w:rPr>
        <w:fldChar w:fldCharType="end"/>
      </w:r>
      <w:r w:rsidR="00CD7B49">
        <w:rPr>
          <w:bCs/>
        </w:rPr>
        <w:t>.</w:t>
      </w:r>
      <w:r w:rsidRPr="000C4221">
        <w:rPr>
          <w:bCs/>
        </w:rPr>
        <w:t xml:space="preserve"> The seeds of this plant have also been reported to have diuretic, aphrodisiac, and anti-dysenteric properties. The plant's essential oil has antibacterial, antifungal, and insecticidal properties, while its juice has carminative, stimulant, and antibacterial properties. This plant's blossoms have stimulant, diuret</w:t>
      </w:r>
      <w:r w:rsidR="00CD7B49">
        <w:rPr>
          <w:bCs/>
        </w:rPr>
        <w:t>ic, and demulcent properties</w:t>
      </w:r>
      <w:r w:rsidR="00EF2E3C">
        <w:rPr>
          <w:bCs/>
        </w:rPr>
        <w:t xml:space="preserve"> </w:t>
      </w:r>
      <w:r w:rsidR="00EF2E3C">
        <w:rPr>
          <w:bCs/>
        </w:rPr>
        <w:fldChar w:fldCharType="begin"/>
      </w:r>
      <w:r w:rsidR="00EF2E3C">
        <w:rPr>
          <w:bCs/>
        </w:rPr>
        <w:instrText xml:space="preserve"> ADDIN EN.CITE &lt;EndNote&gt;&lt;Cite&gt;&lt;Author&gt;Gunawardana&lt;/Author&gt;&lt;Year&gt;2019&lt;/Year&gt;&lt;RecNum&gt;626&lt;/RecNum&gt;&lt;DisplayText&gt;[13]&lt;/DisplayText&gt;&lt;record&gt;&lt;rec-number&gt;626&lt;/rec-number&gt;&lt;foreign-keys&gt;&lt;key app="EN" db-id="xzwdwxpsd2p0rrevxampz09aw9w9art9vs0d" timestamp="1782124773"&gt;626&lt;/key&gt;&lt;/foreign-keys&gt;&lt;ref-type name="Journal Article"&gt;17&lt;/ref-type&gt;&lt;contributors&gt;&lt;authors&gt;&lt;author&gt;Gunawardana, SLA&lt;/author&gt;&lt;author&gt;Jayasuriya, WJABN&lt;/author&gt;&lt;/authors&gt;&lt;/contributors&gt;&lt;titles&gt;&lt;title&gt;Medicinally important herbal flowers in Sri Lanka&lt;/title&gt;&lt;secondary-title&gt;Evidence</w:instrText>
      </w:r>
      <w:r w:rsidR="00EF2E3C">
        <w:rPr>
          <w:rFonts w:ascii="Cambria Math" w:hAnsi="Cambria Math" w:cs="Cambria Math"/>
          <w:bCs/>
        </w:rPr>
        <w:instrText>‐</w:instrText>
      </w:r>
      <w:r w:rsidR="00EF2E3C">
        <w:rPr>
          <w:bCs/>
        </w:rPr>
        <w:instrText>Based Complementary and Alternative Medicine&lt;/secondary-title&gt;&lt;/titles&gt;&lt;periodical&gt;&lt;full-title&gt;Evidence</w:instrText>
      </w:r>
      <w:r w:rsidR="00EF2E3C">
        <w:rPr>
          <w:rFonts w:ascii="Cambria Math" w:hAnsi="Cambria Math" w:cs="Cambria Math"/>
          <w:bCs/>
        </w:rPr>
        <w:instrText>‐</w:instrText>
      </w:r>
      <w:r w:rsidR="00EF2E3C">
        <w:rPr>
          <w:bCs/>
        </w:rPr>
        <w:instrText>Based Complementary and Alternative Medicine&lt;/full-title&gt;&lt;/periodical&gt;&lt;pages&gt;2321961&lt;/pages&gt;&lt;volume&gt;2019&lt;/volume&gt;&lt;number&gt;1&lt;/number&gt;&lt;dates&gt;&lt;year&gt;2019&lt;/year&gt;&lt;/dates&gt;&lt;isbn&gt;1741-4288&lt;/isbn&gt;&lt;urls&gt;&lt;/urls&gt;&lt;/record&gt;&lt;/Cite&gt;&lt;/EndNote&gt;</w:instrText>
      </w:r>
      <w:r w:rsidR="00EF2E3C">
        <w:rPr>
          <w:bCs/>
        </w:rPr>
        <w:fldChar w:fldCharType="separate"/>
      </w:r>
      <w:r w:rsidR="00EF2E3C">
        <w:rPr>
          <w:bCs/>
          <w:noProof/>
        </w:rPr>
        <w:t>[</w:t>
      </w:r>
      <w:hyperlink w:anchor="_ENREF_13" w:tooltip="Gunawardana, 2019 #626" w:history="1">
        <w:r w:rsidR="00611177">
          <w:rPr>
            <w:bCs/>
            <w:noProof/>
          </w:rPr>
          <w:t>13</w:t>
        </w:r>
      </w:hyperlink>
      <w:r w:rsidR="00EF2E3C">
        <w:rPr>
          <w:bCs/>
          <w:noProof/>
        </w:rPr>
        <w:t>]</w:t>
      </w:r>
      <w:r w:rsidR="00EF2E3C">
        <w:rPr>
          <w:bCs/>
        </w:rPr>
        <w:fldChar w:fldCharType="end"/>
      </w:r>
      <w:r w:rsidR="00CD7B49">
        <w:rPr>
          <w:bCs/>
        </w:rPr>
        <w:t xml:space="preserve">. </w:t>
      </w:r>
      <w:r w:rsidRPr="000C4221">
        <w:rPr>
          <w:bCs/>
        </w:rPr>
        <w:t>Additionally, the blooms are thought to have carminative, anti-spasmodic, and digestive stimulating properties</w:t>
      </w:r>
      <w:r w:rsidR="00EF2E3C">
        <w:rPr>
          <w:bCs/>
        </w:rPr>
        <w:t xml:space="preserve"> </w:t>
      </w:r>
      <w:r w:rsidR="00EF2E3C">
        <w:rPr>
          <w:bCs/>
        </w:rPr>
        <w:fldChar w:fldCharType="begin"/>
      </w:r>
      <w:r w:rsidR="00EF2E3C">
        <w:rPr>
          <w:bCs/>
        </w:rPr>
        <w:instrText xml:space="preserve"> ADDIN EN.CITE &lt;EndNote&gt;&lt;Cite&gt;&lt;Author&gt;Kabiraj&lt;/Author&gt;&lt;Year&gt;2024&lt;/Year&gt;&lt;RecNum&gt;627&lt;/RecNum&gt;&lt;DisplayText&gt;[14]&lt;/DisplayText&gt;&lt;record&gt;&lt;rec-number&gt;627&lt;/rec-number&gt;&lt;foreign-keys&gt;&lt;key app="EN" db-id="xzwdwxpsd2p0rrevxampz09aw9w9art9vs0d" timestamp="1782124819"&gt;627&lt;/key&gt;&lt;/foreign-keys&gt;&lt;ref-type name="Journal Article"&gt;17&lt;/ref-type&gt;&lt;contributors&gt;&lt;authors&gt;&lt;author&gt;Kabiraj, Amitava&lt;/author&gt;&lt;author&gt;Deshmukh, Rohitas&lt;/author&gt;&lt;/authors&gt;&lt;/contributors&gt;&lt;titles&gt;&lt;title&gt;A review on chinese herbal medicine used as carminative&lt;/title&gt;&lt;secondary-title&gt;Pharmacological Research-Modern Chinese Medicine&lt;/secondary-title&gt;&lt;/titles&gt;&lt;periodical&gt;&lt;full-title&gt;Pharmacological Research-Modern Chinese Medicine&lt;/full-title&gt;&lt;/periodical&gt;&lt;pages&gt;100409&lt;/pages&gt;&lt;volume&gt;11&lt;/volume&gt;&lt;dates&gt;&lt;year&gt;2024&lt;/year&gt;&lt;/dates&gt;&lt;isbn&gt;2667-1425&lt;/isbn&gt;&lt;urls&gt;&lt;/urls&gt;&lt;/record&gt;&lt;/Cite&gt;&lt;/EndNote&gt;</w:instrText>
      </w:r>
      <w:r w:rsidR="00EF2E3C">
        <w:rPr>
          <w:bCs/>
        </w:rPr>
        <w:fldChar w:fldCharType="separate"/>
      </w:r>
      <w:r w:rsidR="00EF2E3C">
        <w:rPr>
          <w:bCs/>
          <w:noProof/>
        </w:rPr>
        <w:t>[</w:t>
      </w:r>
      <w:hyperlink w:anchor="_ENREF_14" w:tooltip="Kabiraj, 2024 #627" w:history="1">
        <w:r w:rsidR="00611177">
          <w:rPr>
            <w:bCs/>
            <w:noProof/>
          </w:rPr>
          <w:t>14</w:t>
        </w:r>
      </w:hyperlink>
      <w:r w:rsidR="00EF2E3C">
        <w:rPr>
          <w:bCs/>
          <w:noProof/>
        </w:rPr>
        <w:t>]</w:t>
      </w:r>
      <w:r w:rsidR="00EF2E3C">
        <w:rPr>
          <w:bCs/>
        </w:rPr>
        <w:fldChar w:fldCharType="end"/>
      </w:r>
      <w:r w:rsidRPr="000C4221">
        <w:rPr>
          <w:bCs/>
        </w:rPr>
        <w:t>.</w:t>
      </w:r>
    </w:p>
    <w:p w:rsidR="009C5CD6" w:rsidRPr="000C4221" w:rsidRDefault="009C5CD6" w:rsidP="00611177">
      <w:pPr>
        <w:spacing w:before="100" w:beforeAutospacing="1" w:after="100" w:afterAutospacing="1" w:line="360" w:lineRule="auto"/>
        <w:jc w:val="both"/>
        <w:rPr>
          <w:bCs/>
        </w:rPr>
      </w:pPr>
      <w:r w:rsidRPr="000C4221">
        <w:rPr>
          <w:bCs/>
        </w:rPr>
        <w:lastRenderedPageBreak/>
        <w:t xml:space="preserve">Heart and blood disorders, </w:t>
      </w:r>
      <w:proofErr w:type="spellStart"/>
      <w:r w:rsidRPr="000C4221">
        <w:rPr>
          <w:bCs/>
        </w:rPr>
        <w:t>leucoderma</w:t>
      </w:r>
      <w:proofErr w:type="spellEnd"/>
      <w:r w:rsidRPr="000C4221">
        <w:rPr>
          <w:bCs/>
        </w:rPr>
        <w:t xml:space="preserve">, biliousness, </w:t>
      </w:r>
      <w:proofErr w:type="spellStart"/>
      <w:r w:rsidRPr="000C4221">
        <w:rPr>
          <w:bCs/>
        </w:rPr>
        <w:t>kapha</w:t>
      </w:r>
      <w:proofErr w:type="spellEnd"/>
      <w:r w:rsidRPr="000C4221">
        <w:rPr>
          <w:bCs/>
        </w:rPr>
        <w:t xml:space="preserve"> and </w:t>
      </w:r>
      <w:proofErr w:type="spellStart"/>
      <w:r w:rsidRPr="000C4221">
        <w:rPr>
          <w:bCs/>
        </w:rPr>
        <w:t>vata</w:t>
      </w:r>
      <w:proofErr w:type="spellEnd"/>
      <w:r w:rsidRPr="000C4221">
        <w:rPr>
          <w:bCs/>
        </w:rPr>
        <w:t>, etc. can all benefit from basil</w:t>
      </w:r>
      <w:r w:rsidR="00EF2E3C">
        <w:rPr>
          <w:bCs/>
        </w:rPr>
        <w:t xml:space="preserve"> </w:t>
      </w:r>
      <w:r w:rsidR="00EF2E3C">
        <w:rPr>
          <w:bCs/>
        </w:rPr>
        <w:fldChar w:fldCharType="begin"/>
      </w:r>
      <w:r w:rsidR="00EF2E3C">
        <w:rPr>
          <w:bCs/>
        </w:rPr>
        <w:instrText xml:space="preserve"> ADDIN EN.CITE &lt;EndNote&gt;&lt;Cite&gt;&lt;Author&gt;Mahajan&lt;/Author&gt;&lt;Year&gt;2023&lt;/Year&gt;&lt;RecNum&gt;628&lt;/RecNum&gt;&lt;DisplayText&gt;[15]&lt;/DisplayText&gt;&lt;record&gt;&lt;rec-number&gt;628&lt;/rec-number&gt;&lt;foreign-keys&gt;&lt;key app="EN" db-id="xzwdwxpsd2p0rrevxampz09aw9w9art9vs0d" timestamp="1782124864"&gt;628&lt;/key&gt;&lt;/foreign-keys&gt;&lt;ref-type name="Journal Article"&gt;17&lt;/ref-type&gt;&lt;contributors&gt;&lt;authors&gt;&lt;author&gt;Mahajan, Payal&lt;/author&gt;&lt;author&gt;Uzzaman Khan, Mohd Masih&lt;/author&gt;&lt;/authors&gt;&lt;/contributors&gt;&lt;titles&gt;&lt;title&gt;Basil “Culinary Plant Of High Medical Value”: A Comprehensive Review Of Traditional, Medicinal And Pharmacological Potency&lt;/title&gt;&lt;secondary-title&gt;Journal of Namibian Studies&lt;/secondary-title&gt;&lt;/titles&gt;&lt;periodical&gt;&lt;full-title&gt;Journal of Namibian Studies&lt;/full-title&gt;&lt;/periodical&gt;&lt;volume&gt;38&lt;/volume&gt;&lt;dates&gt;&lt;year&gt;2023&lt;/year&gt;&lt;/dates&gt;&lt;isbn&gt;1863-5954&lt;/isbn&gt;&lt;urls&gt;&lt;/urls&gt;&lt;/record&gt;&lt;/Cite&gt;&lt;/EndNote&gt;</w:instrText>
      </w:r>
      <w:r w:rsidR="00EF2E3C">
        <w:rPr>
          <w:bCs/>
        </w:rPr>
        <w:fldChar w:fldCharType="separate"/>
      </w:r>
      <w:r w:rsidR="00EF2E3C">
        <w:rPr>
          <w:bCs/>
          <w:noProof/>
        </w:rPr>
        <w:t>[</w:t>
      </w:r>
      <w:hyperlink w:anchor="_ENREF_15" w:tooltip="Mahajan, 2023 #628" w:history="1">
        <w:r w:rsidR="00611177">
          <w:rPr>
            <w:bCs/>
            <w:noProof/>
          </w:rPr>
          <w:t>15</w:t>
        </w:r>
      </w:hyperlink>
      <w:r w:rsidR="00EF2E3C">
        <w:rPr>
          <w:bCs/>
          <w:noProof/>
        </w:rPr>
        <w:t>]</w:t>
      </w:r>
      <w:r w:rsidR="00EF2E3C">
        <w:rPr>
          <w:bCs/>
        </w:rPr>
        <w:fldChar w:fldCharType="end"/>
      </w:r>
      <w:r w:rsidRPr="000C4221">
        <w:rPr>
          <w:bCs/>
        </w:rPr>
        <w:t>. When combined with camphor, the juice soothes joint pain, brightens eyes, relieves earaches and to</w:t>
      </w:r>
      <w:r w:rsidR="00CD7B49">
        <w:rPr>
          <w:bCs/>
        </w:rPr>
        <w:t>othaches, and treats epistaxis.</w:t>
      </w:r>
      <w:r w:rsidRPr="000C4221">
        <w:rPr>
          <w:bCs/>
        </w:rPr>
        <w:t xml:space="preserve"> To treat hearing loss, plant jui</w:t>
      </w:r>
      <w:r w:rsidR="00CD7B49">
        <w:rPr>
          <w:bCs/>
        </w:rPr>
        <w:t>ce is applied to the ears.</w:t>
      </w:r>
      <w:r w:rsidRPr="000C4221">
        <w:rPr>
          <w:bCs/>
        </w:rPr>
        <w:t xml:space="preserve"> The plant's infusion is used as a gargle for bad breath and to cure gouty joints and </w:t>
      </w:r>
      <w:proofErr w:type="spellStart"/>
      <w:r w:rsidRPr="000C4221">
        <w:rPr>
          <w:bCs/>
        </w:rPr>
        <w:t>cephalgia</w:t>
      </w:r>
      <w:proofErr w:type="spellEnd"/>
      <w:r w:rsidRPr="000C4221">
        <w:rPr>
          <w:bCs/>
        </w:rPr>
        <w:t>. Basil is a moderate laxative, helps with digestion, and relieves headaches. Additionally, the plant is sa</w:t>
      </w:r>
      <w:r w:rsidR="00CD7B49">
        <w:rPr>
          <w:bCs/>
        </w:rPr>
        <w:t>id to repel snakes and flies.</w:t>
      </w:r>
      <w:r w:rsidRPr="000C4221">
        <w:rPr>
          <w:bCs/>
        </w:rPr>
        <w:t xml:space="preserve"> In addition to producing anesthetic, a 12% decoction of the plant used as irrigation for nasal </w:t>
      </w:r>
      <w:proofErr w:type="spellStart"/>
      <w:r w:rsidRPr="000C4221">
        <w:rPr>
          <w:bCs/>
        </w:rPr>
        <w:t>myosis</w:t>
      </w:r>
      <w:proofErr w:type="spellEnd"/>
      <w:r w:rsidRPr="000C4221">
        <w:rPr>
          <w:bCs/>
        </w:rPr>
        <w:t xml:space="preserve"> also functions as an antiseptic and </w:t>
      </w:r>
      <w:proofErr w:type="spellStart"/>
      <w:r w:rsidRPr="000C4221">
        <w:rPr>
          <w:bCs/>
        </w:rPr>
        <w:t>parasiticide</w:t>
      </w:r>
      <w:proofErr w:type="spellEnd"/>
      <w:r w:rsidRPr="000C4221">
        <w:rPr>
          <w:bCs/>
        </w:rPr>
        <w:t>, rendering the disease-causing larvae dormant and expelling them. Gout, fever, cough, and stomach issues can al</w:t>
      </w:r>
      <w:r w:rsidR="00CD7B49">
        <w:rPr>
          <w:bCs/>
        </w:rPr>
        <w:t>l be treated with this plant.</w:t>
      </w:r>
      <w:r w:rsidRPr="000C4221">
        <w:rPr>
          <w:bCs/>
        </w:rPr>
        <w:t xml:space="preserve"> It treats scorpion bites and </w:t>
      </w:r>
      <w:proofErr w:type="spellStart"/>
      <w:r w:rsidRPr="000C4221">
        <w:rPr>
          <w:bCs/>
        </w:rPr>
        <w:t>Kustha</w:t>
      </w:r>
      <w:proofErr w:type="spellEnd"/>
      <w:r w:rsidRPr="000C4221">
        <w:rPr>
          <w:bCs/>
        </w:rPr>
        <w:t>, an intractable skin disease that includes leprosy. It is used to ease the discomfort of d</w:t>
      </w:r>
      <w:r w:rsidR="00CD7B49">
        <w:rPr>
          <w:bCs/>
        </w:rPr>
        <w:t>elivery, according to Ainslie</w:t>
      </w:r>
      <w:r w:rsidR="00611177">
        <w:rPr>
          <w:bCs/>
        </w:rPr>
        <w:t xml:space="preserve"> </w:t>
      </w:r>
      <w:r w:rsidR="00611177">
        <w:rPr>
          <w:bCs/>
        </w:rPr>
        <w:fldChar w:fldCharType="begin"/>
      </w:r>
      <w:r w:rsidR="00611177">
        <w:rPr>
          <w:bCs/>
        </w:rPr>
        <w:instrText xml:space="preserve"> ADDIN EN.CITE &lt;EndNote&gt;&lt;Cite&gt;&lt;Author&gt;Weng&lt;/Author&gt;&lt;Year&gt;2023&lt;/Year&gt;&lt;RecNum&gt;629&lt;/RecNum&gt;&lt;DisplayText&gt;[16]&lt;/DisplayText&gt;&lt;record&gt;&lt;rec-number&gt;629&lt;/rec-number&gt;&lt;foreign-keys&gt;&lt;key app="EN" db-id="xzwdwxpsd2p0rrevxampz09aw9w9art9vs0d" timestamp="1782124924"&gt;629&lt;/key&gt;&lt;/foreign-keys&gt;&lt;ref-type name="Journal Article"&gt;17&lt;/ref-type&gt;&lt;contributors&gt;&lt;authors&gt;&lt;author&gt;Weng, Min-Hsueh&lt;/author&gt;&lt;author&gt;Chou, Hung-Chieh&lt;/author&gt;&lt;author&gt;Liaw, Jen-Jiuan&lt;/author&gt;&lt;/authors&gt;&lt;/contributors&gt;&lt;titles&gt;&lt;title&gt;Women&amp;apos;s sense of control during labour and birth with epidural analgesia: a qualitative descriptive study&lt;/title&gt;&lt;secondary-title&gt;Midwifery&lt;/secondary-title&gt;&lt;/titles&gt;&lt;periodical&gt;&lt;full-title&gt;Midwifery&lt;/full-title&gt;&lt;/periodical&gt;&lt;pages&gt;103496&lt;/pages&gt;&lt;volume&gt;116&lt;/volume&gt;&lt;dates&gt;&lt;year&gt;2023&lt;/year&gt;&lt;/dates&gt;&lt;isbn&gt;0266-6138&lt;/isbn&gt;&lt;urls&gt;&lt;/urls&gt;&lt;/record&gt;&lt;/Cite&gt;&lt;/EndNote&gt;</w:instrText>
      </w:r>
      <w:r w:rsidR="00611177">
        <w:rPr>
          <w:bCs/>
        </w:rPr>
        <w:fldChar w:fldCharType="separate"/>
      </w:r>
      <w:r w:rsidR="00611177">
        <w:rPr>
          <w:bCs/>
          <w:noProof/>
        </w:rPr>
        <w:t>[</w:t>
      </w:r>
      <w:hyperlink w:anchor="_ENREF_16" w:tooltip="Weng, 2023 #629" w:history="1">
        <w:r w:rsidR="00611177">
          <w:rPr>
            <w:bCs/>
            <w:noProof/>
          </w:rPr>
          <w:t>16</w:t>
        </w:r>
      </w:hyperlink>
      <w:r w:rsidR="00611177">
        <w:rPr>
          <w:bCs/>
          <w:noProof/>
        </w:rPr>
        <w:t>]</w:t>
      </w:r>
      <w:r w:rsidR="00611177">
        <w:rPr>
          <w:bCs/>
        </w:rPr>
        <w:fldChar w:fldCharType="end"/>
      </w:r>
      <w:r w:rsidRPr="000C4221">
        <w:rPr>
          <w:bCs/>
        </w:rPr>
        <w:t xml:space="preserve">. This plant's warm leaf juice and honey are used to treat croup. Additionally, it makes a great nostrum to treat ringworm. It is also used as an eye lotion. The decoction of the leaves and stem is used in Guinea to cure burning </w:t>
      </w:r>
      <w:proofErr w:type="spellStart"/>
      <w:r w:rsidRPr="000C4221">
        <w:rPr>
          <w:bCs/>
        </w:rPr>
        <w:t>micturation</w:t>
      </w:r>
      <w:proofErr w:type="spellEnd"/>
      <w:r w:rsidRPr="000C4221">
        <w:rPr>
          <w:bCs/>
        </w:rPr>
        <w:t>, fever, neuralgia, catarrh, and renal problems.</w:t>
      </w:r>
      <w:r w:rsidR="000C4221" w:rsidRPr="000C4221">
        <w:rPr>
          <w:bCs/>
        </w:rPr>
        <w:t xml:space="preserve"> The pounded and cleaned seeds are used as poultices for sinusitis and bad sores. In cases of fever, a seed infusion is used. In the event of a snakebite, the seeds are chewed, with one part being ingested and the other </w:t>
      </w:r>
      <w:r w:rsidR="00CD7B49">
        <w:rPr>
          <w:bCs/>
        </w:rPr>
        <w:t>being put to the affected area.</w:t>
      </w:r>
      <w:r w:rsidR="000C4221" w:rsidRPr="000C4221">
        <w:rPr>
          <w:bCs/>
        </w:rPr>
        <w:t xml:space="preserve"> It is thought that a cold infusion of it might ease postpartum pain. Additionally, they are administered internally to treat internal piles, nephritis,</w:t>
      </w:r>
      <w:r w:rsidR="00CD7B49">
        <w:rPr>
          <w:bCs/>
        </w:rPr>
        <w:t xml:space="preserve"> and cystitis.</w:t>
      </w:r>
      <w:r w:rsidR="000C4221" w:rsidRPr="000C4221">
        <w:rPr>
          <w:bCs/>
        </w:rPr>
        <w:t xml:space="preserve"> An infusion of basil seed is used to cure gonorrhea, diarrhea, and chronic dysentery because of its mucilaginous and cooling properties.</w:t>
      </w:r>
    </w:p>
    <w:p w:rsidR="0065647A" w:rsidRPr="000C4221" w:rsidRDefault="0065647A" w:rsidP="000C4221">
      <w:pPr>
        <w:spacing w:before="100" w:beforeAutospacing="1" w:after="100" w:afterAutospacing="1" w:line="360" w:lineRule="auto"/>
        <w:rPr>
          <w:b/>
        </w:rPr>
      </w:pPr>
      <w:r w:rsidRPr="000C4221">
        <w:rPr>
          <w:b/>
        </w:rPr>
        <w:t>2. Methodology</w:t>
      </w:r>
    </w:p>
    <w:p w:rsidR="0065647A" w:rsidRPr="000C4221" w:rsidRDefault="0065647A" w:rsidP="000C4221">
      <w:pPr>
        <w:spacing w:before="100" w:beforeAutospacing="1" w:after="100" w:afterAutospacing="1" w:line="360" w:lineRule="auto"/>
        <w:rPr>
          <w:b/>
        </w:rPr>
      </w:pPr>
      <w:r w:rsidRPr="000C4221">
        <w:rPr>
          <w:b/>
        </w:rPr>
        <w:t>2.1: Collection and Processing of Medicinal plant</w:t>
      </w:r>
    </w:p>
    <w:p w:rsidR="0065647A" w:rsidRPr="000C4221" w:rsidRDefault="00C55DF1" w:rsidP="000C4221">
      <w:pPr>
        <w:spacing w:before="100" w:beforeAutospacing="1" w:after="100" w:afterAutospacing="1" w:line="360" w:lineRule="auto"/>
        <w:jc w:val="both"/>
        <w:rPr>
          <w:bCs/>
        </w:rPr>
      </w:pPr>
      <w:r w:rsidRPr="000C4221">
        <w:rPr>
          <w:rFonts w:asciiTheme="majorBidi" w:hAnsiTheme="majorBidi" w:cstheme="majorBidi"/>
          <w:bCs/>
        </w:rPr>
        <w:t xml:space="preserve">The </w:t>
      </w:r>
      <w:proofErr w:type="spellStart"/>
      <w:r w:rsidRPr="000C4221">
        <w:rPr>
          <w:rFonts w:asciiTheme="majorBidi" w:hAnsiTheme="majorBidi" w:cstheme="majorBidi"/>
          <w:bCs/>
          <w:i/>
          <w:iCs/>
        </w:rPr>
        <w:t>Ocimum</w:t>
      </w:r>
      <w:proofErr w:type="spellEnd"/>
      <w:r w:rsidRPr="000C4221">
        <w:rPr>
          <w:rFonts w:asciiTheme="majorBidi" w:hAnsiTheme="majorBidi" w:cstheme="majorBidi"/>
          <w:bCs/>
          <w:i/>
          <w:iCs/>
        </w:rPr>
        <w:t xml:space="preserve"> </w:t>
      </w:r>
      <w:proofErr w:type="spellStart"/>
      <w:r w:rsidRPr="000C4221">
        <w:rPr>
          <w:rFonts w:asciiTheme="majorBidi" w:hAnsiTheme="majorBidi" w:cstheme="majorBidi"/>
          <w:bCs/>
          <w:i/>
          <w:iCs/>
        </w:rPr>
        <w:t>basilium</w:t>
      </w:r>
      <w:proofErr w:type="spellEnd"/>
      <w:r w:rsidRPr="000C4221">
        <w:rPr>
          <w:rStyle w:val="Heading1Char"/>
          <w:rFonts w:asciiTheme="majorBidi" w:hAnsiTheme="majorBidi"/>
          <w:bCs/>
          <w:i/>
          <w:sz w:val="24"/>
          <w:szCs w:val="24"/>
        </w:rPr>
        <w:t xml:space="preserve"> </w:t>
      </w:r>
      <w:r w:rsidRPr="000C4221">
        <w:rPr>
          <w:rFonts w:asciiTheme="majorBidi" w:hAnsiTheme="majorBidi" w:cstheme="majorBidi"/>
          <w:bCs/>
        </w:rPr>
        <w:t xml:space="preserve">commonly known as Sweet Basil belongs to </w:t>
      </w:r>
      <w:r w:rsidR="00CD7B49" w:rsidRPr="000C4221">
        <w:rPr>
          <w:rFonts w:asciiTheme="majorBidi" w:hAnsiTheme="majorBidi" w:cstheme="majorBidi"/>
          <w:bCs/>
        </w:rPr>
        <w:t xml:space="preserve">the </w:t>
      </w:r>
      <w:proofErr w:type="spellStart"/>
      <w:r w:rsidR="00CD7B49" w:rsidRPr="000C4221">
        <w:rPr>
          <w:rFonts w:asciiTheme="majorBidi" w:hAnsiTheme="majorBidi" w:cstheme="majorBidi"/>
          <w:bCs/>
        </w:rPr>
        <w:t>Lamiaceae</w:t>
      </w:r>
      <w:proofErr w:type="spellEnd"/>
      <w:r w:rsidRPr="000C4221">
        <w:rPr>
          <w:rFonts w:asciiTheme="majorBidi" w:hAnsiTheme="majorBidi" w:cstheme="majorBidi"/>
          <w:bCs/>
        </w:rPr>
        <w:t xml:space="preserve"> family.</w:t>
      </w:r>
      <w:r w:rsidR="0065647A" w:rsidRPr="000C4221">
        <w:rPr>
          <w:bCs/>
        </w:rPr>
        <w:t xml:space="preserve"> The whole plant was collected and identified and voucher number (2</w:t>
      </w:r>
      <w:r w:rsidRPr="000C4221">
        <w:rPr>
          <w:bCs/>
        </w:rPr>
        <w:t>34</w:t>
      </w:r>
      <w:r w:rsidR="0065647A" w:rsidRPr="000C4221">
        <w:rPr>
          <w:bCs/>
        </w:rPr>
        <w:t xml:space="preserve">/IUB) were obtained from the botany department of The </w:t>
      </w:r>
      <w:proofErr w:type="spellStart"/>
      <w:r w:rsidR="0065647A" w:rsidRPr="000C4221">
        <w:rPr>
          <w:bCs/>
        </w:rPr>
        <w:t>Islamia</w:t>
      </w:r>
      <w:proofErr w:type="spellEnd"/>
      <w:r w:rsidR="0065647A" w:rsidRPr="000C4221">
        <w:rPr>
          <w:bCs/>
        </w:rPr>
        <w:t xml:space="preserve"> University of Bahawalpur. The collected whole plant material was air-dried, ground into a fine powder using a mortar and pestle, and stored in airtight polythene containers until use.</w:t>
      </w:r>
    </w:p>
    <w:p w:rsidR="0065647A" w:rsidRPr="0041385D" w:rsidRDefault="0065647A" w:rsidP="000C4221">
      <w:pPr>
        <w:spacing w:before="100" w:beforeAutospacing="1" w:after="100" w:afterAutospacing="1" w:line="360" w:lineRule="auto"/>
        <w:rPr>
          <w:b/>
        </w:rPr>
      </w:pPr>
      <w:r>
        <w:rPr>
          <w:b/>
        </w:rPr>
        <w:t xml:space="preserve">2.2: </w:t>
      </w:r>
      <w:r w:rsidRPr="0041385D">
        <w:rPr>
          <w:b/>
        </w:rPr>
        <w:t xml:space="preserve">Extraction of Plant Materials </w:t>
      </w:r>
    </w:p>
    <w:p w:rsidR="0065647A" w:rsidRPr="005D7E6A" w:rsidRDefault="0065647A" w:rsidP="00611177">
      <w:pPr>
        <w:spacing w:before="100" w:beforeAutospacing="1" w:after="100" w:afterAutospacing="1" w:line="360" w:lineRule="auto"/>
        <w:jc w:val="both"/>
      </w:pPr>
      <w:r w:rsidRPr="0041385D">
        <w:lastRenderedPageBreak/>
        <w:t>The plant material  was subjected to extraction by immersion in 2 L of ethanol for a duration of 7 days at ambient temperature</w:t>
      </w:r>
      <w:r>
        <w:t xml:space="preserve"> </w:t>
      </w:r>
      <w:r>
        <w:fldChar w:fldCharType="begin"/>
      </w:r>
      <w:r w:rsidR="00611177">
        <w:instrText xml:space="preserve"> ADDIN EN.CITE &lt;EndNote&gt;&lt;Cite&gt;&lt;Author&gt;Lin&lt;/Author&gt;&lt;Year&gt;2016&lt;/Year&gt;&lt;RecNum&gt;14&lt;/RecNum&gt;&lt;DisplayText&gt;[17]&lt;/DisplayText&gt;&lt;record&gt;&lt;rec-number&gt;14&lt;/rec-number&gt;&lt;foreign-keys&gt;&lt;key app="EN" db-id="earsd5xpexdz5pe2w9svvswlvzawtrstswx5" timestamp="1762065697"&gt;14&lt;/key&gt;&lt;/foreign-keys&gt;&lt;ref-type name="Journal Article"&gt;17&lt;/ref-type&gt;&lt;contributors&gt;&lt;authors&gt;&lt;author&gt;Lin, Han Chien&lt;/author&gt;&lt;author&gt;Kuo, Yu-Liang&lt;/author&gt;&lt;author&gt;Lee, Wen-Ju&lt;/author&gt;&lt;author&gt;Yap, Hui-Yi&lt;/author&gt;&lt;author&gt;Wang, Shao-Hung&lt;/author&gt;&lt;/authors&gt;&lt;/contributors&gt;&lt;titles&gt;&lt;title&gt;Antidermatophytic activity of ethanolic extract from Croton tiglium&lt;/title&gt;&lt;secondary-title&gt;BioMed Research International&lt;/secondary-title&gt;&lt;/titles&gt;&lt;periodical&gt;&lt;full-title&gt;BioMed Research International&lt;/full-title&gt;&lt;/periodical&gt;&lt;pages&gt;3237586&lt;/pages&gt;&lt;volume&gt;2016&lt;/volume&gt;&lt;number&gt;1&lt;/number&gt;&lt;dates&gt;&lt;year&gt;2016&lt;/year&gt;&lt;/dates&gt;&lt;isbn&gt;2314-6141&lt;/isbn&gt;&lt;urls&gt;&lt;/urls&gt;&lt;/record&gt;&lt;/Cite&gt;&lt;/EndNote&gt;</w:instrText>
      </w:r>
      <w:r>
        <w:fldChar w:fldCharType="separate"/>
      </w:r>
      <w:r w:rsidR="00611177">
        <w:rPr>
          <w:noProof/>
        </w:rPr>
        <w:t>[</w:t>
      </w:r>
      <w:hyperlink w:anchor="_ENREF_17" w:tooltip="Lin, 2016 #14" w:history="1">
        <w:r w:rsidR="00611177">
          <w:rPr>
            <w:noProof/>
          </w:rPr>
          <w:t>17</w:t>
        </w:r>
      </w:hyperlink>
      <w:r w:rsidR="00611177">
        <w:rPr>
          <w:noProof/>
        </w:rPr>
        <w:t>]</w:t>
      </w:r>
      <w:r>
        <w:fldChar w:fldCharType="end"/>
      </w:r>
      <w:r w:rsidRPr="0041385D">
        <w:t xml:space="preserve">. Subsequently, the substance underwent filtration using muslin cloth, followed by a secondary filtration using </w:t>
      </w:r>
      <w:proofErr w:type="spellStart"/>
      <w:r w:rsidRPr="0041385D">
        <w:t>Whatman</w:t>
      </w:r>
      <w:proofErr w:type="spellEnd"/>
      <w:r w:rsidRPr="0041385D">
        <w:t xml:space="preserve"> No. 1 filter paper. The resulting ethanol filtrate was then subjected to condensation to dryness utilizing a rotary evaporator operating at a temperature of 40˚C. This process yielded an ethanol extract with a percentage yield of 38.5%. Subsequently, the desiccated extract was preserved at a temperature of 4˚C for subsequent utilization. Methanol extract was also prepared by adopting the above mentioned </w:t>
      </w:r>
      <w:proofErr w:type="gramStart"/>
      <w:r w:rsidRPr="0041385D">
        <w:t>procedure</w:t>
      </w:r>
      <w:r w:rsidR="00611177">
        <w:t xml:space="preserve"> </w:t>
      </w:r>
      <w:r w:rsidRPr="0041385D">
        <w:t>.</w:t>
      </w:r>
      <w:proofErr w:type="gramEnd"/>
    </w:p>
    <w:p w:rsidR="0065647A" w:rsidRPr="0041385D" w:rsidRDefault="0065647A" w:rsidP="000C4221">
      <w:pPr>
        <w:spacing w:before="100" w:beforeAutospacing="1" w:after="100" w:afterAutospacing="1" w:line="360" w:lineRule="auto"/>
        <w:rPr>
          <w:b/>
        </w:rPr>
      </w:pPr>
      <w:r>
        <w:rPr>
          <w:b/>
        </w:rPr>
        <w:t xml:space="preserve">2.3: </w:t>
      </w:r>
      <w:r w:rsidRPr="0041385D">
        <w:rPr>
          <w:b/>
        </w:rPr>
        <w:t xml:space="preserve">Preliminary phytochemical analysis of extract of </w:t>
      </w:r>
      <w:proofErr w:type="spellStart"/>
      <w:r w:rsidR="00C15C93" w:rsidRPr="008E33AD">
        <w:rPr>
          <w:rFonts w:asciiTheme="majorBidi" w:hAnsiTheme="majorBidi" w:cstheme="majorBidi"/>
          <w:b/>
          <w:bCs/>
          <w:i/>
          <w:iCs/>
        </w:rPr>
        <w:t>Ocimum</w:t>
      </w:r>
      <w:proofErr w:type="spellEnd"/>
      <w:r w:rsidR="00C15C93" w:rsidRPr="008E33AD">
        <w:rPr>
          <w:rFonts w:asciiTheme="majorBidi" w:hAnsiTheme="majorBidi" w:cstheme="majorBidi"/>
          <w:b/>
          <w:bCs/>
          <w:i/>
          <w:iCs/>
        </w:rPr>
        <w:t xml:space="preserve"> </w:t>
      </w:r>
      <w:proofErr w:type="spellStart"/>
      <w:r w:rsidR="00C15C93" w:rsidRPr="008E33AD">
        <w:rPr>
          <w:rFonts w:asciiTheme="majorBidi" w:hAnsiTheme="majorBidi" w:cstheme="majorBidi"/>
          <w:b/>
          <w:bCs/>
          <w:i/>
          <w:iCs/>
        </w:rPr>
        <w:t>basilium</w:t>
      </w:r>
      <w:proofErr w:type="spellEnd"/>
    </w:p>
    <w:p w:rsidR="0065647A" w:rsidRPr="0041385D" w:rsidRDefault="0065647A" w:rsidP="00611177">
      <w:pPr>
        <w:spacing w:before="100" w:beforeAutospacing="1" w:after="100" w:afterAutospacing="1" w:line="360" w:lineRule="auto"/>
        <w:jc w:val="both"/>
      </w:pPr>
      <w:r w:rsidRPr="0041385D">
        <w:t xml:space="preserve">The extract and fractions of </w:t>
      </w:r>
      <w:proofErr w:type="spellStart"/>
      <w:r w:rsidR="00C15C93" w:rsidRPr="00C55DF1">
        <w:rPr>
          <w:rFonts w:asciiTheme="majorBidi" w:hAnsiTheme="majorBidi" w:cstheme="majorBidi"/>
          <w:i/>
          <w:iCs/>
        </w:rPr>
        <w:t>Ocimum</w:t>
      </w:r>
      <w:proofErr w:type="spellEnd"/>
      <w:r w:rsidR="00C15C93" w:rsidRPr="00C55DF1">
        <w:rPr>
          <w:rFonts w:asciiTheme="majorBidi" w:hAnsiTheme="majorBidi" w:cstheme="majorBidi"/>
          <w:i/>
          <w:iCs/>
        </w:rPr>
        <w:t xml:space="preserve"> </w:t>
      </w:r>
      <w:proofErr w:type="spellStart"/>
      <w:r w:rsidR="00C15C93" w:rsidRPr="00C55DF1">
        <w:rPr>
          <w:rFonts w:asciiTheme="majorBidi" w:hAnsiTheme="majorBidi" w:cstheme="majorBidi"/>
          <w:i/>
          <w:iCs/>
        </w:rPr>
        <w:t>basilium</w:t>
      </w:r>
      <w:proofErr w:type="spellEnd"/>
      <w:r w:rsidR="00C15C93" w:rsidRPr="00C02236">
        <w:rPr>
          <w:rStyle w:val="Heading1Char"/>
          <w:rFonts w:asciiTheme="majorBidi" w:hAnsiTheme="majorBidi"/>
          <w:i/>
        </w:rPr>
        <w:t xml:space="preserve"> </w:t>
      </w:r>
      <w:r w:rsidRPr="0041385D">
        <w:t xml:space="preserve">were subjected to phytochemical analysis in order to identify the presence of various types of secondary metabolites, including as </w:t>
      </w:r>
      <w:proofErr w:type="spellStart"/>
      <w:r w:rsidRPr="0041385D">
        <w:t>Diterpenes</w:t>
      </w:r>
      <w:proofErr w:type="spellEnd"/>
      <w:r w:rsidRPr="0041385D">
        <w:t xml:space="preserve">, alkaloids, glycosides, flavonoids, </w:t>
      </w:r>
      <w:proofErr w:type="spellStart"/>
      <w:r w:rsidRPr="0041385D">
        <w:t>saponins</w:t>
      </w:r>
      <w:proofErr w:type="spellEnd"/>
      <w:r w:rsidRPr="0041385D">
        <w:t xml:space="preserve">, tannins </w:t>
      </w:r>
      <w:proofErr w:type="spellStart"/>
      <w:r w:rsidRPr="0041385D">
        <w:t>phrobol</w:t>
      </w:r>
      <w:proofErr w:type="spellEnd"/>
      <w:r w:rsidRPr="0041385D">
        <w:t xml:space="preserve"> esters , sterol ,fatty</w:t>
      </w:r>
      <w:r>
        <w:t xml:space="preserve"> acids, fixed oils and phenols</w:t>
      </w:r>
      <w:r w:rsidR="00611177">
        <w:t xml:space="preserve"> </w:t>
      </w:r>
      <w:r w:rsidR="00611177">
        <w:fldChar w:fldCharType="begin"/>
      </w:r>
      <w:r w:rsidR="00611177">
        <w:instrText xml:space="preserve"> ADDIN EN.CITE &lt;EndNote&gt;&lt;Cite&gt;&lt;Author&gt;Udoisoh&lt;/Author&gt;&lt;Year&gt;2024&lt;/Year&gt;&lt;RecNum&gt;630&lt;/RecNum&gt;&lt;DisplayText&gt;[18]&lt;/DisplayText&gt;&lt;record&gt;&lt;rec-number&gt;630&lt;/rec-number&gt;&lt;foreign-keys&gt;&lt;key app="EN" db-id="xzwdwxpsd2p0rrevxampz09aw9w9art9vs0d" timestamp="1782125018"&gt;630&lt;/key&gt;&lt;/foreign-keys&gt;&lt;ref-type name="Journal Article"&gt;17&lt;/ref-type&gt;&lt;contributors&gt;&lt;authors&gt;&lt;author&gt;Udoisoh, Moses Godwin&lt;/author&gt;&lt;author&gt;Ajoku, Esther Osinachi&lt;/author&gt;&lt;author&gt;Sherif, Adeyemi Gbolahan&lt;/author&gt;&lt;author&gt;Chimezie, Nathaniel Nwoke&lt;/author&gt;&lt;author&gt;Ifeanyi-Nze, Favour Okechi&lt;/author&gt;&lt;author&gt;Akemu, Isaac Ewhoyarure&lt;/author&gt;&lt;author&gt;Akpowu, George Arubi&lt;/author&gt;&lt;author&gt;Adache, Emmanuella Mabel&lt;/author&gt;&lt;author&gt;Ajayi, Moyosore Fiyinfoluwa&lt;/author&gt;&lt;author&gt;Omolusi, Ayobami Emmanuel&lt;/author&gt;&lt;/authors&gt;&lt;/contributors&gt;&lt;titles&gt;&lt;title&gt;Corrosion inhibition of mild steel by ethanol extract of bitter leaf (Vernonia amygdalina): effects of inhibitor concentration and time&lt;/title&gt;&lt;secondary-title&gt;Prog. Chem. Biochem. Res&lt;/secondary-title&gt;&lt;/titles&gt;&lt;periodical&gt;&lt;full-title&gt;Prog. Chem. Biochem. Res&lt;/full-title&gt;&lt;/periodical&gt;&lt;pages&gt;225-238&lt;/pages&gt;&lt;volume&gt;7&lt;/volume&gt;&lt;number&gt;3&lt;/number&gt;&lt;dates&gt;&lt;year&gt;2024&lt;/year&gt;&lt;/dates&gt;&lt;urls&gt;&lt;/urls&gt;&lt;/record&gt;&lt;/Cite&gt;&lt;/EndNote&gt;</w:instrText>
      </w:r>
      <w:r w:rsidR="00611177">
        <w:fldChar w:fldCharType="separate"/>
      </w:r>
      <w:r w:rsidR="00611177">
        <w:rPr>
          <w:noProof/>
        </w:rPr>
        <w:t>[</w:t>
      </w:r>
      <w:hyperlink w:anchor="_ENREF_18" w:tooltip="Udoisoh, 2024 #630" w:history="1">
        <w:r w:rsidR="00611177">
          <w:rPr>
            <w:noProof/>
          </w:rPr>
          <w:t>18</w:t>
        </w:r>
      </w:hyperlink>
      <w:r w:rsidR="00611177">
        <w:rPr>
          <w:noProof/>
        </w:rPr>
        <w:t>]</w:t>
      </w:r>
      <w:r w:rsidR="00611177">
        <w:fldChar w:fldCharType="end"/>
      </w:r>
      <w:r>
        <w:t>.</w:t>
      </w:r>
    </w:p>
    <w:p w:rsidR="0065647A" w:rsidRDefault="0065647A" w:rsidP="000C4221">
      <w:pPr>
        <w:spacing w:before="100" w:beforeAutospacing="1" w:after="100" w:afterAutospacing="1" w:line="360" w:lineRule="auto"/>
        <w:jc w:val="both"/>
        <w:rPr>
          <w:b/>
        </w:rPr>
      </w:pPr>
      <w:r>
        <w:rPr>
          <w:b/>
        </w:rPr>
        <w:t xml:space="preserve">2.4: </w:t>
      </w:r>
      <w:r w:rsidRPr="0041385D">
        <w:rPr>
          <w:b/>
        </w:rPr>
        <w:t xml:space="preserve">GC-MS analysis of extracts of </w:t>
      </w:r>
      <w:proofErr w:type="spellStart"/>
      <w:r w:rsidR="008E33AD" w:rsidRPr="00C55DF1">
        <w:rPr>
          <w:rFonts w:asciiTheme="majorBidi" w:hAnsiTheme="majorBidi" w:cstheme="majorBidi"/>
          <w:i/>
          <w:iCs/>
        </w:rPr>
        <w:t>Ocimum</w:t>
      </w:r>
      <w:proofErr w:type="spellEnd"/>
      <w:r w:rsidR="008E33AD" w:rsidRPr="00C55DF1">
        <w:rPr>
          <w:rFonts w:asciiTheme="majorBidi" w:hAnsiTheme="majorBidi" w:cstheme="majorBidi"/>
          <w:i/>
          <w:iCs/>
        </w:rPr>
        <w:t xml:space="preserve"> </w:t>
      </w:r>
      <w:proofErr w:type="spellStart"/>
      <w:r w:rsidR="008E33AD" w:rsidRPr="00C55DF1">
        <w:rPr>
          <w:rFonts w:asciiTheme="majorBidi" w:hAnsiTheme="majorBidi" w:cstheme="majorBidi"/>
          <w:i/>
          <w:iCs/>
        </w:rPr>
        <w:t>basilium</w:t>
      </w:r>
      <w:proofErr w:type="spellEnd"/>
    </w:p>
    <w:p w:rsidR="0065647A" w:rsidRPr="00262C40" w:rsidRDefault="0065647A" w:rsidP="00611177">
      <w:pPr>
        <w:spacing w:before="100" w:beforeAutospacing="1" w:after="100" w:afterAutospacing="1" w:line="360" w:lineRule="auto"/>
        <w:jc w:val="both"/>
        <w:rPr>
          <w:b/>
        </w:rPr>
      </w:pPr>
      <w:r w:rsidRPr="0041385D">
        <w:t xml:space="preserve">The GC analysis of extracts/fractions of </w:t>
      </w:r>
      <w:r w:rsidR="008E33AD" w:rsidRPr="00C55DF1">
        <w:rPr>
          <w:rFonts w:asciiTheme="majorBidi" w:hAnsiTheme="majorBidi" w:cstheme="majorBidi"/>
          <w:i/>
          <w:iCs/>
        </w:rPr>
        <w:t>O</w:t>
      </w:r>
      <w:r w:rsidR="008E33AD">
        <w:rPr>
          <w:rFonts w:asciiTheme="majorBidi" w:hAnsiTheme="majorBidi" w:cstheme="majorBidi"/>
          <w:i/>
          <w:iCs/>
        </w:rPr>
        <w:t>.</w:t>
      </w:r>
      <w:r w:rsidR="008E33AD" w:rsidRPr="00C55DF1">
        <w:rPr>
          <w:rFonts w:asciiTheme="majorBidi" w:hAnsiTheme="majorBidi" w:cstheme="majorBidi"/>
          <w:i/>
          <w:iCs/>
        </w:rPr>
        <w:t xml:space="preserve"> </w:t>
      </w:r>
      <w:proofErr w:type="spellStart"/>
      <w:r w:rsidR="008E33AD" w:rsidRPr="00C55DF1">
        <w:rPr>
          <w:rFonts w:asciiTheme="majorBidi" w:hAnsiTheme="majorBidi" w:cstheme="majorBidi"/>
          <w:i/>
          <w:iCs/>
        </w:rPr>
        <w:t>basilium</w:t>
      </w:r>
      <w:proofErr w:type="spellEnd"/>
      <w:r w:rsidR="008E33AD" w:rsidRPr="00C02236">
        <w:rPr>
          <w:rStyle w:val="Heading1Char"/>
          <w:rFonts w:asciiTheme="majorBidi" w:hAnsiTheme="majorBidi"/>
          <w:i/>
        </w:rPr>
        <w:t xml:space="preserve"> </w:t>
      </w:r>
      <w:r w:rsidRPr="0041385D">
        <w:t xml:space="preserve">was performed according to the previously reported method. Briefly, the crude organic extracts were subjected to GC-MS analysis using a PerkinElmer </w:t>
      </w:r>
      <w:proofErr w:type="spellStart"/>
      <w:r w:rsidRPr="0041385D">
        <w:t>Clarus</w:t>
      </w:r>
      <w:proofErr w:type="spellEnd"/>
      <w:r w:rsidRPr="0041385D">
        <w:t xml:space="preserve"> 600 GC System equipped with a Rtx-5MS capillary column (30 m x 0.25 mm internal diameter, 0.25 </w:t>
      </w:r>
      <w:proofErr w:type="spellStart"/>
      <w:r w:rsidRPr="0041385D">
        <w:t>μm</w:t>
      </w:r>
      <w:proofErr w:type="spellEnd"/>
      <w:r w:rsidRPr="0041385D">
        <w:t xml:space="preserve"> film thickness; maximum temperature, 350˚C), which was connected to a Perkin Elmer </w:t>
      </w:r>
      <w:proofErr w:type="spellStart"/>
      <w:r w:rsidRPr="0041385D">
        <w:t>Clarus</w:t>
      </w:r>
      <w:proofErr w:type="spellEnd"/>
      <w:r w:rsidRPr="0041385D">
        <w:t xml:space="preserve"> 600C MS. The experiment employed helium gas with an exceptionally high level of purity (99.99%) as the carrier gas, which was maintained at a consistent flow rate of 1.0 mL per minute. The temperatures of the injection, transfer line, and ion source were set to 290˚C. The ionization energy was measured to be 70 electron volts (eV). The voltage for the electron multiplier was acquired through the process of auto tuning. The oven temperature was set to increase from an initial value of 60˚C (held for a duration of 2 minutes) to a final value of 280˚C, with a linear rate of change of 3˚C per minute. The crude samples underwent dilution using a suitable solvent at a ratio of 1:100 (v/v) and subsequent filtration. The diluted crude extracts, which were free of particles, were injected into the injector using a syringe with a split ratio of 30:1. The volume of the injected extracts was 1 </w:t>
      </w:r>
      <w:proofErr w:type="spellStart"/>
      <w:r w:rsidRPr="0041385D">
        <w:t>μL</w:t>
      </w:r>
      <w:proofErr w:type="spellEnd"/>
      <w:r w:rsidRPr="0041385D">
        <w:t xml:space="preserve">. The data was acquired through the collection of full-scan mass spectra over a scan range of 40–550 </w:t>
      </w:r>
      <w:proofErr w:type="spellStart"/>
      <w:r w:rsidRPr="0041385D">
        <w:t>amu</w:t>
      </w:r>
      <w:proofErr w:type="spellEnd"/>
      <w:r w:rsidRPr="0041385D">
        <w:t xml:space="preserve">. The relative abundance of the elements in the </w:t>
      </w:r>
      <w:r w:rsidRPr="0041385D">
        <w:lastRenderedPageBreak/>
        <w:t>crude extract was quantified by calculating the percentage composition based on the peak area. The determination and characterization of chemical components in diverse crude extracts were conducted using gas chromatography (GC) retention time. The mass spectra were compared to those of standards found in mass spectrum libraries using computer matching techniques. The interpretation of the Mass-Spectrum GC-MC was performed utilizing the National Institute Standard and Technology (NIST) database. The spectral characteristics of the unidentified components were analyzed by comparing them with the spectra of known components kept in the NIST library. Additionally, the retention duration of the components was examined for further confirmation. The identification of the components of the test substance was determined, including their respective names, molecular weights, and structures</w:t>
      </w:r>
      <w:r w:rsidR="00611177">
        <w:t xml:space="preserve"> </w:t>
      </w:r>
      <w:r w:rsidR="00611177">
        <w:fldChar w:fldCharType="begin"/>
      </w:r>
      <w:r w:rsidR="00611177">
        <w:instrText xml:space="preserve"> ADDIN EN.CITE &lt;EndNote&gt;&lt;Cite&gt;&lt;Author&gt;Kadhim&lt;/Author&gt;&lt;Year&gt;2016&lt;/Year&gt;&lt;RecNum&gt;631&lt;/RecNum&gt;&lt;DisplayText&gt;[19]&lt;/DisplayText&gt;&lt;record&gt;&lt;rec-number&gt;631&lt;/rec-number&gt;&lt;foreign-keys&gt;&lt;key app="EN" db-id="xzwdwxpsd2p0rrevxampz09aw9w9art9vs0d" timestamp="1782125059"&gt;631&lt;/key&gt;&lt;/foreign-keys&gt;&lt;ref-type name="Journal Article"&gt;17&lt;/ref-type&gt;&lt;contributors&gt;&lt;authors&gt;&lt;author&gt;Kadhim, Mohanad Jawad&lt;/author&gt;&lt;author&gt;Sosa, Azhar Abdulameer&lt;/author&gt;&lt;author&gt;Hameed, Imad Hadi&lt;/author&gt;&lt;/authors&gt;&lt;/contributors&gt;&lt;titles&gt;&lt;title&gt;Evaluation of anti-bacterial activity and bioactive chemical analysis of Ocimum basilicum using Fourier transform infrared (FT-IR) and gas chromatography-mass spectrometry (GC-MS) techniques&lt;/title&gt;&lt;secondary-title&gt;Journal of pharmacognosy and phytotherapy&lt;/secondary-title&gt;&lt;/titles&gt;&lt;periodical&gt;&lt;full-title&gt;Journal of pharmacognosy and phytotherapy&lt;/full-title&gt;&lt;/periodical&gt;&lt;pages&gt;127-146&lt;/pages&gt;&lt;volume&gt;8&lt;/volume&gt;&lt;number&gt;6&lt;/number&gt;&lt;dates&gt;&lt;year&gt;2016&lt;/year&gt;&lt;/dates&gt;&lt;isbn&gt;2141-2502&lt;/isbn&gt;&lt;urls&gt;&lt;/urls&gt;&lt;/record&gt;&lt;/Cite&gt;&lt;/EndNote&gt;</w:instrText>
      </w:r>
      <w:r w:rsidR="00611177">
        <w:fldChar w:fldCharType="separate"/>
      </w:r>
      <w:r w:rsidR="00611177">
        <w:rPr>
          <w:noProof/>
        </w:rPr>
        <w:t>[</w:t>
      </w:r>
      <w:hyperlink w:anchor="_ENREF_19" w:tooltip="Kadhim, 2016 #631" w:history="1">
        <w:r w:rsidR="00611177">
          <w:rPr>
            <w:noProof/>
          </w:rPr>
          <w:t>19</w:t>
        </w:r>
      </w:hyperlink>
      <w:r w:rsidR="00611177">
        <w:rPr>
          <w:noProof/>
        </w:rPr>
        <w:t>]</w:t>
      </w:r>
      <w:r w:rsidR="00611177">
        <w:fldChar w:fldCharType="end"/>
      </w:r>
      <w:r w:rsidRPr="0041385D">
        <w:t>.</w:t>
      </w:r>
    </w:p>
    <w:p w:rsidR="0065647A" w:rsidRPr="00C75944" w:rsidRDefault="0065647A" w:rsidP="000C4221">
      <w:pPr>
        <w:pStyle w:val="Heading2"/>
        <w:spacing w:before="100" w:beforeAutospacing="1" w:after="100" w:afterAutospacing="1" w:line="360" w:lineRule="auto"/>
        <w:jc w:val="both"/>
        <w:rPr>
          <w:rFonts w:asciiTheme="majorBidi" w:hAnsiTheme="majorBidi"/>
        </w:rPr>
      </w:pPr>
      <w:r>
        <w:rPr>
          <w:rFonts w:asciiTheme="majorBidi" w:hAnsiTheme="majorBidi"/>
        </w:rPr>
        <w:t xml:space="preserve">2.5: </w:t>
      </w:r>
      <w:r w:rsidRPr="00C75944">
        <w:rPr>
          <w:rFonts w:asciiTheme="majorBidi" w:hAnsiTheme="majorBidi"/>
        </w:rPr>
        <w:t>Physicochemical and pharmacokinetic Characteristics</w:t>
      </w:r>
    </w:p>
    <w:p w:rsidR="0065647A" w:rsidRPr="00C75944" w:rsidRDefault="0065647A" w:rsidP="00611177">
      <w:pPr>
        <w:spacing w:before="100" w:beforeAutospacing="1" w:after="100" w:afterAutospacing="1" w:line="360" w:lineRule="auto"/>
        <w:jc w:val="both"/>
        <w:rPr>
          <w:rFonts w:asciiTheme="majorBidi" w:hAnsiTheme="majorBidi" w:cstheme="majorBidi"/>
        </w:rPr>
      </w:pPr>
      <w:r w:rsidRPr="00C75944">
        <w:rPr>
          <w:rFonts w:asciiTheme="majorBidi" w:hAnsiTheme="majorBidi" w:cstheme="majorBidi"/>
        </w:rPr>
        <w:t xml:space="preserve">We conducted a comprehensive evaluation of the physicochemical and pharmacokinetic characteristics of the </w:t>
      </w:r>
      <w:r w:rsidR="007E1589">
        <w:rPr>
          <w:rFonts w:asciiTheme="majorBidi" w:hAnsiTheme="majorBidi" w:cstheme="majorBidi"/>
        </w:rPr>
        <w:t>identified chemical constituents</w:t>
      </w:r>
      <w:r w:rsidRPr="00C75944">
        <w:rPr>
          <w:rFonts w:asciiTheme="majorBidi" w:hAnsiTheme="majorBidi" w:cstheme="majorBidi"/>
        </w:rPr>
        <w:t xml:space="preserve"> using the </w:t>
      </w:r>
      <w:proofErr w:type="spellStart"/>
      <w:r w:rsidRPr="00C75944">
        <w:rPr>
          <w:rFonts w:asciiTheme="majorBidi" w:hAnsiTheme="majorBidi" w:cstheme="majorBidi"/>
        </w:rPr>
        <w:t>SwissADME</w:t>
      </w:r>
      <w:proofErr w:type="spellEnd"/>
      <w:r w:rsidRPr="00C75944">
        <w:rPr>
          <w:rFonts w:asciiTheme="majorBidi" w:hAnsiTheme="majorBidi" w:cstheme="majorBidi"/>
        </w:rPr>
        <w:t xml:space="preserve"> platform, accessible at (</w:t>
      </w:r>
      <w:hyperlink r:id="rId6" w:history="1">
        <w:r w:rsidRPr="00C75944">
          <w:rPr>
            <w:rStyle w:val="Hyperlink"/>
            <w:rFonts w:asciiTheme="majorBidi" w:hAnsiTheme="majorBidi" w:cstheme="majorBidi"/>
          </w:rPr>
          <w:t>http://www.swissadme.ch\</w:t>
        </w:r>
      </w:hyperlink>
      <w:r w:rsidRPr="00C75944">
        <w:rPr>
          <w:rFonts w:asciiTheme="majorBidi" w:hAnsiTheme="majorBidi" w:cstheme="majorBidi"/>
        </w:rPr>
        <w:t xml:space="preserve">). This sophisticated computational tool offers an in-depth analysis of various pharmacokinetic parameters, covering aspects of absorption, distribution, metabolism, and excretion (ADME) </w:t>
      </w:r>
      <w:r w:rsidRPr="00C75944">
        <w:rPr>
          <w:rFonts w:asciiTheme="majorBidi" w:hAnsiTheme="majorBidi" w:cstheme="majorBidi"/>
        </w:rPr>
        <w:fldChar w:fldCharType="begin"/>
      </w:r>
      <w:r w:rsidR="00611177">
        <w:rPr>
          <w:rFonts w:asciiTheme="majorBidi" w:hAnsiTheme="majorBidi" w:cstheme="majorBidi"/>
        </w:rPr>
        <w:instrText xml:space="preserve"> ADDIN EN.CITE &lt;EndNote&gt;&lt;Cite&gt;&lt;Author&gt;Daina&lt;/Author&gt;&lt;Year&gt;2019&lt;/Year&gt;&lt;RecNum&gt;180&lt;/RecNum&gt;&lt;DisplayText&gt;[20]&lt;/DisplayText&gt;&lt;record&gt;&lt;rec-number&gt;180&lt;/rec-number&gt;&lt;foreign-keys&gt;&lt;key app="EN" db-id="fxwvawvwc05r2seesz8vf02zretar0p25dfd" timestamp="1713512221"&gt;180&lt;/key&gt;&lt;/foreign-keys&gt;&lt;ref-type name="Journal Article"&gt;17&lt;/ref-type&gt;&lt;contributors&gt;&lt;authors&gt;&lt;author&gt;Daina, Antoine&lt;/author&gt;&lt;author&gt;Zoete, Vincent&lt;/author&gt;&lt;/authors&gt;&lt;/contributors&gt;&lt;titles&gt;&lt;title&gt;Application of the SwissDrugDesign online resources in virtual screening&lt;/title&gt;&lt;secondary-title&gt;International journal of molecular sciences&lt;/secondary-title&gt;&lt;/titles&gt;&lt;periodical&gt;&lt;full-title&gt;International journal of molecular sciences&lt;/full-title&gt;&lt;/periodical&gt;&lt;pages&gt;4612&lt;/pages&gt;&lt;volume&gt;20&lt;/volume&gt;&lt;number&gt;18&lt;/number&gt;&lt;dates&gt;&lt;year&gt;2019&lt;/year&gt;&lt;/dates&gt;&lt;isbn&gt;1422-0067&lt;/isbn&gt;&lt;urls&gt;&lt;/urls&gt;&lt;/record&gt;&lt;/Cite&gt;&lt;/EndNote&gt;</w:instrText>
      </w:r>
      <w:r w:rsidRPr="00C75944">
        <w:rPr>
          <w:rFonts w:asciiTheme="majorBidi" w:hAnsiTheme="majorBidi" w:cstheme="majorBidi"/>
        </w:rPr>
        <w:fldChar w:fldCharType="separate"/>
      </w:r>
      <w:r w:rsidR="00611177">
        <w:rPr>
          <w:rFonts w:asciiTheme="majorBidi" w:hAnsiTheme="majorBidi" w:cstheme="majorBidi"/>
          <w:noProof/>
        </w:rPr>
        <w:t>[</w:t>
      </w:r>
      <w:hyperlink w:anchor="_ENREF_20" w:tooltip="Daina, 2019 #180" w:history="1">
        <w:r w:rsidR="00611177">
          <w:rPr>
            <w:rFonts w:asciiTheme="majorBidi" w:hAnsiTheme="majorBidi" w:cstheme="majorBidi"/>
            <w:noProof/>
          </w:rPr>
          <w:t>20</w:t>
        </w:r>
      </w:hyperlink>
      <w:r w:rsidR="00611177">
        <w:rPr>
          <w:rFonts w:asciiTheme="majorBidi" w:hAnsiTheme="majorBidi" w:cstheme="majorBidi"/>
          <w:noProof/>
        </w:rPr>
        <w:t>]</w:t>
      </w:r>
      <w:r w:rsidRPr="00C75944">
        <w:rPr>
          <w:rFonts w:asciiTheme="majorBidi" w:hAnsiTheme="majorBidi" w:cstheme="majorBidi"/>
        </w:rPr>
        <w:fldChar w:fldCharType="end"/>
      </w:r>
      <w:r w:rsidRPr="00C75944">
        <w:rPr>
          <w:rFonts w:asciiTheme="majorBidi" w:hAnsiTheme="majorBidi" w:cstheme="majorBidi"/>
        </w:rPr>
        <w:t>.</w:t>
      </w:r>
    </w:p>
    <w:p w:rsidR="0004538C" w:rsidRPr="00062767" w:rsidRDefault="0065647A" w:rsidP="000C4221">
      <w:pPr>
        <w:spacing w:before="100" w:beforeAutospacing="1" w:after="100" w:afterAutospacing="1" w:line="360" w:lineRule="auto"/>
        <w:rPr>
          <w:b/>
          <w:bCs/>
          <w:sz w:val="28"/>
          <w:szCs w:val="28"/>
        </w:rPr>
      </w:pPr>
      <w:r w:rsidRPr="00062767">
        <w:rPr>
          <w:b/>
          <w:bCs/>
          <w:sz w:val="28"/>
          <w:szCs w:val="28"/>
        </w:rPr>
        <w:t xml:space="preserve">3. RESULTS </w:t>
      </w:r>
    </w:p>
    <w:p w:rsidR="00647508" w:rsidRPr="00C02236" w:rsidRDefault="000C4221" w:rsidP="000C4221">
      <w:pPr>
        <w:spacing w:before="100" w:beforeAutospacing="1" w:after="100" w:afterAutospacing="1" w:line="360" w:lineRule="auto"/>
        <w:jc w:val="both"/>
        <w:rPr>
          <w:rFonts w:asciiTheme="majorBidi" w:hAnsiTheme="majorBidi" w:cstheme="majorBidi"/>
          <w:b/>
        </w:rPr>
      </w:pPr>
      <w:r>
        <w:rPr>
          <w:rFonts w:asciiTheme="majorBidi" w:hAnsiTheme="majorBidi" w:cstheme="majorBidi"/>
          <w:b/>
        </w:rPr>
        <w:t>3</w:t>
      </w:r>
      <w:r w:rsidR="00647508" w:rsidRPr="00C02236">
        <w:rPr>
          <w:rFonts w:asciiTheme="majorBidi" w:hAnsiTheme="majorBidi" w:cstheme="majorBidi"/>
          <w:b/>
        </w:rPr>
        <w:t>.1. Results of Phyt</w:t>
      </w:r>
      <w:r w:rsidR="00FC53C1">
        <w:rPr>
          <w:rFonts w:asciiTheme="majorBidi" w:hAnsiTheme="majorBidi" w:cstheme="majorBidi"/>
          <w:b/>
        </w:rPr>
        <w:t>ochemical Analysis of</w:t>
      </w:r>
      <w:r w:rsidR="00647508" w:rsidRPr="00C02236">
        <w:rPr>
          <w:rFonts w:asciiTheme="majorBidi" w:hAnsiTheme="majorBidi" w:cstheme="majorBidi"/>
          <w:b/>
        </w:rPr>
        <w:t xml:space="preserve"> </w:t>
      </w:r>
      <w:proofErr w:type="spellStart"/>
      <w:r w:rsidR="00647508" w:rsidRPr="00C02236">
        <w:rPr>
          <w:rFonts w:asciiTheme="majorBidi" w:hAnsiTheme="majorBidi" w:cstheme="majorBidi"/>
          <w:b/>
        </w:rPr>
        <w:t>Ethanolic</w:t>
      </w:r>
      <w:proofErr w:type="spellEnd"/>
      <w:r w:rsidR="00647508" w:rsidRPr="00C02236">
        <w:rPr>
          <w:rFonts w:asciiTheme="majorBidi" w:hAnsiTheme="majorBidi" w:cstheme="majorBidi"/>
          <w:b/>
        </w:rPr>
        <w:t xml:space="preserve"> extract </w:t>
      </w:r>
      <w:proofErr w:type="spellStart"/>
      <w:r w:rsidR="00647508" w:rsidRPr="00FC53C1">
        <w:rPr>
          <w:rFonts w:asciiTheme="majorBidi" w:hAnsiTheme="majorBidi" w:cstheme="majorBidi"/>
          <w:b/>
          <w:i/>
          <w:iCs/>
        </w:rPr>
        <w:t>Ocimum</w:t>
      </w:r>
      <w:proofErr w:type="spellEnd"/>
      <w:r w:rsidR="00647508" w:rsidRPr="00FC53C1">
        <w:rPr>
          <w:rFonts w:asciiTheme="majorBidi" w:hAnsiTheme="majorBidi" w:cstheme="majorBidi"/>
          <w:b/>
          <w:i/>
          <w:iCs/>
        </w:rPr>
        <w:t xml:space="preserve"> </w:t>
      </w:r>
      <w:proofErr w:type="spellStart"/>
      <w:r w:rsidR="00647508" w:rsidRPr="00FC53C1">
        <w:rPr>
          <w:rFonts w:asciiTheme="majorBidi" w:hAnsiTheme="majorBidi" w:cstheme="majorBidi"/>
          <w:b/>
          <w:i/>
          <w:iCs/>
        </w:rPr>
        <w:t>basilicum</w:t>
      </w:r>
      <w:proofErr w:type="spellEnd"/>
      <w:r w:rsidR="00647508" w:rsidRPr="00C02236">
        <w:rPr>
          <w:rFonts w:asciiTheme="majorBidi" w:hAnsiTheme="majorBidi" w:cstheme="majorBidi"/>
          <w:b/>
        </w:rPr>
        <w:t xml:space="preserve">.                                                                     </w:t>
      </w:r>
    </w:p>
    <w:p w:rsidR="003F1319" w:rsidRDefault="00647508" w:rsidP="007E1589">
      <w:pPr>
        <w:spacing w:before="100" w:beforeAutospacing="1" w:after="100" w:afterAutospacing="1" w:line="360" w:lineRule="auto"/>
        <w:jc w:val="both"/>
        <w:rPr>
          <w:rFonts w:asciiTheme="majorBidi" w:hAnsiTheme="majorBidi" w:cstheme="majorBidi"/>
        </w:rPr>
      </w:pPr>
      <w:r w:rsidRPr="00C02236">
        <w:rPr>
          <w:rFonts w:asciiTheme="majorBidi" w:hAnsiTheme="majorBidi" w:cstheme="majorBidi"/>
        </w:rPr>
        <w:t>Result of phytochemical</w:t>
      </w:r>
      <w:r w:rsidR="00FC53C1">
        <w:rPr>
          <w:rFonts w:asciiTheme="majorBidi" w:hAnsiTheme="majorBidi" w:cstheme="majorBidi"/>
        </w:rPr>
        <w:t xml:space="preserve"> analysis of </w:t>
      </w:r>
      <w:proofErr w:type="spellStart"/>
      <w:r w:rsidR="00FC53C1">
        <w:rPr>
          <w:rFonts w:asciiTheme="majorBidi" w:hAnsiTheme="majorBidi" w:cstheme="majorBidi"/>
        </w:rPr>
        <w:t>ethanolic</w:t>
      </w:r>
      <w:proofErr w:type="spellEnd"/>
      <w:r w:rsidR="00FC53C1">
        <w:rPr>
          <w:rFonts w:asciiTheme="majorBidi" w:hAnsiTheme="majorBidi" w:cstheme="majorBidi"/>
        </w:rPr>
        <w:t xml:space="preserve"> extract </w:t>
      </w:r>
      <w:r w:rsidRPr="00C02236">
        <w:rPr>
          <w:rFonts w:asciiTheme="majorBidi" w:hAnsiTheme="majorBidi" w:cstheme="majorBidi"/>
        </w:rPr>
        <w:t xml:space="preserve">of </w:t>
      </w:r>
      <w:proofErr w:type="spellStart"/>
      <w:r w:rsidRPr="00FC53C1">
        <w:rPr>
          <w:rFonts w:asciiTheme="majorBidi" w:hAnsiTheme="majorBidi" w:cstheme="majorBidi"/>
          <w:i/>
          <w:iCs/>
        </w:rPr>
        <w:t>Ocimum</w:t>
      </w:r>
      <w:proofErr w:type="spellEnd"/>
      <w:r w:rsidRPr="00FC53C1">
        <w:rPr>
          <w:rFonts w:asciiTheme="majorBidi" w:hAnsiTheme="majorBidi" w:cstheme="majorBidi"/>
          <w:i/>
          <w:iCs/>
        </w:rPr>
        <w:t xml:space="preserve"> </w:t>
      </w:r>
      <w:proofErr w:type="spellStart"/>
      <w:r w:rsidRPr="00FC53C1">
        <w:rPr>
          <w:rFonts w:asciiTheme="majorBidi" w:hAnsiTheme="majorBidi" w:cstheme="majorBidi"/>
          <w:i/>
          <w:iCs/>
        </w:rPr>
        <w:t>basilicum</w:t>
      </w:r>
      <w:proofErr w:type="spellEnd"/>
      <w:r w:rsidRPr="00C02236">
        <w:rPr>
          <w:rFonts w:asciiTheme="majorBidi" w:hAnsiTheme="majorBidi" w:cstheme="majorBidi"/>
        </w:rPr>
        <w:t xml:space="preserve"> are shown in the table 1.</w:t>
      </w:r>
      <w:r w:rsidR="003F1319">
        <w:rPr>
          <w:rFonts w:asciiTheme="majorBidi" w:hAnsiTheme="majorBidi" w:cstheme="majorBidi"/>
        </w:rPr>
        <w:t xml:space="preserve"> It indicates the presence of </w:t>
      </w:r>
      <w:r w:rsidR="003F1319" w:rsidRPr="00690B11">
        <w:rPr>
          <w:rFonts w:asciiTheme="majorBidi" w:hAnsiTheme="majorBidi" w:cstheme="majorBidi"/>
        </w:rPr>
        <w:t xml:space="preserve">presence of various types of secondary metabolites, including as </w:t>
      </w:r>
      <w:proofErr w:type="spellStart"/>
      <w:r w:rsidR="003F1319" w:rsidRPr="00690B11">
        <w:rPr>
          <w:rFonts w:asciiTheme="majorBidi" w:hAnsiTheme="majorBidi" w:cstheme="majorBidi"/>
        </w:rPr>
        <w:t>terpenes</w:t>
      </w:r>
      <w:proofErr w:type="spellEnd"/>
      <w:r w:rsidR="003F1319" w:rsidRPr="00690B11">
        <w:rPr>
          <w:rFonts w:asciiTheme="majorBidi" w:hAnsiTheme="majorBidi" w:cstheme="majorBidi"/>
        </w:rPr>
        <w:t xml:space="preserve">, alkaloids, glycosides, flavonoids, </w:t>
      </w:r>
      <w:proofErr w:type="spellStart"/>
      <w:r w:rsidR="003F1319" w:rsidRPr="00690B11">
        <w:rPr>
          <w:rFonts w:asciiTheme="majorBidi" w:hAnsiTheme="majorBidi" w:cstheme="majorBidi"/>
        </w:rPr>
        <w:t>saponins</w:t>
      </w:r>
      <w:proofErr w:type="spellEnd"/>
      <w:r w:rsidR="003F1319" w:rsidRPr="00690B11">
        <w:rPr>
          <w:rFonts w:asciiTheme="majorBidi" w:hAnsiTheme="majorBidi" w:cstheme="majorBidi"/>
        </w:rPr>
        <w:t>, and phenols</w:t>
      </w:r>
      <w:r w:rsidR="003F1319">
        <w:rPr>
          <w:rFonts w:asciiTheme="majorBidi" w:hAnsiTheme="majorBidi" w:cstheme="majorBidi"/>
        </w:rPr>
        <w:t>.</w:t>
      </w:r>
    </w:p>
    <w:p w:rsidR="00A872F7" w:rsidRPr="003F1319" w:rsidRDefault="00A872F7" w:rsidP="000C4221">
      <w:pPr>
        <w:spacing w:line="360" w:lineRule="auto"/>
        <w:jc w:val="both"/>
        <w:rPr>
          <w:rFonts w:asciiTheme="majorBidi" w:hAnsiTheme="majorBidi" w:cstheme="majorBidi"/>
          <w:i/>
          <w:iCs/>
        </w:rPr>
      </w:pPr>
      <w:r w:rsidRPr="00C02236">
        <w:rPr>
          <w:rFonts w:asciiTheme="majorBidi" w:hAnsiTheme="majorBidi" w:cstheme="majorBidi"/>
          <w:b/>
        </w:rPr>
        <w:t>Table</w:t>
      </w:r>
      <w:r w:rsidR="00CD7B49">
        <w:rPr>
          <w:rFonts w:asciiTheme="majorBidi" w:hAnsiTheme="majorBidi" w:cstheme="majorBidi"/>
          <w:b/>
        </w:rPr>
        <w:t xml:space="preserve"> </w:t>
      </w:r>
      <w:r w:rsidRPr="00C02236">
        <w:rPr>
          <w:rFonts w:asciiTheme="majorBidi" w:hAnsiTheme="majorBidi" w:cstheme="majorBidi"/>
          <w:b/>
        </w:rPr>
        <w:t xml:space="preserve">1: Phytochemical Analysis </w:t>
      </w:r>
      <w:r w:rsidR="00CD7B49" w:rsidRPr="00C02236">
        <w:rPr>
          <w:rFonts w:asciiTheme="majorBidi" w:hAnsiTheme="majorBidi" w:cstheme="majorBidi"/>
          <w:b/>
        </w:rPr>
        <w:t xml:space="preserve">of </w:t>
      </w:r>
      <w:proofErr w:type="spellStart"/>
      <w:r w:rsidR="00CD7B49" w:rsidRPr="00C02236">
        <w:rPr>
          <w:rFonts w:asciiTheme="majorBidi" w:hAnsiTheme="majorBidi" w:cstheme="majorBidi"/>
          <w:b/>
        </w:rPr>
        <w:t>Ethanolic</w:t>
      </w:r>
      <w:proofErr w:type="spellEnd"/>
      <w:r w:rsidRPr="00C02236">
        <w:rPr>
          <w:rFonts w:asciiTheme="majorBidi" w:hAnsiTheme="majorBidi" w:cstheme="majorBidi"/>
          <w:b/>
        </w:rPr>
        <w:t xml:space="preserve"> extract </w:t>
      </w:r>
      <w:proofErr w:type="spellStart"/>
      <w:r w:rsidRPr="003F1319">
        <w:rPr>
          <w:rFonts w:asciiTheme="majorBidi" w:hAnsiTheme="majorBidi" w:cstheme="majorBidi"/>
          <w:b/>
          <w:i/>
          <w:iCs/>
        </w:rPr>
        <w:t>Ocimum</w:t>
      </w:r>
      <w:proofErr w:type="spellEnd"/>
      <w:r w:rsidRPr="003F1319">
        <w:rPr>
          <w:rFonts w:asciiTheme="majorBidi" w:hAnsiTheme="majorBidi" w:cstheme="majorBidi"/>
          <w:b/>
          <w:i/>
          <w:iCs/>
        </w:rPr>
        <w:t xml:space="preserve"> </w:t>
      </w:r>
      <w:proofErr w:type="spellStart"/>
      <w:r w:rsidRPr="003F1319">
        <w:rPr>
          <w:rFonts w:asciiTheme="majorBidi" w:hAnsiTheme="majorBidi" w:cstheme="majorBidi"/>
          <w:b/>
          <w:i/>
          <w:iCs/>
        </w:rPr>
        <w:t>basilicum</w:t>
      </w:r>
      <w:proofErr w:type="spellEnd"/>
      <w:r w:rsidRPr="003F1319">
        <w:rPr>
          <w:rFonts w:asciiTheme="majorBidi" w:hAnsiTheme="majorBidi" w:cstheme="majorBidi"/>
          <w:b/>
          <w:i/>
          <w:iCs/>
        </w:rPr>
        <w:t>.</w:t>
      </w:r>
    </w:p>
    <w:tbl>
      <w:tblPr>
        <w:tblStyle w:val="TableGridLight"/>
        <w:tblW w:w="0" w:type="auto"/>
        <w:jc w:val="center"/>
        <w:tblLook w:val="04A0" w:firstRow="1" w:lastRow="0" w:firstColumn="1" w:lastColumn="0" w:noHBand="0" w:noVBand="1"/>
      </w:tblPr>
      <w:tblGrid>
        <w:gridCol w:w="819"/>
        <w:gridCol w:w="2463"/>
        <w:gridCol w:w="2378"/>
      </w:tblGrid>
      <w:tr w:rsidR="00A60F55" w:rsidRPr="00A872F7" w:rsidTr="00A872F7">
        <w:trPr>
          <w:jc w:val="center"/>
        </w:trPr>
        <w:tc>
          <w:tcPr>
            <w:tcW w:w="819" w:type="dxa"/>
          </w:tcPr>
          <w:p w:rsidR="00A60F55" w:rsidRPr="00A872F7" w:rsidRDefault="00A60F55" w:rsidP="00CD7B49">
            <w:pPr>
              <w:rPr>
                <w:b/>
                <w:bCs/>
              </w:rPr>
            </w:pPr>
            <w:r w:rsidRPr="00A872F7">
              <w:rPr>
                <w:b/>
                <w:bCs/>
              </w:rPr>
              <w:t>Sr. #</w:t>
            </w:r>
          </w:p>
        </w:tc>
        <w:tc>
          <w:tcPr>
            <w:tcW w:w="2463" w:type="dxa"/>
          </w:tcPr>
          <w:p w:rsidR="00A60F55" w:rsidRPr="00A872F7" w:rsidRDefault="00A60F55" w:rsidP="00A60F55">
            <w:pPr>
              <w:jc w:val="center"/>
              <w:rPr>
                <w:b/>
                <w:bCs/>
              </w:rPr>
            </w:pPr>
            <w:r w:rsidRPr="00A872F7">
              <w:rPr>
                <w:b/>
                <w:bCs/>
              </w:rPr>
              <w:t>Chemicals Compounds</w:t>
            </w:r>
          </w:p>
        </w:tc>
        <w:tc>
          <w:tcPr>
            <w:tcW w:w="2378" w:type="dxa"/>
          </w:tcPr>
          <w:p w:rsidR="00A60F55" w:rsidRPr="00A872F7" w:rsidRDefault="00A60F55" w:rsidP="00A60F55">
            <w:pPr>
              <w:jc w:val="center"/>
              <w:rPr>
                <w:b/>
                <w:bCs/>
              </w:rPr>
            </w:pPr>
            <w:r w:rsidRPr="00A872F7">
              <w:rPr>
                <w:b/>
                <w:bCs/>
              </w:rPr>
              <w:t>Presence/Absence</w:t>
            </w:r>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r w:rsidRPr="00A872F7">
              <w:t>Alkaloid</w:t>
            </w:r>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r w:rsidRPr="00A872F7">
              <w:t>Flavonoids</w:t>
            </w:r>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r w:rsidRPr="00A872F7">
              <w:t>Tannins</w:t>
            </w:r>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proofErr w:type="spellStart"/>
            <w:r w:rsidRPr="00A872F7">
              <w:t>saponin</w:t>
            </w:r>
            <w:proofErr w:type="spellEnd"/>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proofErr w:type="spellStart"/>
            <w:r w:rsidRPr="00A872F7">
              <w:t>Terpenoids</w:t>
            </w:r>
            <w:proofErr w:type="spellEnd"/>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r w:rsidRPr="00A872F7">
              <w:t>Steroid</w:t>
            </w:r>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r w:rsidRPr="00A872F7">
              <w:t>Glycosides</w:t>
            </w:r>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r w:rsidRPr="00A872F7">
              <w:t>Protein/Amino acids</w:t>
            </w:r>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A872F7"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r w:rsidRPr="00A872F7">
              <w:t>Carbohydrates</w:t>
            </w:r>
          </w:p>
        </w:tc>
        <w:tc>
          <w:tcPr>
            <w:tcW w:w="2378" w:type="dxa"/>
          </w:tcPr>
          <w:p w:rsidR="00A60F55" w:rsidRPr="00A872F7" w:rsidRDefault="00A60F55" w:rsidP="00A60F55">
            <w:pPr>
              <w:jc w:val="center"/>
              <w:rPr>
                <w:b/>
                <w:bCs/>
              </w:rPr>
            </w:pPr>
            <w:r w:rsidRPr="00A872F7">
              <w:rPr>
                <w:b/>
                <w:bCs/>
              </w:rPr>
              <w:t>+</w:t>
            </w:r>
            <w:proofErr w:type="spellStart"/>
            <w:r w:rsidRPr="00A872F7">
              <w:rPr>
                <w:b/>
                <w:bCs/>
              </w:rPr>
              <w:t>ve</w:t>
            </w:r>
            <w:proofErr w:type="spellEnd"/>
          </w:p>
        </w:tc>
      </w:tr>
      <w:tr w:rsidR="00A60F55" w:rsidRPr="0065647A" w:rsidTr="00A872F7">
        <w:trPr>
          <w:jc w:val="center"/>
        </w:trPr>
        <w:tc>
          <w:tcPr>
            <w:tcW w:w="819" w:type="dxa"/>
          </w:tcPr>
          <w:p w:rsidR="00A60F55" w:rsidRPr="00A872F7" w:rsidRDefault="00A60F55" w:rsidP="00CD7B49">
            <w:pPr>
              <w:pStyle w:val="ListParagraph"/>
              <w:numPr>
                <w:ilvl w:val="0"/>
                <w:numId w:val="2"/>
              </w:numPr>
              <w:spacing w:after="0" w:line="240" w:lineRule="auto"/>
              <w:rPr>
                <w:rFonts w:ascii="Times New Roman" w:hAnsi="Times New Roman"/>
                <w:sz w:val="24"/>
                <w:szCs w:val="24"/>
              </w:rPr>
            </w:pPr>
          </w:p>
        </w:tc>
        <w:tc>
          <w:tcPr>
            <w:tcW w:w="2463" w:type="dxa"/>
          </w:tcPr>
          <w:p w:rsidR="00A60F55" w:rsidRPr="00A872F7" w:rsidRDefault="00A60F55" w:rsidP="00A60F55">
            <w:pPr>
              <w:jc w:val="center"/>
            </w:pPr>
            <w:r w:rsidRPr="00A872F7">
              <w:t>Fixed oils</w:t>
            </w:r>
          </w:p>
        </w:tc>
        <w:tc>
          <w:tcPr>
            <w:tcW w:w="2378" w:type="dxa"/>
          </w:tcPr>
          <w:p w:rsidR="00A60F55" w:rsidRPr="00A872F7" w:rsidRDefault="007E1589" w:rsidP="00A60F55">
            <w:pPr>
              <w:jc w:val="center"/>
              <w:rPr>
                <w:b/>
                <w:bCs/>
              </w:rPr>
            </w:pPr>
            <w:r>
              <w:rPr>
                <w:b/>
                <w:bCs/>
              </w:rPr>
              <w:t>+</w:t>
            </w:r>
            <w:proofErr w:type="spellStart"/>
            <w:r w:rsidR="00A60F55" w:rsidRPr="00A872F7">
              <w:rPr>
                <w:b/>
                <w:bCs/>
              </w:rPr>
              <w:t>ve</w:t>
            </w:r>
            <w:proofErr w:type="spellEnd"/>
          </w:p>
        </w:tc>
      </w:tr>
    </w:tbl>
    <w:p w:rsidR="00647508" w:rsidRPr="00C02236" w:rsidRDefault="00647508" w:rsidP="00647508">
      <w:pPr>
        <w:spacing w:line="360" w:lineRule="auto"/>
        <w:jc w:val="both"/>
        <w:rPr>
          <w:rFonts w:asciiTheme="majorBidi" w:hAnsiTheme="majorBidi" w:cstheme="majorBidi"/>
        </w:rPr>
      </w:pPr>
    </w:p>
    <w:p w:rsidR="00647508" w:rsidRPr="00C02236" w:rsidRDefault="00647508" w:rsidP="00647508">
      <w:pPr>
        <w:spacing w:line="360" w:lineRule="auto"/>
        <w:jc w:val="both"/>
        <w:rPr>
          <w:rFonts w:asciiTheme="majorBidi" w:hAnsiTheme="majorBidi" w:cstheme="majorBidi"/>
        </w:rPr>
      </w:pPr>
    </w:p>
    <w:p w:rsidR="00647508" w:rsidRPr="00C02236" w:rsidRDefault="000C4221" w:rsidP="00647508">
      <w:pPr>
        <w:spacing w:line="360" w:lineRule="auto"/>
        <w:jc w:val="both"/>
        <w:rPr>
          <w:rFonts w:asciiTheme="majorBidi" w:hAnsiTheme="majorBidi" w:cstheme="majorBidi"/>
          <w:b/>
        </w:rPr>
      </w:pPr>
      <w:r>
        <w:rPr>
          <w:rFonts w:asciiTheme="majorBidi" w:hAnsiTheme="majorBidi" w:cstheme="majorBidi"/>
          <w:b/>
        </w:rPr>
        <w:t>3</w:t>
      </w:r>
      <w:r w:rsidR="00647508" w:rsidRPr="00C02236">
        <w:rPr>
          <w:rFonts w:asciiTheme="majorBidi" w:hAnsiTheme="majorBidi" w:cstheme="majorBidi"/>
          <w:b/>
        </w:rPr>
        <w:t>.2</w:t>
      </w:r>
      <w:r>
        <w:rPr>
          <w:rFonts w:asciiTheme="majorBidi" w:hAnsiTheme="majorBidi" w:cstheme="majorBidi"/>
          <w:b/>
        </w:rPr>
        <w:t>:</w:t>
      </w:r>
      <w:r w:rsidR="00647508" w:rsidRPr="00C02236">
        <w:rPr>
          <w:rFonts w:asciiTheme="majorBidi" w:hAnsiTheme="majorBidi" w:cstheme="majorBidi"/>
          <w:b/>
        </w:rPr>
        <w:t xml:space="preserve"> Results of GC-MS Analysis of </w:t>
      </w:r>
      <w:proofErr w:type="spellStart"/>
      <w:r w:rsidR="00647508" w:rsidRPr="00C02236">
        <w:rPr>
          <w:rFonts w:asciiTheme="majorBidi" w:hAnsiTheme="majorBidi" w:cstheme="majorBidi"/>
          <w:b/>
        </w:rPr>
        <w:t>Ethanolic</w:t>
      </w:r>
      <w:proofErr w:type="spellEnd"/>
      <w:r w:rsidR="00647508" w:rsidRPr="00C02236">
        <w:rPr>
          <w:rFonts w:asciiTheme="majorBidi" w:hAnsiTheme="majorBidi" w:cstheme="majorBidi"/>
          <w:b/>
        </w:rPr>
        <w:t xml:space="preserve"> extract </w:t>
      </w:r>
      <w:proofErr w:type="spellStart"/>
      <w:r w:rsidR="00647508" w:rsidRPr="00A872F7">
        <w:rPr>
          <w:rFonts w:asciiTheme="majorBidi" w:hAnsiTheme="majorBidi" w:cstheme="majorBidi"/>
          <w:b/>
          <w:i/>
          <w:iCs/>
        </w:rPr>
        <w:t>Ocimum</w:t>
      </w:r>
      <w:proofErr w:type="spellEnd"/>
      <w:r w:rsidR="00647508" w:rsidRPr="00A872F7">
        <w:rPr>
          <w:rFonts w:asciiTheme="majorBidi" w:hAnsiTheme="majorBidi" w:cstheme="majorBidi"/>
          <w:b/>
          <w:i/>
          <w:iCs/>
        </w:rPr>
        <w:t xml:space="preserve"> </w:t>
      </w:r>
      <w:proofErr w:type="spellStart"/>
      <w:r w:rsidR="00647508" w:rsidRPr="00A872F7">
        <w:rPr>
          <w:rFonts w:asciiTheme="majorBidi" w:hAnsiTheme="majorBidi" w:cstheme="majorBidi"/>
          <w:b/>
          <w:i/>
          <w:iCs/>
        </w:rPr>
        <w:t>basilicum</w:t>
      </w:r>
      <w:proofErr w:type="spellEnd"/>
    </w:p>
    <w:p w:rsidR="00647508" w:rsidRPr="00CD7B49" w:rsidRDefault="00CD7B49" w:rsidP="00CD7B49">
      <w:pPr>
        <w:pStyle w:val="Heading2"/>
        <w:spacing w:line="360" w:lineRule="auto"/>
        <w:jc w:val="both"/>
        <w:rPr>
          <w:rFonts w:cs="Times New Roman"/>
          <w:b w:val="0"/>
          <w:bCs/>
          <w:sz w:val="24"/>
          <w:szCs w:val="24"/>
        </w:rPr>
      </w:pPr>
      <w:r w:rsidRPr="00CD7B49">
        <w:rPr>
          <w:rFonts w:cs="Times New Roman"/>
          <w:b w:val="0"/>
          <w:bCs/>
          <w:sz w:val="24"/>
          <w:szCs w:val="24"/>
        </w:rPr>
        <w:t xml:space="preserve">GC-MS analysis of </w:t>
      </w:r>
      <w:proofErr w:type="spellStart"/>
      <w:r w:rsidRPr="00CD7B49">
        <w:rPr>
          <w:rFonts w:asciiTheme="majorBidi" w:hAnsiTheme="majorBidi"/>
          <w:b w:val="0"/>
          <w:bCs/>
          <w:i/>
          <w:iCs/>
          <w:sz w:val="24"/>
          <w:szCs w:val="24"/>
        </w:rPr>
        <w:t>Ocimum</w:t>
      </w:r>
      <w:proofErr w:type="spellEnd"/>
      <w:r w:rsidRPr="00CD7B49">
        <w:rPr>
          <w:rFonts w:asciiTheme="majorBidi" w:hAnsiTheme="majorBidi"/>
          <w:b w:val="0"/>
          <w:bCs/>
          <w:i/>
          <w:iCs/>
          <w:sz w:val="24"/>
          <w:szCs w:val="24"/>
        </w:rPr>
        <w:t xml:space="preserve"> </w:t>
      </w:r>
      <w:proofErr w:type="spellStart"/>
      <w:r w:rsidRPr="00CD7B49">
        <w:rPr>
          <w:rFonts w:asciiTheme="majorBidi" w:hAnsiTheme="majorBidi"/>
          <w:b w:val="0"/>
          <w:bCs/>
          <w:i/>
          <w:iCs/>
          <w:sz w:val="24"/>
          <w:szCs w:val="24"/>
        </w:rPr>
        <w:t>basilicum</w:t>
      </w:r>
      <w:proofErr w:type="spellEnd"/>
      <w:r w:rsidRPr="00CD7B49">
        <w:rPr>
          <w:rFonts w:cs="Times New Roman"/>
          <w:b w:val="0"/>
          <w:bCs/>
          <w:sz w:val="24"/>
          <w:szCs w:val="24"/>
        </w:rPr>
        <w:t xml:space="preserve"> </w:t>
      </w:r>
      <w:proofErr w:type="spellStart"/>
      <w:r w:rsidRPr="00CD7B49">
        <w:rPr>
          <w:rFonts w:cs="Times New Roman"/>
          <w:b w:val="0"/>
          <w:bCs/>
          <w:sz w:val="24"/>
          <w:szCs w:val="24"/>
        </w:rPr>
        <w:t>ethanolic</w:t>
      </w:r>
      <w:proofErr w:type="spellEnd"/>
      <w:r w:rsidRPr="00CD7B49">
        <w:rPr>
          <w:rFonts w:cs="Times New Roman"/>
          <w:b w:val="0"/>
          <w:bCs/>
          <w:sz w:val="24"/>
          <w:szCs w:val="24"/>
        </w:rPr>
        <w:t xml:space="preserve"> extract was performed and the results are given in following table 2</w:t>
      </w:r>
    </w:p>
    <w:p w:rsidR="00CD7B49" w:rsidRPr="00CD7B49" w:rsidRDefault="00CD7B49" w:rsidP="00CD7B49">
      <w:pPr>
        <w:rPr>
          <w:b/>
          <w:bCs/>
        </w:rPr>
      </w:pPr>
      <w:r w:rsidRPr="005D7E6A">
        <w:rPr>
          <w:b/>
          <w:bCs/>
        </w:rPr>
        <w:t>Table</w:t>
      </w:r>
      <w:r>
        <w:rPr>
          <w:b/>
          <w:bCs/>
        </w:rPr>
        <w:t xml:space="preserve"> 2:</w:t>
      </w:r>
      <w:r w:rsidRPr="005D7E6A">
        <w:t xml:space="preserve"> </w:t>
      </w:r>
      <w:r w:rsidRPr="005D7E6A">
        <w:rPr>
          <w:b/>
          <w:bCs/>
        </w:rPr>
        <w:t xml:space="preserve">GC-MS analysis of </w:t>
      </w:r>
      <w:proofErr w:type="spellStart"/>
      <w:r w:rsidRPr="005D7E6A">
        <w:rPr>
          <w:b/>
          <w:bCs/>
        </w:rPr>
        <w:t>ethanolic</w:t>
      </w:r>
      <w:proofErr w:type="spellEnd"/>
      <w:r w:rsidRPr="005D7E6A">
        <w:rPr>
          <w:b/>
          <w:bCs/>
        </w:rPr>
        <w:t xml:space="preserve"> extract</w:t>
      </w:r>
      <w:r>
        <w:rPr>
          <w:b/>
          <w:bCs/>
        </w:rPr>
        <w:t xml:space="preserve"> of </w:t>
      </w:r>
      <w:proofErr w:type="spellStart"/>
      <w:r w:rsidRPr="00A872F7">
        <w:rPr>
          <w:rFonts w:asciiTheme="majorBidi" w:hAnsiTheme="majorBidi" w:cstheme="majorBidi"/>
          <w:b/>
          <w:i/>
          <w:iCs/>
        </w:rPr>
        <w:t>Ocimum</w:t>
      </w:r>
      <w:proofErr w:type="spellEnd"/>
      <w:r w:rsidRPr="00A872F7">
        <w:rPr>
          <w:rFonts w:asciiTheme="majorBidi" w:hAnsiTheme="majorBidi" w:cstheme="majorBidi"/>
          <w:b/>
          <w:i/>
          <w:iCs/>
        </w:rPr>
        <w:t xml:space="preserve"> </w:t>
      </w:r>
      <w:proofErr w:type="spellStart"/>
      <w:r w:rsidRPr="00A872F7">
        <w:rPr>
          <w:rFonts w:asciiTheme="majorBidi" w:hAnsiTheme="majorBidi" w:cstheme="majorBidi"/>
          <w:b/>
          <w:i/>
          <w:iCs/>
        </w:rPr>
        <w:t>basilicum</w:t>
      </w:r>
      <w:proofErr w:type="spellEnd"/>
      <w:r w:rsidRPr="005D7E6A">
        <w:rPr>
          <w:b/>
          <w:bCs/>
        </w:rPr>
        <w:t xml:space="preserve"> </w:t>
      </w:r>
    </w:p>
    <w:tbl>
      <w:tblPr>
        <w:tblStyle w:val="TableGridLight"/>
        <w:tblW w:w="0" w:type="auto"/>
        <w:tblLayout w:type="fixed"/>
        <w:tblLook w:val="04A0" w:firstRow="1" w:lastRow="0" w:firstColumn="1" w:lastColumn="0" w:noHBand="0" w:noVBand="1"/>
      </w:tblPr>
      <w:tblGrid>
        <w:gridCol w:w="715"/>
        <w:gridCol w:w="1170"/>
        <w:gridCol w:w="2340"/>
        <w:gridCol w:w="1440"/>
        <w:gridCol w:w="1440"/>
        <w:gridCol w:w="900"/>
        <w:gridCol w:w="1080"/>
      </w:tblGrid>
      <w:tr w:rsidR="00647508" w:rsidRPr="00FC53C1" w:rsidTr="003E1058">
        <w:trPr>
          <w:trHeight w:val="710"/>
        </w:trPr>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lastRenderedPageBreak/>
              <w:t>Peak No.</w:t>
            </w:r>
          </w:p>
        </w:tc>
        <w:tc>
          <w:tcPr>
            <w:tcW w:w="1170"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 xml:space="preserve">Retention </w:t>
            </w:r>
            <w:proofErr w:type="gramStart"/>
            <w:r w:rsidRPr="00FC53C1">
              <w:rPr>
                <w:rFonts w:asciiTheme="majorBidi" w:hAnsiTheme="majorBidi"/>
                <w:sz w:val="20"/>
                <w:szCs w:val="20"/>
              </w:rPr>
              <w:t>Time(</w:t>
            </w:r>
            <w:proofErr w:type="gramEnd"/>
            <w:r w:rsidRPr="00FC53C1">
              <w:rPr>
                <w:rFonts w:asciiTheme="majorBidi" w:hAnsiTheme="majorBidi"/>
                <w:sz w:val="20"/>
                <w:szCs w:val="20"/>
              </w:rPr>
              <w:t>min)</w:t>
            </w:r>
          </w:p>
        </w:tc>
        <w:tc>
          <w:tcPr>
            <w:tcW w:w="2340"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Compound Name</w:t>
            </w:r>
          </w:p>
        </w:tc>
        <w:tc>
          <w:tcPr>
            <w:tcW w:w="1440" w:type="dxa"/>
          </w:tcPr>
          <w:p w:rsidR="00647508" w:rsidRPr="00FC53C1" w:rsidRDefault="00647508" w:rsidP="00A60F55">
            <w:pPr>
              <w:pStyle w:val="Heading2"/>
              <w:spacing w:line="360" w:lineRule="auto"/>
              <w:jc w:val="both"/>
              <w:outlineLvl w:val="1"/>
              <w:rPr>
                <w:rFonts w:asciiTheme="majorBidi" w:hAnsiTheme="majorBidi"/>
                <w:sz w:val="20"/>
                <w:szCs w:val="20"/>
              </w:rPr>
            </w:pPr>
            <w:proofErr w:type="gramStart"/>
            <w:r w:rsidRPr="00FC53C1">
              <w:rPr>
                <w:rFonts w:asciiTheme="majorBidi" w:hAnsiTheme="majorBidi"/>
                <w:sz w:val="20"/>
                <w:szCs w:val="20"/>
              </w:rPr>
              <w:t>Wavenumber(</w:t>
            </w:r>
            <w:proofErr w:type="gramEnd"/>
            <w:r w:rsidRPr="00FC53C1">
              <w:rPr>
                <w:rFonts w:asciiTheme="majorBidi" w:hAnsiTheme="majorBidi"/>
                <w:sz w:val="20"/>
                <w:szCs w:val="20"/>
              </w:rPr>
              <w:t>cm</w:t>
            </w:r>
            <w:r w:rsidRPr="00FC53C1">
              <w:rPr>
                <w:rFonts w:asciiTheme="majorBidi" w:hAnsiTheme="majorBidi"/>
                <w:sz w:val="20"/>
                <w:szCs w:val="20"/>
                <w:vertAlign w:val="superscript"/>
              </w:rPr>
              <w:t>-1</w:t>
            </w:r>
            <w:r w:rsidRPr="00FC53C1">
              <w:rPr>
                <w:rFonts w:asciiTheme="majorBidi" w:hAnsiTheme="majorBidi"/>
                <w:sz w:val="20"/>
                <w:szCs w:val="20"/>
              </w:rPr>
              <w:t>)</w:t>
            </w:r>
          </w:p>
        </w:tc>
        <w:tc>
          <w:tcPr>
            <w:tcW w:w="1440"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Functional Group</w:t>
            </w:r>
          </w:p>
        </w:tc>
        <w:tc>
          <w:tcPr>
            <w:tcW w:w="900"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Bond</w:t>
            </w:r>
          </w:p>
        </w:tc>
        <w:tc>
          <w:tcPr>
            <w:tcW w:w="1080"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Intensity</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1</w:t>
            </w:r>
          </w:p>
        </w:tc>
        <w:tc>
          <w:tcPr>
            <w:tcW w:w="117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8.52</w:t>
            </w:r>
          </w:p>
        </w:tc>
        <w:tc>
          <w:tcPr>
            <w:tcW w:w="2340" w:type="dxa"/>
          </w:tcPr>
          <w:p w:rsidR="00647508" w:rsidRPr="00FC53C1" w:rsidRDefault="00647508" w:rsidP="00A60F55">
            <w:pPr>
              <w:pStyle w:val="Heading2"/>
              <w:spacing w:line="360" w:lineRule="auto"/>
              <w:jc w:val="both"/>
              <w:outlineLvl w:val="1"/>
              <w:rPr>
                <w:rFonts w:asciiTheme="majorBidi" w:hAnsiTheme="majorBidi"/>
                <w:b w:val="0"/>
                <w:sz w:val="20"/>
                <w:szCs w:val="20"/>
              </w:rPr>
            </w:pPr>
            <w:proofErr w:type="spellStart"/>
            <w:r w:rsidRPr="00FC53C1">
              <w:rPr>
                <w:rFonts w:asciiTheme="majorBidi" w:hAnsiTheme="majorBidi"/>
                <w:b w:val="0"/>
                <w:sz w:val="20"/>
                <w:szCs w:val="20"/>
              </w:rPr>
              <w:t>Fenchyl</w:t>
            </w:r>
            <w:proofErr w:type="spellEnd"/>
            <w:r w:rsidRPr="00FC53C1">
              <w:rPr>
                <w:rFonts w:asciiTheme="majorBidi" w:hAnsiTheme="majorBidi"/>
                <w:b w:val="0"/>
                <w:sz w:val="20"/>
                <w:szCs w:val="20"/>
              </w:rPr>
              <w:t xml:space="preserve"> acetate</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1735</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Ester</w:t>
            </w:r>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C=O</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Strong</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2</w:t>
            </w:r>
          </w:p>
        </w:tc>
        <w:tc>
          <w:tcPr>
            <w:tcW w:w="117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10.13</w:t>
            </w:r>
          </w:p>
        </w:tc>
        <w:tc>
          <w:tcPr>
            <w:tcW w:w="23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Exo-2-Hydroxy cineole</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3400</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Alcohol</w:t>
            </w:r>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O-H</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Strong</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3</w:t>
            </w:r>
          </w:p>
        </w:tc>
        <w:tc>
          <w:tcPr>
            <w:tcW w:w="117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11.45</w:t>
            </w:r>
          </w:p>
        </w:tc>
        <w:tc>
          <w:tcPr>
            <w:tcW w:w="2340" w:type="dxa"/>
          </w:tcPr>
          <w:p w:rsidR="00647508" w:rsidRPr="00FC53C1" w:rsidRDefault="00647508" w:rsidP="00A60F55">
            <w:pPr>
              <w:pStyle w:val="Heading2"/>
              <w:spacing w:line="360" w:lineRule="auto"/>
              <w:jc w:val="both"/>
              <w:outlineLvl w:val="1"/>
              <w:rPr>
                <w:rFonts w:asciiTheme="majorBidi" w:hAnsiTheme="majorBidi"/>
                <w:b w:val="0"/>
                <w:sz w:val="20"/>
                <w:szCs w:val="20"/>
              </w:rPr>
            </w:pPr>
            <w:proofErr w:type="spellStart"/>
            <w:r w:rsidRPr="00FC53C1">
              <w:rPr>
                <w:rFonts w:asciiTheme="majorBidi" w:hAnsiTheme="majorBidi"/>
                <w:b w:val="0"/>
                <w:sz w:val="20"/>
                <w:szCs w:val="20"/>
              </w:rPr>
              <w:t>Chavicol</w:t>
            </w:r>
            <w:proofErr w:type="spellEnd"/>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3200</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Phenol</w:t>
            </w:r>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O-H</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Strong</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4</w:t>
            </w:r>
          </w:p>
        </w:tc>
        <w:tc>
          <w:tcPr>
            <w:tcW w:w="117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13.22</w:t>
            </w:r>
          </w:p>
        </w:tc>
        <w:tc>
          <w:tcPr>
            <w:tcW w:w="234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α-</w:t>
            </w:r>
            <w:proofErr w:type="spellStart"/>
            <w:r w:rsidRPr="00FC53C1">
              <w:rPr>
                <w:rFonts w:asciiTheme="majorBidi" w:hAnsiTheme="majorBidi" w:cstheme="majorBidi"/>
                <w:sz w:val="20"/>
                <w:szCs w:val="20"/>
              </w:rPr>
              <w:t>Cubebene</w:t>
            </w:r>
            <w:proofErr w:type="spellEnd"/>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1640</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Alkene</w:t>
            </w:r>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C=C</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Medium</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5</w:t>
            </w:r>
          </w:p>
        </w:tc>
        <w:tc>
          <w:tcPr>
            <w:tcW w:w="117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14.68</w:t>
            </w:r>
          </w:p>
        </w:tc>
        <w:tc>
          <w:tcPr>
            <w:tcW w:w="234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(-)-β-</w:t>
            </w:r>
            <w:proofErr w:type="spellStart"/>
            <w:r w:rsidRPr="00FC53C1">
              <w:rPr>
                <w:rFonts w:asciiTheme="majorBidi" w:hAnsiTheme="majorBidi" w:cstheme="majorBidi"/>
                <w:sz w:val="20"/>
                <w:szCs w:val="20"/>
              </w:rPr>
              <w:t>Elemene</w:t>
            </w:r>
            <w:proofErr w:type="spellEnd"/>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1635</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Alkene</w:t>
            </w:r>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C=C</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Strong</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6</w:t>
            </w:r>
          </w:p>
        </w:tc>
        <w:tc>
          <w:tcPr>
            <w:tcW w:w="117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15.27</w:t>
            </w:r>
          </w:p>
        </w:tc>
        <w:tc>
          <w:tcPr>
            <w:tcW w:w="234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γ-</w:t>
            </w:r>
            <w:proofErr w:type="spellStart"/>
            <w:r w:rsidRPr="00FC53C1">
              <w:rPr>
                <w:rFonts w:asciiTheme="majorBidi" w:hAnsiTheme="majorBidi" w:cstheme="majorBidi"/>
                <w:sz w:val="20"/>
                <w:szCs w:val="20"/>
              </w:rPr>
              <w:t>Muurolene</w:t>
            </w:r>
            <w:proofErr w:type="spellEnd"/>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2920</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Alkene</w:t>
            </w:r>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C-H</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Medium</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7</w:t>
            </w:r>
          </w:p>
        </w:tc>
        <w:tc>
          <w:tcPr>
            <w:tcW w:w="117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16.09</w:t>
            </w:r>
          </w:p>
        </w:tc>
        <w:tc>
          <w:tcPr>
            <w:tcW w:w="234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β-</w:t>
            </w:r>
            <w:proofErr w:type="spellStart"/>
            <w:r w:rsidRPr="00FC53C1">
              <w:rPr>
                <w:rFonts w:asciiTheme="majorBidi" w:hAnsiTheme="majorBidi" w:cstheme="majorBidi"/>
                <w:sz w:val="20"/>
                <w:szCs w:val="20"/>
              </w:rPr>
              <w:t>Selinene</w:t>
            </w:r>
            <w:proofErr w:type="spellEnd"/>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2960</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proofErr w:type="spellStart"/>
            <w:r w:rsidRPr="00FC53C1">
              <w:rPr>
                <w:rFonts w:asciiTheme="majorBidi" w:hAnsiTheme="majorBidi"/>
                <w:b w:val="0"/>
                <w:sz w:val="20"/>
                <w:szCs w:val="20"/>
              </w:rPr>
              <w:t>Sesquiterpene</w:t>
            </w:r>
            <w:proofErr w:type="spellEnd"/>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C-H</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Strong</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8</w:t>
            </w:r>
          </w:p>
        </w:tc>
        <w:tc>
          <w:tcPr>
            <w:tcW w:w="117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17.33</w:t>
            </w:r>
          </w:p>
        </w:tc>
        <w:tc>
          <w:tcPr>
            <w:tcW w:w="234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α-</w:t>
            </w:r>
            <w:proofErr w:type="spellStart"/>
            <w:r w:rsidRPr="00FC53C1">
              <w:rPr>
                <w:rFonts w:asciiTheme="majorBidi" w:hAnsiTheme="majorBidi" w:cstheme="majorBidi"/>
                <w:sz w:val="20"/>
                <w:szCs w:val="20"/>
              </w:rPr>
              <w:t>Bulnesene</w:t>
            </w:r>
            <w:proofErr w:type="spellEnd"/>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1645</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proofErr w:type="spellStart"/>
            <w:r w:rsidRPr="00FC53C1">
              <w:rPr>
                <w:rFonts w:asciiTheme="majorBidi" w:hAnsiTheme="majorBidi"/>
                <w:b w:val="0"/>
                <w:sz w:val="20"/>
                <w:szCs w:val="20"/>
              </w:rPr>
              <w:t>Terpene</w:t>
            </w:r>
            <w:proofErr w:type="spellEnd"/>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C=C</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Strong</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9</w:t>
            </w:r>
          </w:p>
        </w:tc>
        <w:tc>
          <w:tcPr>
            <w:tcW w:w="117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6.42</w:t>
            </w:r>
          </w:p>
        </w:tc>
        <w:tc>
          <w:tcPr>
            <w:tcW w:w="234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trans-Linalool oxide</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3400</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Alcohol</w:t>
            </w:r>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O-H</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Strong</w:t>
            </w:r>
          </w:p>
        </w:tc>
      </w:tr>
      <w:tr w:rsidR="00647508" w:rsidRPr="00FC53C1" w:rsidTr="003E1058">
        <w:tc>
          <w:tcPr>
            <w:tcW w:w="715" w:type="dxa"/>
          </w:tcPr>
          <w:p w:rsidR="00647508" w:rsidRPr="00FC53C1" w:rsidRDefault="00647508" w:rsidP="00A60F55">
            <w:pPr>
              <w:pStyle w:val="Heading2"/>
              <w:spacing w:line="360" w:lineRule="auto"/>
              <w:jc w:val="both"/>
              <w:outlineLvl w:val="1"/>
              <w:rPr>
                <w:rFonts w:asciiTheme="majorBidi" w:hAnsiTheme="majorBidi"/>
                <w:sz w:val="20"/>
                <w:szCs w:val="20"/>
              </w:rPr>
            </w:pPr>
            <w:r w:rsidRPr="00FC53C1">
              <w:rPr>
                <w:rFonts w:asciiTheme="majorBidi" w:hAnsiTheme="majorBidi"/>
                <w:sz w:val="20"/>
                <w:szCs w:val="20"/>
              </w:rPr>
              <w:t>10</w:t>
            </w:r>
          </w:p>
        </w:tc>
        <w:tc>
          <w:tcPr>
            <w:tcW w:w="117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7.33</w:t>
            </w:r>
          </w:p>
        </w:tc>
        <w:tc>
          <w:tcPr>
            <w:tcW w:w="234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Lilac aldehyde C</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1720</w:t>
            </w:r>
          </w:p>
        </w:tc>
        <w:tc>
          <w:tcPr>
            <w:tcW w:w="144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Aldehyde</w:t>
            </w:r>
          </w:p>
        </w:tc>
        <w:tc>
          <w:tcPr>
            <w:tcW w:w="90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C=O</w:t>
            </w:r>
          </w:p>
        </w:tc>
        <w:tc>
          <w:tcPr>
            <w:tcW w:w="1080" w:type="dxa"/>
          </w:tcPr>
          <w:p w:rsidR="00647508" w:rsidRPr="00FC53C1" w:rsidRDefault="00647508" w:rsidP="00A60F55">
            <w:pPr>
              <w:pStyle w:val="Heading2"/>
              <w:spacing w:line="360" w:lineRule="auto"/>
              <w:jc w:val="both"/>
              <w:outlineLvl w:val="1"/>
              <w:rPr>
                <w:rFonts w:asciiTheme="majorBidi" w:hAnsiTheme="majorBidi"/>
                <w:b w:val="0"/>
                <w:sz w:val="20"/>
                <w:szCs w:val="20"/>
              </w:rPr>
            </w:pPr>
            <w:r w:rsidRPr="00FC53C1">
              <w:rPr>
                <w:rFonts w:asciiTheme="majorBidi" w:hAnsiTheme="majorBidi"/>
                <w:b w:val="0"/>
                <w:sz w:val="20"/>
                <w:szCs w:val="20"/>
              </w:rPr>
              <w:t>Strong</w:t>
            </w:r>
          </w:p>
        </w:tc>
      </w:tr>
    </w:tbl>
    <w:p w:rsidR="003F1319" w:rsidRPr="00CD7B49" w:rsidRDefault="003F1319" w:rsidP="00CD7B49">
      <w:pPr>
        <w:pStyle w:val="Heading2"/>
        <w:spacing w:line="360" w:lineRule="auto"/>
        <w:jc w:val="both"/>
        <w:rPr>
          <w:rFonts w:asciiTheme="majorBidi" w:hAnsiTheme="majorBidi"/>
          <w:bCs/>
          <w:sz w:val="24"/>
          <w:szCs w:val="24"/>
        </w:rPr>
      </w:pPr>
      <w:r w:rsidRPr="00CD7B49">
        <w:rPr>
          <w:bCs/>
          <w:color w:val="000000" w:themeColor="text1"/>
          <w:sz w:val="28"/>
          <w:szCs w:val="28"/>
        </w:rPr>
        <w:t>3.3: ADMET Analysis</w:t>
      </w:r>
    </w:p>
    <w:p w:rsidR="003F1319" w:rsidRPr="005D7E6A" w:rsidRDefault="003F1319" w:rsidP="009E0F89">
      <w:pPr>
        <w:pStyle w:val="NormalWeb"/>
        <w:spacing w:line="360" w:lineRule="auto"/>
        <w:jc w:val="both"/>
        <w:rPr>
          <w:bCs/>
          <w:color w:val="000000" w:themeColor="text1"/>
        </w:rPr>
      </w:pPr>
      <w:r w:rsidRPr="005D7E6A">
        <w:rPr>
          <w:bCs/>
          <w:color w:val="000000" w:themeColor="text1"/>
        </w:rPr>
        <w:t xml:space="preserve">A comprehensive evaluation of the physicochemical and pharmacokinetic characteristics of the </w:t>
      </w:r>
      <w:r w:rsidR="009E0F89">
        <w:rPr>
          <w:bCs/>
          <w:color w:val="000000" w:themeColor="text1"/>
        </w:rPr>
        <w:t>chemical constituents identified through GC-MS,</w:t>
      </w:r>
      <w:r>
        <w:rPr>
          <w:bCs/>
          <w:color w:val="000000" w:themeColor="text1"/>
        </w:rPr>
        <w:t xml:space="preserve"> using the ADMET</w:t>
      </w:r>
      <w:r w:rsidRPr="005D7E6A">
        <w:rPr>
          <w:bCs/>
          <w:color w:val="000000" w:themeColor="text1"/>
        </w:rPr>
        <w:t xml:space="preserve"> platform was performed. This sophisticated computational tool offers an in-depth analysis of various pharmacokinetic parameters, covering aspects of absorption, distribution, metabolism, and excretion (ADMET) </w:t>
      </w:r>
    </w:p>
    <w:p w:rsidR="003F1319" w:rsidRDefault="003F1319" w:rsidP="003F1319">
      <w:pPr>
        <w:pStyle w:val="NormalWeb"/>
        <w:rPr>
          <w:b/>
          <w:color w:val="000000" w:themeColor="text1"/>
        </w:rPr>
      </w:pPr>
      <w:r>
        <w:rPr>
          <w:b/>
          <w:color w:val="000000" w:themeColor="text1"/>
        </w:rPr>
        <w:t>3.3.1: Physiological Properties</w:t>
      </w:r>
      <w:r w:rsidR="00317A15">
        <w:rPr>
          <w:b/>
          <w:color w:val="000000" w:themeColor="text1"/>
        </w:rPr>
        <w:t xml:space="preserve"> </w:t>
      </w:r>
      <w:r w:rsidR="00317A15" w:rsidRPr="0022377C">
        <w:rPr>
          <w:rFonts w:asciiTheme="majorBidi" w:hAnsiTheme="majorBidi" w:cstheme="majorBidi"/>
          <w:b/>
        </w:rPr>
        <w:t>of Ob1-Ob10</w:t>
      </w:r>
    </w:p>
    <w:p w:rsidR="003F1319" w:rsidRDefault="003F1319" w:rsidP="009E0F89">
      <w:pPr>
        <w:pStyle w:val="Heading2"/>
        <w:spacing w:line="360" w:lineRule="auto"/>
        <w:jc w:val="both"/>
        <w:rPr>
          <w:rFonts w:asciiTheme="majorBidi" w:hAnsiTheme="majorBidi"/>
          <w:sz w:val="24"/>
          <w:szCs w:val="24"/>
        </w:rPr>
      </w:pPr>
      <w:r w:rsidRPr="003F1319">
        <w:rPr>
          <w:b w:val="0"/>
          <w:bCs/>
          <w:sz w:val="24"/>
          <w:szCs w:val="24"/>
        </w:rPr>
        <w:lastRenderedPageBreak/>
        <w:t xml:space="preserve"> The dataset under consideration presents a comprehensive set of physicochemical properties for </w:t>
      </w:r>
      <w:r w:rsidR="009E0F89">
        <w:rPr>
          <w:b w:val="0"/>
          <w:bCs/>
          <w:sz w:val="24"/>
          <w:szCs w:val="24"/>
        </w:rPr>
        <w:t>ten</w:t>
      </w:r>
      <w:r w:rsidRPr="003F1319">
        <w:rPr>
          <w:b w:val="0"/>
          <w:bCs/>
          <w:sz w:val="24"/>
          <w:szCs w:val="24"/>
        </w:rPr>
        <w:t xml:space="preserve"> chemical compounds, labeled </w:t>
      </w:r>
      <w:r>
        <w:rPr>
          <w:b w:val="0"/>
          <w:bCs/>
          <w:sz w:val="24"/>
          <w:szCs w:val="24"/>
        </w:rPr>
        <w:t>Ob1</w:t>
      </w:r>
      <w:r w:rsidRPr="003F1319">
        <w:rPr>
          <w:b w:val="0"/>
          <w:bCs/>
          <w:sz w:val="24"/>
          <w:szCs w:val="24"/>
        </w:rPr>
        <w:t xml:space="preserve"> </w:t>
      </w:r>
      <w:r>
        <w:rPr>
          <w:b w:val="0"/>
          <w:bCs/>
          <w:sz w:val="24"/>
          <w:szCs w:val="24"/>
        </w:rPr>
        <w:t>to</w:t>
      </w:r>
      <w:r w:rsidRPr="003F1319">
        <w:rPr>
          <w:b w:val="0"/>
          <w:bCs/>
          <w:sz w:val="24"/>
          <w:szCs w:val="24"/>
        </w:rPr>
        <w:t xml:space="preserve"> </w:t>
      </w:r>
      <w:r>
        <w:rPr>
          <w:b w:val="0"/>
          <w:bCs/>
          <w:sz w:val="24"/>
          <w:szCs w:val="24"/>
        </w:rPr>
        <w:t>Ob10</w:t>
      </w:r>
      <w:r w:rsidRPr="003F1319">
        <w:rPr>
          <w:b w:val="0"/>
          <w:bCs/>
          <w:sz w:val="24"/>
          <w:szCs w:val="24"/>
        </w:rPr>
        <w:t xml:space="preserve">. These properties include molecular weight, volume, density, hydrogen bonding capacity, rotatable bonds, ring structures, </w:t>
      </w:r>
      <w:proofErr w:type="spellStart"/>
      <w:r w:rsidRPr="003F1319">
        <w:rPr>
          <w:b w:val="0"/>
          <w:bCs/>
          <w:sz w:val="24"/>
          <w:szCs w:val="24"/>
        </w:rPr>
        <w:t>lipophilicity</w:t>
      </w:r>
      <w:proofErr w:type="spellEnd"/>
      <w:r w:rsidRPr="003F1319">
        <w:rPr>
          <w:b w:val="0"/>
          <w:bCs/>
          <w:sz w:val="24"/>
          <w:szCs w:val="24"/>
        </w:rPr>
        <w:t xml:space="preserve">, solubility, </w:t>
      </w:r>
      <w:proofErr w:type="spellStart"/>
      <w:r w:rsidRPr="003F1319">
        <w:rPr>
          <w:b w:val="0"/>
          <w:bCs/>
          <w:sz w:val="24"/>
          <w:szCs w:val="24"/>
        </w:rPr>
        <w:t>pKa</w:t>
      </w:r>
      <w:proofErr w:type="spellEnd"/>
      <w:r w:rsidRPr="003F1319">
        <w:rPr>
          <w:b w:val="0"/>
          <w:bCs/>
          <w:sz w:val="24"/>
          <w:szCs w:val="24"/>
        </w:rPr>
        <w:t xml:space="preserve"> values, and thermal properties such as melting and boiling points. A careful examination of these properties reveals patterns and trends that provide insight into the structural and chemical diversity of these compounds.</w:t>
      </w:r>
      <w:r>
        <w:t xml:space="preserve"> </w:t>
      </w:r>
      <w:r w:rsidR="000C4221">
        <w:rPr>
          <w:rFonts w:asciiTheme="majorBidi" w:hAnsiTheme="majorBidi"/>
          <w:sz w:val="24"/>
          <w:szCs w:val="24"/>
        </w:rPr>
        <w:t xml:space="preserve"> </w:t>
      </w:r>
    </w:p>
    <w:p w:rsidR="00647508" w:rsidRPr="00C02236" w:rsidRDefault="00647508" w:rsidP="00A872F7">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The </w:t>
      </w:r>
      <w:r w:rsidR="00A872F7">
        <w:rPr>
          <w:rFonts w:asciiTheme="majorBidi" w:hAnsiTheme="majorBidi" w:cstheme="majorBidi"/>
          <w:bCs/>
        </w:rPr>
        <w:t xml:space="preserve">chemical constituents of </w:t>
      </w:r>
      <w:proofErr w:type="spellStart"/>
      <w:r w:rsidR="00A872F7" w:rsidRPr="003F1319">
        <w:rPr>
          <w:rFonts w:asciiTheme="majorBidi" w:hAnsiTheme="majorBidi" w:cstheme="majorBidi"/>
          <w:bCs/>
          <w:i/>
          <w:iCs/>
        </w:rPr>
        <w:t>Ocimum</w:t>
      </w:r>
      <w:proofErr w:type="spellEnd"/>
      <w:r w:rsidR="00A872F7" w:rsidRPr="003F1319">
        <w:rPr>
          <w:rFonts w:asciiTheme="majorBidi" w:hAnsiTheme="majorBidi" w:cstheme="majorBidi"/>
          <w:bCs/>
          <w:i/>
          <w:iCs/>
        </w:rPr>
        <w:t xml:space="preserve"> </w:t>
      </w:r>
      <w:proofErr w:type="spellStart"/>
      <w:r w:rsidR="00A872F7" w:rsidRPr="003F1319">
        <w:rPr>
          <w:rFonts w:asciiTheme="majorBidi" w:hAnsiTheme="majorBidi" w:cstheme="majorBidi"/>
          <w:bCs/>
          <w:i/>
          <w:iCs/>
        </w:rPr>
        <w:t>basilicum</w:t>
      </w:r>
      <w:proofErr w:type="spellEnd"/>
      <w:r w:rsidR="00A872F7" w:rsidRPr="00C02236">
        <w:rPr>
          <w:rFonts w:asciiTheme="majorBidi" w:hAnsiTheme="majorBidi" w:cstheme="majorBidi"/>
        </w:rPr>
        <w:t xml:space="preserve"> </w:t>
      </w:r>
      <w:r w:rsidRPr="00C02236">
        <w:rPr>
          <w:rFonts w:asciiTheme="majorBidi" w:hAnsiTheme="majorBidi" w:cstheme="majorBidi"/>
        </w:rPr>
        <w:t>Ob1</w:t>
      </w:r>
      <w:r w:rsidR="00A872F7">
        <w:rPr>
          <w:rFonts w:asciiTheme="majorBidi" w:hAnsiTheme="majorBidi" w:cstheme="majorBidi"/>
        </w:rPr>
        <w:t xml:space="preserve"> to Ob10</w:t>
      </w:r>
      <w:r w:rsidRPr="00C02236">
        <w:rPr>
          <w:rFonts w:asciiTheme="majorBidi" w:hAnsiTheme="majorBidi" w:cstheme="majorBidi"/>
          <w:b/>
        </w:rPr>
        <w:t xml:space="preserve"> </w:t>
      </w:r>
      <w:r w:rsidRPr="00C02236">
        <w:rPr>
          <w:rFonts w:asciiTheme="majorBidi" w:hAnsiTheme="majorBidi" w:cstheme="majorBidi"/>
          <w:bCs/>
        </w:rPr>
        <w:t xml:space="preserve">underwent evaluation for their physicochemical properties using the </w:t>
      </w:r>
      <w:proofErr w:type="spellStart"/>
      <w:r w:rsidRPr="00C02236">
        <w:rPr>
          <w:rFonts w:asciiTheme="majorBidi" w:hAnsiTheme="majorBidi" w:cstheme="majorBidi"/>
          <w:bCs/>
        </w:rPr>
        <w:t>SwissADME</w:t>
      </w:r>
      <w:proofErr w:type="spellEnd"/>
      <w:r w:rsidRPr="00C02236">
        <w:rPr>
          <w:rFonts w:asciiTheme="majorBidi" w:hAnsiTheme="majorBidi" w:cstheme="majorBidi"/>
          <w:bCs/>
        </w:rPr>
        <w:t xml:space="preserve"> tool. Among these, all the </w:t>
      </w:r>
      <w:r w:rsidR="00A872F7">
        <w:rPr>
          <w:rFonts w:asciiTheme="majorBidi" w:hAnsiTheme="majorBidi" w:cstheme="majorBidi"/>
          <w:bCs/>
        </w:rPr>
        <w:t>constituent</w:t>
      </w:r>
      <w:r w:rsidRPr="00C02236">
        <w:rPr>
          <w:rFonts w:asciiTheme="majorBidi" w:hAnsiTheme="majorBidi" w:cstheme="majorBidi"/>
          <w:bCs/>
        </w:rPr>
        <w:t>s Ob2 demonstrated low oral bioavailability. But inside the body acts as CYP2C19, CYP2C9 and CYP3A4 inhibitors. The comprehensive physicochemical and pharmacokinetic profiles of these derivat</w:t>
      </w:r>
      <w:r w:rsidR="009E0F89">
        <w:rPr>
          <w:rFonts w:asciiTheme="majorBidi" w:hAnsiTheme="majorBidi" w:cstheme="majorBidi"/>
          <w:bCs/>
        </w:rPr>
        <w:t xml:space="preserve">ives are described in Table </w:t>
      </w:r>
      <w:r w:rsidR="00A872F7">
        <w:rPr>
          <w:rFonts w:asciiTheme="majorBidi" w:hAnsiTheme="majorBidi" w:cstheme="majorBidi"/>
          <w:bCs/>
        </w:rPr>
        <w:t>3</w:t>
      </w:r>
    </w:p>
    <w:p w:rsidR="00647508" w:rsidRPr="00C02236" w:rsidRDefault="00647508" w:rsidP="00A872F7">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The physicochemical properties of the </w:t>
      </w:r>
      <w:r w:rsidR="00A872F7">
        <w:rPr>
          <w:rFonts w:asciiTheme="majorBidi" w:hAnsiTheme="majorBidi" w:cstheme="majorBidi"/>
          <w:bCs/>
        </w:rPr>
        <w:t>chemical constituent</w:t>
      </w:r>
      <w:r w:rsidR="00A872F7" w:rsidRPr="00C02236">
        <w:rPr>
          <w:rFonts w:asciiTheme="majorBidi" w:hAnsiTheme="majorBidi" w:cstheme="majorBidi"/>
          <w:bCs/>
        </w:rPr>
        <w:t xml:space="preserve"> </w:t>
      </w:r>
      <w:r w:rsidRPr="00C02236">
        <w:rPr>
          <w:rFonts w:asciiTheme="majorBidi" w:hAnsiTheme="majorBidi" w:cstheme="majorBidi"/>
          <w:bCs/>
        </w:rPr>
        <w:t>(</w:t>
      </w:r>
      <w:r w:rsidRPr="00C02236">
        <w:rPr>
          <w:rFonts w:asciiTheme="majorBidi" w:hAnsiTheme="majorBidi" w:cstheme="majorBidi"/>
          <w:b/>
        </w:rPr>
        <w:t>Ob1</w:t>
      </w:r>
      <w:r w:rsidRPr="00C02236">
        <w:rPr>
          <w:rFonts w:asciiTheme="majorBidi" w:hAnsiTheme="majorBidi" w:cstheme="majorBidi"/>
          <w:bCs/>
        </w:rPr>
        <w:t xml:space="preserve">) were comprehensively evaluated to assess their drug-likeness. The molecular weights of the compounds ranged from Ob1 </w:t>
      </w:r>
      <w:r w:rsidRPr="00C02236">
        <w:rPr>
          <w:rFonts w:asciiTheme="majorBidi" w:hAnsiTheme="majorBidi" w:cstheme="majorBidi"/>
        </w:rPr>
        <w:t xml:space="preserve">170.13 </w:t>
      </w:r>
      <w:r w:rsidRPr="00C02236">
        <w:rPr>
          <w:rFonts w:asciiTheme="majorBidi" w:hAnsiTheme="majorBidi" w:cstheme="majorBidi"/>
          <w:bCs/>
        </w:rPr>
        <w:t>to</w:t>
      </w:r>
      <w:r w:rsidRPr="00C02236">
        <w:rPr>
          <w:rFonts w:asciiTheme="majorBidi" w:hAnsiTheme="majorBidi" w:cstheme="majorBidi"/>
        </w:rPr>
        <w:t xml:space="preserve"> </w:t>
      </w:r>
      <w:r w:rsidRPr="00C02236">
        <w:rPr>
          <w:rFonts w:asciiTheme="majorBidi" w:hAnsiTheme="majorBidi" w:cstheme="majorBidi"/>
          <w:shd w:val="clear" w:color="auto" w:fill="FFFFFF"/>
        </w:rPr>
        <w:t>302.19</w:t>
      </w:r>
      <w:r w:rsidRPr="00C02236">
        <w:rPr>
          <w:rFonts w:asciiTheme="majorBidi" w:hAnsiTheme="majorBidi" w:cstheme="majorBidi"/>
          <w:bCs/>
        </w:rPr>
        <w:t>g/</w:t>
      </w:r>
      <w:proofErr w:type="spellStart"/>
      <w:r w:rsidRPr="00C02236">
        <w:rPr>
          <w:rFonts w:asciiTheme="majorBidi" w:hAnsiTheme="majorBidi" w:cstheme="majorBidi"/>
          <w:bCs/>
        </w:rPr>
        <w:t>mol</w:t>
      </w:r>
      <w:proofErr w:type="spellEnd"/>
      <w:r w:rsidRPr="00C02236">
        <w:rPr>
          <w:rFonts w:asciiTheme="majorBidi" w:hAnsiTheme="majorBidi" w:cstheme="majorBidi"/>
          <w:bCs/>
        </w:rPr>
        <w:t xml:space="preserve"> Ob5 with the majority falling within the acceptable range fo</w:t>
      </w:r>
      <w:r w:rsidR="00A872F7">
        <w:rPr>
          <w:rFonts w:asciiTheme="majorBidi" w:hAnsiTheme="majorBidi" w:cstheme="majorBidi"/>
          <w:bCs/>
        </w:rPr>
        <w:t>r drug-like molecules. Chemical constituent</w:t>
      </w:r>
      <w:r w:rsidRPr="00C02236">
        <w:rPr>
          <w:rFonts w:asciiTheme="majorBidi" w:hAnsiTheme="majorBidi" w:cstheme="majorBidi"/>
          <w:bCs/>
        </w:rPr>
        <w:t xml:space="preserve"> Ob5 exhibited the highest molecular weight due to its structural complexity. </w:t>
      </w:r>
    </w:p>
    <w:p w:rsidR="00647508" w:rsidRPr="00C02236" w:rsidRDefault="00647508" w:rsidP="00647508">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The density values, ranging from </w:t>
      </w:r>
      <w:r w:rsidRPr="00C02236">
        <w:rPr>
          <w:rFonts w:asciiTheme="majorBidi" w:hAnsiTheme="majorBidi" w:cstheme="majorBidi"/>
        </w:rPr>
        <w:t>0.905 [Ob1]</w:t>
      </w:r>
      <w:r w:rsidR="00A872F7">
        <w:rPr>
          <w:rFonts w:asciiTheme="majorBidi" w:hAnsiTheme="majorBidi" w:cstheme="majorBidi"/>
          <w:bCs/>
        </w:rPr>
        <w:t xml:space="preserve"> to</w:t>
      </w:r>
      <w:r w:rsidRPr="00C02236">
        <w:rPr>
          <w:rFonts w:asciiTheme="majorBidi" w:hAnsiTheme="majorBidi" w:cstheme="majorBidi"/>
          <w:bCs/>
        </w:rPr>
        <w:t xml:space="preserve">, </w:t>
      </w:r>
      <w:r w:rsidRPr="00C02236">
        <w:rPr>
          <w:rFonts w:asciiTheme="majorBidi" w:hAnsiTheme="majorBidi" w:cstheme="majorBidi"/>
          <w:shd w:val="clear" w:color="auto" w:fill="FFFFFF"/>
        </w:rPr>
        <w:t>202.563 [Ob2]</w:t>
      </w:r>
      <w:r w:rsidR="00A872F7">
        <w:rPr>
          <w:rFonts w:asciiTheme="majorBidi" w:hAnsiTheme="majorBidi" w:cstheme="majorBidi"/>
          <w:shd w:val="clear" w:color="auto" w:fill="FFFFFF"/>
        </w:rPr>
        <w:t xml:space="preserve"> </w:t>
      </w:r>
      <w:r w:rsidRPr="00C02236">
        <w:rPr>
          <w:rFonts w:asciiTheme="majorBidi" w:hAnsiTheme="majorBidi" w:cstheme="majorBidi"/>
          <w:bCs/>
        </w:rPr>
        <w:t xml:space="preserve">indicate structural compactness, with compound </w:t>
      </w:r>
      <w:r w:rsidRPr="00C02236">
        <w:rPr>
          <w:rFonts w:asciiTheme="majorBidi" w:hAnsiTheme="majorBidi" w:cstheme="majorBidi"/>
          <w:b/>
        </w:rPr>
        <w:t>Ob2</w:t>
      </w:r>
      <w:r w:rsidRPr="00C02236">
        <w:rPr>
          <w:rFonts w:asciiTheme="majorBidi" w:hAnsiTheme="majorBidi" w:cstheme="majorBidi"/>
          <w:bCs/>
        </w:rPr>
        <w:t xml:space="preserve"> being the densest. The number of hydrogen bond acceptors (</w:t>
      </w:r>
      <w:proofErr w:type="spellStart"/>
      <w:r w:rsidRPr="00C02236">
        <w:rPr>
          <w:rFonts w:asciiTheme="majorBidi" w:hAnsiTheme="majorBidi" w:cstheme="majorBidi"/>
          <w:bCs/>
        </w:rPr>
        <w:t>nHA</w:t>
      </w:r>
      <w:proofErr w:type="spellEnd"/>
      <w:r w:rsidRPr="00C02236">
        <w:rPr>
          <w:rFonts w:asciiTheme="majorBidi" w:hAnsiTheme="majorBidi" w:cstheme="majorBidi"/>
          <w:bCs/>
        </w:rPr>
        <w:t>) varied between 5 and 8, while the hydrogen bond donors (</w:t>
      </w:r>
      <w:proofErr w:type="spellStart"/>
      <w:r w:rsidRPr="00C02236">
        <w:rPr>
          <w:rFonts w:asciiTheme="majorBidi" w:hAnsiTheme="majorBidi" w:cstheme="majorBidi"/>
          <w:bCs/>
        </w:rPr>
        <w:t>nHD</w:t>
      </w:r>
      <w:proofErr w:type="spellEnd"/>
      <w:r w:rsidRPr="00C02236">
        <w:rPr>
          <w:rFonts w:asciiTheme="majorBidi" w:hAnsiTheme="majorBidi" w:cstheme="majorBidi"/>
          <w:bCs/>
        </w:rPr>
        <w:t>) ranged from 2.0 (</w:t>
      </w:r>
      <w:r w:rsidRPr="00C02236">
        <w:rPr>
          <w:rFonts w:asciiTheme="majorBidi" w:hAnsiTheme="majorBidi" w:cstheme="majorBidi"/>
          <w:b/>
        </w:rPr>
        <w:t>Ob1</w:t>
      </w:r>
      <w:r w:rsidRPr="00C02236">
        <w:rPr>
          <w:rFonts w:asciiTheme="majorBidi" w:hAnsiTheme="majorBidi" w:cstheme="majorBidi"/>
          <w:bCs/>
        </w:rPr>
        <w:t>) to 0.0(</w:t>
      </w:r>
      <w:r w:rsidRPr="00C02236">
        <w:rPr>
          <w:rFonts w:asciiTheme="majorBidi" w:hAnsiTheme="majorBidi" w:cstheme="majorBidi"/>
          <w:b/>
        </w:rPr>
        <w:t>Ob5)</w:t>
      </w:r>
      <w:r w:rsidRPr="00C02236">
        <w:rPr>
          <w:rFonts w:asciiTheme="majorBidi" w:hAnsiTheme="majorBidi" w:cstheme="majorBidi"/>
          <w:bCs/>
        </w:rPr>
        <w:t>, reflecting their varying potential for hydrogen bonding interactions, an important factor for drug absorption. The number of rotatable bonds (</w:t>
      </w:r>
      <w:proofErr w:type="spellStart"/>
      <w:r w:rsidRPr="00C02236">
        <w:rPr>
          <w:rFonts w:asciiTheme="majorBidi" w:hAnsiTheme="majorBidi" w:cstheme="majorBidi"/>
          <w:bCs/>
        </w:rPr>
        <w:t>nRot</w:t>
      </w:r>
      <w:proofErr w:type="spellEnd"/>
      <w:r w:rsidRPr="00C02236">
        <w:rPr>
          <w:rFonts w:asciiTheme="majorBidi" w:hAnsiTheme="majorBidi" w:cstheme="majorBidi"/>
          <w:bCs/>
        </w:rPr>
        <w:t xml:space="preserve">), which affects molecular flexibility, ranged from 3.0 (e.g., </w:t>
      </w:r>
      <w:r w:rsidRPr="00C02236">
        <w:rPr>
          <w:rFonts w:asciiTheme="majorBidi" w:hAnsiTheme="majorBidi" w:cstheme="majorBidi"/>
          <w:b/>
        </w:rPr>
        <w:t>Ob2</w:t>
      </w:r>
      <w:r w:rsidRPr="00C02236">
        <w:rPr>
          <w:rFonts w:asciiTheme="majorBidi" w:hAnsiTheme="majorBidi" w:cstheme="majorBidi"/>
          <w:bCs/>
        </w:rPr>
        <w:t>) to 4.0 (</w:t>
      </w:r>
      <w:r w:rsidRPr="00C02236">
        <w:rPr>
          <w:rFonts w:asciiTheme="majorBidi" w:hAnsiTheme="majorBidi" w:cstheme="majorBidi"/>
          <w:b/>
        </w:rPr>
        <w:t>Ob5</w:t>
      </w:r>
      <w:r w:rsidRPr="00C02236">
        <w:rPr>
          <w:rFonts w:asciiTheme="majorBidi" w:hAnsiTheme="majorBidi" w:cstheme="majorBidi"/>
          <w:bCs/>
        </w:rPr>
        <w:t>), indicating moderate flexibility across the compounds.</w:t>
      </w:r>
    </w:p>
    <w:p w:rsidR="00647508" w:rsidRPr="00C02236" w:rsidRDefault="00647508" w:rsidP="00647508">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The number of rings (</w:t>
      </w:r>
      <w:proofErr w:type="spellStart"/>
      <w:r w:rsidRPr="00C02236">
        <w:rPr>
          <w:rFonts w:asciiTheme="majorBidi" w:hAnsiTheme="majorBidi" w:cstheme="majorBidi"/>
          <w:bCs/>
        </w:rPr>
        <w:t>nRing</w:t>
      </w:r>
      <w:proofErr w:type="spellEnd"/>
      <w:r w:rsidRPr="00C02236">
        <w:rPr>
          <w:rFonts w:asciiTheme="majorBidi" w:hAnsiTheme="majorBidi" w:cstheme="majorBidi"/>
          <w:bCs/>
        </w:rPr>
        <w:t>) ranged between 2 and 3, with the maximum ring size fixed at 9 across all compounds. The heteroatom count (</w:t>
      </w:r>
      <w:proofErr w:type="spellStart"/>
      <w:r w:rsidRPr="00C02236">
        <w:rPr>
          <w:rFonts w:asciiTheme="majorBidi" w:hAnsiTheme="majorBidi" w:cstheme="majorBidi"/>
          <w:bCs/>
        </w:rPr>
        <w:t>nHet</w:t>
      </w:r>
      <w:proofErr w:type="spellEnd"/>
      <w:r w:rsidRPr="00C02236">
        <w:rPr>
          <w:rFonts w:asciiTheme="majorBidi" w:hAnsiTheme="majorBidi" w:cstheme="majorBidi"/>
          <w:bCs/>
        </w:rPr>
        <w:t xml:space="preserve">), crucial for electronic and binding properties, varied from 2.0(e.g., </w:t>
      </w:r>
      <w:r w:rsidRPr="00C02236">
        <w:rPr>
          <w:rFonts w:asciiTheme="majorBidi" w:hAnsiTheme="majorBidi" w:cstheme="majorBidi"/>
          <w:b/>
        </w:rPr>
        <w:t>Ob1</w:t>
      </w:r>
      <w:r w:rsidR="0018648E">
        <w:rPr>
          <w:rFonts w:asciiTheme="majorBidi" w:hAnsiTheme="majorBidi" w:cstheme="majorBidi"/>
          <w:bCs/>
        </w:rPr>
        <w:t xml:space="preserve">) to3.0 </w:t>
      </w:r>
      <w:r w:rsidRPr="00C02236">
        <w:rPr>
          <w:rFonts w:asciiTheme="majorBidi" w:hAnsiTheme="majorBidi" w:cstheme="majorBidi"/>
          <w:bCs/>
        </w:rPr>
        <w:t>(</w:t>
      </w:r>
      <w:r w:rsidRPr="00C02236">
        <w:rPr>
          <w:rFonts w:asciiTheme="majorBidi" w:hAnsiTheme="majorBidi" w:cstheme="majorBidi"/>
          <w:b/>
        </w:rPr>
        <w:t>Ob5</w:t>
      </w:r>
      <w:r w:rsidRPr="00C02236">
        <w:rPr>
          <w:rFonts w:asciiTheme="majorBidi" w:hAnsiTheme="majorBidi" w:cstheme="majorBidi"/>
          <w:bCs/>
        </w:rPr>
        <w:t>). The rigidity and flexibility of the compounds, represented by parameters such as "</w:t>
      </w:r>
      <w:proofErr w:type="spellStart"/>
      <w:r w:rsidRPr="00C02236">
        <w:rPr>
          <w:rFonts w:asciiTheme="majorBidi" w:hAnsiTheme="majorBidi" w:cstheme="majorBidi"/>
          <w:bCs/>
        </w:rPr>
        <w:t>nRig</w:t>
      </w:r>
      <w:proofErr w:type="spellEnd"/>
      <w:r w:rsidRPr="00C02236">
        <w:rPr>
          <w:rFonts w:asciiTheme="majorBidi" w:hAnsiTheme="majorBidi" w:cstheme="majorBidi"/>
          <w:bCs/>
        </w:rPr>
        <w:t>" and "Flexibility," respectively, revealed that compound Ob1 had the highest rigidity (</w:t>
      </w:r>
      <w:r w:rsidRPr="00C02236">
        <w:rPr>
          <w:rFonts w:asciiTheme="majorBidi" w:hAnsiTheme="majorBidi" w:cstheme="majorBidi"/>
        </w:rPr>
        <w:t>4.0</w:t>
      </w:r>
      <w:r w:rsidRPr="00C02236">
        <w:rPr>
          <w:rFonts w:asciiTheme="majorBidi" w:hAnsiTheme="majorBidi" w:cstheme="majorBidi"/>
          <w:bCs/>
        </w:rPr>
        <w:t>), while Ob5 was the most flexible with a flexibility score of 4.0. The compounds exhibited moderate aqueous solubility (</w:t>
      </w:r>
      <w:proofErr w:type="spellStart"/>
      <w:r w:rsidRPr="00C02236">
        <w:rPr>
          <w:rFonts w:asciiTheme="majorBidi" w:hAnsiTheme="majorBidi" w:cstheme="majorBidi"/>
          <w:bCs/>
        </w:rPr>
        <w:t>logS</w:t>
      </w:r>
      <w:proofErr w:type="spellEnd"/>
      <w:r w:rsidRPr="00C02236">
        <w:rPr>
          <w:rFonts w:asciiTheme="majorBidi" w:hAnsiTheme="majorBidi" w:cstheme="majorBidi"/>
          <w:bCs/>
        </w:rPr>
        <w:t xml:space="preserve">), with values between </w:t>
      </w:r>
      <w:r w:rsidRPr="00C02236">
        <w:rPr>
          <w:rFonts w:asciiTheme="majorBidi" w:hAnsiTheme="majorBidi" w:cstheme="majorBidi"/>
        </w:rPr>
        <w:t>-0.797</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and </w:t>
      </w:r>
      <w:r w:rsidRPr="00C02236">
        <w:rPr>
          <w:rFonts w:asciiTheme="majorBidi" w:hAnsiTheme="majorBidi" w:cstheme="majorBidi"/>
        </w:rPr>
        <w:t>-5.223</w:t>
      </w:r>
      <w:r w:rsidRPr="00C02236">
        <w:rPr>
          <w:rFonts w:asciiTheme="majorBidi" w:hAnsiTheme="majorBidi" w:cstheme="majorBidi"/>
          <w:bCs/>
        </w:rPr>
        <w:t xml:space="preserve"> (</w:t>
      </w:r>
      <w:r w:rsidRPr="00C02236">
        <w:rPr>
          <w:rFonts w:asciiTheme="majorBidi" w:hAnsiTheme="majorBidi" w:cstheme="majorBidi"/>
          <w:b/>
        </w:rPr>
        <w:t>Ob8</w:t>
      </w:r>
      <w:r w:rsidRPr="00C02236">
        <w:rPr>
          <w:rFonts w:asciiTheme="majorBidi" w:hAnsiTheme="majorBidi" w:cstheme="majorBidi"/>
          <w:bCs/>
        </w:rPr>
        <w:t xml:space="preserve">), indicating varying degrees of hydrophobicity. Similarly, the </w:t>
      </w:r>
      <w:proofErr w:type="spellStart"/>
      <w:r w:rsidRPr="00C02236">
        <w:rPr>
          <w:rFonts w:asciiTheme="majorBidi" w:hAnsiTheme="majorBidi" w:cstheme="majorBidi"/>
          <w:bCs/>
        </w:rPr>
        <w:t>lipophilicity</w:t>
      </w:r>
      <w:proofErr w:type="spellEnd"/>
      <w:r w:rsidRPr="00C02236">
        <w:rPr>
          <w:rFonts w:asciiTheme="majorBidi" w:hAnsiTheme="majorBidi" w:cstheme="majorBidi"/>
          <w:bCs/>
        </w:rPr>
        <w:t xml:space="preserve"> (</w:t>
      </w:r>
      <w:proofErr w:type="spellStart"/>
      <w:r w:rsidRPr="00C02236">
        <w:rPr>
          <w:rFonts w:asciiTheme="majorBidi" w:hAnsiTheme="majorBidi" w:cstheme="majorBidi"/>
          <w:bCs/>
        </w:rPr>
        <w:t>logP</w:t>
      </w:r>
      <w:proofErr w:type="spellEnd"/>
      <w:r w:rsidRPr="00C02236">
        <w:rPr>
          <w:rFonts w:asciiTheme="majorBidi" w:hAnsiTheme="majorBidi" w:cstheme="majorBidi"/>
          <w:bCs/>
        </w:rPr>
        <w:t xml:space="preserve">) values spanned from </w:t>
      </w:r>
      <w:r w:rsidRPr="00C02236">
        <w:rPr>
          <w:rFonts w:asciiTheme="majorBidi" w:hAnsiTheme="majorBidi" w:cstheme="majorBidi"/>
        </w:rPr>
        <w:t>1.395</w:t>
      </w:r>
      <w:r w:rsidRPr="00C02236">
        <w:rPr>
          <w:rFonts w:asciiTheme="majorBidi" w:hAnsiTheme="majorBidi" w:cstheme="majorBidi"/>
          <w:bCs/>
        </w:rPr>
        <w:t xml:space="preserve"> (</w:t>
      </w:r>
      <w:proofErr w:type="spellStart"/>
      <w:r w:rsidRPr="00C02236">
        <w:rPr>
          <w:rFonts w:asciiTheme="majorBidi" w:hAnsiTheme="majorBidi" w:cstheme="majorBidi"/>
          <w:b/>
        </w:rPr>
        <w:t>Obl</w:t>
      </w:r>
      <w:proofErr w:type="spellEnd"/>
      <w:r w:rsidRPr="00C02236">
        <w:rPr>
          <w:rFonts w:asciiTheme="majorBidi" w:hAnsiTheme="majorBidi" w:cstheme="majorBidi"/>
          <w:bCs/>
        </w:rPr>
        <w:t xml:space="preserve">) to </w:t>
      </w:r>
      <w:r w:rsidRPr="00C02236">
        <w:rPr>
          <w:rFonts w:asciiTheme="majorBidi" w:hAnsiTheme="majorBidi" w:cstheme="majorBidi"/>
        </w:rPr>
        <w:t>5.363</w:t>
      </w:r>
      <w:r w:rsidRPr="00C02236">
        <w:rPr>
          <w:rFonts w:asciiTheme="majorBidi" w:hAnsiTheme="majorBidi" w:cstheme="majorBidi"/>
          <w:bCs/>
        </w:rPr>
        <w:t xml:space="preserve"> (</w:t>
      </w:r>
      <w:r w:rsidRPr="00C02236">
        <w:rPr>
          <w:rFonts w:asciiTheme="majorBidi" w:hAnsiTheme="majorBidi" w:cstheme="majorBidi"/>
          <w:b/>
        </w:rPr>
        <w:t>Ob8</w:t>
      </w:r>
      <w:r w:rsidRPr="00C02236">
        <w:rPr>
          <w:rFonts w:asciiTheme="majorBidi" w:hAnsiTheme="majorBidi" w:cstheme="majorBidi"/>
          <w:bCs/>
        </w:rPr>
        <w:t xml:space="preserve">), reflecting their ability to cross lipid membranes, which is essential for bioavailability. </w:t>
      </w:r>
      <w:proofErr w:type="spellStart"/>
      <w:r w:rsidRPr="00C02236">
        <w:rPr>
          <w:rFonts w:asciiTheme="majorBidi" w:hAnsiTheme="majorBidi" w:cstheme="majorBidi"/>
          <w:bCs/>
        </w:rPr>
        <w:t>LogD</w:t>
      </w:r>
      <w:proofErr w:type="spellEnd"/>
      <w:r w:rsidRPr="00C02236">
        <w:rPr>
          <w:rFonts w:asciiTheme="majorBidi" w:hAnsiTheme="majorBidi" w:cstheme="majorBidi"/>
          <w:bCs/>
        </w:rPr>
        <w:t xml:space="preserve"> values, indicative of distribution between aqueous and </w:t>
      </w:r>
      <w:r w:rsidRPr="00C02236">
        <w:rPr>
          <w:rFonts w:asciiTheme="majorBidi" w:hAnsiTheme="majorBidi" w:cstheme="majorBidi"/>
          <w:bCs/>
        </w:rPr>
        <w:lastRenderedPageBreak/>
        <w:t xml:space="preserve">lipid phases, ranged from </w:t>
      </w:r>
      <w:r w:rsidRPr="00C02236">
        <w:rPr>
          <w:rFonts w:asciiTheme="majorBidi" w:hAnsiTheme="majorBidi" w:cstheme="majorBidi"/>
        </w:rPr>
        <w:t>1.362</w:t>
      </w:r>
      <w:r w:rsidRPr="00C02236">
        <w:rPr>
          <w:rFonts w:asciiTheme="majorBidi" w:hAnsiTheme="majorBidi" w:cstheme="majorBidi"/>
          <w:bCs/>
        </w:rPr>
        <w:t xml:space="preserve"> (</w:t>
      </w:r>
      <w:proofErr w:type="spellStart"/>
      <w:r w:rsidRPr="00C02236">
        <w:rPr>
          <w:rFonts w:asciiTheme="majorBidi" w:hAnsiTheme="majorBidi" w:cstheme="majorBidi"/>
          <w:b/>
        </w:rPr>
        <w:t>Obl</w:t>
      </w:r>
      <w:proofErr w:type="spellEnd"/>
      <w:r w:rsidRPr="00C02236">
        <w:rPr>
          <w:rFonts w:asciiTheme="majorBidi" w:hAnsiTheme="majorBidi" w:cstheme="majorBidi"/>
          <w:bCs/>
        </w:rPr>
        <w:t xml:space="preserve">) to </w:t>
      </w:r>
      <w:r w:rsidRPr="00C02236">
        <w:rPr>
          <w:rFonts w:asciiTheme="majorBidi" w:hAnsiTheme="majorBidi" w:cstheme="majorBidi"/>
        </w:rPr>
        <w:t>3.903</w:t>
      </w:r>
      <w:r w:rsidRPr="00C02236">
        <w:rPr>
          <w:rFonts w:asciiTheme="majorBidi" w:hAnsiTheme="majorBidi" w:cstheme="majorBidi"/>
          <w:bCs/>
        </w:rPr>
        <w:t xml:space="preserve"> (</w:t>
      </w:r>
      <w:r w:rsidRPr="00C02236">
        <w:rPr>
          <w:rFonts w:asciiTheme="majorBidi" w:hAnsiTheme="majorBidi" w:cstheme="majorBidi"/>
          <w:b/>
        </w:rPr>
        <w:t>Ob8</w:t>
      </w:r>
      <w:r w:rsidRPr="00C02236">
        <w:rPr>
          <w:rFonts w:asciiTheme="majorBidi" w:hAnsiTheme="majorBidi" w:cstheme="majorBidi"/>
          <w:bCs/>
        </w:rPr>
        <w:t>). Acid dissociation constant (</w:t>
      </w:r>
      <w:proofErr w:type="spellStart"/>
      <w:r w:rsidRPr="00C02236">
        <w:rPr>
          <w:rFonts w:asciiTheme="majorBidi" w:hAnsiTheme="majorBidi" w:cstheme="majorBidi"/>
          <w:bCs/>
        </w:rPr>
        <w:t>pKa</w:t>
      </w:r>
      <w:proofErr w:type="spellEnd"/>
      <w:r w:rsidRPr="00C02236">
        <w:rPr>
          <w:rFonts w:asciiTheme="majorBidi" w:hAnsiTheme="majorBidi" w:cstheme="majorBidi"/>
          <w:bCs/>
        </w:rPr>
        <w:t xml:space="preserve">) values for acidic and basic functional groups highlighted the compounds' ionization tendencies, with acidic </w:t>
      </w:r>
      <w:proofErr w:type="spellStart"/>
      <w:r w:rsidRPr="00C02236">
        <w:rPr>
          <w:rFonts w:asciiTheme="majorBidi" w:hAnsiTheme="majorBidi" w:cstheme="majorBidi"/>
          <w:bCs/>
        </w:rPr>
        <w:t>pKa</w:t>
      </w:r>
      <w:proofErr w:type="spellEnd"/>
      <w:r w:rsidRPr="00C02236">
        <w:rPr>
          <w:rFonts w:asciiTheme="majorBidi" w:hAnsiTheme="majorBidi" w:cstheme="majorBidi"/>
          <w:bCs/>
        </w:rPr>
        <w:t xml:space="preserve"> values ranging from </w:t>
      </w:r>
      <w:r w:rsidRPr="00C02236">
        <w:rPr>
          <w:rFonts w:asciiTheme="majorBidi" w:hAnsiTheme="majorBidi" w:cstheme="majorBidi"/>
        </w:rPr>
        <w:t>9.456</w:t>
      </w:r>
      <w:r w:rsidRPr="00C02236">
        <w:rPr>
          <w:rFonts w:asciiTheme="majorBidi" w:hAnsiTheme="majorBidi" w:cstheme="majorBidi"/>
          <w:bCs/>
        </w:rPr>
        <w:t xml:space="preserve"> (</w:t>
      </w:r>
      <w:proofErr w:type="spellStart"/>
      <w:r w:rsidRPr="00C02236">
        <w:rPr>
          <w:rFonts w:asciiTheme="majorBidi" w:hAnsiTheme="majorBidi" w:cstheme="majorBidi"/>
          <w:b/>
        </w:rPr>
        <w:t>Obl</w:t>
      </w:r>
      <w:proofErr w:type="spellEnd"/>
      <w:r w:rsidRPr="00C02236">
        <w:rPr>
          <w:rFonts w:asciiTheme="majorBidi" w:hAnsiTheme="majorBidi" w:cstheme="majorBidi"/>
          <w:bCs/>
        </w:rPr>
        <w:t xml:space="preserve">) to </w:t>
      </w:r>
      <w:r w:rsidRPr="00C02236">
        <w:rPr>
          <w:rFonts w:asciiTheme="majorBidi" w:hAnsiTheme="majorBidi" w:cstheme="majorBidi"/>
          <w:shd w:val="clear" w:color="auto" w:fill="FFFFFF"/>
        </w:rPr>
        <w:t>11.588</w:t>
      </w:r>
      <w:r w:rsidRPr="00C02236">
        <w:rPr>
          <w:rFonts w:asciiTheme="majorBidi" w:hAnsiTheme="majorBidi" w:cstheme="majorBidi"/>
          <w:bCs/>
        </w:rPr>
        <w:t xml:space="preserve"> (</w:t>
      </w:r>
      <w:r w:rsidRPr="00C02236">
        <w:rPr>
          <w:rFonts w:asciiTheme="majorBidi" w:hAnsiTheme="majorBidi" w:cstheme="majorBidi"/>
          <w:b/>
        </w:rPr>
        <w:t>Ob6</w:t>
      </w:r>
      <w:r w:rsidRPr="00C02236">
        <w:rPr>
          <w:rFonts w:asciiTheme="majorBidi" w:hAnsiTheme="majorBidi" w:cstheme="majorBidi"/>
          <w:bCs/>
        </w:rPr>
        <w:t xml:space="preserve">) and basic </w:t>
      </w:r>
      <w:proofErr w:type="spellStart"/>
      <w:r w:rsidRPr="00C02236">
        <w:rPr>
          <w:rFonts w:asciiTheme="majorBidi" w:hAnsiTheme="majorBidi" w:cstheme="majorBidi"/>
          <w:bCs/>
        </w:rPr>
        <w:t>pKa</w:t>
      </w:r>
      <w:proofErr w:type="spellEnd"/>
      <w:r w:rsidRPr="00C02236">
        <w:rPr>
          <w:rFonts w:asciiTheme="majorBidi" w:hAnsiTheme="majorBidi" w:cstheme="majorBidi"/>
          <w:bCs/>
        </w:rPr>
        <w:t xml:space="preserve"> values between </w:t>
      </w:r>
      <w:r w:rsidRPr="00C02236">
        <w:rPr>
          <w:rFonts w:asciiTheme="majorBidi" w:hAnsiTheme="majorBidi" w:cstheme="majorBidi"/>
          <w:shd w:val="clear" w:color="auto" w:fill="FFFFFF"/>
        </w:rPr>
        <w:t>11.588</w:t>
      </w:r>
      <w:r w:rsidRPr="00C02236">
        <w:rPr>
          <w:rFonts w:asciiTheme="majorBidi" w:hAnsiTheme="majorBidi" w:cstheme="majorBidi"/>
          <w:bCs/>
        </w:rPr>
        <w:t xml:space="preserve"> (</w:t>
      </w:r>
      <w:r w:rsidRPr="00C02236">
        <w:rPr>
          <w:rFonts w:asciiTheme="majorBidi" w:hAnsiTheme="majorBidi" w:cstheme="majorBidi"/>
          <w:b/>
        </w:rPr>
        <w:t>Ob6</w:t>
      </w:r>
      <w:r w:rsidRPr="00C02236">
        <w:rPr>
          <w:rFonts w:asciiTheme="majorBidi" w:hAnsiTheme="majorBidi" w:cstheme="majorBidi"/>
          <w:bCs/>
        </w:rPr>
        <w:t xml:space="preserve">) and </w:t>
      </w:r>
      <w:r w:rsidRPr="00C02236">
        <w:rPr>
          <w:rFonts w:asciiTheme="majorBidi" w:hAnsiTheme="majorBidi" w:cstheme="majorBidi"/>
        </w:rPr>
        <w:t>11.407[Ob8].</w:t>
      </w:r>
    </w:p>
    <w:p w:rsidR="00647508" w:rsidRPr="00C02236" w:rsidRDefault="00647508" w:rsidP="0018648E">
      <w:pPr>
        <w:autoSpaceDE w:val="0"/>
        <w:autoSpaceDN w:val="0"/>
        <w:adjustRightInd w:val="0"/>
        <w:spacing w:before="100" w:beforeAutospacing="1" w:after="100" w:afterAutospacing="1" w:line="360" w:lineRule="auto"/>
        <w:jc w:val="both"/>
        <w:rPr>
          <w:rFonts w:asciiTheme="majorBidi" w:hAnsiTheme="majorBidi" w:cstheme="majorBidi"/>
          <w:bCs/>
        </w:rPr>
      </w:pPr>
      <w:r w:rsidRPr="00C02236">
        <w:rPr>
          <w:rFonts w:asciiTheme="majorBidi" w:hAnsiTheme="majorBidi" w:cstheme="majorBidi"/>
          <w:bCs/>
        </w:rPr>
        <w:t>The melting and boiling points of the compounds, critical for their stability and processing, varied widely. C</w:t>
      </w:r>
      <w:r w:rsidR="00A872F7">
        <w:rPr>
          <w:rFonts w:asciiTheme="majorBidi" w:hAnsiTheme="majorBidi" w:cstheme="majorBidi"/>
          <w:bCs/>
        </w:rPr>
        <w:t>onstituent</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had the highest melting point (244.515°C) and boiling point (460.874°C), reflecting its structural robustness. In contrast, displayed the lowest boiling point (328.187°C), suggesting relatively lower thermal stability as shown in Ta</w:t>
      </w:r>
      <w:r w:rsidR="0018648E">
        <w:rPr>
          <w:rFonts w:asciiTheme="majorBidi" w:hAnsiTheme="majorBidi" w:cstheme="majorBidi"/>
          <w:bCs/>
        </w:rPr>
        <w:t xml:space="preserve">ble </w:t>
      </w:r>
      <w:r w:rsidRPr="00C02236">
        <w:rPr>
          <w:rFonts w:asciiTheme="majorBidi" w:hAnsiTheme="majorBidi" w:cstheme="majorBidi"/>
          <w:bCs/>
        </w:rPr>
        <w:t>3.</w:t>
      </w:r>
    </w:p>
    <w:p w:rsidR="00647508" w:rsidRPr="00C02236" w:rsidRDefault="003F1319" w:rsidP="003F1319">
      <w:pPr>
        <w:pStyle w:val="Tablecaption"/>
        <w:spacing w:before="100" w:beforeAutospacing="1" w:after="100" w:afterAutospacing="1"/>
        <w:rPr>
          <w:rFonts w:asciiTheme="majorBidi" w:hAnsiTheme="majorBidi" w:cstheme="majorBidi"/>
        </w:rPr>
      </w:pPr>
      <w:bookmarkStart w:id="0" w:name="_Toc191889976"/>
      <w:r>
        <w:rPr>
          <w:rFonts w:asciiTheme="majorBidi" w:hAnsiTheme="majorBidi" w:cstheme="majorBidi"/>
          <w:bCs/>
        </w:rPr>
        <w:t>Table 3:</w:t>
      </w:r>
      <w:r w:rsidRPr="00C75944">
        <w:rPr>
          <w:rFonts w:asciiTheme="majorBidi" w:hAnsiTheme="majorBidi" w:cstheme="majorBidi"/>
        </w:rPr>
        <w:t xml:space="preserve"> Physicochemical properties for drug-likeness</w:t>
      </w:r>
      <w:r>
        <w:rPr>
          <w:rFonts w:asciiTheme="majorBidi" w:hAnsiTheme="majorBidi" w:cstheme="majorBidi"/>
        </w:rPr>
        <w:t xml:space="preserve"> of Ob1-</w:t>
      </w:r>
      <w:bookmarkEnd w:id="0"/>
      <w:r>
        <w:rPr>
          <w:rFonts w:asciiTheme="majorBidi" w:hAnsiTheme="majorBidi" w:cstheme="majorBidi"/>
        </w:rPr>
        <w:t>Ob10</w:t>
      </w:r>
    </w:p>
    <w:tbl>
      <w:tblPr>
        <w:tblStyle w:val="TableGridLight"/>
        <w:tblW w:w="0" w:type="auto"/>
        <w:tblLook w:val="04A0" w:firstRow="1" w:lastRow="0" w:firstColumn="1" w:lastColumn="0" w:noHBand="0" w:noVBand="1"/>
      </w:tblPr>
      <w:tblGrid>
        <w:gridCol w:w="1010"/>
        <w:gridCol w:w="834"/>
        <w:gridCol w:w="834"/>
        <w:gridCol w:w="834"/>
        <w:gridCol w:w="834"/>
        <w:gridCol w:w="834"/>
        <w:gridCol w:w="834"/>
        <w:gridCol w:w="834"/>
        <w:gridCol w:w="834"/>
        <w:gridCol w:w="834"/>
        <w:gridCol w:w="834"/>
      </w:tblGrid>
      <w:tr w:rsidR="00647508" w:rsidRPr="009E0F89" w:rsidTr="00A872F7">
        <w:tc>
          <w:tcPr>
            <w:tcW w:w="1014"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Property</w:t>
            </w:r>
          </w:p>
        </w:tc>
        <w:tc>
          <w:tcPr>
            <w:tcW w:w="834"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OB1</w:t>
            </w:r>
          </w:p>
        </w:tc>
        <w:tc>
          <w:tcPr>
            <w:tcW w:w="836"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OB2</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OB3</w:t>
            </w:r>
          </w:p>
        </w:tc>
        <w:tc>
          <w:tcPr>
            <w:tcW w:w="835"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OB4</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OB5</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OB6</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OB7</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OB8</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OB9</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
                <w:sz w:val="20"/>
                <w:szCs w:val="20"/>
              </w:rPr>
            </w:pPr>
            <w:r w:rsidRPr="009E0F89">
              <w:rPr>
                <w:rFonts w:asciiTheme="majorBidi" w:hAnsiTheme="majorBidi" w:cstheme="majorBidi"/>
                <w:b/>
                <w:sz w:val="20"/>
                <w:szCs w:val="20"/>
              </w:rPr>
              <w:t>OB10</w:t>
            </w:r>
          </w:p>
        </w:tc>
      </w:tr>
      <w:tr w:rsidR="00647508" w:rsidRPr="009E0F89" w:rsidTr="00A872F7">
        <w:tc>
          <w:tcPr>
            <w:tcW w:w="1014"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Molecular formula</w:t>
            </w:r>
          </w:p>
        </w:tc>
        <w:tc>
          <w:tcPr>
            <w:tcW w:w="834"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170.13</w:t>
            </w:r>
          </w:p>
        </w:tc>
        <w:tc>
          <w:tcPr>
            <w:tcW w:w="836"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182.13</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196.15</w:t>
            </w:r>
          </w:p>
        </w:tc>
        <w:tc>
          <w:tcPr>
            <w:tcW w:w="835"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170.13</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302.19</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204.19</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204.19</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204.19</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204.19</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204.19</w:t>
            </w:r>
          </w:p>
        </w:tc>
      </w:tr>
      <w:tr w:rsidR="00647508" w:rsidRPr="009E0F89" w:rsidTr="00A872F7">
        <w:tc>
          <w:tcPr>
            <w:tcW w:w="1014"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Density</w:t>
            </w:r>
          </w:p>
        </w:tc>
        <w:tc>
          <w:tcPr>
            <w:tcW w:w="834"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0.905</w:t>
            </w:r>
          </w:p>
        </w:tc>
        <w:tc>
          <w:tcPr>
            <w:tcW w:w="836"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202.563</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0.917</w:t>
            </w:r>
          </w:p>
        </w:tc>
        <w:tc>
          <w:tcPr>
            <w:tcW w:w="835"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0.935</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0.923</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0.852</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0.812</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0.831</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0.831</w:t>
            </w:r>
          </w:p>
        </w:tc>
        <w:tc>
          <w:tcPr>
            <w:tcW w:w="833" w:type="dxa"/>
          </w:tcPr>
          <w:p w:rsidR="00647508" w:rsidRPr="009E0F89" w:rsidRDefault="00647508" w:rsidP="003F1319">
            <w:pPr>
              <w:spacing w:before="100" w:beforeAutospacing="1" w:after="100" w:afterAutospacing="1" w:line="360" w:lineRule="auto"/>
              <w:jc w:val="both"/>
              <w:rPr>
                <w:rFonts w:asciiTheme="majorBidi" w:hAnsiTheme="majorBidi" w:cstheme="majorBidi"/>
                <w:bCs/>
                <w:sz w:val="20"/>
                <w:szCs w:val="20"/>
              </w:rPr>
            </w:pPr>
            <w:r w:rsidRPr="009E0F89">
              <w:rPr>
                <w:rFonts w:asciiTheme="majorBidi" w:hAnsiTheme="majorBidi" w:cstheme="majorBidi"/>
                <w:bCs/>
                <w:sz w:val="20"/>
                <w:szCs w:val="20"/>
              </w:rPr>
              <w:t>0.831</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nHA</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2.0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nHD</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nRot</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4.0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nRing</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4.0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MaxRing</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6.0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5.0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6.0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6.0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6.0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nHet</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fChar</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nRig</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7.0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7.0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9.0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9.0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16.0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12.0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12.0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12.0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Flexibility</w:t>
            </w:r>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0.143</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0.429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0.222</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0.25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0.083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0.333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0.083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0.077</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0.083</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Stereo Centers</w:t>
            </w:r>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4.0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5.0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TPSA</w:t>
            </w:r>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29.46</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26</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26.3</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29.46</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38.69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0.0</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logS</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-0.797</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-1.6</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-2.725</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-2.239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-3.889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-4.184</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-4.474</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-5.223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-4.044</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-4.216</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logP</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1.395</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1.767</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3.019</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1.935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3.435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4.27</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4.617</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5.363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4.184</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4.311</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logD</w:t>
            </w:r>
            <w:proofErr w:type="spellEnd"/>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1.362</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1.744</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3.041</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2.175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3.28</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3.219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3.505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3.903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3.349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3.335</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t>pka</w:t>
            </w:r>
            <w:proofErr w:type="spellEnd"/>
            <w:r w:rsidRPr="009E0F89">
              <w:rPr>
                <w:rFonts w:asciiTheme="majorBidi" w:hAnsiTheme="majorBidi" w:cstheme="majorBidi"/>
                <w:bCs/>
                <w:sz w:val="20"/>
                <w:szCs w:val="20"/>
              </w:rPr>
              <w:t xml:space="preserve"> (Acid)</w:t>
            </w:r>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9.456</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8.993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9.901</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7.45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10.015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11.588</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11.205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11.407</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10.237</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10.599</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proofErr w:type="spellStart"/>
            <w:r w:rsidRPr="009E0F89">
              <w:rPr>
                <w:rFonts w:asciiTheme="majorBidi" w:hAnsiTheme="majorBidi" w:cstheme="majorBidi"/>
                <w:bCs/>
                <w:sz w:val="20"/>
                <w:szCs w:val="20"/>
              </w:rPr>
              <w:lastRenderedPageBreak/>
              <w:t>pka</w:t>
            </w:r>
            <w:proofErr w:type="spellEnd"/>
            <w:r w:rsidRPr="009E0F89">
              <w:rPr>
                <w:rFonts w:asciiTheme="majorBidi" w:hAnsiTheme="majorBidi" w:cstheme="majorBidi"/>
                <w:bCs/>
                <w:sz w:val="20"/>
                <w:szCs w:val="20"/>
              </w:rPr>
              <w:t xml:space="preserve"> (Base)</w:t>
            </w:r>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5.446</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5.524</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4.916</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5.987</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5.803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6.76</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6.256</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5.94</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7.185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7.073</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Melting point</w:t>
            </w:r>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50.723</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23.516</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48.982</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121.855</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shd w:val="clear" w:color="auto" w:fill="FFFFFF"/>
              </w:rPr>
              <w:t>91.816</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101.562</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39.698</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84.323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50.754</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47.167</w:t>
            </w:r>
          </w:p>
        </w:tc>
      </w:tr>
      <w:tr w:rsidR="00647508" w:rsidRPr="009E0F89" w:rsidTr="00A872F7">
        <w:tc>
          <w:tcPr>
            <w:tcW w:w="101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Boiling point</w:t>
            </w:r>
          </w:p>
        </w:tc>
        <w:tc>
          <w:tcPr>
            <w:tcW w:w="834"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178.589</w:t>
            </w:r>
          </w:p>
        </w:tc>
        <w:tc>
          <w:tcPr>
            <w:tcW w:w="836"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168.022</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216.417</w:t>
            </w:r>
          </w:p>
        </w:tc>
        <w:tc>
          <w:tcPr>
            <w:tcW w:w="835"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206.848</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282.467</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144.989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178.513</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190.059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176.669</w:t>
            </w:r>
          </w:p>
        </w:tc>
        <w:tc>
          <w:tcPr>
            <w:tcW w:w="833" w:type="dxa"/>
          </w:tcPr>
          <w:p w:rsidR="00647508" w:rsidRPr="009E0F89" w:rsidRDefault="00647508" w:rsidP="00A60F55">
            <w:pPr>
              <w:spacing w:line="360" w:lineRule="auto"/>
              <w:jc w:val="both"/>
              <w:rPr>
                <w:rFonts w:asciiTheme="majorBidi" w:hAnsiTheme="majorBidi" w:cstheme="majorBidi"/>
                <w:bCs/>
                <w:sz w:val="20"/>
                <w:szCs w:val="20"/>
              </w:rPr>
            </w:pPr>
            <w:r w:rsidRPr="009E0F89">
              <w:rPr>
                <w:rFonts w:asciiTheme="majorBidi" w:hAnsiTheme="majorBidi" w:cstheme="majorBidi"/>
                <w:bCs/>
                <w:sz w:val="20"/>
                <w:szCs w:val="20"/>
              </w:rPr>
              <w:t>181.494</w:t>
            </w:r>
          </w:p>
        </w:tc>
      </w:tr>
    </w:tbl>
    <w:p w:rsidR="00A872F7" w:rsidRDefault="00647508" w:rsidP="00647508">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 </w:t>
      </w:r>
    </w:p>
    <w:p w:rsidR="0018648E" w:rsidRDefault="0018648E" w:rsidP="0018648E">
      <w:pPr>
        <w:pStyle w:val="NormalWeb"/>
        <w:rPr>
          <w:b/>
          <w:color w:val="000000" w:themeColor="text1"/>
        </w:rPr>
      </w:pPr>
      <w:r>
        <w:rPr>
          <w:b/>
          <w:color w:val="000000" w:themeColor="text1"/>
        </w:rPr>
        <w:t xml:space="preserve">3.3.2: </w:t>
      </w:r>
      <w:r w:rsidRPr="0041385D">
        <w:rPr>
          <w:b/>
          <w:color w:val="000000" w:themeColor="text1"/>
        </w:rPr>
        <w:t xml:space="preserve">Medicinal </w:t>
      </w:r>
      <w:r>
        <w:rPr>
          <w:b/>
          <w:color w:val="000000" w:themeColor="text1"/>
        </w:rPr>
        <w:t>Chemistry</w:t>
      </w:r>
      <w:r w:rsidR="00317A15">
        <w:rPr>
          <w:b/>
          <w:color w:val="000000" w:themeColor="text1"/>
        </w:rPr>
        <w:t xml:space="preserve"> </w:t>
      </w:r>
      <w:r w:rsidR="00317A15" w:rsidRPr="0022377C">
        <w:rPr>
          <w:rFonts w:asciiTheme="majorBidi" w:hAnsiTheme="majorBidi" w:cstheme="majorBidi"/>
          <w:b/>
        </w:rPr>
        <w:t>of Ob1-Ob10</w:t>
      </w:r>
    </w:p>
    <w:p w:rsidR="00647508" w:rsidRPr="00C02236" w:rsidRDefault="00647508" w:rsidP="00A872F7">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The medicinal chemistry properties of the </w:t>
      </w:r>
      <w:r w:rsidR="00A872F7">
        <w:rPr>
          <w:rFonts w:asciiTheme="majorBidi" w:hAnsiTheme="majorBidi" w:cstheme="majorBidi"/>
          <w:bCs/>
        </w:rPr>
        <w:t>chemical constituent</w:t>
      </w:r>
      <w:r w:rsidR="00A872F7" w:rsidRPr="00C02236">
        <w:rPr>
          <w:rFonts w:asciiTheme="majorBidi" w:hAnsiTheme="majorBidi" w:cstheme="majorBidi"/>
          <w:bCs/>
        </w:rPr>
        <w:t xml:space="preserve"> </w:t>
      </w:r>
      <w:r w:rsidRPr="00C02236">
        <w:rPr>
          <w:rFonts w:asciiTheme="majorBidi" w:hAnsiTheme="majorBidi" w:cstheme="majorBidi"/>
          <w:bCs/>
        </w:rPr>
        <w:t>(</w:t>
      </w:r>
      <w:r w:rsidRPr="00C02236">
        <w:rPr>
          <w:rFonts w:asciiTheme="majorBidi" w:hAnsiTheme="majorBidi" w:cstheme="majorBidi"/>
          <w:b/>
        </w:rPr>
        <w:t>Ob1</w:t>
      </w:r>
      <w:r w:rsidRPr="00C02236">
        <w:rPr>
          <w:rFonts w:asciiTheme="majorBidi" w:hAnsiTheme="majorBidi" w:cstheme="majorBidi"/>
          <w:bCs/>
        </w:rPr>
        <w:t>) were evaluated to assess their suitability a</w:t>
      </w:r>
      <w:r w:rsidR="009E0F89">
        <w:rPr>
          <w:rFonts w:asciiTheme="majorBidi" w:hAnsiTheme="majorBidi" w:cstheme="majorBidi"/>
          <w:bCs/>
        </w:rPr>
        <w:t>s potential therapeutic agents.</w:t>
      </w:r>
      <w:r w:rsidRPr="00C02236">
        <w:rPr>
          <w:rFonts w:asciiTheme="majorBidi" w:hAnsiTheme="majorBidi" w:cstheme="majorBidi"/>
          <w:bCs/>
        </w:rPr>
        <w:t xml:space="preserve"> The General Alert System Algorithm (GASA) scores were consistently zero for all compounds, indicating the absence of general structural alerts that could hinder their development as drugs. The synthetic accessibility (Synth) scores, uniformly at 2.0, suggest that all compounds are relatively easy to synthesize.</w:t>
      </w:r>
      <w:r w:rsidR="00A872F7">
        <w:rPr>
          <w:rFonts w:asciiTheme="majorBidi" w:hAnsiTheme="majorBidi" w:cstheme="majorBidi"/>
          <w:bCs/>
        </w:rPr>
        <w:t xml:space="preserve"> </w:t>
      </w:r>
      <w:r w:rsidRPr="00C02236">
        <w:rPr>
          <w:rFonts w:asciiTheme="majorBidi" w:hAnsiTheme="majorBidi" w:cstheme="majorBidi"/>
          <w:bCs/>
        </w:rPr>
        <w:t>The fraction of sp³ hybridized carbons (Fsp³), a measure of three-dimensionality, ranged from</w:t>
      </w:r>
      <w:r w:rsidRPr="00C02236">
        <w:rPr>
          <w:rFonts w:asciiTheme="majorBidi" w:hAnsiTheme="majorBidi" w:cstheme="majorBidi"/>
        </w:rPr>
        <w:t>0.917</w:t>
      </w:r>
      <w:r w:rsidRPr="00C02236">
        <w:rPr>
          <w:rFonts w:asciiTheme="majorBidi" w:hAnsiTheme="majorBidi" w:cstheme="majorBidi"/>
          <w:bCs/>
        </w:rPr>
        <w:t xml:space="preserve"> (</w:t>
      </w:r>
      <w:r w:rsidRPr="00C02236">
        <w:rPr>
          <w:rFonts w:asciiTheme="majorBidi" w:hAnsiTheme="majorBidi" w:cstheme="majorBidi"/>
          <w:b/>
        </w:rPr>
        <w:t>Ob3</w:t>
      </w:r>
      <w:r w:rsidRPr="00C02236">
        <w:rPr>
          <w:rFonts w:asciiTheme="majorBidi" w:hAnsiTheme="majorBidi" w:cstheme="majorBidi"/>
          <w:bCs/>
        </w:rPr>
        <w:t xml:space="preserve">) to </w:t>
      </w:r>
      <w:r w:rsidRPr="00C02236">
        <w:rPr>
          <w:rFonts w:asciiTheme="majorBidi" w:hAnsiTheme="majorBidi" w:cstheme="majorBidi"/>
        </w:rPr>
        <w:t>0.733</w:t>
      </w:r>
      <w:r w:rsidRPr="00C02236">
        <w:rPr>
          <w:rFonts w:asciiTheme="majorBidi" w:hAnsiTheme="majorBidi" w:cstheme="majorBidi"/>
          <w:bCs/>
        </w:rPr>
        <w:t xml:space="preserve"> (</w:t>
      </w:r>
      <w:r w:rsidRPr="00C02236">
        <w:rPr>
          <w:rFonts w:asciiTheme="majorBidi" w:hAnsiTheme="majorBidi" w:cstheme="majorBidi"/>
          <w:b/>
        </w:rPr>
        <w:t xml:space="preserve">Ob8 </w:t>
      </w:r>
      <w:r w:rsidRPr="00C02236">
        <w:rPr>
          <w:rFonts w:asciiTheme="majorBidi" w:hAnsiTheme="majorBidi" w:cstheme="majorBidi"/>
          <w:bCs/>
        </w:rPr>
        <w:t xml:space="preserve">and </w:t>
      </w:r>
      <w:r w:rsidRPr="00C02236">
        <w:rPr>
          <w:rFonts w:asciiTheme="majorBidi" w:hAnsiTheme="majorBidi" w:cstheme="majorBidi"/>
          <w:b/>
        </w:rPr>
        <w:t>Ob10</w:t>
      </w:r>
      <w:r w:rsidRPr="00C02236">
        <w:rPr>
          <w:rFonts w:asciiTheme="majorBidi" w:hAnsiTheme="majorBidi" w:cstheme="majorBidi"/>
          <w:bCs/>
        </w:rPr>
        <w:t xml:space="preserve">). This parameter underscores the varying degrees of complexity in the compounds’ structures, with </w:t>
      </w:r>
      <w:r w:rsidRPr="00C02236">
        <w:rPr>
          <w:rFonts w:asciiTheme="majorBidi" w:hAnsiTheme="majorBidi" w:cstheme="majorBidi"/>
          <w:b/>
        </w:rPr>
        <w:t xml:space="preserve">Ob8 </w:t>
      </w:r>
      <w:r w:rsidRPr="00C02236">
        <w:rPr>
          <w:rFonts w:asciiTheme="majorBidi" w:hAnsiTheme="majorBidi" w:cstheme="majorBidi"/>
          <w:bCs/>
        </w:rPr>
        <w:t xml:space="preserve">and </w:t>
      </w:r>
      <w:r w:rsidRPr="00C02236">
        <w:rPr>
          <w:rFonts w:asciiTheme="majorBidi" w:hAnsiTheme="majorBidi" w:cstheme="majorBidi"/>
          <w:b/>
        </w:rPr>
        <w:t>Ob10</w:t>
      </w:r>
      <w:r w:rsidRPr="00C02236">
        <w:rPr>
          <w:rFonts w:asciiTheme="majorBidi" w:hAnsiTheme="majorBidi" w:cstheme="majorBidi"/>
          <w:bCs/>
        </w:rPr>
        <w:t xml:space="preserve"> being the most three-dimensional. The MCE-18 (median complexity evaluation) values varied between </w:t>
      </w:r>
      <w:r w:rsidRPr="00C02236">
        <w:rPr>
          <w:rFonts w:asciiTheme="majorBidi" w:hAnsiTheme="majorBidi" w:cstheme="majorBidi"/>
        </w:rPr>
        <w:t>25.556</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and </w:t>
      </w:r>
      <w:r w:rsidRPr="00C02236">
        <w:rPr>
          <w:rFonts w:asciiTheme="majorBidi" w:hAnsiTheme="majorBidi" w:cstheme="majorBidi"/>
        </w:rPr>
        <w:t>31.385</w:t>
      </w:r>
      <w:r w:rsidRPr="00C02236">
        <w:rPr>
          <w:rFonts w:asciiTheme="majorBidi" w:hAnsiTheme="majorBidi" w:cstheme="majorBidi"/>
          <w:bCs/>
        </w:rPr>
        <w:t xml:space="preserve"> (</w:t>
      </w:r>
      <w:r w:rsidRPr="00C02236">
        <w:rPr>
          <w:rFonts w:asciiTheme="majorBidi" w:hAnsiTheme="majorBidi" w:cstheme="majorBidi"/>
          <w:b/>
        </w:rPr>
        <w:t>Ob10</w:t>
      </w:r>
      <w:r w:rsidRPr="00C02236">
        <w:rPr>
          <w:rFonts w:asciiTheme="majorBidi" w:hAnsiTheme="majorBidi" w:cstheme="majorBidi"/>
          <w:bCs/>
        </w:rPr>
        <w:t>), indicating differences in structural complexity. The natural product-likeness (</w:t>
      </w:r>
      <w:proofErr w:type="spellStart"/>
      <w:r w:rsidRPr="00C02236">
        <w:rPr>
          <w:rFonts w:asciiTheme="majorBidi" w:hAnsiTheme="majorBidi" w:cstheme="majorBidi"/>
          <w:bCs/>
        </w:rPr>
        <w:t>NPscore</w:t>
      </w:r>
      <w:proofErr w:type="spellEnd"/>
      <w:r w:rsidRPr="00C02236">
        <w:rPr>
          <w:rFonts w:asciiTheme="majorBidi" w:hAnsiTheme="majorBidi" w:cstheme="majorBidi"/>
          <w:bCs/>
        </w:rPr>
        <w:t xml:space="preserve">), which estimates how closely a compound resembles natural products, ranged from </w:t>
      </w:r>
      <w:r w:rsidRPr="00C02236">
        <w:rPr>
          <w:rFonts w:asciiTheme="majorBidi" w:hAnsiTheme="majorBidi" w:cstheme="majorBidi"/>
        </w:rPr>
        <w:t>3.295</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to </w:t>
      </w:r>
      <w:r w:rsidRPr="00C02236">
        <w:rPr>
          <w:rFonts w:asciiTheme="majorBidi" w:hAnsiTheme="majorBidi" w:cstheme="majorBidi"/>
        </w:rPr>
        <w:t>3.584</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Compounds like </w:t>
      </w:r>
      <w:r w:rsidRPr="00C02236">
        <w:rPr>
          <w:rFonts w:asciiTheme="majorBidi" w:hAnsiTheme="majorBidi" w:cstheme="majorBidi"/>
          <w:b/>
        </w:rPr>
        <w:t>Ob4</w:t>
      </w:r>
      <w:r w:rsidRPr="00C02236">
        <w:rPr>
          <w:rFonts w:asciiTheme="majorBidi" w:hAnsiTheme="majorBidi" w:cstheme="majorBidi"/>
          <w:bCs/>
        </w:rPr>
        <w:t xml:space="preserve"> had the highest </w:t>
      </w:r>
      <w:proofErr w:type="spellStart"/>
      <w:r w:rsidRPr="00C02236">
        <w:rPr>
          <w:rFonts w:asciiTheme="majorBidi" w:hAnsiTheme="majorBidi" w:cstheme="majorBidi"/>
          <w:bCs/>
        </w:rPr>
        <w:t>NPscore</w:t>
      </w:r>
      <w:proofErr w:type="spellEnd"/>
      <w:r w:rsidRPr="00C02236">
        <w:rPr>
          <w:rFonts w:asciiTheme="majorBidi" w:hAnsiTheme="majorBidi" w:cstheme="majorBidi"/>
          <w:bCs/>
        </w:rPr>
        <w:t xml:space="preserve">, reflecting their relatively greater similarity to natural product frameworks. The adherence to medicinal chemistry rules such as the Lipinski Rule of Five showed that most compounds violated zero rules, except </w:t>
      </w:r>
      <w:r w:rsidRPr="00C02236">
        <w:rPr>
          <w:rFonts w:asciiTheme="majorBidi" w:hAnsiTheme="majorBidi" w:cstheme="majorBidi"/>
          <w:bCs/>
          <w:i/>
        </w:rPr>
        <w:t xml:space="preserve">for </w:t>
      </w:r>
      <w:r w:rsidRPr="00C02236">
        <w:rPr>
          <w:rFonts w:asciiTheme="majorBidi" w:hAnsiTheme="majorBidi" w:cstheme="majorBidi"/>
          <w:i/>
        </w:rPr>
        <w:t>Ob1</w:t>
      </w:r>
      <w:r w:rsidR="00A872F7">
        <w:rPr>
          <w:rFonts w:asciiTheme="majorBidi" w:hAnsiTheme="majorBidi" w:cstheme="majorBidi"/>
          <w:bCs/>
        </w:rPr>
        <w:t xml:space="preserve">, </w:t>
      </w:r>
      <w:r w:rsidRPr="00C02236">
        <w:rPr>
          <w:rFonts w:asciiTheme="majorBidi" w:hAnsiTheme="majorBidi" w:cstheme="majorBidi"/>
          <w:bCs/>
        </w:rPr>
        <w:t xml:space="preserve">Ob10 which had one violation each, mainly due to molecular weight or </w:t>
      </w:r>
      <w:proofErr w:type="spellStart"/>
      <w:r w:rsidRPr="00C02236">
        <w:rPr>
          <w:rFonts w:asciiTheme="majorBidi" w:hAnsiTheme="majorBidi" w:cstheme="majorBidi"/>
          <w:bCs/>
        </w:rPr>
        <w:t>logP</w:t>
      </w:r>
      <w:proofErr w:type="spellEnd"/>
      <w:r w:rsidRPr="00C02236">
        <w:rPr>
          <w:rFonts w:asciiTheme="majorBidi" w:hAnsiTheme="majorBidi" w:cstheme="majorBidi"/>
          <w:bCs/>
        </w:rPr>
        <w:t xml:space="preserve"> values. Similarly, the Pfizer Rule and Golden Triangle Rule were satisfied variably across the series, with compounds like </w:t>
      </w:r>
      <w:r w:rsidRPr="00C02236">
        <w:rPr>
          <w:rFonts w:asciiTheme="majorBidi" w:hAnsiTheme="majorBidi" w:cstheme="majorBidi"/>
          <w:b/>
        </w:rPr>
        <w:t>Ob3</w:t>
      </w:r>
      <w:r w:rsidRPr="00C02236">
        <w:rPr>
          <w:rFonts w:asciiTheme="majorBidi" w:hAnsiTheme="majorBidi" w:cstheme="majorBidi"/>
          <w:bCs/>
        </w:rPr>
        <w:t xml:space="preserve"> showing greater compliance with these guidelines. Interestingly, all compounds adhered to the GSK Rule, highlighting their promising profiles for further development. Alerts for potential issues were identified using PAINS (Pan-Assay Interference Compounds) and ALARM NMR alerts. All compounds triggered a single PAINS alert, while ALARM NMR alerts ranged from 0(</w:t>
      </w:r>
      <w:r w:rsidRPr="00C02236">
        <w:rPr>
          <w:rFonts w:asciiTheme="majorBidi" w:hAnsiTheme="majorBidi" w:cstheme="majorBidi"/>
          <w:b/>
        </w:rPr>
        <w:t>Ob1</w:t>
      </w:r>
      <w:r w:rsidRPr="00C02236">
        <w:rPr>
          <w:rFonts w:asciiTheme="majorBidi" w:hAnsiTheme="majorBidi" w:cstheme="majorBidi"/>
          <w:bCs/>
        </w:rPr>
        <w:t>) to 1 (</w:t>
      </w:r>
      <w:r w:rsidRPr="00C02236">
        <w:rPr>
          <w:rFonts w:asciiTheme="majorBidi" w:hAnsiTheme="majorBidi" w:cstheme="majorBidi"/>
          <w:b/>
        </w:rPr>
        <w:t>Ob2</w:t>
      </w:r>
      <w:r w:rsidRPr="00C02236">
        <w:rPr>
          <w:rFonts w:asciiTheme="majorBidi" w:hAnsiTheme="majorBidi" w:cstheme="majorBidi"/>
          <w:bCs/>
        </w:rPr>
        <w:t xml:space="preserve">), reflecting varying tendencies for interfering in assays. Importantly, no compound exhibited any alerts under the Bristol-Myers Squibb (BMS) criteria, which evaluates risks related to </w:t>
      </w:r>
      <w:r w:rsidRPr="00C02236">
        <w:rPr>
          <w:rFonts w:asciiTheme="majorBidi" w:hAnsiTheme="majorBidi" w:cstheme="majorBidi"/>
          <w:bCs/>
        </w:rPr>
        <w:lastRenderedPageBreak/>
        <w:t xml:space="preserve">reactivity. However, compound </w:t>
      </w:r>
      <w:r w:rsidRPr="00C02236">
        <w:rPr>
          <w:rFonts w:asciiTheme="majorBidi" w:hAnsiTheme="majorBidi" w:cstheme="majorBidi"/>
          <w:b/>
        </w:rPr>
        <w:t>Ob1</w:t>
      </w:r>
      <w:r w:rsidRPr="00C02236">
        <w:rPr>
          <w:rFonts w:asciiTheme="majorBidi" w:hAnsiTheme="majorBidi" w:cstheme="majorBidi"/>
          <w:bCs/>
        </w:rPr>
        <w:t xml:space="preserve"> triggered a single alert under the </w:t>
      </w:r>
      <w:proofErr w:type="spellStart"/>
      <w:r w:rsidRPr="00C02236">
        <w:rPr>
          <w:rFonts w:asciiTheme="majorBidi" w:hAnsiTheme="majorBidi" w:cstheme="majorBidi"/>
          <w:bCs/>
        </w:rPr>
        <w:t>Chelator</w:t>
      </w:r>
      <w:proofErr w:type="spellEnd"/>
      <w:r w:rsidRPr="00C02236">
        <w:rPr>
          <w:rFonts w:asciiTheme="majorBidi" w:hAnsiTheme="majorBidi" w:cstheme="majorBidi"/>
          <w:bCs/>
        </w:rPr>
        <w:t xml:space="preserve"> Rule, likely due to its ability to bind metal ions.</w:t>
      </w:r>
    </w:p>
    <w:p w:rsidR="00647508" w:rsidRPr="0018648E" w:rsidRDefault="00647508" w:rsidP="0018648E">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Regarding other critical parameters, colloidal aggregation scores were close to 1.0 for all compounds, indicating minimal risk of colloidal behavior. The potential for firefly luciferase (</w:t>
      </w:r>
      <w:proofErr w:type="spellStart"/>
      <w:r w:rsidRPr="00C02236">
        <w:rPr>
          <w:rFonts w:asciiTheme="majorBidi" w:hAnsiTheme="majorBidi" w:cstheme="majorBidi"/>
          <w:bCs/>
        </w:rPr>
        <w:t>FLuc</w:t>
      </w:r>
      <w:proofErr w:type="spellEnd"/>
      <w:r w:rsidRPr="00C02236">
        <w:rPr>
          <w:rFonts w:asciiTheme="majorBidi" w:hAnsiTheme="majorBidi" w:cstheme="majorBidi"/>
          <w:bCs/>
        </w:rPr>
        <w:t xml:space="preserve">) inhibition ranged from </w:t>
      </w:r>
      <w:r w:rsidRPr="00C02236">
        <w:rPr>
          <w:rFonts w:asciiTheme="majorBidi" w:hAnsiTheme="majorBidi" w:cstheme="majorBidi"/>
        </w:rPr>
        <w:t>0.024</w:t>
      </w:r>
      <w:r w:rsidRPr="00C02236">
        <w:rPr>
          <w:rFonts w:asciiTheme="majorBidi" w:hAnsiTheme="majorBidi" w:cstheme="majorBidi"/>
          <w:bCs/>
        </w:rPr>
        <w:t xml:space="preserve"> (</w:t>
      </w:r>
      <w:r w:rsidRPr="00C02236">
        <w:rPr>
          <w:rFonts w:asciiTheme="majorBidi" w:hAnsiTheme="majorBidi" w:cstheme="majorBidi"/>
          <w:b/>
        </w:rPr>
        <w:t>Ob6</w:t>
      </w:r>
      <w:r w:rsidRPr="00C02236">
        <w:rPr>
          <w:rFonts w:asciiTheme="majorBidi" w:hAnsiTheme="majorBidi" w:cstheme="majorBidi"/>
          <w:bCs/>
        </w:rPr>
        <w:t xml:space="preserve">) to </w:t>
      </w:r>
      <w:r w:rsidRPr="00C02236">
        <w:rPr>
          <w:rFonts w:asciiTheme="majorBidi" w:hAnsiTheme="majorBidi" w:cstheme="majorBidi"/>
        </w:rPr>
        <w:t>0.302</w:t>
      </w:r>
      <w:r w:rsidRPr="00C02236">
        <w:rPr>
          <w:rFonts w:asciiTheme="majorBidi" w:hAnsiTheme="majorBidi" w:cstheme="majorBidi"/>
          <w:bCs/>
        </w:rPr>
        <w:t xml:space="preserve"> (Ob8), with </w:t>
      </w:r>
      <w:r w:rsidRPr="00C02236">
        <w:rPr>
          <w:rFonts w:asciiTheme="majorBidi" w:hAnsiTheme="majorBidi" w:cstheme="majorBidi"/>
          <w:b/>
        </w:rPr>
        <w:t>Ob8</w:t>
      </w:r>
      <w:r w:rsidRPr="00C02236">
        <w:rPr>
          <w:rFonts w:asciiTheme="majorBidi" w:hAnsiTheme="majorBidi" w:cstheme="majorBidi"/>
          <w:bCs/>
        </w:rPr>
        <w:t xml:space="preserve"> displaying the highest inhibition potential. Fluorescence properties were also assessed, with blue fluorescence values ranging from </w:t>
      </w:r>
      <w:r w:rsidRPr="00C02236">
        <w:rPr>
          <w:rFonts w:asciiTheme="majorBidi" w:hAnsiTheme="majorBidi" w:cstheme="majorBidi"/>
        </w:rPr>
        <w:t>0.034</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to </w:t>
      </w:r>
      <w:r w:rsidRPr="00C02236">
        <w:rPr>
          <w:rFonts w:asciiTheme="majorBidi" w:hAnsiTheme="majorBidi" w:cstheme="majorBidi"/>
        </w:rPr>
        <w:t>0.124</w:t>
      </w:r>
      <w:r w:rsidRPr="00C02236">
        <w:rPr>
          <w:rFonts w:asciiTheme="majorBidi" w:hAnsiTheme="majorBidi" w:cstheme="majorBidi"/>
          <w:bCs/>
        </w:rPr>
        <w:t xml:space="preserve"> (Ob6) and green fluorescence values close to 1.0 across the series, suggesting favorable fluorescence behavior in some compounds. The reactivity and promiscuity profiles of the compounds were low, with reactive compound scores ranging from </w:t>
      </w:r>
      <w:r w:rsidRPr="00C02236">
        <w:rPr>
          <w:rFonts w:asciiTheme="majorBidi" w:hAnsiTheme="majorBidi" w:cstheme="majorBidi"/>
        </w:rPr>
        <w:t>0.182</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to </w:t>
      </w:r>
      <w:r w:rsidRPr="00C02236">
        <w:rPr>
          <w:rFonts w:asciiTheme="majorBidi" w:hAnsiTheme="majorBidi" w:cstheme="majorBidi"/>
        </w:rPr>
        <w:t>0.155</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and promiscuous compound scores from </w:t>
      </w:r>
      <w:r w:rsidRPr="00C02236">
        <w:rPr>
          <w:rFonts w:asciiTheme="majorBidi" w:hAnsiTheme="majorBidi" w:cstheme="majorBidi"/>
        </w:rPr>
        <w:t>0.182</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to </w:t>
      </w:r>
      <w:r w:rsidRPr="00C02236">
        <w:rPr>
          <w:rFonts w:asciiTheme="majorBidi" w:hAnsiTheme="majorBidi" w:cstheme="majorBidi"/>
        </w:rPr>
        <w:t>0.155</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These values indicate that the compounds exhibit minimal tendencies for unwanted reactions or interactions with off-target </w:t>
      </w:r>
      <w:r w:rsidR="0018648E">
        <w:rPr>
          <w:rFonts w:asciiTheme="majorBidi" w:hAnsiTheme="majorBidi" w:cstheme="majorBidi"/>
          <w:bCs/>
        </w:rPr>
        <w:t>proteins as given in Table 4.</w:t>
      </w:r>
    </w:p>
    <w:p w:rsidR="0018648E" w:rsidRPr="0095487C" w:rsidRDefault="0018648E" w:rsidP="0022377C">
      <w:pPr>
        <w:pStyle w:val="NormalWeb"/>
        <w:spacing w:line="360" w:lineRule="auto"/>
        <w:jc w:val="both"/>
        <w:rPr>
          <w:b/>
          <w:color w:val="000000" w:themeColor="text1"/>
        </w:rPr>
      </w:pPr>
      <w:r w:rsidRPr="0095487C">
        <w:rPr>
          <w:rFonts w:asciiTheme="majorBidi" w:hAnsiTheme="majorBidi" w:cstheme="majorBidi"/>
          <w:b/>
        </w:rPr>
        <w:t xml:space="preserve">Table 4: Medicinal </w:t>
      </w:r>
      <w:r w:rsidRPr="0022377C">
        <w:rPr>
          <w:rFonts w:asciiTheme="majorBidi" w:hAnsiTheme="majorBidi" w:cstheme="majorBidi"/>
          <w:b/>
        </w:rPr>
        <w:t xml:space="preserve">properties </w:t>
      </w:r>
      <w:r w:rsidR="0022377C" w:rsidRPr="0022377C">
        <w:rPr>
          <w:rFonts w:asciiTheme="majorBidi" w:hAnsiTheme="majorBidi" w:cstheme="majorBidi"/>
          <w:b/>
        </w:rPr>
        <w:t>of Ob1-Ob10</w:t>
      </w:r>
    </w:p>
    <w:tbl>
      <w:tblPr>
        <w:tblStyle w:val="TableGridLight"/>
        <w:tblpPr w:leftFromText="180" w:rightFromText="180" w:vertAnchor="text" w:tblpXSpec="center" w:tblpY="1"/>
        <w:tblW w:w="9450" w:type="dxa"/>
        <w:tblLayout w:type="fixed"/>
        <w:tblLook w:val="04A0" w:firstRow="1" w:lastRow="0" w:firstColumn="1" w:lastColumn="0" w:noHBand="0" w:noVBand="1"/>
      </w:tblPr>
      <w:tblGrid>
        <w:gridCol w:w="1545"/>
        <w:gridCol w:w="830"/>
        <w:gridCol w:w="828"/>
        <w:gridCol w:w="717"/>
        <w:gridCol w:w="817"/>
        <w:gridCol w:w="817"/>
        <w:gridCol w:w="830"/>
        <w:gridCol w:w="817"/>
        <w:gridCol w:w="817"/>
        <w:gridCol w:w="717"/>
        <w:gridCol w:w="715"/>
      </w:tblGrid>
      <w:tr w:rsidR="00647508" w:rsidRPr="00FC53C1" w:rsidTr="008D53FA">
        <w:tc>
          <w:tcPr>
            <w:tcW w:w="1545" w:type="dxa"/>
          </w:tcPr>
          <w:p w:rsidR="00647508" w:rsidRPr="008D53FA" w:rsidRDefault="00647508" w:rsidP="0014548E">
            <w:pPr>
              <w:spacing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Property</w:t>
            </w:r>
          </w:p>
        </w:tc>
        <w:tc>
          <w:tcPr>
            <w:tcW w:w="830"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OB1</w:t>
            </w:r>
          </w:p>
        </w:tc>
        <w:tc>
          <w:tcPr>
            <w:tcW w:w="828" w:type="dxa"/>
          </w:tcPr>
          <w:p w:rsidR="00647508" w:rsidRPr="00FC53C1" w:rsidRDefault="00647508" w:rsidP="0014548E">
            <w:pPr>
              <w:spacing w:line="360" w:lineRule="auto"/>
              <w:jc w:val="both"/>
              <w:rPr>
                <w:rFonts w:asciiTheme="majorBidi" w:hAnsiTheme="majorBidi" w:cstheme="majorBidi"/>
                <w:b/>
                <w:i/>
                <w:sz w:val="20"/>
                <w:szCs w:val="20"/>
              </w:rPr>
            </w:pPr>
            <w:r w:rsidRPr="00FC53C1">
              <w:rPr>
                <w:rFonts w:asciiTheme="majorBidi" w:hAnsiTheme="majorBidi" w:cstheme="majorBidi"/>
                <w:b/>
                <w:i/>
                <w:sz w:val="20"/>
                <w:szCs w:val="20"/>
              </w:rPr>
              <w:t>OB2</w:t>
            </w:r>
          </w:p>
        </w:tc>
        <w:tc>
          <w:tcPr>
            <w:tcW w:w="717"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OB3</w:t>
            </w:r>
          </w:p>
        </w:tc>
        <w:tc>
          <w:tcPr>
            <w:tcW w:w="817"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OB4</w:t>
            </w:r>
          </w:p>
        </w:tc>
        <w:tc>
          <w:tcPr>
            <w:tcW w:w="817"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OB5</w:t>
            </w:r>
          </w:p>
        </w:tc>
        <w:tc>
          <w:tcPr>
            <w:tcW w:w="830"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OB6</w:t>
            </w:r>
          </w:p>
        </w:tc>
        <w:tc>
          <w:tcPr>
            <w:tcW w:w="817"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OB7</w:t>
            </w:r>
          </w:p>
        </w:tc>
        <w:tc>
          <w:tcPr>
            <w:tcW w:w="817"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OB8</w:t>
            </w:r>
          </w:p>
        </w:tc>
        <w:tc>
          <w:tcPr>
            <w:tcW w:w="717"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OB9</w:t>
            </w:r>
          </w:p>
        </w:tc>
        <w:tc>
          <w:tcPr>
            <w:tcW w:w="715" w:type="dxa"/>
          </w:tcPr>
          <w:p w:rsidR="00647508" w:rsidRPr="00FC53C1" w:rsidRDefault="00647508" w:rsidP="0014548E">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OB10</w:t>
            </w:r>
          </w:p>
        </w:tc>
      </w:tr>
      <w:tr w:rsidR="00647508" w:rsidRPr="00FC53C1" w:rsidTr="008D53FA">
        <w:trPr>
          <w:gridAfter w:val="1"/>
          <w:wAfter w:w="715" w:type="dxa"/>
        </w:trPr>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GASA</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Fsp</w:t>
            </w:r>
            <w:r w:rsidRPr="0014548E">
              <w:rPr>
                <w:rFonts w:asciiTheme="majorBidi" w:hAnsiTheme="majorBidi" w:cstheme="majorBidi"/>
                <w:bCs/>
                <w:sz w:val="20"/>
                <w:szCs w:val="20"/>
                <w:shd w:val="clear" w:color="auto" w:fill="FFFFFF"/>
                <w:vertAlign w:val="superscript"/>
              </w:rPr>
              <w:t>3</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0.727</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0.917</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0.614</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0.867</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0.733</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0.733</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0.733</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MCE-18</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25.556</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24.211</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39.13</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37.8</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5.0</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64.286</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25.0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30.63</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35.0</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31.385</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proofErr w:type="spellStart"/>
            <w:r w:rsidRPr="0014548E">
              <w:rPr>
                <w:rFonts w:asciiTheme="majorBidi" w:hAnsiTheme="majorBidi" w:cstheme="majorBidi"/>
                <w:bCs/>
                <w:sz w:val="20"/>
                <w:szCs w:val="20"/>
                <w:shd w:val="clear" w:color="auto" w:fill="FFFFFF"/>
              </w:rPr>
              <w:t>NPscore</w:t>
            </w:r>
            <w:proofErr w:type="spellEnd"/>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3.295</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2.53</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2.51</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3.584</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1.07</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3.131</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2.864</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3.085</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2.931</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2.698</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Lipinski Rule</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shd w:val="clear" w:color="auto" w:fill="FFFFFF"/>
              </w:rPr>
              <w:t>0.0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Pfizer Rule</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GSK Rule</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proofErr w:type="spellStart"/>
            <w:r w:rsidRPr="0014548E">
              <w:rPr>
                <w:rFonts w:asciiTheme="majorBidi" w:hAnsiTheme="majorBidi" w:cstheme="majorBidi"/>
                <w:bCs/>
                <w:sz w:val="20"/>
                <w:szCs w:val="20"/>
                <w:shd w:val="clear" w:color="auto" w:fill="FFFFFF"/>
              </w:rPr>
              <w:t>GoldenTriangle</w:t>
            </w:r>
            <w:proofErr w:type="spellEnd"/>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PAINS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proofErr w:type="spellStart"/>
            <w:r w:rsidRPr="0014548E">
              <w:rPr>
                <w:rFonts w:asciiTheme="majorBidi" w:hAnsiTheme="majorBidi" w:cstheme="majorBidi"/>
                <w:bCs/>
                <w:sz w:val="20"/>
                <w:szCs w:val="20"/>
                <w:shd w:val="clear" w:color="auto" w:fill="FFFFFF"/>
              </w:rPr>
              <w:t>Alarm_NMR</w:t>
            </w:r>
            <w:proofErr w:type="spellEnd"/>
            <w:r w:rsidRPr="0014548E">
              <w:rPr>
                <w:rFonts w:asciiTheme="majorBidi" w:hAnsiTheme="majorBidi" w:cstheme="majorBidi"/>
                <w:bCs/>
                <w:sz w:val="20"/>
                <w:szCs w:val="20"/>
                <w:shd w:val="clear" w:color="auto" w:fill="FFFFFF"/>
              </w:rPr>
              <w:t xml:space="preserve"> Rule</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 alerts</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1alerts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BMS Rule</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 alert</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Chelating Rule</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0alerts</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 alerts</w:t>
            </w:r>
          </w:p>
        </w:tc>
      </w:tr>
      <w:tr w:rsidR="00647508" w:rsidRPr="00FC53C1" w:rsidTr="008D53FA">
        <w:trPr>
          <w:trHeight w:val="107"/>
        </w:trPr>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lastRenderedPageBreak/>
              <w:t>Colloidal aggregators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0.074</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0.046</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0.166</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0.031</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0.499</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0.41</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0.543</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0.175</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0.199</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proofErr w:type="spellStart"/>
            <w:r w:rsidRPr="0014548E">
              <w:rPr>
                <w:rFonts w:asciiTheme="majorBidi" w:hAnsiTheme="majorBidi" w:cstheme="majorBidi"/>
                <w:bCs/>
                <w:sz w:val="20"/>
                <w:szCs w:val="20"/>
                <w:shd w:val="clear" w:color="auto" w:fill="FFFFFF"/>
              </w:rPr>
              <w:t>FLuc</w:t>
            </w:r>
            <w:proofErr w:type="spellEnd"/>
            <w:r w:rsidRPr="0014548E">
              <w:rPr>
                <w:rFonts w:asciiTheme="majorBidi" w:hAnsiTheme="majorBidi" w:cstheme="majorBidi"/>
                <w:bCs/>
                <w:sz w:val="20"/>
                <w:szCs w:val="20"/>
                <w:shd w:val="clear" w:color="auto" w:fill="FFFFFF"/>
              </w:rPr>
              <w:t xml:space="preserve"> inhibitors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0.01</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0.14</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0.024</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0.002</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0.302</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0.036</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0.002</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Blue fluorescence</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0.004</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0.005</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0.004</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0.034</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0.006</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0.124</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0.005</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0.005</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0.003</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0.016</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Green fluorescence</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0.004</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0.001</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0.005</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0.002</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0.001</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Reactive compounds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0.952</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0.995</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0.982</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0.786</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0.683</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0.998</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0.744</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0.993</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0.979</w:t>
            </w:r>
          </w:p>
        </w:tc>
      </w:tr>
      <w:tr w:rsidR="00647508" w:rsidRPr="00FC53C1" w:rsidTr="008D53FA">
        <w:tc>
          <w:tcPr>
            <w:tcW w:w="1545" w:type="dxa"/>
          </w:tcPr>
          <w:p w:rsidR="00647508" w:rsidRPr="0014548E" w:rsidRDefault="00647508" w:rsidP="0014548E">
            <w:pPr>
              <w:spacing w:line="360" w:lineRule="auto"/>
              <w:jc w:val="both"/>
              <w:rPr>
                <w:rFonts w:asciiTheme="majorBidi" w:hAnsiTheme="majorBidi" w:cstheme="majorBidi"/>
                <w:bCs/>
                <w:sz w:val="20"/>
                <w:szCs w:val="20"/>
              </w:rPr>
            </w:pPr>
            <w:r w:rsidRPr="0014548E">
              <w:rPr>
                <w:rFonts w:asciiTheme="majorBidi" w:hAnsiTheme="majorBidi" w:cstheme="majorBidi"/>
                <w:bCs/>
                <w:sz w:val="20"/>
                <w:szCs w:val="20"/>
                <w:shd w:val="clear" w:color="auto" w:fill="FFFFFF"/>
              </w:rPr>
              <w:t>Promiscuous compounds</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0.182</w:t>
            </w:r>
          </w:p>
        </w:tc>
        <w:tc>
          <w:tcPr>
            <w:tcW w:w="828"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0.275</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0.264</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0.155</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0.266</w:t>
            </w:r>
          </w:p>
        </w:tc>
        <w:tc>
          <w:tcPr>
            <w:tcW w:w="830"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0.756</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0.355</w:t>
            </w:r>
          </w:p>
        </w:tc>
        <w:tc>
          <w:tcPr>
            <w:tcW w:w="8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0.156</w:t>
            </w:r>
          </w:p>
        </w:tc>
        <w:tc>
          <w:tcPr>
            <w:tcW w:w="717"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0.143</w:t>
            </w:r>
          </w:p>
        </w:tc>
        <w:tc>
          <w:tcPr>
            <w:tcW w:w="715" w:type="dxa"/>
          </w:tcPr>
          <w:p w:rsidR="00647508" w:rsidRPr="00FC53C1" w:rsidRDefault="00647508" w:rsidP="0014548E">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0.301</w:t>
            </w:r>
          </w:p>
        </w:tc>
      </w:tr>
    </w:tbl>
    <w:p w:rsidR="00A872F7" w:rsidRDefault="00A872F7" w:rsidP="00647508">
      <w:pPr>
        <w:spacing w:line="360" w:lineRule="auto"/>
        <w:jc w:val="both"/>
        <w:rPr>
          <w:rFonts w:asciiTheme="majorBidi" w:hAnsiTheme="majorBidi" w:cstheme="majorBidi"/>
          <w:bCs/>
        </w:rPr>
      </w:pPr>
    </w:p>
    <w:p w:rsidR="0018648E" w:rsidRDefault="0018648E" w:rsidP="00A872F7">
      <w:pPr>
        <w:spacing w:line="360" w:lineRule="auto"/>
        <w:jc w:val="both"/>
        <w:rPr>
          <w:rFonts w:asciiTheme="majorBidi" w:hAnsiTheme="majorBidi" w:cstheme="majorBidi"/>
          <w:bCs/>
        </w:rPr>
      </w:pPr>
    </w:p>
    <w:p w:rsidR="0018648E" w:rsidRPr="00FF73A3" w:rsidRDefault="0018648E" w:rsidP="0018648E">
      <w:pPr>
        <w:pStyle w:val="NormalWeb"/>
        <w:spacing w:line="360" w:lineRule="auto"/>
        <w:rPr>
          <w:b/>
          <w:color w:val="000000" w:themeColor="text1"/>
        </w:rPr>
      </w:pPr>
      <w:r>
        <w:rPr>
          <w:b/>
          <w:color w:val="000000" w:themeColor="text1"/>
        </w:rPr>
        <w:t>3.3.3: Absorption</w:t>
      </w:r>
      <w:r w:rsidR="00317A15">
        <w:rPr>
          <w:b/>
          <w:color w:val="000000" w:themeColor="text1"/>
        </w:rPr>
        <w:t xml:space="preserve"> </w:t>
      </w:r>
      <w:r w:rsidR="00317A15" w:rsidRPr="0022377C">
        <w:rPr>
          <w:rFonts w:asciiTheme="majorBidi" w:hAnsiTheme="majorBidi" w:cstheme="majorBidi"/>
          <w:b/>
        </w:rPr>
        <w:t>of Ob1-Ob10</w:t>
      </w:r>
    </w:p>
    <w:p w:rsidR="00647508" w:rsidRPr="00C02236" w:rsidRDefault="00647508" w:rsidP="00A872F7">
      <w:pPr>
        <w:spacing w:line="360" w:lineRule="auto"/>
        <w:jc w:val="both"/>
        <w:rPr>
          <w:rFonts w:asciiTheme="majorBidi" w:hAnsiTheme="majorBidi" w:cstheme="majorBidi"/>
          <w:b/>
          <w:i/>
          <w:u w:val="single"/>
        </w:rPr>
      </w:pPr>
      <w:r w:rsidRPr="00C02236">
        <w:rPr>
          <w:rFonts w:asciiTheme="majorBidi" w:hAnsiTheme="majorBidi" w:cstheme="majorBidi"/>
          <w:bCs/>
        </w:rPr>
        <w:t xml:space="preserve">The absorption characteristics of the </w:t>
      </w:r>
      <w:r w:rsidR="00A872F7">
        <w:rPr>
          <w:rFonts w:asciiTheme="majorBidi" w:hAnsiTheme="majorBidi" w:cstheme="majorBidi"/>
          <w:bCs/>
        </w:rPr>
        <w:t>chemical constituent</w:t>
      </w:r>
      <w:r w:rsidR="00A872F7" w:rsidRPr="00C02236">
        <w:rPr>
          <w:rFonts w:asciiTheme="majorBidi" w:hAnsiTheme="majorBidi" w:cstheme="majorBidi"/>
          <w:bCs/>
        </w:rPr>
        <w:t xml:space="preserve"> </w:t>
      </w:r>
      <w:r w:rsidRPr="00C02236">
        <w:rPr>
          <w:rFonts w:asciiTheme="majorBidi" w:hAnsiTheme="majorBidi" w:cstheme="majorBidi"/>
          <w:bCs/>
        </w:rPr>
        <w:t>(</w:t>
      </w:r>
      <w:r w:rsidRPr="00C02236">
        <w:rPr>
          <w:rFonts w:asciiTheme="majorBidi" w:hAnsiTheme="majorBidi" w:cstheme="majorBidi"/>
          <w:b/>
        </w:rPr>
        <w:t>Ob1 to Ob10</w:t>
      </w:r>
      <w:r w:rsidRPr="00C02236">
        <w:rPr>
          <w:rFonts w:asciiTheme="majorBidi" w:hAnsiTheme="majorBidi" w:cstheme="majorBidi"/>
          <w:bCs/>
        </w:rPr>
        <w:t xml:space="preserve">) were evaluated through several computational parameters, including permeability, P-glycoprotein interactions, human intestinal absorption (HIA), and predicted bioavailability. Caco-2 permeability values ranged from </w:t>
      </w:r>
      <w:r w:rsidRPr="00C02236">
        <w:rPr>
          <w:rFonts w:asciiTheme="majorBidi" w:hAnsiTheme="majorBidi" w:cstheme="majorBidi"/>
        </w:rPr>
        <w:t>-4.58</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to </w:t>
      </w:r>
      <w:r w:rsidRPr="00C02236">
        <w:rPr>
          <w:rFonts w:asciiTheme="majorBidi" w:hAnsiTheme="majorBidi" w:cstheme="majorBidi"/>
        </w:rPr>
        <w:t>-4.629</w:t>
      </w:r>
      <w:r w:rsidRPr="00C02236">
        <w:rPr>
          <w:rFonts w:asciiTheme="majorBidi" w:hAnsiTheme="majorBidi" w:cstheme="majorBidi"/>
          <w:bCs/>
        </w:rPr>
        <w:t xml:space="preserve"> (</w:t>
      </w:r>
      <w:r w:rsidRPr="00C02236">
        <w:rPr>
          <w:rFonts w:asciiTheme="majorBidi" w:hAnsiTheme="majorBidi" w:cstheme="majorBidi"/>
          <w:b/>
        </w:rPr>
        <w:t>Ob10</w:t>
      </w:r>
      <w:r w:rsidRPr="00C02236">
        <w:rPr>
          <w:rFonts w:asciiTheme="majorBidi" w:hAnsiTheme="majorBidi" w:cstheme="majorBidi"/>
          <w:bCs/>
        </w:rPr>
        <w:t xml:space="preserve">), with most compounds showing moderate permeability. Compound Ob1 exhibited the lowest permeability, indicating reduced absorption potential through Caco-2 cells, </w:t>
      </w:r>
      <w:proofErr w:type="gramStart"/>
      <w:r w:rsidRPr="00C02236">
        <w:rPr>
          <w:rFonts w:asciiTheme="majorBidi" w:hAnsiTheme="majorBidi" w:cstheme="majorBidi"/>
          <w:bCs/>
        </w:rPr>
        <w:t>while  showed</w:t>
      </w:r>
      <w:proofErr w:type="gramEnd"/>
      <w:r w:rsidRPr="00C02236">
        <w:rPr>
          <w:rFonts w:asciiTheme="majorBidi" w:hAnsiTheme="majorBidi" w:cstheme="majorBidi"/>
          <w:bCs/>
        </w:rPr>
        <w:t xml:space="preserve">  Ob6 relatively higher permeability. Similarly, MDCK permeability, which predicts drug transport across the blood-brain barrier, ranged from </w:t>
      </w:r>
      <w:r w:rsidRPr="00C02236">
        <w:rPr>
          <w:rFonts w:asciiTheme="majorBidi" w:hAnsiTheme="majorBidi" w:cstheme="majorBidi"/>
        </w:rPr>
        <w:t>-4.616</w:t>
      </w:r>
      <w:r w:rsidRPr="00C02236">
        <w:rPr>
          <w:rFonts w:asciiTheme="majorBidi" w:hAnsiTheme="majorBidi" w:cstheme="majorBidi"/>
          <w:bCs/>
        </w:rPr>
        <w:t>(</w:t>
      </w:r>
      <w:r w:rsidRPr="00C02236">
        <w:rPr>
          <w:rFonts w:asciiTheme="majorBidi" w:hAnsiTheme="majorBidi" w:cstheme="majorBidi"/>
          <w:b/>
        </w:rPr>
        <w:t>Ob1</w:t>
      </w:r>
      <w:r w:rsidRPr="00C02236">
        <w:rPr>
          <w:rFonts w:asciiTheme="majorBidi" w:hAnsiTheme="majorBidi" w:cstheme="majorBidi"/>
          <w:bCs/>
        </w:rPr>
        <w:t xml:space="preserve">) to </w:t>
      </w:r>
      <w:r w:rsidRPr="00C02236">
        <w:rPr>
          <w:rFonts w:asciiTheme="majorBidi" w:hAnsiTheme="majorBidi" w:cstheme="majorBidi"/>
        </w:rPr>
        <w:t>4.635</w:t>
      </w:r>
      <w:r w:rsidRPr="00C02236">
        <w:rPr>
          <w:rFonts w:asciiTheme="majorBidi" w:hAnsiTheme="majorBidi" w:cstheme="majorBidi"/>
          <w:bCs/>
        </w:rPr>
        <w:t xml:space="preserve"> (</w:t>
      </w:r>
      <w:r w:rsidRPr="00C02236">
        <w:rPr>
          <w:rFonts w:asciiTheme="majorBidi" w:hAnsiTheme="majorBidi" w:cstheme="majorBidi"/>
          <w:b/>
        </w:rPr>
        <w:t>Ob3</w:t>
      </w:r>
      <w:r w:rsidRPr="00C02236">
        <w:rPr>
          <w:rFonts w:asciiTheme="majorBidi" w:hAnsiTheme="majorBidi" w:cstheme="majorBidi"/>
          <w:bCs/>
        </w:rPr>
        <w:t xml:space="preserve"> and </w:t>
      </w:r>
      <w:r w:rsidRPr="00C02236">
        <w:rPr>
          <w:rFonts w:asciiTheme="majorBidi" w:hAnsiTheme="majorBidi" w:cstheme="majorBidi"/>
          <w:b/>
        </w:rPr>
        <w:t>Ob4</w:t>
      </w:r>
      <w:r w:rsidRPr="00C02236">
        <w:rPr>
          <w:rFonts w:asciiTheme="majorBidi" w:hAnsiTheme="majorBidi" w:cstheme="majorBidi"/>
          <w:bCs/>
        </w:rPr>
        <w:t>), suggesting moderate brain permeability for most compounds.</w:t>
      </w:r>
    </w:p>
    <w:p w:rsidR="00647508" w:rsidRPr="00C02236" w:rsidRDefault="00647508" w:rsidP="00647508">
      <w:pPr>
        <w:spacing w:line="360" w:lineRule="auto"/>
        <w:jc w:val="both"/>
        <w:rPr>
          <w:rFonts w:asciiTheme="majorBidi" w:hAnsiTheme="majorBidi" w:cstheme="majorBidi"/>
        </w:rPr>
      </w:pPr>
      <w:r w:rsidRPr="00C02236">
        <w:rPr>
          <w:rFonts w:asciiTheme="majorBidi" w:hAnsiTheme="majorBidi" w:cstheme="majorBidi"/>
          <w:bCs/>
        </w:rPr>
        <w:t xml:space="preserve">PAMPA (parallel artificial membrane permeability assay), which measures passive diffusion, showed significant variation, with values ranging from </w:t>
      </w:r>
      <w:r w:rsidRPr="00C02236">
        <w:rPr>
          <w:rFonts w:asciiTheme="majorBidi" w:hAnsiTheme="majorBidi" w:cstheme="majorBidi"/>
        </w:rPr>
        <w:t>0.286</w:t>
      </w:r>
      <w:r w:rsidRPr="00C02236">
        <w:rPr>
          <w:rFonts w:asciiTheme="majorBidi" w:hAnsiTheme="majorBidi" w:cstheme="majorBidi"/>
          <w:bCs/>
        </w:rPr>
        <w:t xml:space="preserve"> (</w:t>
      </w:r>
      <w:r w:rsidRPr="00C02236">
        <w:rPr>
          <w:rFonts w:asciiTheme="majorBidi" w:hAnsiTheme="majorBidi" w:cstheme="majorBidi"/>
          <w:b/>
        </w:rPr>
        <w:t>Ob6</w:t>
      </w:r>
      <w:r w:rsidRPr="00C02236">
        <w:rPr>
          <w:rFonts w:asciiTheme="majorBidi" w:hAnsiTheme="majorBidi" w:cstheme="majorBidi"/>
          <w:bCs/>
        </w:rPr>
        <w:t xml:space="preserve">) to </w:t>
      </w:r>
      <w:r w:rsidRPr="00C02236">
        <w:rPr>
          <w:rFonts w:asciiTheme="majorBidi" w:hAnsiTheme="majorBidi" w:cstheme="majorBidi"/>
        </w:rPr>
        <w:t>0.16</w:t>
      </w:r>
      <w:r w:rsidRPr="00C02236">
        <w:rPr>
          <w:rFonts w:asciiTheme="majorBidi" w:hAnsiTheme="majorBidi" w:cstheme="majorBidi"/>
          <w:bCs/>
        </w:rPr>
        <w:t xml:space="preserve"> (</w:t>
      </w:r>
      <w:r w:rsidRPr="00C02236">
        <w:rPr>
          <w:rFonts w:asciiTheme="majorBidi" w:hAnsiTheme="majorBidi" w:cstheme="majorBidi"/>
          <w:b/>
        </w:rPr>
        <w:t>Ob3</w:t>
      </w:r>
      <w:r w:rsidRPr="00C02236">
        <w:rPr>
          <w:rFonts w:asciiTheme="majorBidi" w:hAnsiTheme="majorBidi" w:cstheme="majorBidi"/>
          <w:bCs/>
        </w:rPr>
        <w:t xml:space="preserve">). Notably, compound </w:t>
      </w:r>
      <w:r w:rsidRPr="00C02236">
        <w:rPr>
          <w:rFonts w:asciiTheme="majorBidi" w:hAnsiTheme="majorBidi" w:cstheme="majorBidi"/>
          <w:b/>
        </w:rPr>
        <w:t>Ob3</w:t>
      </w:r>
      <w:r w:rsidRPr="00C02236">
        <w:rPr>
          <w:rFonts w:asciiTheme="majorBidi" w:hAnsiTheme="majorBidi" w:cstheme="majorBidi"/>
          <w:bCs/>
        </w:rPr>
        <w:t xml:space="preserve"> demonstrated the highest passive permeability, indicating potential for efficient diffusion. The interaction with P-glycoprotein (</w:t>
      </w:r>
      <w:proofErr w:type="spellStart"/>
      <w:r w:rsidRPr="00C02236">
        <w:rPr>
          <w:rFonts w:asciiTheme="majorBidi" w:hAnsiTheme="majorBidi" w:cstheme="majorBidi"/>
          <w:bCs/>
        </w:rPr>
        <w:t>Pgp</w:t>
      </w:r>
      <w:proofErr w:type="spellEnd"/>
      <w:r w:rsidRPr="00C02236">
        <w:rPr>
          <w:rFonts w:asciiTheme="majorBidi" w:hAnsiTheme="majorBidi" w:cstheme="majorBidi"/>
          <w:bCs/>
        </w:rPr>
        <w:t xml:space="preserve">), a crucial efflux transporter, revealed that all compounds acted as inhibitors, with inhibition probabilities ranging from </w:t>
      </w:r>
      <w:r w:rsidRPr="00C02236">
        <w:rPr>
          <w:rFonts w:asciiTheme="majorBidi" w:hAnsiTheme="majorBidi" w:cstheme="majorBidi"/>
        </w:rPr>
        <w:t>0.131</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to </w:t>
      </w:r>
      <w:r w:rsidRPr="00C02236">
        <w:rPr>
          <w:rFonts w:asciiTheme="majorBidi" w:hAnsiTheme="majorBidi" w:cstheme="majorBidi"/>
        </w:rPr>
        <w:t>0.112</w:t>
      </w:r>
      <w:r w:rsidRPr="00C02236">
        <w:rPr>
          <w:rFonts w:asciiTheme="majorBidi" w:hAnsiTheme="majorBidi" w:cstheme="majorBidi"/>
          <w:bCs/>
        </w:rPr>
        <w:t xml:space="preserve"> (</w:t>
      </w:r>
      <w:r w:rsidRPr="00C02236">
        <w:rPr>
          <w:rFonts w:asciiTheme="majorBidi" w:hAnsiTheme="majorBidi" w:cstheme="majorBidi"/>
          <w:b/>
        </w:rPr>
        <w:t>Ob6</w:t>
      </w:r>
      <w:r w:rsidRPr="00C02236">
        <w:rPr>
          <w:rFonts w:asciiTheme="majorBidi" w:hAnsiTheme="majorBidi" w:cstheme="majorBidi"/>
          <w:bCs/>
        </w:rPr>
        <w:t xml:space="preserve">). However, none of the compounds were identified as </w:t>
      </w:r>
      <w:proofErr w:type="spellStart"/>
      <w:r w:rsidRPr="00C02236">
        <w:rPr>
          <w:rFonts w:asciiTheme="majorBidi" w:hAnsiTheme="majorBidi" w:cstheme="majorBidi"/>
          <w:bCs/>
        </w:rPr>
        <w:t>Pgp</w:t>
      </w:r>
      <w:proofErr w:type="spellEnd"/>
      <w:r w:rsidRPr="00C02236">
        <w:rPr>
          <w:rFonts w:asciiTheme="majorBidi" w:hAnsiTheme="majorBidi" w:cstheme="majorBidi"/>
          <w:bCs/>
        </w:rPr>
        <w:t xml:space="preserve"> substrates, suggesting they are unlikely to be </w:t>
      </w:r>
      <w:proofErr w:type="spellStart"/>
      <w:r w:rsidRPr="00C02236">
        <w:rPr>
          <w:rFonts w:asciiTheme="majorBidi" w:hAnsiTheme="majorBidi" w:cstheme="majorBidi"/>
          <w:bCs/>
        </w:rPr>
        <w:t>effluxed</w:t>
      </w:r>
      <w:proofErr w:type="spellEnd"/>
      <w:r w:rsidRPr="00C02236">
        <w:rPr>
          <w:rFonts w:asciiTheme="majorBidi" w:hAnsiTheme="majorBidi" w:cstheme="majorBidi"/>
          <w:bCs/>
        </w:rPr>
        <w:t xml:space="preserve"> out of cells, thereby enhancing their absorption.</w:t>
      </w:r>
    </w:p>
    <w:p w:rsidR="0018648E" w:rsidRPr="0018648E" w:rsidRDefault="00647508" w:rsidP="0022377C">
      <w:pPr>
        <w:spacing w:before="100" w:beforeAutospacing="1" w:after="100" w:afterAutospacing="1" w:line="360" w:lineRule="auto"/>
        <w:jc w:val="both"/>
        <w:rPr>
          <w:rFonts w:asciiTheme="majorBidi" w:hAnsiTheme="majorBidi" w:cstheme="majorBidi"/>
          <w:b/>
          <w:i/>
          <w:u w:val="single"/>
        </w:rPr>
      </w:pPr>
      <w:r w:rsidRPr="00C02236">
        <w:rPr>
          <w:rFonts w:asciiTheme="majorBidi" w:hAnsiTheme="majorBidi" w:cstheme="majorBidi"/>
          <w:bCs/>
        </w:rPr>
        <w:t xml:space="preserve">The human intestinal absorption (HIA) values were generally low, indicating limited absorption potential across the gastrointestinal tract. Compounds such as </w:t>
      </w:r>
      <w:r w:rsidRPr="00C02236">
        <w:rPr>
          <w:rFonts w:asciiTheme="majorBidi" w:hAnsiTheme="majorBidi" w:cstheme="majorBidi"/>
          <w:b/>
        </w:rPr>
        <w:t>OB6</w:t>
      </w:r>
      <w:r w:rsidRPr="00C02236">
        <w:rPr>
          <w:rFonts w:asciiTheme="majorBidi" w:hAnsiTheme="majorBidi" w:cstheme="majorBidi"/>
          <w:bCs/>
        </w:rPr>
        <w:t xml:space="preserve"> (</w:t>
      </w:r>
      <w:r w:rsidRPr="00C02236">
        <w:rPr>
          <w:rFonts w:asciiTheme="majorBidi" w:hAnsiTheme="majorBidi" w:cstheme="majorBidi"/>
        </w:rPr>
        <w:t>0.008</w:t>
      </w:r>
      <w:r w:rsidRPr="00C02236">
        <w:rPr>
          <w:rFonts w:asciiTheme="majorBidi" w:hAnsiTheme="majorBidi" w:cstheme="majorBidi"/>
          <w:bCs/>
        </w:rPr>
        <w:t xml:space="preserve">) and </w:t>
      </w:r>
      <w:r w:rsidRPr="00C02236">
        <w:rPr>
          <w:rFonts w:asciiTheme="majorBidi" w:hAnsiTheme="majorBidi" w:cstheme="majorBidi"/>
          <w:b/>
        </w:rPr>
        <w:t>OB1</w:t>
      </w:r>
      <w:r w:rsidRPr="00C02236">
        <w:rPr>
          <w:rFonts w:asciiTheme="majorBidi" w:hAnsiTheme="majorBidi" w:cstheme="majorBidi"/>
          <w:bCs/>
        </w:rPr>
        <w:t xml:space="preserve"> (</w:t>
      </w:r>
      <w:r w:rsidRPr="00C02236">
        <w:rPr>
          <w:rFonts w:asciiTheme="majorBidi" w:hAnsiTheme="majorBidi" w:cstheme="majorBidi"/>
        </w:rPr>
        <w:t>0.053</w:t>
      </w:r>
      <w:r w:rsidRPr="00C02236">
        <w:rPr>
          <w:rFonts w:asciiTheme="majorBidi" w:hAnsiTheme="majorBidi" w:cstheme="majorBidi"/>
          <w:bCs/>
        </w:rPr>
        <w:t xml:space="preserve">) showed relatively higher HIA values compared to others like Ob3 and Ob4, which exhibited no </w:t>
      </w:r>
      <w:r w:rsidRPr="00C02236">
        <w:rPr>
          <w:rFonts w:asciiTheme="majorBidi" w:hAnsiTheme="majorBidi" w:cstheme="majorBidi"/>
          <w:bCs/>
        </w:rPr>
        <w:lastRenderedPageBreak/>
        <w:t xml:space="preserve">detectable absorption. The bioavailability fraction predictions at different thresholds (20%, 30%, and 50%) provided further insights into their absorption potential. At 20% bioavailability, compound </w:t>
      </w:r>
      <w:r w:rsidRPr="00C02236">
        <w:rPr>
          <w:rFonts w:asciiTheme="majorBidi" w:hAnsiTheme="majorBidi" w:cstheme="majorBidi"/>
          <w:b/>
        </w:rPr>
        <w:t>Ob6</w:t>
      </w:r>
      <w:r w:rsidRPr="00C02236">
        <w:rPr>
          <w:rFonts w:asciiTheme="majorBidi" w:hAnsiTheme="majorBidi" w:cstheme="majorBidi"/>
          <w:bCs/>
        </w:rPr>
        <w:t xml:space="preserve"> (</w:t>
      </w:r>
      <w:r w:rsidRPr="00C02236">
        <w:rPr>
          <w:rFonts w:asciiTheme="majorBidi" w:hAnsiTheme="majorBidi" w:cstheme="majorBidi"/>
        </w:rPr>
        <w:t>0.207</w:t>
      </w:r>
      <w:r w:rsidRPr="00C02236">
        <w:rPr>
          <w:rFonts w:asciiTheme="majorBidi" w:hAnsiTheme="majorBidi" w:cstheme="majorBidi"/>
          <w:bCs/>
        </w:rPr>
        <w:t xml:space="preserve">) and </w:t>
      </w:r>
      <w:r w:rsidRPr="00C02236">
        <w:rPr>
          <w:rFonts w:asciiTheme="majorBidi" w:hAnsiTheme="majorBidi" w:cstheme="majorBidi"/>
          <w:b/>
        </w:rPr>
        <w:t>Ob7</w:t>
      </w:r>
      <w:r w:rsidRPr="00C02236">
        <w:rPr>
          <w:rFonts w:asciiTheme="majorBidi" w:hAnsiTheme="majorBidi" w:cstheme="majorBidi"/>
          <w:bCs/>
        </w:rPr>
        <w:t xml:space="preserve"> (</w:t>
      </w:r>
      <w:r w:rsidRPr="00C02236">
        <w:rPr>
          <w:rFonts w:asciiTheme="majorBidi" w:hAnsiTheme="majorBidi" w:cstheme="majorBidi"/>
        </w:rPr>
        <w:t>0.007</w:t>
      </w:r>
      <w:r w:rsidRPr="00C02236">
        <w:rPr>
          <w:rFonts w:asciiTheme="majorBidi" w:hAnsiTheme="majorBidi" w:cstheme="majorBidi"/>
          <w:bCs/>
        </w:rPr>
        <w:t xml:space="preserve">) displayed the highest likelihood, while </w:t>
      </w:r>
      <w:r w:rsidRPr="00C02236">
        <w:rPr>
          <w:rFonts w:asciiTheme="majorBidi" w:hAnsiTheme="majorBidi" w:cstheme="majorBidi"/>
          <w:b/>
        </w:rPr>
        <w:t>Ob5</w:t>
      </w:r>
      <w:r w:rsidRPr="00C02236">
        <w:rPr>
          <w:rFonts w:asciiTheme="majorBidi" w:hAnsiTheme="majorBidi" w:cstheme="majorBidi"/>
          <w:bCs/>
        </w:rPr>
        <w:t xml:space="preserve"> and </w:t>
      </w:r>
      <w:r w:rsidRPr="00C02236">
        <w:rPr>
          <w:rFonts w:asciiTheme="majorBidi" w:hAnsiTheme="majorBidi" w:cstheme="majorBidi"/>
          <w:b/>
        </w:rPr>
        <w:t>Ob10</w:t>
      </w:r>
      <w:r w:rsidRPr="00C02236">
        <w:rPr>
          <w:rFonts w:asciiTheme="majorBidi" w:hAnsiTheme="majorBidi" w:cstheme="majorBidi"/>
          <w:bCs/>
        </w:rPr>
        <w:t xml:space="preserve"> showed negligible potential. Similarly, at 30% bioavailability, compound </w:t>
      </w:r>
      <w:r w:rsidRPr="00C02236">
        <w:rPr>
          <w:rFonts w:asciiTheme="majorBidi" w:hAnsiTheme="majorBidi" w:cstheme="majorBidi"/>
          <w:b/>
        </w:rPr>
        <w:t>Ob6</w:t>
      </w:r>
      <w:r w:rsidRPr="00C02236">
        <w:rPr>
          <w:rFonts w:asciiTheme="majorBidi" w:hAnsiTheme="majorBidi" w:cstheme="majorBidi"/>
          <w:bCs/>
        </w:rPr>
        <w:t xml:space="preserve"> again stood out with a value of </w:t>
      </w:r>
      <w:r w:rsidRPr="00C02236">
        <w:rPr>
          <w:rFonts w:asciiTheme="majorBidi" w:hAnsiTheme="majorBidi" w:cstheme="majorBidi"/>
        </w:rPr>
        <w:t>0.351</w:t>
      </w:r>
      <w:r w:rsidRPr="00C02236">
        <w:rPr>
          <w:rFonts w:asciiTheme="majorBidi" w:hAnsiTheme="majorBidi" w:cstheme="majorBidi"/>
          <w:bCs/>
        </w:rPr>
        <w:t xml:space="preserve">, followed by </w:t>
      </w:r>
      <w:r w:rsidRPr="00C02236">
        <w:rPr>
          <w:rFonts w:asciiTheme="majorBidi" w:hAnsiTheme="majorBidi" w:cstheme="majorBidi"/>
          <w:b/>
        </w:rPr>
        <w:t>Ob6</w:t>
      </w:r>
      <w:r w:rsidRPr="00C02236">
        <w:rPr>
          <w:rFonts w:asciiTheme="majorBidi" w:hAnsiTheme="majorBidi" w:cstheme="majorBidi"/>
          <w:bCs/>
        </w:rPr>
        <w:t xml:space="preserve"> (</w:t>
      </w:r>
      <w:r w:rsidRPr="00C02236">
        <w:rPr>
          <w:rFonts w:asciiTheme="majorBidi" w:hAnsiTheme="majorBidi" w:cstheme="majorBidi"/>
        </w:rPr>
        <w:t>0.351</w:t>
      </w:r>
      <w:r w:rsidRPr="00C02236">
        <w:rPr>
          <w:rFonts w:asciiTheme="majorBidi" w:hAnsiTheme="majorBidi" w:cstheme="majorBidi"/>
          <w:bCs/>
        </w:rPr>
        <w:t xml:space="preserve">), reflecting their favorable absorption profiles. At 50% bioavailability, </w:t>
      </w:r>
      <w:r w:rsidRPr="00C02236">
        <w:rPr>
          <w:rFonts w:asciiTheme="majorBidi" w:hAnsiTheme="majorBidi" w:cstheme="majorBidi"/>
          <w:b/>
        </w:rPr>
        <w:t>Ob1</w:t>
      </w:r>
      <w:r w:rsidRPr="00C02236">
        <w:rPr>
          <w:rFonts w:asciiTheme="majorBidi" w:hAnsiTheme="majorBidi" w:cstheme="majorBidi"/>
          <w:bCs/>
        </w:rPr>
        <w:t>(</w:t>
      </w:r>
      <w:r w:rsidRPr="00C02236">
        <w:rPr>
          <w:rFonts w:asciiTheme="majorBidi" w:hAnsiTheme="majorBidi" w:cstheme="majorBidi"/>
        </w:rPr>
        <w:t>0.998</w:t>
      </w:r>
      <w:r w:rsidRPr="00C02236">
        <w:rPr>
          <w:rFonts w:asciiTheme="majorBidi" w:hAnsiTheme="majorBidi" w:cstheme="majorBidi"/>
          <w:bCs/>
        </w:rPr>
        <w:t xml:space="preserve">) and </w:t>
      </w:r>
      <w:r w:rsidRPr="00C02236">
        <w:rPr>
          <w:rFonts w:asciiTheme="majorBidi" w:hAnsiTheme="majorBidi" w:cstheme="majorBidi"/>
          <w:b/>
        </w:rPr>
        <w:t>Ob6</w:t>
      </w:r>
      <w:r w:rsidRPr="00C02236">
        <w:rPr>
          <w:rFonts w:asciiTheme="majorBidi" w:hAnsiTheme="majorBidi" w:cstheme="majorBidi"/>
          <w:bCs/>
        </w:rPr>
        <w:t xml:space="preserve"> (</w:t>
      </w:r>
      <w:r w:rsidRPr="00C02236">
        <w:rPr>
          <w:rFonts w:asciiTheme="majorBidi" w:hAnsiTheme="majorBidi" w:cstheme="majorBidi"/>
        </w:rPr>
        <w:t>0.835</w:t>
      </w:r>
      <w:r w:rsidRPr="00C02236">
        <w:rPr>
          <w:rFonts w:asciiTheme="majorBidi" w:hAnsiTheme="majorBidi" w:cstheme="majorBidi"/>
          <w:bCs/>
        </w:rPr>
        <w:t>) emerged as the most promising candidates, indicating substantial absorption potential compared to other compounds as shown in Table 4.5.</w:t>
      </w:r>
      <w:r w:rsidRPr="00C02236">
        <w:rPr>
          <w:rFonts w:asciiTheme="majorBidi" w:hAnsiTheme="majorBidi" w:cstheme="majorBidi"/>
          <w:b/>
          <w:i/>
        </w:rPr>
        <w:br w:type="textWrapping" w:clear="all"/>
      </w:r>
      <w:r w:rsidR="0018648E" w:rsidRPr="0095487C">
        <w:rPr>
          <w:rFonts w:asciiTheme="majorBidi" w:hAnsiTheme="majorBidi" w:cstheme="majorBidi"/>
          <w:b/>
        </w:rPr>
        <w:t xml:space="preserve">Table 5: Absorption profile </w:t>
      </w:r>
      <w:r w:rsidR="0022377C" w:rsidRPr="0022377C">
        <w:rPr>
          <w:rFonts w:asciiTheme="majorBidi" w:hAnsiTheme="majorBidi" w:cstheme="majorBidi"/>
          <w:b/>
        </w:rPr>
        <w:t>of Ob1-Ob10</w:t>
      </w:r>
    </w:p>
    <w:tbl>
      <w:tblPr>
        <w:tblStyle w:val="TableGridLight"/>
        <w:tblW w:w="0" w:type="auto"/>
        <w:tblLook w:val="04A0" w:firstRow="1" w:lastRow="0" w:firstColumn="1" w:lastColumn="0" w:noHBand="0" w:noVBand="1"/>
      </w:tblPr>
      <w:tblGrid>
        <w:gridCol w:w="1361"/>
        <w:gridCol w:w="795"/>
        <w:gridCol w:w="810"/>
        <w:gridCol w:w="795"/>
        <w:gridCol w:w="795"/>
        <w:gridCol w:w="795"/>
        <w:gridCol w:w="795"/>
        <w:gridCol w:w="795"/>
        <w:gridCol w:w="795"/>
        <w:gridCol w:w="795"/>
        <w:gridCol w:w="25"/>
        <w:gridCol w:w="794"/>
      </w:tblGrid>
      <w:tr w:rsidR="00647508" w:rsidRPr="008D53FA" w:rsidTr="00A872F7">
        <w:tc>
          <w:tcPr>
            <w:tcW w:w="1381"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Property</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Ob1</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Ob2</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Ob3</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Ob4</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Ob5</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Ob6</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Ob7</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Ob8</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Ob9</w:t>
            </w:r>
          </w:p>
        </w:tc>
        <w:tc>
          <w:tcPr>
            <w:tcW w:w="842" w:type="dxa"/>
            <w:gridSpan w:val="2"/>
          </w:tcPr>
          <w:p w:rsidR="00647508" w:rsidRPr="008D53FA" w:rsidRDefault="00647508" w:rsidP="0018648E">
            <w:pPr>
              <w:spacing w:before="100" w:beforeAutospacing="1" w:after="100" w:afterAutospacing="1" w:line="360" w:lineRule="auto"/>
              <w:jc w:val="both"/>
              <w:rPr>
                <w:rFonts w:asciiTheme="majorBidi" w:hAnsiTheme="majorBidi" w:cstheme="majorBidi"/>
                <w:b/>
                <w:iCs/>
                <w:sz w:val="20"/>
                <w:szCs w:val="20"/>
              </w:rPr>
            </w:pPr>
            <w:r w:rsidRPr="008D53FA">
              <w:rPr>
                <w:rFonts w:asciiTheme="majorBidi" w:hAnsiTheme="majorBidi" w:cstheme="majorBidi"/>
                <w:b/>
                <w:iCs/>
                <w:sz w:val="20"/>
                <w:szCs w:val="20"/>
              </w:rPr>
              <w:t>Ob10</w:t>
            </w:r>
          </w:p>
        </w:tc>
      </w:tr>
      <w:tr w:rsidR="00647508" w:rsidRPr="00FC53C1" w:rsidTr="00A872F7">
        <w:tc>
          <w:tcPr>
            <w:tcW w:w="1381" w:type="dxa"/>
          </w:tcPr>
          <w:p w:rsidR="00647508" w:rsidRPr="008D53FA" w:rsidRDefault="00647508" w:rsidP="0018648E">
            <w:pPr>
              <w:spacing w:before="100" w:beforeAutospacing="1" w:after="100" w:afterAutospacing="1" w:line="360" w:lineRule="auto"/>
              <w:jc w:val="both"/>
              <w:rPr>
                <w:rFonts w:asciiTheme="majorBidi" w:hAnsiTheme="majorBidi" w:cstheme="majorBidi"/>
                <w:bCs/>
                <w:i/>
                <w:sz w:val="20"/>
                <w:szCs w:val="20"/>
                <w:u w:val="single"/>
              </w:rPr>
            </w:pPr>
            <w:r w:rsidRPr="008D53FA">
              <w:rPr>
                <w:rFonts w:asciiTheme="majorBidi" w:hAnsiTheme="majorBidi" w:cstheme="majorBidi"/>
                <w:bCs/>
                <w:sz w:val="20"/>
                <w:szCs w:val="20"/>
              </w:rPr>
              <w:t>Caco-2 Permeability</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
                <w:sz w:val="20"/>
                <w:szCs w:val="20"/>
              </w:rPr>
            </w:pPr>
            <w:r w:rsidRPr="008D53FA">
              <w:rPr>
                <w:rFonts w:asciiTheme="majorBidi" w:hAnsiTheme="majorBidi" w:cstheme="majorBidi"/>
                <w:sz w:val="20"/>
                <w:szCs w:val="20"/>
              </w:rPr>
              <w:t>-4.58</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sz w:val="20"/>
                <w:szCs w:val="20"/>
              </w:rPr>
            </w:pPr>
            <w:r w:rsidRPr="008D53FA">
              <w:rPr>
                <w:rFonts w:asciiTheme="majorBidi" w:hAnsiTheme="majorBidi" w:cstheme="majorBidi"/>
                <w:sz w:val="20"/>
                <w:szCs w:val="20"/>
              </w:rPr>
              <w:t>_4.536</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sz w:val="20"/>
                <w:szCs w:val="20"/>
              </w:rPr>
            </w:pPr>
            <w:r w:rsidRPr="008D53FA">
              <w:rPr>
                <w:rFonts w:asciiTheme="majorBidi" w:hAnsiTheme="majorBidi" w:cstheme="majorBidi"/>
                <w:sz w:val="20"/>
                <w:szCs w:val="20"/>
              </w:rPr>
              <w:t>4.613</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
                <w:sz w:val="20"/>
                <w:szCs w:val="20"/>
              </w:rPr>
            </w:pPr>
            <w:r w:rsidRPr="008D53FA">
              <w:rPr>
                <w:rFonts w:asciiTheme="majorBidi" w:hAnsiTheme="majorBidi" w:cstheme="majorBidi"/>
                <w:sz w:val="20"/>
                <w:szCs w:val="20"/>
              </w:rPr>
              <w:t>-4.454</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
                <w:sz w:val="20"/>
                <w:szCs w:val="20"/>
              </w:rPr>
            </w:pPr>
            <w:r w:rsidRPr="008D53FA">
              <w:rPr>
                <w:rFonts w:asciiTheme="majorBidi" w:hAnsiTheme="majorBidi" w:cstheme="majorBidi"/>
                <w:sz w:val="20"/>
                <w:szCs w:val="20"/>
              </w:rPr>
              <w:t>-4.563</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
                <w:sz w:val="20"/>
                <w:szCs w:val="20"/>
              </w:rPr>
            </w:pPr>
            <w:r w:rsidRPr="008D53FA">
              <w:rPr>
                <w:rFonts w:asciiTheme="majorBidi" w:hAnsiTheme="majorBidi" w:cstheme="majorBidi"/>
                <w:sz w:val="20"/>
                <w:szCs w:val="20"/>
              </w:rPr>
              <w:t>-4.796</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
                <w:sz w:val="20"/>
                <w:szCs w:val="20"/>
              </w:rPr>
            </w:pPr>
            <w:r w:rsidRPr="008D53FA">
              <w:rPr>
                <w:rFonts w:asciiTheme="majorBidi" w:hAnsiTheme="majorBidi" w:cstheme="majorBidi"/>
                <w:sz w:val="20"/>
                <w:szCs w:val="20"/>
              </w:rPr>
              <w:t>-4.679</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b/>
                <w:i/>
                <w:sz w:val="20"/>
                <w:szCs w:val="20"/>
              </w:rPr>
            </w:pPr>
            <w:r w:rsidRPr="008D53FA">
              <w:rPr>
                <w:rFonts w:asciiTheme="majorBidi" w:hAnsiTheme="majorBidi" w:cstheme="majorBidi"/>
                <w:sz w:val="20"/>
                <w:szCs w:val="20"/>
              </w:rPr>
              <w:t>-4.659</w:t>
            </w:r>
          </w:p>
        </w:tc>
        <w:tc>
          <w:tcPr>
            <w:tcW w:w="817" w:type="dxa"/>
          </w:tcPr>
          <w:p w:rsidR="00647508" w:rsidRPr="008D53FA" w:rsidRDefault="00647508" w:rsidP="0018648E">
            <w:pPr>
              <w:spacing w:before="100" w:beforeAutospacing="1" w:after="100" w:afterAutospacing="1" w:line="360" w:lineRule="auto"/>
              <w:jc w:val="both"/>
              <w:rPr>
                <w:rFonts w:asciiTheme="majorBidi" w:hAnsiTheme="majorBidi" w:cstheme="majorBidi"/>
                <w:sz w:val="20"/>
                <w:szCs w:val="20"/>
              </w:rPr>
            </w:pPr>
            <w:r w:rsidRPr="008D53FA">
              <w:rPr>
                <w:rFonts w:asciiTheme="majorBidi" w:hAnsiTheme="majorBidi" w:cstheme="majorBidi"/>
                <w:sz w:val="20"/>
                <w:szCs w:val="20"/>
              </w:rPr>
              <w:t>-4.635</w:t>
            </w:r>
          </w:p>
        </w:tc>
        <w:tc>
          <w:tcPr>
            <w:tcW w:w="842" w:type="dxa"/>
            <w:gridSpan w:val="2"/>
          </w:tcPr>
          <w:p w:rsidR="00647508" w:rsidRPr="008D53FA" w:rsidRDefault="00647508" w:rsidP="0018648E">
            <w:pPr>
              <w:spacing w:before="100" w:beforeAutospacing="1" w:after="100" w:afterAutospacing="1" w:line="360" w:lineRule="auto"/>
              <w:jc w:val="both"/>
              <w:rPr>
                <w:rFonts w:asciiTheme="majorBidi" w:hAnsiTheme="majorBidi" w:cstheme="majorBidi"/>
                <w:sz w:val="20"/>
                <w:szCs w:val="20"/>
              </w:rPr>
            </w:pPr>
            <w:r w:rsidRPr="008D53FA">
              <w:rPr>
                <w:rFonts w:asciiTheme="majorBidi" w:hAnsiTheme="majorBidi" w:cstheme="majorBidi"/>
                <w:sz w:val="20"/>
                <w:szCs w:val="20"/>
              </w:rPr>
              <w:t>-4.629</w:t>
            </w:r>
          </w:p>
        </w:tc>
      </w:tr>
      <w:tr w:rsidR="00647508" w:rsidRPr="00FC53C1" w:rsidTr="00A872F7">
        <w:tc>
          <w:tcPr>
            <w:tcW w:w="1381" w:type="dxa"/>
          </w:tcPr>
          <w:p w:rsidR="00647508" w:rsidRPr="008D53FA" w:rsidRDefault="00647508" w:rsidP="00A60F55">
            <w:pPr>
              <w:spacing w:line="360" w:lineRule="auto"/>
              <w:jc w:val="both"/>
              <w:rPr>
                <w:rFonts w:asciiTheme="majorBidi" w:hAnsiTheme="majorBidi" w:cstheme="majorBidi"/>
                <w:bCs/>
                <w:i/>
                <w:sz w:val="20"/>
                <w:szCs w:val="20"/>
                <w:u w:val="single"/>
              </w:rPr>
            </w:pPr>
            <w:r w:rsidRPr="008D53FA">
              <w:rPr>
                <w:rFonts w:asciiTheme="majorBidi" w:hAnsiTheme="majorBidi" w:cstheme="majorBidi"/>
                <w:bCs/>
                <w:sz w:val="20"/>
                <w:szCs w:val="20"/>
              </w:rPr>
              <w:t>MDCK Permeability</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-4.616</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_4.683</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4.635</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-4.598</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-4.688</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-4.666</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-4.666</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-4.767</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4.794</w:t>
            </w:r>
          </w:p>
        </w:tc>
        <w:tc>
          <w:tcPr>
            <w:tcW w:w="842" w:type="dxa"/>
            <w:gridSpan w:val="2"/>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-4.523</w:t>
            </w:r>
          </w:p>
        </w:tc>
      </w:tr>
      <w:tr w:rsidR="00647508" w:rsidRPr="00FC53C1" w:rsidTr="00A872F7">
        <w:tc>
          <w:tcPr>
            <w:tcW w:w="1381" w:type="dxa"/>
          </w:tcPr>
          <w:p w:rsidR="00647508" w:rsidRPr="008D53FA" w:rsidRDefault="00647508" w:rsidP="00A60F55">
            <w:pPr>
              <w:spacing w:line="360" w:lineRule="auto"/>
              <w:jc w:val="both"/>
              <w:rPr>
                <w:rFonts w:asciiTheme="majorBidi" w:hAnsiTheme="majorBidi" w:cstheme="majorBidi"/>
                <w:bCs/>
                <w:i/>
                <w:sz w:val="20"/>
                <w:szCs w:val="20"/>
                <w:u w:val="single"/>
              </w:rPr>
            </w:pPr>
            <w:r w:rsidRPr="008D53FA">
              <w:rPr>
                <w:rFonts w:asciiTheme="majorBidi" w:hAnsiTheme="majorBidi" w:cstheme="majorBidi"/>
                <w:bCs/>
                <w:sz w:val="20"/>
                <w:szCs w:val="20"/>
              </w:rPr>
              <w:t>PAMPA</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0.805</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0.339</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0.16</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0.653</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-4.688</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0.286</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0.001</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0.001</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0.025</w:t>
            </w:r>
          </w:p>
        </w:tc>
        <w:tc>
          <w:tcPr>
            <w:tcW w:w="842" w:type="dxa"/>
            <w:gridSpan w:val="2"/>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0.01</w:t>
            </w:r>
          </w:p>
        </w:tc>
      </w:tr>
      <w:tr w:rsidR="00647508" w:rsidRPr="008D53FA" w:rsidTr="00A872F7">
        <w:trPr>
          <w:gridAfter w:val="1"/>
          <w:wAfter w:w="686" w:type="dxa"/>
        </w:trPr>
        <w:tc>
          <w:tcPr>
            <w:tcW w:w="1381" w:type="dxa"/>
          </w:tcPr>
          <w:p w:rsidR="00647508" w:rsidRPr="008D53FA" w:rsidRDefault="00647508" w:rsidP="00A60F55">
            <w:pPr>
              <w:spacing w:line="360" w:lineRule="auto"/>
              <w:jc w:val="both"/>
              <w:rPr>
                <w:rFonts w:asciiTheme="majorBidi" w:hAnsiTheme="majorBidi" w:cstheme="majorBidi"/>
                <w:bCs/>
                <w:i/>
                <w:sz w:val="20"/>
                <w:szCs w:val="20"/>
                <w:u w:val="single"/>
              </w:rPr>
            </w:pPr>
            <w:proofErr w:type="spellStart"/>
            <w:r w:rsidRPr="008D53FA">
              <w:rPr>
                <w:rFonts w:asciiTheme="majorBidi" w:hAnsiTheme="majorBidi" w:cstheme="majorBidi"/>
                <w:bCs/>
                <w:sz w:val="20"/>
                <w:szCs w:val="20"/>
              </w:rPr>
              <w:t>Pgp</w:t>
            </w:r>
            <w:proofErr w:type="spellEnd"/>
            <w:r w:rsidRPr="008D53FA">
              <w:rPr>
                <w:rFonts w:asciiTheme="majorBidi" w:hAnsiTheme="majorBidi" w:cstheme="majorBidi"/>
                <w:bCs/>
                <w:sz w:val="20"/>
                <w:szCs w:val="20"/>
              </w:rPr>
              <w:t>-inhibitor</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0.283</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0.825</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0.908</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0.131</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0.211</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0.112</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0.936</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0.021</w:t>
            </w:r>
          </w:p>
        </w:tc>
        <w:tc>
          <w:tcPr>
            <w:tcW w:w="842" w:type="dxa"/>
            <w:gridSpan w:val="2"/>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0.369</w:t>
            </w:r>
          </w:p>
        </w:tc>
      </w:tr>
      <w:tr w:rsidR="00647508" w:rsidRPr="00FC53C1" w:rsidTr="00A872F7">
        <w:tc>
          <w:tcPr>
            <w:tcW w:w="1381" w:type="dxa"/>
          </w:tcPr>
          <w:p w:rsidR="00647508" w:rsidRPr="008D53FA" w:rsidRDefault="00647508" w:rsidP="00A60F55">
            <w:pPr>
              <w:spacing w:line="360" w:lineRule="auto"/>
              <w:jc w:val="both"/>
              <w:rPr>
                <w:rFonts w:asciiTheme="majorBidi" w:hAnsiTheme="majorBidi" w:cstheme="majorBidi"/>
                <w:bCs/>
                <w:i/>
                <w:sz w:val="20"/>
                <w:szCs w:val="20"/>
                <w:u w:val="single"/>
              </w:rPr>
            </w:pPr>
            <w:proofErr w:type="spellStart"/>
            <w:r w:rsidRPr="008D53FA">
              <w:rPr>
                <w:rFonts w:asciiTheme="majorBidi" w:hAnsiTheme="majorBidi" w:cstheme="majorBidi"/>
                <w:bCs/>
                <w:sz w:val="20"/>
                <w:szCs w:val="20"/>
              </w:rPr>
              <w:t>Pgp</w:t>
            </w:r>
            <w:proofErr w:type="spellEnd"/>
            <w:r w:rsidRPr="008D53FA">
              <w:rPr>
                <w:rFonts w:asciiTheme="majorBidi" w:hAnsiTheme="majorBidi" w:cstheme="majorBidi"/>
                <w:bCs/>
                <w:sz w:val="20"/>
                <w:szCs w:val="20"/>
              </w:rPr>
              <w:t>-Substrate</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0.531</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0.039</w:t>
            </w:r>
          </w:p>
        </w:tc>
        <w:tc>
          <w:tcPr>
            <w:tcW w:w="817" w:type="dxa"/>
          </w:tcPr>
          <w:p w:rsidR="00647508" w:rsidRPr="008D53FA" w:rsidRDefault="00647508" w:rsidP="00A60F55">
            <w:pPr>
              <w:spacing w:line="360" w:lineRule="auto"/>
              <w:jc w:val="both"/>
              <w:rPr>
                <w:rFonts w:asciiTheme="majorBidi" w:hAnsiTheme="majorBidi" w:cstheme="majorBidi"/>
                <w:b/>
                <w:sz w:val="20"/>
                <w:szCs w:val="20"/>
              </w:rPr>
            </w:pPr>
            <w:r w:rsidRPr="008D53FA">
              <w:rPr>
                <w:rFonts w:asciiTheme="majorBidi" w:hAnsiTheme="majorBidi" w:cstheme="majorBidi"/>
                <w:sz w:val="20"/>
                <w:szCs w:val="20"/>
              </w:rPr>
              <w:t>0.169</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0.222</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0.002</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0.089</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w:t>
            </w:r>
          </w:p>
        </w:tc>
        <w:tc>
          <w:tcPr>
            <w:tcW w:w="842" w:type="dxa"/>
            <w:gridSpan w:val="2"/>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0.878</w:t>
            </w:r>
          </w:p>
        </w:tc>
      </w:tr>
      <w:tr w:rsidR="00647508" w:rsidRPr="00FC53C1" w:rsidTr="00A872F7">
        <w:tc>
          <w:tcPr>
            <w:tcW w:w="1381" w:type="dxa"/>
          </w:tcPr>
          <w:p w:rsidR="00647508" w:rsidRPr="008D53FA" w:rsidRDefault="00647508" w:rsidP="00A60F55">
            <w:pPr>
              <w:spacing w:line="360" w:lineRule="auto"/>
              <w:jc w:val="both"/>
              <w:rPr>
                <w:rFonts w:asciiTheme="majorBidi" w:hAnsiTheme="majorBidi" w:cstheme="majorBidi"/>
                <w:bCs/>
                <w:i/>
                <w:sz w:val="20"/>
                <w:szCs w:val="20"/>
                <w:u w:val="single"/>
              </w:rPr>
            </w:pPr>
            <w:r w:rsidRPr="008D53FA">
              <w:rPr>
                <w:rFonts w:asciiTheme="majorBidi" w:hAnsiTheme="majorBidi" w:cstheme="majorBidi"/>
                <w:bCs/>
                <w:sz w:val="20"/>
                <w:szCs w:val="20"/>
              </w:rPr>
              <w:t>HIA</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0.053</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0.002</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0.116</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0.052</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0.011</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0.008</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w:t>
            </w:r>
          </w:p>
        </w:tc>
        <w:tc>
          <w:tcPr>
            <w:tcW w:w="842" w:type="dxa"/>
            <w:gridSpan w:val="2"/>
          </w:tcPr>
          <w:p w:rsidR="00647508" w:rsidRPr="008D53FA" w:rsidRDefault="00647508" w:rsidP="00A60F55">
            <w:pPr>
              <w:spacing w:line="360" w:lineRule="auto"/>
              <w:jc w:val="both"/>
              <w:rPr>
                <w:rFonts w:asciiTheme="majorBidi" w:hAnsiTheme="majorBidi" w:cstheme="majorBidi"/>
                <w:b/>
                <w:sz w:val="20"/>
                <w:szCs w:val="20"/>
              </w:rPr>
            </w:pPr>
            <w:r w:rsidRPr="008D53FA">
              <w:rPr>
                <w:rFonts w:asciiTheme="majorBidi" w:hAnsiTheme="majorBidi" w:cstheme="majorBidi"/>
                <w:b/>
                <w:sz w:val="20"/>
                <w:szCs w:val="20"/>
              </w:rPr>
              <w:t>0.114</w:t>
            </w:r>
          </w:p>
        </w:tc>
      </w:tr>
      <w:tr w:rsidR="00647508" w:rsidRPr="00FC53C1" w:rsidTr="00A872F7">
        <w:tc>
          <w:tcPr>
            <w:tcW w:w="1381" w:type="dxa"/>
          </w:tcPr>
          <w:p w:rsidR="00647508" w:rsidRPr="008D53FA" w:rsidRDefault="00647508" w:rsidP="00A60F55">
            <w:pPr>
              <w:spacing w:line="360" w:lineRule="auto"/>
              <w:jc w:val="both"/>
              <w:rPr>
                <w:rFonts w:asciiTheme="majorBidi" w:hAnsiTheme="majorBidi" w:cstheme="majorBidi"/>
                <w:bCs/>
                <w:i/>
                <w:sz w:val="20"/>
                <w:szCs w:val="20"/>
                <w:u w:val="single"/>
              </w:rPr>
            </w:pPr>
            <w:r w:rsidRPr="008D53FA">
              <w:rPr>
                <w:rFonts w:asciiTheme="majorBidi" w:hAnsiTheme="majorBidi" w:cstheme="majorBidi"/>
                <w:bCs/>
                <w:sz w:val="20"/>
                <w:szCs w:val="20"/>
              </w:rPr>
              <w:t>F 20%</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0.945</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0.654</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0.169</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0.445</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0.943</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0.207</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0.007</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0.019</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0.002</w:t>
            </w:r>
          </w:p>
        </w:tc>
        <w:tc>
          <w:tcPr>
            <w:tcW w:w="842" w:type="dxa"/>
            <w:gridSpan w:val="2"/>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w:t>
            </w:r>
          </w:p>
        </w:tc>
      </w:tr>
      <w:tr w:rsidR="00647508" w:rsidRPr="00FC53C1" w:rsidTr="00A872F7">
        <w:tc>
          <w:tcPr>
            <w:tcW w:w="1381" w:type="dxa"/>
          </w:tcPr>
          <w:p w:rsidR="00647508" w:rsidRPr="008D53FA" w:rsidRDefault="00647508" w:rsidP="00A60F55">
            <w:pPr>
              <w:spacing w:line="360" w:lineRule="auto"/>
              <w:jc w:val="both"/>
              <w:rPr>
                <w:rFonts w:asciiTheme="majorBidi" w:hAnsiTheme="majorBidi" w:cstheme="majorBidi"/>
                <w:bCs/>
                <w:i/>
                <w:sz w:val="20"/>
                <w:szCs w:val="20"/>
                <w:u w:val="single"/>
              </w:rPr>
            </w:pPr>
            <w:r w:rsidRPr="008D53FA">
              <w:rPr>
                <w:rFonts w:asciiTheme="majorBidi" w:hAnsiTheme="majorBidi" w:cstheme="majorBidi"/>
                <w:bCs/>
                <w:sz w:val="20"/>
                <w:szCs w:val="20"/>
              </w:rPr>
              <w:t>F 30%</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0.946</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0.715</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0.383</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0.309</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0.975</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0.351</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0.084</w:t>
            </w:r>
          </w:p>
        </w:tc>
        <w:tc>
          <w:tcPr>
            <w:tcW w:w="817" w:type="dxa"/>
          </w:tcPr>
          <w:p w:rsidR="00647508" w:rsidRPr="008D53FA" w:rsidRDefault="00647508" w:rsidP="00A60F55">
            <w:pPr>
              <w:spacing w:line="360" w:lineRule="auto"/>
              <w:jc w:val="both"/>
              <w:rPr>
                <w:rFonts w:asciiTheme="majorBidi" w:hAnsiTheme="majorBidi" w:cstheme="majorBidi"/>
                <w:b/>
                <w:i/>
                <w:sz w:val="20"/>
                <w:szCs w:val="20"/>
              </w:rPr>
            </w:pPr>
            <w:r w:rsidRPr="008D53FA">
              <w:rPr>
                <w:rFonts w:asciiTheme="majorBidi" w:hAnsiTheme="majorBidi" w:cstheme="majorBidi"/>
                <w:sz w:val="20"/>
                <w:szCs w:val="20"/>
              </w:rPr>
              <w:t>0.317</w:t>
            </w:r>
          </w:p>
        </w:tc>
        <w:tc>
          <w:tcPr>
            <w:tcW w:w="817" w:type="dxa"/>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0.004</w:t>
            </w:r>
          </w:p>
        </w:tc>
        <w:tc>
          <w:tcPr>
            <w:tcW w:w="842" w:type="dxa"/>
            <w:gridSpan w:val="2"/>
          </w:tcPr>
          <w:p w:rsidR="00647508" w:rsidRPr="008D53FA" w:rsidRDefault="00647508" w:rsidP="00A60F55">
            <w:pPr>
              <w:spacing w:line="360" w:lineRule="auto"/>
              <w:jc w:val="both"/>
              <w:rPr>
                <w:rFonts w:asciiTheme="majorBidi" w:hAnsiTheme="majorBidi" w:cstheme="majorBidi"/>
                <w:sz w:val="20"/>
                <w:szCs w:val="20"/>
              </w:rPr>
            </w:pPr>
            <w:r w:rsidRPr="008D53FA">
              <w:rPr>
                <w:rFonts w:asciiTheme="majorBidi" w:hAnsiTheme="majorBidi" w:cstheme="majorBidi"/>
                <w:sz w:val="20"/>
                <w:szCs w:val="20"/>
              </w:rPr>
              <w:t>0.039</w:t>
            </w:r>
          </w:p>
        </w:tc>
      </w:tr>
      <w:tr w:rsidR="00647508" w:rsidRPr="00FC53C1" w:rsidTr="00A872F7">
        <w:tc>
          <w:tcPr>
            <w:tcW w:w="1381" w:type="dxa"/>
          </w:tcPr>
          <w:p w:rsidR="00647508" w:rsidRPr="008D53FA" w:rsidRDefault="00647508" w:rsidP="00A60F55">
            <w:pPr>
              <w:spacing w:line="360" w:lineRule="auto"/>
              <w:jc w:val="both"/>
              <w:rPr>
                <w:rFonts w:asciiTheme="majorBidi" w:hAnsiTheme="majorBidi" w:cstheme="majorBidi"/>
                <w:bCs/>
                <w:i/>
                <w:sz w:val="20"/>
                <w:szCs w:val="20"/>
                <w:u w:val="single"/>
              </w:rPr>
            </w:pPr>
            <w:r w:rsidRPr="008D53FA">
              <w:rPr>
                <w:rFonts w:asciiTheme="majorBidi" w:hAnsiTheme="majorBidi" w:cstheme="majorBidi"/>
                <w:bCs/>
                <w:sz w:val="20"/>
                <w:szCs w:val="20"/>
              </w:rPr>
              <w:t>F 50%</w:t>
            </w:r>
          </w:p>
        </w:tc>
        <w:tc>
          <w:tcPr>
            <w:tcW w:w="817"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0.998</w:t>
            </w:r>
          </w:p>
        </w:tc>
        <w:tc>
          <w:tcPr>
            <w:tcW w:w="817"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0.977</w:t>
            </w:r>
          </w:p>
        </w:tc>
        <w:tc>
          <w:tcPr>
            <w:tcW w:w="817"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0.79</w:t>
            </w:r>
          </w:p>
        </w:tc>
        <w:tc>
          <w:tcPr>
            <w:tcW w:w="817" w:type="dxa"/>
          </w:tcPr>
          <w:p w:rsidR="00647508" w:rsidRPr="00FC53C1" w:rsidRDefault="00647508" w:rsidP="00A60F55">
            <w:pPr>
              <w:spacing w:line="360" w:lineRule="auto"/>
              <w:jc w:val="both"/>
              <w:rPr>
                <w:rFonts w:asciiTheme="majorBidi" w:hAnsiTheme="majorBidi" w:cstheme="majorBidi"/>
                <w:b/>
                <w:i/>
                <w:sz w:val="20"/>
                <w:szCs w:val="20"/>
                <w:u w:val="single"/>
              </w:rPr>
            </w:pPr>
            <w:r w:rsidRPr="00FC53C1">
              <w:rPr>
                <w:rFonts w:asciiTheme="majorBidi" w:hAnsiTheme="majorBidi" w:cstheme="majorBidi"/>
                <w:sz w:val="20"/>
                <w:szCs w:val="20"/>
              </w:rPr>
              <w:t>0.789</w:t>
            </w:r>
          </w:p>
        </w:tc>
        <w:tc>
          <w:tcPr>
            <w:tcW w:w="817" w:type="dxa"/>
          </w:tcPr>
          <w:p w:rsidR="00647508" w:rsidRPr="00FC53C1" w:rsidRDefault="00647508" w:rsidP="00A60F55">
            <w:pPr>
              <w:spacing w:line="360" w:lineRule="auto"/>
              <w:jc w:val="both"/>
              <w:rPr>
                <w:rFonts w:asciiTheme="majorBidi" w:hAnsiTheme="majorBidi" w:cstheme="majorBidi"/>
                <w:b/>
                <w:i/>
                <w:sz w:val="20"/>
                <w:szCs w:val="20"/>
                <w:u w:val="single"/>
              </w:rPr>
            </w:pPr>
            <w:r w:rsidRPr="00FC53C1">
              <w:rPr>
                <w:rFonts w:asciiTheme="majorBidi" w:hAnsiTheme="majorBidi" w:cstheme="majorBidi"/>
                <w:sz w:val="20"/>
                <w:szCs w:val="20"/>
              </w:rPr>
              <w:t>0.99</w:t>
            </w:r>
          </w:p>
        </w:tc>
        <w:tc>
          <w:tcPr>
            <w:tcW w:w="817"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0.835</w:t>
            </w:r>
          </w:p>
        </w:tc>
        <w:tc>
          <w:tcPr>
            <w:tcW w:w="817" w:type="dxa"/>
          </w:tcPr>
          <w:p w:rsidR="00647508" w:rsidRPr="00FC53C1" w:rsidRDefault="00647508" w:rsidP="00A60F55">
            <w:pPr>
              <w:spacing w:line="360" w:lineRule="auto"/>
              <w:jc w:val="both"/>
              <w:rPr>
                <w:rFonts w:asciiTheme="majorBidi" w:hAnsiTheme="majorBidi" w:cstheme="majorBidi"/>
                <w:b/>
                <w:i/>
                <w:sz w:val="20"/>
                <w:szCs w:val="20"/>
                <w:u w:val="single"/>
              </w:rPr>
            </w:pPr>
            <w:r w:rsidRPr="00FC53C1">
              <w:rPr>
                <w:rFonts w:asciiTheme="majorBidi" w:hAnsiTheme="majorBidi" w:cstheme="majorBidi"/>
                <w:sz w:val="20"/>
                <w:szCs w:val="20"/>
              </w:rPr>
              <w:t>0.842</w:t>
            </w:r>
          </w:p>
        </w:tc>
        <w:tc>
          <w:tcPr>
            <w:tcW w:w="817" w:type="dxa"/>
          </w:tcPr>
          <w:p w:rsidR="00647508" w:rsidRPr="00FC53C1" w:rsidRDefault="00647508" w:rsidP="00A60F55">
            <w:pPr>
              <w:spacing w:line="360" w:lineRule="auto"/>
              <w:jc w:val="both"/>
              <w:rPr>
                <w:rFonts w:asciiTheme="majorBidi" w:hAnsiTheme="majorBidi" w:cstheme="majorBidi"/>
                <w:b/>
                <w:i/>
                <w:sz w:val="20"/>
                <w:szCs w:val="20"/>
                <w:u w:val="single"/>
              </w:rPr>
            </w:pPr>
            <w:r w:rsidRPr="00FC53C1">
              <w:rPr>
                <w:rFonts w:asciiTheme="majorBidi" w:hAnsiTheme="majorBidi" w:cstheme="majorBidi"/>
                <w:sz w:val="20"/>
                <w:szCs w:val="20"/>
              </w:rPr>
              <w:t>0.528</w:t>
            </w:r>
          </w:p>
        </w:tc>
        <w:tc>
          <w:tcPr>
            <w:tcW w:w="817"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0.193</w:t>
            </w:r>
          </w:p>
        </w:tc>
        <w:tc>
          <w:tcPr>
            <w:tcW w:w="842" w:type="dxa"/>
            <w:gridSpan w:val="2"/>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0.413</w:t>
            </w:r>
          </w:p>
        </w:tc>
      </w:tr>
    </w:tbl>
    <w:p w:rsidR="00A872F7" w:rsidRDefault="00A872F7" w:rsidP="00647508">
      <w:pPr>
        <w:spacing w:line="360" w:lineRule="auto"/>
        <w:jc w:val="both"/>
        <w:rPr>
          <w:rFonts w:asciiTheme="majorBidi" w:hAnsiTheme="majorBidi" w:cstheme="majorBidi"/>
          <w:b/>
          <w:i/>
        </w:rPr>
      </w:pPr>
    </w:p>
    <w:p w:rsidR="0018648E" w:rsidRPr="0041385D" w:rsidRDefault="00647508" w:rsidP="0018648E">
      <w:pPr>
        <w:pStyle w:val="NormalWeb"/>
        <w:rPr>
          <w:b/>
          <w:color w:val="000000" w:themeColor="text1"/>
        </w:rPr>
      </w:pPr>
      <w:r w:rsidRPr="00C02236">
        <w:rPr>
          <w:rFonts w:asciiTheme="majorBidi" w:hAnsiTheme="majorBidi" w:cstheme="majorBidi"/>
          <w:b/>
          <w:i/>
        </w:rPr>
        <w:t xml:space="preserve"> </w:t>
      </w:r>
      <w:r w:rsidR="0018648E">
        <w:rPr>
          <w:b/>
          <w:color w:val="000000" w:themeColor="text1"/>
        </w:rPr>
        <w:t>3.3.4: Distribution</w:t>
      </w:r>
      <w:r w:rsidR="00317A15">
        <w:rPr>
          <w:b/>
          <w:color w:val="000000" w:themeColor="text1"/>
        </w:rPr>
        <w:t xml:space="preserve"> </w:t>
      </w:r>
      <w:r w:rsidR="00317A15" w:rsidRPr="0022377C">
        <w:rPr>
          <w:rFonts w:asciiTheme="majorBidi" w:hAnsiTheme="majorBidi" w:cstheme="majorBidi"/>
          <w:b/>
        </w:rPr>
        <w:t>of Ob1-Ob10</w:t>
      </w:r>
    </w:p>
    <w:p w:rsidR="00647508" w:rsidRPr="00C02236" w:rsidRDefault="00647508" w:rsidP="00A872F7">
      <w:pPr>
        <w:spacing w:line="360" w:lineRule="auto"/>
        <w:jc w:val="both"/>
        <w:rPr>
          <w:rFonts w:asciiTheme="majorBidi" w:hAnsiTheme="majorBidi" w:cstheme="majorBidi"/>
        </w:rPr>
      </w:pPr>
      <w:r w:rsidRPr="00C02236">
        <w:rPr>
          <w:rFonts w:asciiTheme="majorBidi" w:hAnsiTheme="majorBidi" w:cstheme="majorBidi"/>
          <w:bCs/>
        </w:rPr>
        <w:t xml:space="preserve">The distribution profiles of the </w:t>
      </w:r>
      <w:r w:rsidR="00A872F7">
        <w:rPr>
          <w:rFonts w:asciiTheme="majorBidi" w:hAnsiTheme="majorBidi" w:cstheme="majorBidi"/>
          <w:bCs/>
        </w:rPr>
        <w:t>chemical constituent</w:t>
      </w:r>
      <w:r w:rsidR="00A872F7" w:rsidRPr="00C02236">
        <w:rPr>
          <w:rFonts w:asciiTheme="majorBidi" w:hAnsiTheme="majorBidi" w:cstheme="majorBidi"/>
          <w:bCs/>
        </w:rPr>
        <w:t xml:space="preserve"> </w:t>
      </w:r>
      <w:r w:rsidRPr="00C02236">
        <w:rPr>
          <w:rFonts w:asciiTheme="majorBidi" w:hAnsiTheme="majorBidi" w:cstheme="majorBidi"/>
          <w:bCs/>
        </w:rPr>
        <w:t>(</w:t>
      </w:r>
      <w:r w:rsidRPr="00C02236">
        <w:rPr>
          <w:rFonts w:asciiTheme="majorBidi" w:hAnsiTheme="majorBidi" w:cstheme="majorBidi"/>
          <w:b/>
        </w:rPr>
        <w:t>Ob-l</w:t>
      </w:r>
      <w:r w:rsidRPr="00C02236">
        <w:rPr>
          <w:rFonts w:asciiTheme="majorBidi" w:hAnsiTheme="majorBidi" w:cstheme="majorBidi"/>
          <w:bCs/>
        </w:rPr>
        <w:t xml:space="preserve">) were assessed to evaluate their potential for systemic distribution, protein binding, and tissue penetration. The plasma protein binding (PPB) values were uniformly high across the series, ranging from </w:t>
      </w:r>
      <w:r w:rsidRPr="00C02236">
        <w:rPr>
          <w:rFonts w:asciiTheme="majorBidi" w:hAnsiTheme="majorBidi" w:cstheme="majorBidi"/>
        </w:rPr>
        <w:t>4.635</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w:t>
      </w:r>
      <w:proofErr w:type="gramStart"/>
      <w:r w:rsidRPr="00C02236">
        <w:rPr>
          <w:rFonts w:asciiTheme="majorBidi" w:hAnsiTheme="majorBidi" w:cstheme="majorBidi"/>
          <w:bCs/>
        </w:rPr>
        <w:t>to</w:t>
      </w:r>
      <w:r w:rsidRPr="00C02236">
        <w:rPr>
          <w:rFonts w:asciiTheme="majorBidi" w:hAnsiTheme="majorBidi" w:cstheme="majorBidi"/>
        </w:rPr>
        <w:t>4.794</w:t>
      </w:r>
      <w:r w:rsidRPr="00C02236">
        <w:rPr>
          <w:rFonts w:asciiTheme="majorBidi" w:hAnsiTheme="majorBidi" w:cstheme="majorBidi"/>
          <w:bCs/>
        </w:rPr>
        <w:t xml:space="preserve">  (</w:t>
      </w:r>
      <w:proofErr w:type="gramEnd"/>
      <w:r w:rsidRPr="00C02236">
        <w:rPr>
          <w:rFonts w:asciiTheme="majorBidi" w:hAnsiTheme="majorBidi" w:cstheme="majorBidi"/>
          <w:b/>
        </w:rPr>
        <w:t>Ob6</w:t>
      </w:r>
      <w:r w:rsidRPr="00C02236">
        <w:rPr>
          <w:rFonts w:asciiTheme="majorBidi" w:hAnsiTheme="majorBidi" w:cstheme="majorBidi"/>
          <w:bCs/>
        </w:rPr>
        <w:t xml:space="preserve">). High PPB values indicate strong binding to plasma proteins, which can influence the free drug concentration available for therapeutic activity. </w:t>
      </w:r>
      <w:r w:rsidR="00A872F7">
        <w:rPr>
          <w:rFonts w:asciiTheme="majorBidi" w:hAnsiTheme="majorBidi" w:cstheme="majorBidi"/>
          <w:bCs/>
        </w:rPr>
        <w:t>Chemical constituent</w:t>
      </w:r>
      <w:r w:rsidRPr="00C02236">
        <w:rPr>
          <w:rFonts w:asciiTheme="majorBidi" w:hAnsiTheme="majorBidi" w:cstheme="majorBidi"/>
          <w:bCs/>
        </w:rPr>
        <w:t xml:space="preserve"> like </w:t>
      </w:r>
      <w:r w:rsidRPr="00C02236">
        <w:rPr>
          <w:rFonts w:asciiTheme="majorBidi" w:hAnsiTheme="majorBidi" w:cstheme="majorBidi"/>
          <w:b/>
        </w:rPr>
        <w:t>Ob5</w:t>
      </w:r>
      <w:r w:rsidRPr="00C02236">
        <w:rPr>
          <w:rFonts w:asciiTheme="majorBidi" w:hAnsiTheme="majorBidi" w:cstheme="majorBidi"/>
          <w:bCs/>
        </w:rPr>
        <w:t xml:space="preserve"> and </w:t>
      </w:r>
      <w:r w:rsidRPr="00C02236">
        <w:rPr>
          <w:rFonts w:asciiTheme="majorBidi" w:hAnsiTheme="majorBidi" w:cstheme="majorBidi"/>
          <w:b/>
        </w:rPr>
        <w:t>Ob9</w:t>
      </w:r>
      <w:r w:rsidRPr="00C02236">
        <w:rPr>
          <w:rFonts w:asciiTheme="majorBidi" w:hAnsiTheme="majorBidi" w:cstheme="majorBidi"/>
          <w:bCs/>
        </w:rPr>
        <w:t xml:space="preserve"> exhibited the highest PPB values, suggesting reduced free drug availability in plasma. The volume of distribution at steady-state (</w:t>
      </w:r>
      <w:proofErr w:type="spellStart"/>
      <w:r w:rsidRPr="00C02236">
        <w:rPr>
          <w:rFonts w:asciiTheme="majorBidi" w:hAnsiTheme="majorBidi" w:cstheme="majorBidi"/>
          <w:bCs/>
        </w:rPr>
        <w:t>VDss</w:t>
      </w:r>
      <w:proofErr w:type="spellEnd"/>
      <w:r w:rsidRPr="00C02236">
        <w:rPr>
          <w:rFonts w:asciiTheme="majorBidi" w:hAnsiTheme="majorBidi" w:cstheme="majorBidi"/>
          <w:bCs/>
        </w:rPr>
        <w:t xml:space="preserve">) values ranged from </w:t>
      </w:r>
      <w:r w:rsidRPr="00C02236">
        <w:rPr>
          <w:rFonts w:asciiTheme="majorBidi" w:hAnsiTheme="majorBidi" w:cstheme="majorBidi"/>
        </w:rPr>
        <w:t>-4.58</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to </w:t>
      </w:r>
      <w:r w:rsidRPr="00C02236">
        <w:rPr>
          <w:rFonts w:asciiTheme="majorBidi" w:hAnsiTheme="majorBidi" w:cstheme="majorBidi"/>
        </w:rPr>
        <w:t>_4.536</w:t>
      </w:r>
      <w:r w:rsidRPr="00C02236">
        <w:rPr>
          <w:rFonts w:asciiTheme="majorBidi" w:hAnsiTheme="majorBidi" w:cstheme="majorBidi"/>
          <w:bCs/>
        </w:rPr>
        <w:t xml:space="preserve"> (</w:t>
      </w:r>
      <w:r w:rsidRPr="00C02236">
        <w:rPr>
          <w:rFonts w:asciiTheme="majorBidi" w:hAnsiTheme="majorBidi" w:cstheme="majorBidi"/>
          <w:b/>
        </w:rPr>
        <w:t>Ob2</w:t>
      </w:r>
      <w:r w:rsidRPr="00C02236">
        <w:rPr>
          <w:rFonts w:asciiTheme="majorBidi" w:hAnsiTheme="majorBidi" w:cstheme="majorBidi"/>
          <w:bCs/>
        </w:rPr>
        <w:t xml:space="preserve">), reflecting variations in the compounds’ tissue distribution. Negative values, as observed for compounds </w:t>
      </w:r>
      <w:r w:rsidRPr="00C02236">
        <w:rPr>
          <w:rFonts w:asciiTheme="majorBidi" w:hAnsiTheme="majorBidi" w:cstheme="majorBidi"/>
          <w:b/>
        </w:rPr>
        <w:t>Ob3</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w:t>
      </w:r>
      <w:r w:rsidRPr="00C02236">
        <w:rPr>
          <w:rFonts w:asciiTheme="majorBidi" w:hAnsiTheme="majorBidi" w:cstheme="majorBidi"/>
          <w:b/>
        </w:rPr>
        <w:t>Ob9</w:t>
      </w:r>
      <w:r w:rsidRPr="00C02236">
        <w:rPr>
          <w:rFonts w:asciiTheme="majorBidi" w:hAnsiTheme="majorBidi" w:cstheme="majorBidi"/>
          <w:bCs/>
        </w:rPr>
        <w:t xml:space="preserve">, </w:t>
      </w:r>
      <w:r w:rsidRPr="00C02236">
        <w:rPr>
          <w:rFonts w:asciiTheme="majorBidi" w:hAnsiTheme="majorBidi" w:cstheme="majorBidi"/>
          <w:b/>
        </w:rPr>
        <w:t>Ob8</w:t>
      </w:r>
      <w:r w:rsidRPr="00C02236">
        <w:rPr>
          <w:rFonts w:asciiTheme="majorBidi" w:hAnsiTheme="majorBidi" w:cstheme="majorBidi"/>
          <w:bCs/>
        </w:rPr>
        <w:t xml:space="preserve">, and </w:t>
      </w:r>
      <w:r w:rsidRPr="00C02236">
        <w:rPr>
          <w:rFonts w:asciiTheme="majorBidi" w:hAnsiTheme="majorBidi" w:cstheme="majorBidi"/>
          <w:b/>
        </w:rPr>
        <w:t>Ob1</w:t>
      </w:r>
      <w:r w:rsidRPr="00C02236">
        <w:rPr>
          <w:rFonts w:asciiTheme="majorBidi" w:hAnsiTheme="majorBidi" w:cstheme="majorBidi"/>
          <w:bCs/>
        </w:rPr>
        <w:t xml:space="preserve">, indicate a tendency for these compounds to remain primarily in the </w:t>
      </w:r>
      <w:r w:rsidRPr="00C02236">
        <w:rPr>
          <w:rFonts w:asciiTheme="majorBidi" w:hAnsiTheme="majorBidi" w:cstheme="majorBidi"/>
          <w:bCs/>
        </w:rPr>
        <w:lastRenderedPageBreak/>
        <w:t>plasma rather than being widely distributed into tissues. Co</w:t>
      </w:r>
      <w:r w:rsidR="00A872F7">
        <w:rPr>
          <w:rFonts w:asciiTheme="majorBidi" w:hAnsiTheme="majorBidi" w:cstheme="majorBidi"/>
          <w:bCs/>
        </w:rPr>
        <w:t>nstituent</w:t>
      </w:r>
      <w:r w:rsidRPr="00C02236">
        <w:rPr>
          <w:rFonts w:asciiTheme="majorBidi" w:hAnsiTheme="majorBidi" w:cstheme="majorBidi"/>
          <w:bCs/>
        </w:rPr>
        <w:t xml:space="preserve"> </w:t>
      </w:r>
      <w:r w:rsidRPr="00C02236">
        <w:rPr>
          <w:rFonts w:asciiTheme="majorBidi" w:hAnsiTheme="majorBidi" w:cstheme="majorBidi"/>
          <w:b/>
        </w:rPr>
        <w:t>6b</w:t>
      </w:r>
      <w:r w:rsidRPr="00C02236">
        <w:rPr>
          <w:rFonts w:asciiTheme="majorBidi" w:hAnsiTheme="majorBidi" w:cstheme="majorBidi"/>
          <w:bCs/>
        </w:rPr>
        <w:t xml:space="preserve">, with the highest </w:t>
      </w:r>
      <w:proofErr w:type="spellStart"/>
      <w:r w:rsidRPr="00C02236">
        <w:rPr>
          <w:rFonts w:asciiTheme="majorBidi" w:hAnsiTheme="majorBidi" w:cstheme="majorBidi"/>
          <w:bCs/>
        </w:rPr>
        <w:t>VDss</w:t>
      </w:r>
      <w:proofErr w:type="spellEnd"/>
      <w:r w:rsidRPr="00C02236">
        <w:rPr>
          <w:rFonts w:asciiTheme="majorBidi" w:hAnsiTheme="majorBidi" w:cstheme="majorBidi"/>
          <w:bCs/>
        </w:rPr>
        <w:t xml:space="preserve"> (0.284), displayed the greatest potential for tissue distribution, though still within a modest range.</w:t>
      </w:r>
    </w:p>
    <w:p w:rsidR="00647508" w:rsidRPr="00C02236" w:rsidRDefault="00647508" w:rsidP="00647508">
      <w:pPr>
        <w:spacing w:line="360" w:lineRule="auto"/>
        <w:jc w:val="both"/>
        <w:rPr>
          <w:rFonts w:asciiTheme="majorBidi" w:hAnsiTheme="majorBidi" w:cstheme="majorBidi"/>
        </w:rPr>
      </w:pPr>
      <w:r w:rsidRPr="00C02236">
        <w:rPr>
          <w:rFonts w:asciiTheme="majorBidi" w:hAnsiTheme="majorBidi" w:cstheme="majorBidi"/>
          <w:bCs/>
        </w:rPr>
        <w:t>Blood-brain barrier (BBB) permeability, a critical parameter for central nervous system (CNS) activity, was generally low for most compounds, with BBB values ranging from 0.0 (</w:t>
      </w:r>
      <w:r w:rsidRPr="00C02236">
        <w:rPr>
          <w:rFonts w:asciiTheme="majorBidi" w:hAnsiTheme="majorBidi" w:cstheme="majorBidi"/>
          <w:b/>
        </w:rPr>
        <w:t>Ob3</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and others) to 0.13 (</w:t>
      </w:r>
      <w:r w:rsidRPr="00C02236">
        <w:rPr>
          <w:rFonts w:asciiTheme="majorBidi" w:hAnsiTheme="majorBidi" w:cstheme="majorBidi"/>
          <w:b/>
        </w:rPr>
        <w:t>Ob1</w:t>
      </w:r>
      <w:r w:rsidRPr="00C02236">
        <w:rPr>
          <w:rFonts w:asciiTheme="majorBidi" w:hAnsiTheme="majorBidi" w:cstheme="majorBidi"/>
          <w:bCs/>
        </w:rPr>
        <w:t xml:space="preserve">). These results indicate limited CNS penetration, with </w:t>
      </w:r>
      <w:r w:rsidRPr="00C02236">
        <w:rPr>
          <w:rFonts w:asciiTheme="majorBidi" w:hAnsiTheme="majorBidi" w:cstheme="majorBidi"/>
          <w:b/>
        </w:rPr>
        <w:t>Ob1</w:t>
      </w:r>
      <w:r w:rsidRPr="00C02236">
        <w:rPr>
          <w:rFonts w:asciiTheme="majorBidi" w:hAnsiTheme="majorBidi" w:cstheme="majorBidi"/>
          <w:bCs/>
        </w:rPr>
        <w:t xml:space="preserve"> showing the highest potential for BBB permeability among the series. The fraction unbound (Fu) values, representing the proportion of unbound drug in plasma, varied significantly from </w:t>
      </w:r>
      <w:r w:rsidRPr="00C02236">
        <w:rPr>
          <w:rFonts w:asciiTheme="majorBidi" w:hAnsiTheme="majorBidi" w:cstheme="majorBidi"/>
        </w:rPr>
        <w:t>0.878</w:t>
      </w:r>
      <w:r w:rsidRPr="00C02236">
        <w:rPr>
          <w:rFonts w:asciiTheme="majorBidi" w:hAnsiTheme="majorBidi" w:cstheme="majorBidi"/>
          <w:bCs/>
        </w:rPr>
        <w:t xml:space="preserve"> (</w:t>
      </w:r>
      <w:r w:rsidRPr="00C02236">
        <w:rPr>
          <w:rFonts w:asciiTheme="majorBidi" w:hAnsiTheme="majorBidi" w:cstheme="majorBidi"/>
          <w:b/>
        </w:rPr>
        <w:t>Ob10</w:t>
      </w:r>
      <w:r w:rsidRPr="00C02236">
        <w:rPr>
          <w:rFonts w:asciiTheme="majorBidi" w:hAnsiTheme="majorBidi" w:cstheme="majorBidi"/>
          <w:bCs/>
        </w:rPr>
        <w:t xml:space="preserve">) to </w:t>
      </w:r>
      <w:r w:rsidRPr="00C02236">
        <w:rPr>
          <w:rFonts w:asciiTheme="majorBidi" w:hAnsiTheme="majorBidi" w:cstheme="majorBidi"/>
        </w:rPr>
        <w:t>0.283</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A higher Fu value, as seen in </w:t>
      </w:r>
      <w:r w:rsidRPr="00C02236">
        <w:rPr>
          <w:rFonts w:asciiTheme="majorBidi" w:hAnsiTheme="majorBidi" w:cstheme="majorBidi"/>
          <w:b/>
        </w:rPr>
        <w:t>Ob1</w:t>
      </w:r>
      <w:r w:rsidRPr="00C02236">
        <w:rPr>
          <w:rFonts w:asciiTheme="majorBidi" w:hAnsiTheme="majorBidi" w:cstheme="majorBidi"/>
          <w:bCs/>
        </w:rPr>
        <w:t xml:space="preserve">, suggests a larger proportion of free drug available for therapeutic activity, whereas compounds like </w:t>
      </w:r>
      <w:r w:rsidRPr="00C02236">
        <w:rPr>
          <w:rFonts w:asciiTheme="majorBidi" w:hAnsiTheme="majorBidi" w:cstheme="majorBidi"/>
          <w:b/>
        </w:rPr>
        <w:t>Ob9</w:t>
      </w:r>
      <w:r w:rsidRPr="00C02236">
        <w:rPr>
          <w:rFonts w:asciiTheme="majorBidi" w:hAnsiTheme="majorBidi" w:cstheme="majorBidi"/>
          <w:bCs/>
        </w:rPr>
        <w:t xml:space="preserve"> and </w:t>
      </w:r>
      <w:r w:rsidRPr="00C02236">
        <w:rPr>
          <w:rFonts w:asciiTheme="majorBidi" w:hAnsiTheme="majorBidi" w:cstheme="majorBidi"/>
          <w:b/>
        </w:rPr>
        <w:t>Ob5</w:t>
      </w:r>
      <w:r w:rsidRPr="00C02236">
        <w:rPr>
          <w:rFonts w:asciiTheme="majorBidi" w:hAnsiTheme="majorBidi" w:cstheme="majorBidi"/>
          <w:bCs/>
        </w:rPr>
        <w:t xml:space="preserve"> exhibited minimal unbound fractions due to strong protein binding.</w:t>
      </w:r>
    </w:p>
    <w:p w:rsidR="00647508" w:rsidRPr="00C02236" w:rsidRDefault="00647508" w:rsidP="00647508">
      <w:pPr>
        <w:spacing w:line="360" w:lineRule="auto"/>
        <w:jc w:val="both"/>
        <w:rPr>
          <w:rFonts w:asciiTheme="majorBidi" w:hAnsiTheme="majorBidi" w:cstheme="majorBidi"/>
        </w:rPr>
      </w:pPr>
      <w:r w:rsidRPr="00C02236">
        <w:rPr>
          <w:rFonts w:asciiTheme="majorBidi" w:hAnsiTheme="majorBidi" w:cstheme="majorBidi"/>
          <w:bCs/>
        </w:rPr>
        <w:t>The compounds were also evaluated for their potential as inhibitors of important transport proteins. OATP1B1 (organic anion-transporting polypeptide 1B1) inhibition probabilities ranged from</w:t>
      </w:r>
      <w:r w:rsidR="00A872F7">
        <w:rPr>
          <w:rFonts w:asciiTheme="majorBidi" w:hAnsiTheme="majorBidi" w:cstheme="majorBidi"/>
          <w:bCs/>
        </w:rPr>
        <w:t xml:space="preserve"> </w:t>
      </w:r>
      <w:r w:rsidRPr="00C02236">
        <w:rPr>
          <w:rFonts w:asciiTheme="majorBidi" w:hAnsiTheme="majorBidi" w:cstheme="majorBidi"/>
        </w:rPr>
        <w:t>0.353</w:t>
      </w:r>
      <w:r w:rsidR="00A872F7">
        <w:rPr>
          <w:rFonts w:asciiTheme="majorBidi" w:hAnsiTheme="majorBidi" w:cstheme="majorBidi"/>
          <w:bCs/>
        </w:rPr>
        <w:t xml:space="preserve"> </w:t>
      </w:r>
      <w:r w:rsidRPr="00C02236">
        <w:rPr>
          <w:rFonts w:asciiTheme="majorBidi" w:hAnsiTheme="majorBidi" w:cstheme="majorBidi"/>
          <w:bCs/>
        </w:rPr>
        <w:t>(</w:t>
      </w:r>
      <w:r w:rsidRPr="00C02236">
        <w:rPr>
          <w:rFonts w:asciiTheme="majorBidi" w:hAnsiTheme="majorBidi" w:cstheme="majorBidi"/>
          <w:b/>
        </w:rPr>
        <w:t>Ob3</w:t>
      </w:r>
      <w:r w:rsidRPr="00C02236">
        <w:rPr>
          <w:rFonts w:asciiTheme="majorBidi" w:hAnsiTheme="majorBidi" w:cstheme="majorBidi"/>
          <w:bCs/>
        </w:rPr>
        <w:t xml:space="preserve">) to </w:t>
      </w:r>
      <w:r w:rsidRPr="00C02236">
        <w:rPr>
          <w:rFonts w:asciiTheme="majorBidi" w:hAnsiTheme="majorBidi" w:cstheme="majorBidi"/>
        </w:rPr>
        <w:t>0.91</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with most compounds showing moderate to high inhibitory potential. Similarly, OATP1B3 inhibition was high across all compounds, ranging from </w:t>
      </w:r>
      <w:r w:rsidRPr="00C02236">
        <w:rPr>
          <w:rFonts w:asciiTheme="majorBidi" w:hAnsiTheme="majorBidi" w:cstheme="majorBidi"/>
        </w:rPr>
        <w:t>0.999</w:t>
      </w:r>
      <w:r w:rsidRPr="00C02236">
        <w:rPr>
          <w:rFonts w:asciiTheme="majorBidi" w:hAnsiTheme="majorBidi" w:cstheme="majorBidi"/>
          <w:bCs/>
        </w:rPr>
        <w:t xml:space="preserve"> (</w:t>
      </w:r>
      <w:r w:rsidRPr="00C02236">
        <w:rPr>
          <w:rFonts w:asciiTheme="majorBidi" w:hAnsiTheme="majorBidi" w:cstheme="majorBidi"/>
          <w:b/>
        </w:rPr>
        <w:t>Ob7</w:t>
      </w:r>
      <w:r w:rsidRPr="00C02236">
        <w:rPr>
          <w:rFonts w:asciiTheme="majorBidi" w:hAnsiTheme="majorBidi" w:cstheme="majorBidi"/>
          <w:bCs/>
        </w:rPr>
        <w:t>) to</w:t>
      </w:r>
      <w:r w:rsidR="00A872F7">
        <w:rPr>
          <w:rFonts w:asciiTheme="majorBidi" w:hAnsiTheme="majorBidi" w:cstheme="majorBidi"/>
          <w:bCs/>
        </w:rPr>
        <w:t xml:space="preserve"> </w:t>
      </w:r>
      <w:r w:rsidRPr="00C02236">
        <w:rPr>
          <w:rFonts w:asciiTheme="majorBidi" w:hAnsiTheme="majorBidi" w:cstheme="majorBidi"/>
        </w:rPr>
        <w:t>0.724</w:t>
      </w:r>
      <w:r w:rsidR="00A872F7">
        <w:rPr>
          <w:rFonts w:asciiTheme="majorBidi" w:hAnsiTheme="majorBidi" w:cstheme="majorBidi"/>
          <w:bCs/>
        </w:rPr>
        <w:t xml:space="preserve"> </w:t>
      </w:r>
      <w:r w:rsidRPr="00C02236">
        <w:rPr>
          <w:rFonts w:asciiTheme="majorBidi" w:hAnsiTheme="majorBidi" w:cstheme="majorBidi"/>
          <w:bCs/>
        </w:rPr>
        <w:t>(</w:t>
      </w:r>
      <w:r w:rsidRPr="00C02236">
        <w:rPr>
          <w:rFonts w:asciiTheme="majorBidi" w:hAnsiTheme="majorBidi" w:cstheme="majorBidi"/>
          <w:b/>
        </w:rPr>
        <w:t>Ob6</w:t>
      </w:r>
      <w:r w:rsidRPr="00C02236">
        <w:rPr>
          <w:rFonts w:asciiTheme="majorBidi" w:hAnsiTheme="majorBidi" w:cstheme="majorBidi"/>
          <w:bCs/>
        </w:rPr>
        <w:t xml:space="preserve">), indicating significant potential to influence hepatic drug transport. Interestingly, none of the compounds were identified as inhibitors of BCRP (breast cancer resistance protein), suggesting limited potential to interfere with this efflux transporter. However, a few compounds exhibited inhibitory activity against MRP1 (multidrug resistance-associated protein 1), with probabilities ranging from </w:t>
      </w:r>
      <w:r w:rsidRPr="00C02236">
        <w:rPr>
          <w:rFonts w:asciiTheme="majorBidi" w:hAnsiTheme="majorBidi" w:cstheme="majorBidi"/>
        </w:rPr>
        <w:t>0.156</w:t>
      </w:r>
      <w:r w:rsidRPr="00C02236">
        <w:rPr>
          <w:rFonts w:asciiTheme="majorBidi" w:hAnsiTheme="majorBidi" w:cstheme="majorBidi"/>
          <w:bCs/>
        </w:rPr>
        <w:t xml:space="preserve"> (Ob6) to</w:t>
      </w:r>
      <w:r w:rsidR="00A872F7">
        <w:rPr>
          <w:rFonts w:asciiTheme="majorBidi" w:hAnsiTheme="majorBidi" w:cstheme="majorBidi"/>
          <w:bCs/>
        </w:rPr>
        <w:t xml:space="preserve"> </w:t>
      </w:r>
      <w:r w:rsidRPr="00C02236">
        <w:rPr>
          <w:rFonts w:asciiTheme="majorBidi" w:hAnsiTheme="majorBidi" w:cstheme="majorBidi"/>
        </w:rPr>
        <w:t>0.028</w:t>
      </w:r>
      <w:r w:rsidR="00A872F7">
        <w:rPr>
          <w:rFonts w:asciiTheme="majorBidi" w:hAnsiTheme="majorBidi" w:cstheme="majorBidi"/>
          <w:bCs/>
        </w:rPr>
        <w:t xml:space="preserve"> </w:t>
      </w:r>
      <w:r w:rsidRPr="00C02236">
        <w:rPr>
          <w:rFonts w:asciiTheme="majorBidi" w:hAnsiTheme="majorBidi" w:cstheme="majorBidi"/>
          <w:bCs/>
        </w:rPr>
        <w:t>(Ob3). Compound 6c showed the highest MRP1 inhibitory potential, which could have implications for drug resistance mechanisms.</w:t>
      </w:r>
    </w:p>
    <w:p w:rsidR="00647508" w:rsidRPr="00C02236" w:rsidRDefault="00647508" w:rsidP="00647508">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In summary, the distribution properties of compounds </w:t>
      </w:r>
      <w:r w:rsidRPr="00C02236">
        <w:rPr>
          <w:rFonts w:asciiTheme="majorBidi" w:hAnsiTheme="majorBidi" w:cstheme="majorBidi"/>
          <w:b/>
        </w:rPr>
        <w:t>Ob-l</w:t>
      </w:r>
      <w:r w:rsidRPr="00C02236">
        <w:rPr>
          <w:rFonts w:asciiTheme="majorBidi" w:hAnsiTheme="majorBidi" w:cstheme="majorBidi"/>
          <w:bCs/>
        </w:rPr>
        <w:t xml:space="preserve"> revealed high plasma protein binding and limited tissue distribution for most compounds. While CNS penetration was generally low, compounds like </w:t>
      </w:r>
      <w:r w:rsidRPr="00C02236">
        <w:rPr>
          <w:rFonts w:asciiTheme="majorBidi" w:hAnsiTheme="majorBidi" w:cstheme="majorBidi"/>
          <w:b/>
        </w:rPr>
        <w:t>Ob1</w:t>
      </w:r>
      <w:r w:rsidRPr="00C02236">
        <w:rPr>
          <w:rFonts w:asciiTheme="majorBidi" w:hAnsiTheme="majorBidi" w:cstheme="majorBidi"/>
          <w:bCs/>
        </w:rPr>
        <w:t xml:space="preserve"> demonstrated higher unbound fractions and BBB permeability. The consistent inhibition of OATP transporters across the series indicates potential interactions with hepatic drug transport, highlighting the need for further pharmacokinetic studies to assess clinica</w:t>
      </w:r>
      <w:r w:rsidR="0018648E">
        <w:rPr>
          <w:rFonts w:asciiTheme="majorBidi" w:hAnsiTheme="majorBidi" w:cstheme="majorBidi"/>
          <w:bCs/>
        </w:rPr>
        <w:t xml:space="preserve">l relevance as given in Table </w:t>
      </w:r>
      <w:r w:rsidRPr="00C02236">
        <w:rPr>
          <w:rFonts w:asciiTheme="majorBidi" w:hAnsiTheme="majorBidi" w:cstheme="majorBidi"/>
          <w:bCs/>
        </w:rPr>
        <w:t>6.</w:t>
      </w:r>
    </w:p>
    <w:p w:rsidR="0018648E" w:rsidRPr="0095487C" w:rsidRDefault="0018648E" w:rsidP="0022377C">
      <w:pPr>
        <w:pStyle w:val="NormalWeb"/>
        <w:spacing w:line="360" w:lineRule="auto"/>
        <w:jc w:val="both"/>
        <w:rPr>
          <w:b/>
          <w:color w:val="000000" w:themeColor="text1"/>
        </w:rPr>
      </w:pPr>
      <w:r w:rsidRPr="0095487C">
        <w:rPr>
          <w:rFonts w:asciiTheme="majorBidi" w:hAnsiTheme="majorBidi" w:cstheme="majorBidi"/>
          <w:b/>
        </w:rPr>
        <w:t xml:space="preserve">Table 6: Distribution profile </w:t>
      </w:r>
      <w:r w:rsidR="0022377C" w:rsidRPr="0022377C">
        <w:rPr>
          <w:rFonts w:asciiTheme="majorBidi" w:hAnsiTheme="majorBidi" w:cstheme="majorBidi"/>
          <w:b/>
        </w:rPr>
        <w:t>of Ob1-Ob10</w:t>
      </w:r>
    </w:p>
    <w:tbl>
      <w:tblPr>
        <w:tblStyle w:val="TableGridLight"/>
        <w:tblW w:w="0" w:type="auto"/>
        <w:tblLook w:val="04A0" w:firstRow="1" w:lastRow="0" w:firstColumn="1" w:lastColumn="0" w:noHBand="0" w:noVBand="1"/>
      </w:tblPr>
      <w:tblGrid>
        <w:gridCol w:w="1072"/>
        <w:gridCol w:w="825"/>
        <w:gridCol w:w="825"/>
        <w:gridCol w:w="827"/>
        <w:gridCol w:w="827"/>
        <w:gridCol w:w="828"/>
        <w:gridCol w:w="828"/>
        <w:gridCol w:w="828"/>
        <w:gridCol w:w="828"/>
        <w:gridCol w:w="828"/>
        <w:gridCol w:w="834"/>
      </w:tblGrid>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Property</w:t>
            </w:r>
          </w:p>
        </w:tc>
        <w:tc>
          <w:tcPr>
            <w:tcW w:w="850"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OB1</w:t>
            </w:r>
          </w:p>
        </w:tc>
        <w:tc>
          <w:tcPr>
            <w:tcW w:w="850"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OB2</w:t>
            </w:r>
          </w:p>
        </w:tc>
        <w:tc>
          <w:tcPr>
            <w:tcW w:w="851"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OB3</w:t>
            </w:r>
          </w:p>
        </w:tc>
        <w:tc>
          <w:tcPr>
            <w:tcW w:w="851"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OB4</w:t>
            </w:r>
          </w:p>
        </w:tc>
        <w:tc>
          <w:tcPr>
            <w:tcW w:w="852"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OB5</w:t>
            </w:r>
          </w:p>
        </w:tc>
        <w:tc>
          <w:tcPr>
            <w:tcW w:w="852"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OB6</w:t>
            </w:r>
          </w:p>
        </w:tc>
        <w:tc>
          <w:tcPr>
            <w:tcW w:w="852"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OB7</w:t>
            </w:r>
          </w:p>
        </w:tc>
        <w:tc>
          <w:tcPr>
            <w:tcW w:w="852"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OB8</w:t>
            </w:r>
          </w:p>
        </w:tc>
        <w:tc>
          <w:tcPr>
            <w:tcW w:w="852"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OB9</w:t>
            </w:r>
          </w:p>
        </w:tc>
        <w:tc>
          <w:tcPr>
            <w:tcW w:w="861"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OB10</w:t>
            </w:r>
          </w:p>
        </w:tc>
      </w:tr>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PPB</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73.728</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83.8</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89.082</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68.226</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80.704</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94.635</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94.547</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96.453</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96.602</w:t>
            </w:r>
          </w:p>
        </w:tc>
        <w:tc>
          <w:tcPr>
            <w:tcW w:w="86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96.719</w:t>
            </w:r>
          </w:p>
        </w:tc>
      </w:tr>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sz w:val="20"/>
                <w:szCs w:val="20"/>
              </w:rPr>
            </w:pPr>
            <w:proofErr w:type="spellStart"/>
            <w:r w:rsidRPr="00FC53C1">
              <w:rPr>
                <w:rFonts w:asciiTheme="majorBidi" w:hAnsiTheme="majorBidi" w:cstheme="majorBidi"/>
                <w:sz w:val="20"/>
                <w:szCs w:val="20"/>
              </w:rPr>
              <w:t>VDss</w:t>
            </w:r>
            <w:proofErr w:type="spellEnd"/>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0.308</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0.353</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0.125</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0.244</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0.41</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0.583</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0.386</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0.507</w:t>
            </w:r>
          </w:p>
        </w:tc>
        <w:tc>
          <w:tcPr>
            <w:tcW w:w="86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0.506</w:t>
            </w:r>
          </w:p>
        </w:tc>
      </w:tr>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lastRenderedPageBreak/>
              <w:t>BBB</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0.708</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0.284</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0.957</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0.146</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0.387</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0.029</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0.662</w:t>
            </w:r>
          </w:p>
        </w:tc>
        <w:tc>
          <w:tcPr>
            <w:tcW w:w="86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0.851</w:t>
            </w:r>
          </w:p>
        </w:tc>
      </w:tr>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Fu</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27.639</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19.483</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12.862</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35.068</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20.184</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7.469</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6.075</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4.396</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3.96</w:t>
            </w:r>
          </w:p>
        </w:tc>
        <w:tc>
          <w:tcPr>
            <w:tcW w:w="86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4.169</w:t>
            </w:r>
          </w:p>
        </w:tc>
      </w:tr>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sz w:val="20"/>
                <w:szCs w:val="20"/>
              </w:rPr>
              <w:t>OATP1B1 inhibitor</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0.985</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0.986</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0.009</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0.913</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0.997</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0.91</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0.998</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6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0.498</w:t>
            </w:r>
          </w:p>
        </w:tc>
      </w:tr>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OATP1B3 inhibitor</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0.924</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0.963</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0.058</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0.806</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0.992</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0.724</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0.999</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0.984</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0.997</w:t>
            </w:r>
          </w:p>
        </w:tc>
        <w:tc>
          <w:tcPr>
            <w:tcW w:w="86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0.227</w:t>
            </w:r>
          </w:p>
        </w:tc>
      </w:tr>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BCRP inhibitor</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0.829</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0.942</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0.028</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0.472</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0.693</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0.156</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0.999</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0.203</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0.857</w:t>
            </w:r>
          </w:p>
        </w:tc>
        <w:tc>
          <w:tcPr>
            <w:tcW w:w="86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0.262</w:t>
            </w:r>
          </w:p>
        </w:tc>
      </w:tr>
      <w:tr w:rsidR="00647508" w:rsidRPr="00FC53C1" w:rsidTr="00A872F7">
        <w:tc>
          <w:tcPr>
            <w:tcW w:w="10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MRP1 inhibitor</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0.943</w:t>
            </w:r>
          </w:p>
        </w:tc>
        <w:tc>
          <w:tcPr>
            <w:tcW w:w="85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0.912</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0.992</w:t>
            </w:r>
          </w:p>
        </w:tc>
        <w:tc>
          <w:tcPr>
            <w:tcW w:w="85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0.564</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0.284</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0.181</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0.364</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0.806</w:t>
            </w:r>
          </w:p>
        </w:tc>
        <w:tc>
          <w:tcPr>
            <w:tcW w:w="852"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0.122</w:t>
            </w:r>
          </w:p>
        </w:tc>
        <w:tc>
          <w:tcPr>
            <w:tcW w:w="86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0.991</w:t>
            </w:r>
          </w:p>
        </w:tc>
      </w:tr>
    </w:tbl>
    <w:p w:rsidR="0018648E" w:rsidRDefault="00647508" w:rsidP="00A872F7">
      <w:pPr>
        <w:autoSpaceDE w:val="0"/>
        <w:autoSpaceDN w:val="0"/>
        <w:adjustRightInd w:val="0"/>
        <w:spacing w:line="360" w:lineRule="auto"/>
        <w:jc w:val="both"/>
        <w:rPr>
          <w:rFonts w:asciiTheme="majorBidi" w:hAnsiTheme="majorBidi" w:cstheme="majorBidi"/>
          <w:b/>
          <w:i/>
        </w:rPr>
      </w:pPr>
      <w:r w:rsidRPr="00C02236">
        <w:rPr>
          <w:rFonts w:asciiTheme="majorBidi" w:hAnsiTheme="majorBidi" w:cstheme="majorBidi"/>
          <w:b/>
          <w:i/>
        </w:rPr>
        <w:t xml:space="preserve">   </w:t>
      </w:r>
    </w:p>
    <w:p w:rsidR="0018648E" w:rsidRPr="0041385D" w:rsidRDefault="0018648E" w:rsidP="0018648E">
      <w:pPr>
        <w:pStyle w:val="NormalWeb"/>
      </w:pPr>
      <w:r>
        <w:rPr>
          <w:b/>
          <w:color w:val="000000" w:themeColor="text1"/>
        </w:rPr>
        <w:t>3.3.5: Metabolism</w:t>
      </w:r>
      <w:r w:rsidR="00DC2068">
        <w:rPr>
          <w:b/>
          <w:color w:val="000000" w:themeColor="text1"/>
        </w:rPr>
        <w:t xml:space="preserve"> </w:t>
      </w:r>
      <w:r w:rsidR="00DC2068" w:rsidRPr="0022377C">
        <w:rPr>
          <w:rFonts w:asciiTheme="majorBidi" w:hAnsiTheme="majorBidi" w:cstheme="majorBidi"/>
          <w:b/>
        </w:rPr>
        <w:t>of Ob1-Ob10</w:t>
      </w:r>
    </w:p>
    <w:p w:rsidR="00647508" w:rsidRPr="00C02236" w:rsidRDefault="00647508" w:rsidP="00A872F7">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The metabolic properties of the </w:t>
      </w:r>
      <w:r w:rsidR="00A872F7">
        <w:rPr>
          <w:rFonts w:asciiTheme="majorBidi" w:hAnsiTheme="majorBidi" w:cstheme="majorBidi"/>
          <w:bCs/>
        </w:rPr>
        <w:t xml:space="preserve">chemical constituent </w:t>
      </w:r>
      <w:r w:rsidRPr="00C02236">
        <w:rPr>
          <w:rFonts w:asciiTheme="majorBidi" w:hAnsiTheme="majorBidi" w:cstheme="majorBidi"/>
          <w:bCs/>
        </w:rPr>
        <w:t>(</w:t>
      </w:r>
      <w:r w:rsidRPr="00C02236">
        <w:rPr>
          <w:rFonts w:asciiTheme="majorBidi" w:hAnsiTheme="majorBidi" w:cstheme="majorBidi"/>
          <w:b/>
        </w:rPr>
        <w:t>Ob-l</w:t>
      </w:r>
      <w:r w:rsidRPr="00C02236">
        <w:rPr>
          <w:rFonts w:asciiTheme="majorBidi" w:hAnsiTheme="majorBidi" w:cstheme="majorBidi"/>
          <w:bCs/>
        </w:rPr>
        <w:t xml:space="preserve">) were evaluated with a focus on their interactions with cytochrome P450 (CYP) enzymes and hepatic metabolic stability. The </w:t>
      </w:r>
      <w:r w:rsidR="00A872F7">
        <w:rPr>
          <w:rFonts w:asciiTheme="majorBidi" w:hAnsiTheme="majorBidi" w:cstheme="majorBidi"/>
          <w:bCs/>
        </w:rPr>
        <w:t>chemical constituent</w:t>
      </w:r>
      <w:r w:rsidRPr="00C02236">
        <w:rPr>
          <w:rFonts w:asciiTheme="majorBidi" w:hAnsiTheme="majorBidi" w:cstheme="majorBidi"/>
          <w:bCs/>
        </w:rPr>
        <w:t xml:space="preserve"> displayed diverse inhibitory and substrate profiles across various CYP isoforms, providing critical insights into their potential metabolic pathways and drug-drug interaction risks. Most </w:t>
      </w:r>
      <w:r w:rsidR="00A872F7">
        <w:rPr>
          <w:rFonts w:asciiTheme="majorBidi" w:hAnsiTheme="majorBidi" w:cstheme="majorBidi"/>
          <w:bCs/>
        </w:rPr>
        <w:t>chemical constituent</w:t>
      </w:r>
      <w:r w:rsidRPr="00C02236">
        <w:rPr>
          <w:rFonts w:asciiTheme="majorBidi" w:hAnsiTheme="majorBidi" w:cstheme="majorBidi"/>
          <w:bCs/>
        </w:rPr>
        <w:t xml:space="preserve"> were strong CYP1A2 inhibitors, with inhibition probabilities exceeding </w:t>
      </w:r>
    </w:p>
    <w:p w:rsidR="00647508" w:rsidRPr="00C02236" w:rsidRDefault="00647508" w:rsidP="00A872F7">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 </w:t>
      </w:r>
      <w:proofErr w:type="gramStart"/>
      <w:r w:rsidRPr="00C02236">
        <w:rPr>
          <w:rFonts w:asciiTheme="majorBidi" w:hAnsiTheme="majorBidi" w:cstheme="majorBidi"/>
          <w:bCs/>
        </w:rPr>
        <w:t>across</w:t>
      </w:r>
      <w:proofErr w:type="gramEnd"/>
      <w:r w:rsidRPr="00C02236">
        <w:rPr>
          <w:rFonts w:asciiTheme="majorBidi" w:hAnsiTheme="majorBidi" w:cstheme="majorBidi"/>
          <w:bCs/>
        </w:rPr>
        <w:t xml:space="preserve"> the series, highlighting a significant likelihood of interference with CYP1A2-mediated metabolism. However, their probabilities as CYP1A2 substrates were negligible, with the h</w:t>
      </w:r>
      <w:r w:rsidR="00A872F7">
        <w:rPr>
          <w:rFonts w:asciiTheme="majorBidi" w:hAnsiTheme="majorBidi" w:cstheme="majorBidi"/>
          <w:bCs/>
        </w:rPr>
        <w:t>ighest substrate value of only</w:t>
      </w:r>
      <w:r w:rsidRPr="00C02236">
        <w:rPr>
          <w:rFonts w:asciiTheme="majorBidi" w:hAnsiTheme="majorBidi" w:cstheme="majorBidi"/>
          <w:bCs/>
        </w:rPr>
        <w:t xml:space="preserve"> observed for </w:t>
      </w:r>
      <w:r w:rsidRPr="00C02236">
        <w:rPr>
          <w:rFonts w:asciiTheme="majorBidi" w:hAnsiTheme="majorBidi" w:cstheme="majorBidi"/>
          <w:b/>
        </w:rPr>
        <w:t>Ob8</w:t>
      </w:r>
      <w:r w:rsidRPr="00C02236">
        <w:rPr>
          <w:rFonts w:asciiTheme="majorBidi" w:hAnsiTheme="majorBidi" w:cstheme="majorBidi"/>
          <w:bCs/>
        </w:rPr>
        <w:t>, indicating limited metabolism by this enzyme.</w:t>
      </w:r>
    </w:p>
    <w:p w:rsidR="00647508" w:rsidRPr="00C02236" w:rsidRDefault="00647508" w:rsidP="0018648E">
      <w:pPr>
        <w:autoSpaceDE w:val="0"/>
        <w:autoSpaceDN w:val="0"/>
        <w:adjustRightInd w:val="0"/>
        <w:spacing w:before="100" w:beforeAutospacing="1" w:after="100" w:afterAutospacing="1" w:line="360" w:lineRule="auto"/>
        <w:jc w:val="both"/>
        <w:rPr>
          <w:rFonts w:asciiTheme="majorBidi" w:hAnsiTheme="majorBidi" w:cstheme="majorBidi"/>
          <w:bCs/>
        </w:rPr>
      </w:pPr>
      <w:r w:rsidRPr="00C02236">
        <w:rPr>
          <w:rFonts w:asciiTheme="majorBidi" w:hAnsiTheme="majorBidi" w:cstheme="majorBidi"/>
          <w:bCs/>
        </w:rPr>
        <w:t xml:space="preserve">For CYP2C19, several compounds, including </w:t>
      </w:r>
      <w:r w:rsidRPr="00C02236">
        <w:rPr>
          <w:rFonts w:asciiTheme="majorBidi" w:hAnsiTheme="majorBidi" w:cstheme="majorBidi"/>
          <w:b/>
        </w:rPr>
        <w:t>Ob2</w:t>
      </w:r>
      <w:r w:rsidRPr="00C02236">
        <w:rPr>
          <w:rFonts w:asciiTheme="majorBidi" w:hAnsiTheme="majorBidi" w:cstheme="majorBidi"/>
          <w:bCs/>
        </w:rPr>
        <w:t xml:space="preserve">, </w:t>
      </w:r>
      <w:r w:rsidRPr="00C02236">
        <w:rPr>
          <w:rFonts w:asciiTheme="majorBidi" w:hAnsiTheme="majorBidi" w:cstheme="majorBidi"/>
          <w:b/>
        </w:rPr>
        <w:t>Ob5</w:t>
      </w:r>
      <w:r w:rsidRPr="00C02236">
        <w:rPr>
          <w:rFonts w:asciiTheme="majorBidi" w:hAnsiTheme="majorBidi" w:cstheme="majorBidi"/>
          <w:bCs/>
        </w:rPr>
        <w:t xml:space="preserve">, and </w:t>
      </w:r>
      <w:r w:rsidRPr="00C02236">
        <w:rPr>
          <w:rFonts w:asciiTheme="majorBidi" w:hAnsiTheme="majorBidi" w:cstheme="majorBidi"/>
          <w:b/>
        </w:rPr>
        <w:t>Ob1</w:t>
      </w:r>
      <w:r w:rsidRPr="00C02236">
        <w:rPr>
          <w:rFonts w:asciiTheme="majorBidi" w:hAnsiTheme="majorBidi" w:cstheme="majorBidi"/>
          <w:bCs/>
        </w:rPr>
        <w:t>, showe</w:t>
      </w:r>
      <w:r w:rsidR="00A872F7">
        <w:rPr>
          <w:rFonts w:asciiTheme="majorBidi" w:hAnsiTheme="majorBidi" w:cstheme="majorBidi"/>
          <w:bCs/>
        </w:rPr>
        <w:t>d high inhibition probabilities</w:t>
      </w:r>
      <w:r w:rsidRPr="00C02236">
        <w:rPr>
          <w:rFonts w:asciiTheme="majorBidi" w:hAnsiTheme="majorBidi" w:cstheme="majorBidi"/>
          <w:bCs/>
        </w:rPr>
        <w:t xml:space="preserve"> suggesting potential for significant drug-drug interactions. However, onl</w:t>
      </w:r>
      <w:r w:rsidR="00A872F7">
        <w:rPr>
          <w:rFonts w:asciiTheme="majorBidi" w:hAnsiTheme="majorBidi" w:cstheme="majorBidi"/>
          <w:bCs/>
        </w:rPr>
        <w:t xml:space="preserve">y minimal substrate interaction </w:t>
      </w:r>
      <w:r w:rsidRPr="00C02236">
        <w:rPr>
          <w:rFonts w:asciiTheme="majorBidi" w:hAnsiTheme="majorBidi" w:cstheme="majorBidi"/>
          <w:bCs/>
        </w:rPr>
        <w:t xml:space="preserve">were also potent inhibitors of CYP2C9, with most compounds showing near-complete inhibition (&gt;0.99). Substrate interactions were low, with </w:t>
      </w:r>
      <w:r w:rsidRPr="00C02236">
        <w:rPr>
          <w:rFonts w:asciiTheme="majorBidi" w:hAnsiTheme="majorBidi" w:cstheme="majorBidi"/>
          <w:b/>
        </w:rPr>
        <w:t>Ob5</w:t>
      </w:r>
      <w:r w:rsidRPr="00C02236">
        <w:rPr>
          <w:rFonts w:asciiTheme="majorBidi" w:hAnsiTheme="majorBidi" w:cstheme="majorBidi"/>
          <w:bCs/>
        </w:rPr>
        <w:t xml:space="preserve"> (0.545) and </w:t>
      </w:r>
      <w:r w:rsidRPr="00C02236">
        <w:rPr>
          <w:rFonts w:asciiTheme="majorBidi" w:hAnsiTheme="majorBidi" w:cstheme="majorBidi"/>
          <w:b/>
        </w:rPr>
        <w:t>Ob4</w:t>
      </w:r>
      <w:r w:rsidRPr="00C02236">
        <w:rPr>
          <w:rFonts w:asciiTheme="majorBidi" w:hAnsiTheme="majorBidi" w:cstheme="majorBidi"/>
          <w:bCs/>
        </w:rPr>
        <w:t xml:space="preserve"> (0.982) exhibiting the highest probabilities of being metabolized by this enzyme. Similarly, most compounds exhibited high inhibition of CYP2B6, with values exceeding 0.85 across the series. None of the compounds were identified as substrates for CYP2B6, suggesting limited metabolism through this pathway. Finally, hepatic metabolic stability (HLM Stability) varied significantly among the compounds. Stability values ranged from 0.195 (</w:t>
      </w:r>
      <w:r w:rsidRPr="00C02236">
        <w:rPr>
          <w:rFonts w:asciiTheme="majorBidi" w:hAnsiTheme="majorBidi" w:cstheme="majorBidi"/>
          <w:b/>
        </w:rPr>
        <w:t>Ob2</w:t>
      </w:r>
      <w:r w:rsidRPr="00C02236">
        <w:rPr>
          <w:rFonts w:asciiTheme="majorBidi" w:hAnsiTheme="majorBidi" w:cstheme="majorBidi"/>
          <w:bCs/>
        </w:rPr>
        <w:t>) to 0.026 (</w:t>
      </w:r>
      <w:r w:rsidRPr="00C02236">
        <w:rPr>
          <w:rFonts w:asciiTheme="majorBidi" w:hAnsiTheme="majorBidi" w:cstheme="majorBidi"/>
          <w:b/>
        </w:rPr>
        <w:t>Ob1</w:t>
      </w:r>
      <w:r w:rsidRPr="00C02236">
        <w:rPr>
          <w:rFonts w:asciiTheme="majorBidi" w:hAnsiTheme="majorBidi" w:cstheme="majorBidi"/>
          <w:bCs/>
        </w:rPr>
        <w:t xml:space="preserve">). Compounds like </w:t>
      </w:r>
      <w:r w:rsidRPr="00C02236">
        <w:rPr>
          <w:rFonts w:asciiTheme="majorBidi" w:hAnsiTheme="majorBidi" w:cstheme="majorBidi"/>
          <w:b/>
        </w:rPr>
        <w:t>Ob3</w:t>
      </w:r>
      <w:r w:rsidRPr="00C02236">
        <w:rPr>
          <w:rFonts w:asciiTheme="majorBidi" w:hAnsiTheme="majorBidi" w:cstheme="majorBidi"/>
          <w:bCs/>
        </w:rPr>
        <w:t xml:space="preserve">, </w:t>
      </w:r>
      <w:r w:rsidRPr="00C02236">
        <w:rPr>
          <w:rFonts w:asciiTheme="majorBidi" w:hAnsiTheme="majorBidi" w:cstheme="majorBidi"/>
          <w:b/>
        </w:rPr>
        <w:t>Ob6</w:t>
      </w:r>
      <w:r w:rsidRPr="00C02236">
        <w:rPr>
          <w:rFonts w:asciiTheme="majorBidi" w:hAnsiTheme="majorBidi" w:cstheme="majorBidi"/>
          <w:bCs/>
        </w:rPr>
        <w:t xml:space="preserve">, and </w:t>
      </w:r>
      <w:r w:rsidRPr="00C02236">
        <w:rPr>
          <w:rFonts w:asciiTheme="majorBidi" w:hAnsiTheme="majorBidi" w:cstheme="majorBidi"/>
          <w:b/>
        </w:rPr>
        <w:t>Ob1</w:t>
      </w:r>
      <w:r w:rsidRPr="00C02236">
        <w:rPr>
          <w:rFonts w:asciiTheme="majorBidi" w:hAnsiTheme="majorBidi" w:cstheme="majorBidi"/>
          <w:bCs/>
        </w:rPr>
        <w:t xml:space="preserve"> exhibited the highest stability, indicating resistance to metabolic degradation </w:t>
      </w:r>
      <w:r w:rsidRPr="00C02236">
        <w:rPr>
          <w:rFonts w:asciiTheme="majorBidi" w:hAnsiTheme="majorBidi" w:cstheme="majorBidi"/>
          <w:bCs/>
        </w:rPr>
        <w:lastRenderedPageBreak/>
        <w:t xml:space="preserve">in the liver, while compounds such as </w:t>
      </w:r>
      <w:r w:rsidRPr="00C02236">
        <w:rPr>
          <w:rFonts w:asciiTheme="majorBidi" w:hAnsiTheme="majorBidi" w:cstheme="majorBidi"/>
          <w:b/>
        </w:rPr>
        <w:t>Ob2</w:t>
      </w:r>
      <w:r w:rsidRPr="00C02236">
        <w:rPr>
          <w:rFonts w:asciiTheme="majorBidi" w:hAnsiTheme="majorBidi" w:cstheme="majorBidi"/>
          <w:bCs/>
        </w:rPr>
        <w:t xml:space="preserve"> and </w:t>
      </w:r>
      <w:r w:rsidRPr="00C02236">
        <w:rPr>
          <w:rFonts w:asciiTheme="majorBidi" w:hAnsiTheme="majorBidi" w:cstheme="majorBidi"/>
          <w:b/>
        </w:rPr>
        <w:t>Ob5</w:t>
      </w:r>
      <w:r w:rsidRPr="00C02236">
        <w:rPr>
          <w:rFonts w:asciiTheme="majorBidi" w:hAnsiTheme="majorBidi" w:cstheme="majorBidi"/>
          <w:bCs/>
        </w:rPr>
        <w:t xml:space="preserve"> showed lower stability, suggesting rapid hepatic metabolism as given in Table </w:t>
      </w:r>
      <w:r w:rsidR="0018648E">
        <w:rPr>
          <w:rFonts w:asciiTheme="majorBidi" w:hAnsiTheme="majorBidi" w:cstheme="majorBidi"/>
          <w:bCs/>
        </w:rPr>
        <w:t>7</w:t>
      </w:r>
      <w:r w:rsidRPr="00C02236">
        <w:rPr>
          <w:rFonts w:asciiTheme="majorBidi" w:hAnsiTheme="majorBidi" w:cstheme="majorBidi"/>
          <w:bCs/>
        </w:rPr>
        <w:t>.</w:t>
      </w:r>
    </w:p>
    <w:tbl>
      <w:tblPr>
        <w:tblStyle w:val="TableGridLight"/>
        <w:tblpPr w:leftFromText="180" w:rightFromText="180" w:vertAnchor="text" w:horzAnchor="margin" w:tblpY="655"/>
        <w:tblW w:w="0" w:type="auto"/>
        <w:tblLook w:val="04A0" w:firstRow="1" w:lastRow="0" w:firstColumn="1" w:lastColumn="0" w:noHBand="0" w:noVBand="1"/>
      </w:tblPr>
      <w:tblGrid>
        <w:gridCol w:w="1139"/>
        <w:gridCol w:w="820"/>
        <w:gridCol w:w="820"/>
        <w:gridCol w:w="820"/>
        <w:gridCol w:w="820"/>
        <w:gridCol w:w="821"/>
        <w:gridCol w:w="820"/>
        <w:gridCol w:w="821"/>
        <w:gridCol w:w="821"/>
        <w:gridCol w:w="820"/>
        <w:gridCol w:w="828"/>
      </w:tblGrid>
      <w:tr w:rsidR="00647508" w:rsidRPr="00FC53C1" w:rsidTr="00A872F7">
        <w:tc>
          <w:tcPr>
            <w:tcW w:w="1139" w:type="dxa"/>
          </w:tcPr>
          <w:p w:rsidR="00647508" w:rsidRPr="008D53FA" w:rsidRDefault="00647508" w:rsidP="0018648E">
            <w:pPr>
              <w:spacing w:before="100" w:beforeAutospacing="1" w:after="100" w:afterAutospacing="1" w:line="360" w:lineRule="auto"/>
              <w:jc w:val="both"/>
              <w:rPr>
                <w:rFonts w:asciiTheme="majorBidi" w:hAnsiTheme="majorBidi" w:cstheme="majorBidi"/>
                <w:bCs/>
                <w:sz w:val="20"/>
                <w:szCs w:val="20"/>
              </w:rPr>
            </w:pPr>
            <w:r w:rsidRPr="008D53FA">
              <w:rPr>
                <w:rFonts w:asciiTheme="majorBidi" w:hAnsiTheme="majorBidi" w:cstheme="majorBidi"/>
                <w:bCs/>
                <w:sz w:val="20"/>
                <w:szCs w:val="20"/>
              </w:rPr>
              <w:t>Property</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OB1</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OB2</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OB3</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OB4</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OB5</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OB6</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OB7</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OB8</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OB9</w:t>
            </w:r>
          </w:p>
        </w:tc>
        <w:tc>
          <w:tcPr>
            <w:tcW w:w="828" w:type="dxa"/>
          </w:tcPr>
          <w:p w:rsidR="00647508" w:rsidRPr="00FC53C1" w:rsidRDefault="00647508" w:rsidP="0018648E">
            <w:pPr>
              <w:spacing w:before="100" w:beforeAutospacing="1" w:after="100" w:afterAutospacing="1" w:line="360" w:lineRule="auto"/>
              <w:jc w:val="both"/>
              <w:rPr>
                <w:rFonts w:asciiTheme="majorBidi" w:hAnsiTheme="majorBidi" w:cstheme="majorBidi"/>
                <w:b/>
                <w:sz w:val="20"/>
                <w:szCs w:val="20"/>
              </w:rPr>
            </w:pPr>
            <w:r w:rsidRPr="00FC53C1">
              <w:rPr>
                <w:rFonts w:asciiTheme="majorBidi" w:hAnsiTheme="majorBidi" w:cstheme="majorBidi"/>
                <w:b/>
                <w:sz w:val="20"/>
                <w:szCs w:val="20"/>
              </w:rPr>
              <w:t>OB10</w:t>
            </w:r>
          </w:p>
        </w:tc>
      </w:tr>
      <w:tr w:rsidR="00647508" w:rsidRPr="00FC53C1" w:rsidTr="00A872F7">
        <w:tc>
          <w:tcPr>
            <w:tcW w:w="1139" w:type="dxa"/>
          </w:tcPr>
          <w:p w:rsidR="00647508" w:rsidRPr="008D53FA" w:rsidRDefault="00647508" w:rsidP="0018648E">
            <w:pPr>
              <w:spacing w:before="100" w:beforeAutospacing="1" w:after="100" w:afterAutospacing="1"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CYP1A2 inhibitor</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0.026</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0.502</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0.004</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0.001</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0.46</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0.64</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0.039</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0.116</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0.015</w:t>
            </w:r>
          </w:p>
        </w:tc>
        <w:tc>
          <w:tcPr>
            <w:tcW w:w="828"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0.016</w:t>
            </w:r>
          </w:p>
        </w:tc>
      </w:tr>
      <w:tr w:rsidR="00647508" w:rsidRPr="00FC53C1" w:rsidTr="00A872F7">
        <w:tc>
          <w:tcPr>
            <w:tcW w:w="1139" w:type="dxa"/>
          </w:tcPr>
          <w:p w:rsidR="00647508" w:rsidRPr="008D53FA" w:rsidRDefault="00647508" w:rsidP="0018648E">
            <w:pPr>
              <w:spacing w:before="100" w:beforeAutospacing="1" w:after="100" w:afterAutospacing="1"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CYP1A2 substrate</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0.158</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0.256</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0.402</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0.03</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0.043</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0.214</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0.007</w:t>
            </w:r>
          </w:p>
        </w:tc>
        <w:tc>
          <w:tcPr>
            <w:tcW w:w="821"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0.807</w:t>
            </w:r>
          </w:p>
        </w:tc>
        <w:tc>
          <w:tcPr>
            <w:tcW w:w="820"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0.526</w:t>
            </w:r>
          </w:p>
        </w:tc>
        <w:tc>
          <w:tcPr>
            <w:tcW w:w="828" w:type="dxa"/>
          </w:tcPr>
          <w:p w:rsidR="00647508" w:rsidRPr="00FC53C1" w:rsidRDefault="00647508" w:rsidP="0018648E">
            <w:pPr>
              <w:spacing w:before="100" w:beforeAutospacing="1" w:after="100" w:afterAutospacing="1" w:line="360" w:lineRule="auto"/>
              <w:jc w:val="both"/>
              <w:rPr>
                <w:rFonts w:asciiTheme="majorBidi" w:hAnsiTheme="majorBidi" w:cstheme="majorBidi"/>
                <w:sz w:val="20"/>
                <w:szCs w:val="20"/>
              </w:rPr>
            </w:pPr>
            <w:r w:rsidRPr="00FC53C1">
              <w:rPr>
                <w:rFonts w:asciiTheme="majorBidi" w:hAnsiTheme="majorBidi" w:cstheme="majorBidi"/>
                <w:sz w:val="20"/>
                <w:szCs w:val="20"/>
              </w:rPr>
              <w:t>0.092</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CYP2C19 inhibitor</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0.205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0.195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0.982</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0.017</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0.545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0.863</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0.981</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0.982</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0.478</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0.993</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CYP2C19 substrate</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0.824</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0.532</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0.438</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0.645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0.992</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0.998</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0.948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0.999</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CYP2C9 inhibitor</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0.156</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0.475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0.375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0.096</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0.488</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0.225</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0.126</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0.116</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0.982</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CYP2C9 substrate</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0.59</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0.888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0.182</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0.209</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0.976</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0.446</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0.965</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0.157</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0.896</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0.056</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CYP2D6 inhibitor</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0.047</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0.057</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0.003</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0.084</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0.061</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0.107</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0.21</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0.035</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0.991</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CYP2D6 substrate</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0.013</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0.025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0.002</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0.999</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0.202</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0.974</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0.265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0.775</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0.185</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CYP3A4 inhibitor</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0.222</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0.893</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0.007</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0.109</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0.948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0.802</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0.928</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0.232</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0.012</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CYP3A4 s</w:t>
            </w:r>
          </w:p>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Substrate</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0.002</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0.058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0.155</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0.265</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0.465</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0.006</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0.999</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0.978</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CYP2B6 inhibitor</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0.142</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0.854</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0.021</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0.827</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0.994</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0.999</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0.742</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0.876</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0.545</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CYP2B6 substrate</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0.737</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0.001</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0.113</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0.314</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0.953</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0.724</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0.545</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CYP2C8 inhibitor</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0.739</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0.997</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0.74</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0.985</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0.83</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0.997</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0.928</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0.852</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0.384</w:t>
            </w:r>
          </w:p>
        </w:tc>
      </w:tr>
      <w:tr w:rsidR="00647508" w:rsidRPr="00FC53C1" w:rsidTr="00A872F7">
        <w:tc>
          <w:tcPr>
            <w:tcW w:w="1139"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HLM Stability</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0.597</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0,969</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0.613</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0.375</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0.493</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0.941</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0.978</w:t>
            </w:r>
          </w:p>
        </w:tc>
        <w:tc>
          <w:tcPr>
            <w:tcW w:w="82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0.951</w:t>
            </w:r>
          </w:p>
        </w:tc>
        <w:tc>
          <w:tcPr>
            <w:tcW w:w="820"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0.951</w:t>
            </w:r>
          </w:p>
        </w:tc>
        <w:tc>
          <w:tcPr>
            <w:tcW w:w="828"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0.959</w:t>
            </w:r>
          </w:p>
        </w:tc>
      </w:tr>
    </w:tbl>
    <w:p w:rsidR="0018648E" w:rsidRPr="0095487C" w:rsidRDefault="0018648E" w:rsidP="0022377C">
      <w:pPr>
        <w:pStyle w:val="NormalWeb"/>
        <w:spacing w:line="360" w:lineRule="auto"/>
        <w:jc w:val="both"/>
        <w:rPr>
          <w:b/>
        </w:rPr>
      </w:pPr>
      <w:r w:rsidRPr="0095487C">
        <w:rPr>
          <w:rFonts w:asciiTheme="majorBidi" w:hAnsiTheme="majorBidi" w:cstheme="majorBidi"/>
          <w:b/>
        </w:rPr>
        <w:t xml:space="preserve">Table 7: Metabolism profile </w:t>
      </w:r>
      <w:r w:rsidR="0022377C" w:rsidRPr="0022377C">
        <w:rPr>
          <w:rFonts w:asciiTheme="majorBidi" w:hAnsiTheme="majorBidi" w:cstheme="majorBidi"/>
          <w:b/>
        </w:rPr>
        <w:t>of Ob1-Ob10</w:t>
      </w:r>
    </w:p>
    <w:p w:rsidR="00647508" w:rsidRPr="00C02236" w:rsidRDefault="00647508" w:rsidP="00647508">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                                                                          </w:t>
      </w:r>
      <w:r w:rsidRPr="00C02236">
        <w:rPr>
          <w:rFonts w:asciiTheme="majorBidi" w:hAnsiTheme="majorBidi" w:cstheme="majorBidi"/>
          <w:b/>
          <w:i/>
        </w:rPr>
        <w:t xml:space="preserve">                                                                   </w:t>
      </w:r>
    </w:p>
    <w:p w:rsidR="0018648E" w:rsidRPr="0041385D" w:rsidRDefault="0018648E" w:rsidP="0018648E">
      <w:pPr>
        <w:pStyle w:val="NormalWeb"/>
      </w:pPr>
      <w:r>
        <w:rPr>
          <w:b/>
          <w:color w:val="000000" w:themeColor="text1"/>
        </w:rPr>
        <w:t xml:space="preserve">3.3.6: </w:t>
      </w:r>
      <w:r w:rsidRPr="0041385D">
        <w:rPr>
          <w:b/>
          <w:color w:val="000000" w:themeColor="text1"/>
        </w:rPr>
        <w:t>Excretion</w:t>
      </w:r>
      <w:r w:rsidR="00DC2068">
        <w:rPr>
          <w:b/>
          <w:color w:val="000000" w:themeColor="text1"/>
        </w:rPr>
        <w:t xml:space="preserve"> </w:t>
      </w:r>
      <w:r w:rsidR="00DC2068" w:rsidRPr="0022377C">
        <w:rPr>
          <w:rFonts w:asciiTheme="majorBidi" w:hAnsiTheme="majorBidi" w:cstheme="majorBidi"/>
          <w:b/>
        </w:rPr>
        <w:t>of Ob1-Ob10</w:t>
      </w:r>
    </w:p>
    <w:p w:rsidR="00647508" w:rsidRPr="00C02236" w:rsidRDefault="008D53FA" w:rsidP="00F84409">
      <w:pPr>
        <w:autoSpaceDE w:val="0"/>
        <w:autoSpaceDN w:val="0"/>
        <w:adjustRightInd w:val="0"/>
        <w:spacing w:line="360" w:lineRule="auto"/>
        <w:jc w:val="both"/>
        <w:rPr>
          <w:rFonts w:asciiTheme="majorBidi" w:hAnsiTheme="majorBidi" w:cstheme="majorBidi"/>
          <w:bCs/>
        </w:rPr>
      </w:pPr>
      <w:r>
        <w:rPr>
          <w:rFonts w:asciiTheme="majorBidi" w:hAnsiTheme="majorBidi" w:cstheme="majorBidi"/>
        </w:rPr>
        <w:lastRenderedPageBreak/>
        <w:t xml:space="preserve"> </w:t>
      </w:r>
      <w:r w:rsidR="00647508" w:rsidRPr="00C02236">
        <w:rPr>
          <w:rFonts w:asciiTheme="majorBidi" w:hAnsiTheme="majorBidi" w:cstheme="majorBidi"/>
          <w:bCs/>
        </w:rPr>
        <w:t xml:space="preserve">The excretion profiles of the </w:t>
      </w:r>
      <w:r w:rsidR="00F84409">
        <w:rPr>
          <w:rFonts w:asciiTheme="majorBidi" w:hAnsiTheme="majorBidi" w:cstheme="majorBidi"/>
          <w:bCs/>
        </w:rPr>
        <w:t>chemical constituent</w:t>
      </w:r>
      <w:r w:rsidR="00F84409" w:rsidRPr="00C02236">
        <w:rPr>
          <w:rFonts w:asciiTheme="majorBidi" w:hAnsiTheme="majorBidi" w:cstheme="majorBidi"/>
          <w:bCs/>
        </w:rPr>
        <w:t xml:space="preserve"> </w:t>
      </w:r>
      <w:r w:rsidR="00647508" w:rsidRPr="00C02236">
        <w:rPr>
          <w:rFonts w:asciiTheme="majorBidi" w:hAnsiTheme="majorBidi" w:cstheme="majorBidi"/>
          <w:bCs/>
        </w:rPr>
        <w:t>(</w:t>
      </w:r>
      <w:r w:rsidR="00647508" w:rsidRPr="00C02236">
        <w:rPr>
          <w:rFonts w:asciiTheme="majorBidi" w:hAnsiTheme="majorBidi" w:cstheme="majorBidi"/>
          <w:b/>
        </w:rPr>
        <w:t>Ob1</w:t>
      </w:r>
      <w:r w:rsidR="00647508" w:rsidRPr="00C02236">
        <w:rPr>
          <w:rFonts w:asciiTheme="majorBidi" w:hAnsiTheme="majorBidi" w:cstheme="majorBidi"/>
          <w:bCs/>
        </w:rPr>
        <w:t>) were assessed based on plasma clearance (CL) and half-life (T1/2), providing insights into their elimination kinetics and systemic retention.</w:t>
      </w:r>
    </w:p>
    <w:p w:rsidR="00647508" w:rsidRPr="00C02236" w:rsidRDefault="00647508" w:rsidP="00F84409">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Plasma clearance (CL) values ranged from 2.411 mL/min/kg (</w:t>
      </w:r>
      <w:r w:rsidRPr="00C02236">
        <w:rPr>
          <w:rFonts w:asciiTheme="majorBidi" w:hAnsiTheme="majorBidi" w:cstheme="majorBidi"/>
          <w:b/>
        </w:rPr>
        <w:t>Ob4</w:t>
      </w:r>
      <w:r w:rsidRPr="00C02236">
        <w:rPr>
          <w:rFonts w:asciiTheme="majorBidi" w:hAnsiTheme="majorBidi" w:cstheme="majorBidi"/>
          <w:bCs/>
        </w:rPr>
        <w:t>) to 5.356 mL/min/kg (</w:t>
      </w:r>
      <w:r w:rsidRPr="00C02236">
        <w:rPr>
          <w:rFonts w:asciiTheme="majorBidi" w:hAnsiTheme="majorBidi" w:cstheme="majorBidi"/>
          <w:b/>
        </w:rPr>
        <w:t>Ob6</w:t>
      </w:r>
      <w:r w:rsidRPr="00C02236">
        <w:rPr>
          <w:rFonts w:asciiTheme="majorBidi" w:hAnsiTheme="majorBidi" w:cstheme="majorBidi"/>
          <w:bCs/>
        </w:rPr>
        <w:t xml:space="preserve">). Compound </w:t>
      </w:r>
      <w:r w:rsidR="00F84409" w:rsidRPr="00C02236">
        <w:rPr>
          <w:rFonts w:asciiTheme="majorBidi" w:hAnsiTheme="majorBidi" w:cstheme="majorBidi"/>
          <w:b/>
        </w:rPr>
        <w:t>Ob4</w:t>
      </w:r>
      <w:r w:rsidRPr="00C02236">
        <w:rPr>
          <w:rFonts w:asciiTheme="majorBidi" w:hAnsiTheme="majorBidi" w:cstheme="majorBidi"/>
          <w:bCs/>
        </w:rPr>
        <w:t xml:space="preserve"> exhibited the highest clearance, indicating rapid elimination from the bloodstream, which may lead to a shorter duration of action. Most compounds showed moderate clearance values between 2.7 and 4.1 mL/min/kg, indicating balanced elimination rates suitable for maintaining therapeutic concentrations.</w:t>
      </w:r>
    </w:p>
    <w:p w:rsidR="00647508" w:rsidRPr="00C02236" w:rsidRDefault="00647508" w:rsidP="00647508">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The half-life (T</w:t>
      </w:r>
      <w:r w:rsidRPr="00C02236">
        <w:rPr>
          <w:rFonts w:asciiTheme="majorBidi" w:hAnsiTheme="majorBidi" w:cstheme="majorBidi"/>
          <w:bCs/>
          <w:vertAlign w:val="subscript"/>
        </w:rPr>
        <w:t>1/2</w:t>
      </w:r>
      <w:r w:rsidRPr="00C02236">
        <w:rPr>
          <w:rFonts w:asciiTheme="majorBidi" w:hAnsiTheme="majorBidi" w:cstheme="majorBidi"/>
          <w:bCs/>
        </w:rPr>
        <w:t>), which represents the time required for the drug concentration in plasma to reduce by half, varied from 0.377 hours (</w:t>
      </w:r>
      <w:r w:rsidRPr="00C02236">
        <w:rPr>
          <w:rFonts w:asciiTheme="majorBidi" w:hAnsiTheme="majorBidi" w:cstheme="majorBidi"/>
          <w:b/>
        </w:rPr>
        <w:t>Ob7</w:t>
      </w:r>
      <w:r w:rsidRPr="00C02236">
        <w:rPr>
          <w:rFonts w:asciiTheme="majorBidi" w:hAnsiTheme="majorBidi" w:cstheme="majorBidi"/>
          <w:bCs/>
        </w:rPr>
        <w:t>) to 0.753 hours (</w:t>
      </w:r>
      <w:r w:rsidRPr="00C02236">
        <w:rPr>
          <w:rFonts w:asciiTheme="majorBidi" w:hAnsiTheme="majorBidi" w:cstheme="majorBidi"/>
          <w:b/>
        </w:rPr>
        <w:t>Ob5</w:t>
      </w:r>
      <w:r w:rsidRPr="00C02236">
        <w:rPr>
          <w:rFonts w:asciiTheme="majorBidi" w:hAnsiTheme="majorBidi" w:cstheme="majorBidi"/>
          <w:bCs/>
        </w:rPr>
        <w:t xml:space="preserve">). The shorter half-life of </w:t>
      </w:r>
      <w:r w:rsidRPr="00C02236">
        <w:rPr>
          <w:rFonts w:asciiTheme="majorBidi" w:hAnsiTheme="majorBidi" w:cstheme="majorBidi"/>
          <w:b/>
        </w:rPr>
        <w:t>Ob6</w:t>
      </w:r>
      <w:r w:rsidRPr="00C02236">
        <w:rPr>
          <w:rFonts w:asciiTheme="majorBidi" w:hAnsiTheme="majorBidi" w:cstheme="majorBidi"/>
          <w:bCs/>
        </w:rPr>
        <w:t xml:space="preserve"> aligns with its high plasma clearance, suggesting rapid removal from the body. In contrast, compound </w:t>
      </w:r>
      <w:r w:rsidRPr="00C02236">
        <w:rPr>
          <w:rFonts w:asciiTheme="majorBidi" w:hAnsiTheme="majorBidi" w:cstheme="majorBidi"/>
          <w:b/>
        </w:rPr>
        <w:t>Ob5</w:t>
      </w:r>
      <w:r w:rsidRPr="00C02236">
        <w:rPr>
          <w:rFonts w:asciiTheme="majorBidi" w:hAnsiTheme="majorBidi" w:cstheme="majorBidi"/>
          <w:bCs/>
        </w:rPr>
        <w:t xml:space="preserve"> exhibited the longest half-life, consistent with its slower clearance, indicating a more prolonged systemic presence. Other compounds, such as </w:t>
      </w:r>
      <w:r w:rsidRPr="00C02236">
        <w:rPr>
          <w:rFonts w:asciiTheme="majorBidi" w:hAnsiTheme="majorBidi" w:cstheme="majorBidi"/>
          <w:b/>
        </w:rPr>
        <w:t>Ob2</w:t>
      </w:r>
      <w:r w:rsidRPr="00C02236">
        <w:rPr>
          <w:rFonts w:asciiTheme="majorBidi" w:hAnsiTheme="majorBidi" w:cstheme="majorBidi"/>
          <w:bCs/>
        </w:rPr>
        <w:t xml:space="preserve"> (0.686 hours) and </w:t>
      </w:r>
      <w:r w:rsidRPr="00C02236">
        <w:rPr>
          <w:rFonts w:asciiTheme="majorBidi" w:hAnsiTheme="majorBidi" w:cstheme="majorBidi"/>
          <w:b/>
        </w:rPr>
        <w:t>Ob4</w:t>
      </w:r>
      <w:r w:rsidRPr="00C02236">
        <w:rPr>
          <w:rFonts w:asciiTheme="majorBidi" w:hAnsiTheme="majorBidi" w:cstheme="majorBidi"/>
          <w:bCs/>
        </w:rPr>
        <w:t xml:space="preserve"> (0.661 hours), also demonstrated slightly extended half-lives, potentially offering sustained therapeutic effects.</w:t>
      </w:r>
    </w:p>
    <w:p w:rsidR="00647508" w:rsidRPr="00C02236" w:rsidRDefault="00647508" w:rsidP="0018648E">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The observed variations in clearance and half-life among the reflect differences in their metabolic stability and elimination pathways. </w:t>
      </w:r>
      <w:r w:rsidR="00F84409">
        <w:rPr>
          <w:rFonts w:asciiTheme="majorBidi" w:hAnsiTheme="majorBidi" w:cstheme="majorBidi"/>
          <w:bCs/>
        </w:rPr>
        <w:t>Chemical constituent</w:t>
      </w:r>
      <w:r w:rsidRPr="00C02236">
        <w:rPr>
          <w:rFonts w:asciiTheme="majorBidi" w:hAnsiTheme="majorBidi" w:cstheme="majorBidi"/>
          <w:bCs/>
        </w:rPr>
        <w:t xml:space="preserve">s with high clearance and short half-life, such as </w:t>
      </w:r>
      <w:r w:rsidRPr="00C02236">
        <w:rPr>
          <w:rFonts w:asciiTheme="majorBidi" w:hAnsiTheme="majorBidi" w:cstheme="majorBidi"/>
          <w:b/>
        </w:rPr>
        <w:t>Ob6</w:t>
      </w:r>
      <w:r w:rsidRPr="00C02236">
        <w:rPr>
          <w:rFonts w:asciiTheme="majorBidi" w:hAnsiTheme="majorBidi" w:cstheme="majorBidi"/>
          <w:bCs/>
        </w:rPr>
        <w:t xml:space="preserve">, may require more frequent dosing to maintain effective plasma concentrations. Conversely, </w:t>
      </w:r>
      <w:r w:rsidR="00F84409">
        <w:rPr>
          <w:rFonts w:asciiTheme="majorBidi" w:hAnsiTheme="majorBidi" w:cstheme="majorBidi"/>
          <w:bCs/>
        </w:rPr>
        <w:t>chemical constituent</w:t>
      </w:r>
      <w:r w:rsidRPr="00C02236">
        <w:rPr>
          <w:rFonts w:asciiTheme="majorBidi" w:hAnsiTheme="majorBidi" w:cstheme="majorBidi"/>
          <w:bCs/>
        </w:rPr>
        <w:t xml:space="preserve"> with slower clearance and longer half-life, like </w:t>
      </w:r>
      <w:r w:rsidRPr="00C02236">
        <w:rPr>
          <w:rFonts w:asciiTheme="majorBidi" w:hAnsiTheme="majorBidi" w:cstheme="majorBidi"/>
          <w:b/>
        </w:rPr>
        <w:t>OB5</w:t>
      </w:r>
      <w:r w:rsidRPr="00C02236">
        <w:rPr>
          <w:rFonts w:asciiTheme="majorBidi" w:hAnsiTheme="majorBidi" w:cstheme="majorBidi"/>
          <w:bCs/>
        </w:rPr>
        <w:t xml:space="preserve">, may be more suitable for sustained-release formulations or less frequent dosing regimens as given in Table </w:t>
      </w:r>
      <w:r w:rsidR="0018648E">
        <w:rPr>
          <w:rFonts w:asciiTheme="majorBidi" w:hAnsiTheme="majorBidi" w:cstheme="majorBidi"/>
          <w:bCs/>
        </w:rPr>
        <w:t>8</w:t>
      </w:r>
      <w:r w:rsidRPr="00C02236">
        <w:rPr>
          <w:rFonts w:asciiTheme="majorBidi" w:hAnsiTheme="majorBidi" w:cstheme="majorBidi"/>
          <w:bCs/>
        </w:rPr>
        <w:t>.</w:t>
      </w:r>
    </w:p>
    <w:p w:rsidR="0018648E" w:rsidRPr="0095487C" w:rsidRDefault="0018648E" w:rsidP="0022377C">
      <w:pPr>
        <w:pStyle w:val="NormalWeb"/>
        <w:spacing w:line="360" w:lineRule="auto"/>
        <w:jc w:val="both"/>
        <w:rPr>
          <w:b/>
        </w:rPr>
      </w:pPr>
      <w:r w:rsidRPr="0095487C">
        <w:rPr>
          <w:rFonts w:asciiTheme="majorBidi" w:hAnsiTheme="majorBidi" w:cstheme="majorBidi"/>
          <w:b/>
        </w:rPr>
        <w:t xml:space="preserve">Table 8: Excretion profile </w:t>
      </w:r>
      <w:r w:rsidR="0022377C" w:rsidRPr="0022377C">
        <w:rPr>
          <w:rFonts w:asciiTheme="majorBidi" w:hAnsiTheme="majorBidi" w:cstheme="majorBidi"/>
          <w:b/>
        </w:rPr>
        <w:t>of Ob1-Ob10</w:t>
      </w:r>
    </w:p>
    <w:tbl>
      <w:tblPr>
        <w:tblStyle w:val="TableGridLight"/>
        <w:tblW w:w="0" w:type="auto"/>
        <w:tblLook w:val="04A0" w:firstRow="1" w:lastRow="0" w:firstColumn="1" w:lastColumn="0" w:noHBand="0" w:noVBand="1"/>
      </w:tblPr>
      <w:tblGrid>
        <w:gridCol w:w="1207"/>
        <w:gridCol w:w="833"/>
        <w:gridCol w:w="833"/>
        <w:gridCol w:w="737"/>
        <w:gridCol w:w="835"/>
        <w:gridCol w:w="835"/>
        <w:gridCol w:w="833"/>
        <w:gridCol w:w="833"/>
        <w:gridCol w:w="835"/>
        <w:gridCol w:w="736"/>
        <w:gridCol w:w="833"/>
      </w:tblGrid>
      <w:tr w:rsidR="00647508" w:rsidRPr="00FC53C1" w:rsidTr="00F84409">
        <w:tc>
          <w:tcPr>
            <w:tcW w:w="1207"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Properties</w:t>
            </w:r>
          </w:p>
        </w:tc>
        <w:tc>
          <w:tcPr>
            <w:tcW w:w="833" w:type="dxa"/>
          </w:tcPr>
          <w:p w:rsidR="00647508" w:rsidRPr="00FC53C1" w:rsidRDefault="00647508" w:rsidP="00A60F55">
            <w:pPr>
              <w:spacing w:line="360" w:lineRule="auto"/>
              <w:jc w:val="both"/>
              <w:rPr>
                <w:rFonts w:asciiTheme="majorBidi" w:hAnsiTheme="majorBidi" w:cstheme="majorBidi"/>
                <w:b/>
                <w:i/>
                <w:sz w:val="20"/>
                <w:szCs w:val="20"/>
              </w:rPr>
            </w:pPr>
            <w:r w:rsidRPr="00FC53C1">
              <w:rPr>
                <w:rFonts w:asciiTheme="majorBidi" w:hAnsiTheme="majorBidi" w:cstheme="majorBidi"/>
                <w:b/>
                <w:i/>
                <w:sz w:val="20"/>
                <w:szCs w:val="20"/>
              </w:rPr>
              <w:t>Ob1</w:t>
            </w:r>
          </w:p>
        </w:tc>
        <w:tc>
          <w:tcPr>
            <w:tcW w:w="833"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Ob2</w:t>
            </w:r>
          </w:p>
        </w:tc>
        <w:tc>
          <w:tcPr>
            <w:tcW w:w="737"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Ob3</w:t>
            </w:r>
          </w:p>
        </w:tc>
        <w:tc>
          <w:tcPr>
            <w:tcW w:w="835"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Ob4</w:t>
            </w:r>
          </w:p>
        </w:tc>
        <w:tc>
          <w:tcPr>
            <w:tcW w:w="835" w:type="dxa"/>
          </w:tcPr>
          <w:p w:rsidR="00647508" w:rsidRPr="00FC53C1" w:rsidRDefault="00647508" w:rsidP="00A60F55">
            <w:pPr>
              <w:spacing w:line="360" w:lineRule="auto"/>
              <w:jc w:val="both"/>
              <w:rPr>
                <w:rFonts w:asciiTheme="majorBidi" w:hAnsiTheme="majorBidi" w:cstheme="majorBidi"/>
                <w:b/>
                <w:i/>
                <w:sz w:val="20"/>
                <w:szCs w:val="20"/>
              </w:rPr>
            </w:pPr>
            <w:r w:rsidRPr="00FC53C1">
              <w:rPr>
                <w:rFonts w:asciiTheme="majorBidi" w:hAnsiTheme="majorBidi" w:cstheme="majorBidi"/>
                <w:b/>
                <w:i/>
                <w:sz w:val="20"/>
                <w:szCs w:val="20"/>
              </w:rPr>
              <w:t>Ob5</w:t>
            </w:r>
          </w:p>
        </w:tc>
        <w:tc>
          <w:tcPr>
            <w:tcW w:w="833"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Ob6</w:t>
            </w:r>
          </w:p>
        </w:tc>
        <w:tc>
          <w:tcPr>
            <w:tcW w:w="833"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Ob7</w:t>
            </w:r>
          </w:p>
        </w:tc>
        <w:tc>
          <w:tcPr>
            <w:tcW w:w="835"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Ob8</w:t>
            </w:r>
          </w:p>
        </w:tc>
        <w:tc>
          <w:tcPr>
            <w:tcW w:w="736"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Ob9</w:t>
            </w:r>
          </w:p>
        </w:tc>
        <w:tc>
          <w:tcPr>
            <w:tcW w:w="833"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Ob10</w:t>
            </w:r>
          </w:p>
        </w:tc>
      </w:tr>
      <w:tr w:rsidR="00647508" w:rsidRPr="00FC53C1" w:rsidTr="00F84409">
        <w:tc>
          <w:tcPr>
            <w:tcW w:w="1207"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CL plasma</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11.809</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10,018</w:t>
            </w:r>
          </w:p>
        </w:tc>
        <w:tc>
          <w:tcPr>
            <w:tcW w:w="737"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4.382</w:t>
            </w:r>
          </w:p>
        </w:tc>
        <w:tc>
          <w:tcPr>
            <w:tcW w:w="83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11.176</w:t>
            </w:r>
          </w:p>
        </w:tc>
        <w:tc>
          <w:tcPr>
            <w:tcW w:w="83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12.509</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11.779</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10.933</w:t>
            </w:r>
          </w:p>
        </w:tc>
        <w:tc>
          <w:tcPr>
            <w:tcW w:w="83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10.791</w:t>
            </w:r>
          </w:p>
        </w:tc>
        <w:tc>
          <w:tcPr>
            <w:tcW w:w="736"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9.330</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11.273</w:t>
            </w:r>
          </w:p>
        </w:tc>
      </w:tr>
      <w:tr w:rsidR="00647508" w:rsidRPr="00FC53C1" w:rsidTr="00F84409">
        <w:tc>
          <w:tcPr>
            <w:tcW w:w="1207"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T          1/2</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1.447</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1.072</w:t>
            </w:r>
          </w:p>
        </w:tc>
        <w:tc>
          <w:tcPr>
            <w:tcW w:w="737"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1.135</w:t>
            </w:r>
          </w:p>
        </w:tc>
        <w:tc>
          <w:tcPr>
            <w:tcW w:w="83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1.759</w:t>
            </w:r>
          </w:p>
        </w:tc>
        <w:tc>
          <w:tcPr>
            <w:tcW w:w="83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1.248</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0.573</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w:t>
            </w:r>
          </w:p>
        </w:tc>
        <w:tc>
          <w:tcPr>
            <w:tcW w:w="83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0.4793</w:t>
            </w:r>
          </w:p>
        </w:tc>
        <w:tc>
          <w:tcPr>
            <w:tcW w:w="736"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0.414</w:t>
            </w:r>
          </w:p>
        </w:tc>
        <w:tc>
          <w:tcPr>
            <w:tcW w:w="83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0.858</w:t>
            </w:r>
          </w:p>
        </w:tc>
      </w:tr>
    </w:tbl>
    <w:p w:rsidR="00F84409" w:rsidRDefault="00F84409" w:rsidP="00647508">
      <w:pPr>
        <w:spacing w:line="360" w:lineRule="auto"/>
        <w:jc w:val="both"/>
        <w:rPr>
          <w:rFonts w:asciiTheme="majorBidi" w:hAnsiTheme="majorBidi" w:cstheme="majorBidi"/>
          <w:bCs/>
        </w:rPr>
      </w:pPr>
    </w:p>
    <w:p w:rsidR="00F84409" w:rsidRPr="008D53FA" w:rsidRDefault="0018648E" w:rsidP="008D53FA">
      <w:pPr>
        <w:pStyle w:val="NormalWeb"/>
        <w:rPr>
          <w:color w:val="000000" w:themeColor="text1"/>
        </w:rPr>
      </w:pPr>
      <w:r>
        <w:rPr>
          <w:b/>
          <w:color w:val="000000" w:themeColor="text1"/>
        </w:rPr>
        <w:t xml:space="preserve">3.3.7: </w:t>
      </w:r>
      <w:r w:rsidRPr="0041385D">
        <w:rPr>
          <w:b/>
          <w:color w:val="000000" w:themeColor="text1"/>
        </w:rPr>
        <w:t>Environmental Toxicity</w:t>
      </w:r>
      <w:r w:rsidR="00DC2068">
        <w:rPr>
          <w:b/>
          <w:color w:val="000000" w:themeColor="text1"/>
        </w:rPr>
        <w:t xml:space="preserve"> </w:t>
      </w:r>
      <w:r w:rsidR="00DC2068" w:rsidRPr="0022377C">
        <w:rPr>
          <w:rFonts w:asciiTheme="majorBidi" w:hAnsiTheme="majorBidi" w:cstheme="majorBidi"/>
          <w:b/>
        </w:rPr>
        <w:t>of Ob1-Ob10</w:t>
      </w:r>
    </w:p>
    <w:p w:rsidR="00647508" w:rsidRPr="008D53FA" w:rsidRDefault="00F84409" w:rsidP="00F84409">
      <w:pPr>
        <w:spacing w:line="360" w:lineRule="auto"/>
        <w:jc w:val="both"/>
        <w:rPr>
          <w:rFonts w:asciiTheme="majorBidi" w:hAnsiTheme="majorBidi" w:cstheme="majorBidi"/>
        </w:rPr>
      </w:pPr>
      <w:r w:rsidRPr="008D53FA">
        <w:rPr>
          <w:rFonts w:asciiTheme="majorBidi" w:hAnsiTheme="majorBidi" w:cstheme="majorBidi"/>
          <w:bCs/>
        </w:rPr>
        <w:t>The environmental toxicity of the chemical constituent (</w:t>
      </w:r>
      <w:r w:rsidRPr="008D53FA">
        <w:rPr>
          <w:rFonts w:asciiTheme="majorBidi" w:hAnsiTheme="majorBidi" w:cstheme="majorBidi"/>
          <w:b/>
        </w:rPr>
        <w:t>Ob-l</w:t>
      </w:r>
      <w:r w:rsidRPr="008D53FA">
        <w:rPr>
          <w:rFonts w:asciiTheme="majorBidi" w:hAnsiTheme="majorBidi" w:cstheme="majorBidi"/>
          <w:bCs/>
        </w:rPr>
        <w:t xml:space="preserve">) was evaluated to assess their potential ecological impact. Parameters such as </w:t>
      </w:r>
      <w:proofErr w:type="spellStart"/>
      <w:r w:rsidRPr="008D53FA">
        <w:rPr>
          <w:rFonts w:asciiTheme="majorBidi" w:hAnsiTheme="majorBidi" w:cstheme="majorBidi"/>
          <w:bCs/>
        </w:rPr>
        <w:t>bioconcentration</w:t>
      </w:r>
      <w:proofErr w:type="spellEnd"/>
      <w:r w:rsidRPr="008D53FA">
        <w:rPr>
          <w:rFonts w:asciiTheme="majorBidi" w:hAnsiTheme="majorBidi" w:cstheme="majorBidi"/>
          <w:bCs/>
        </w:rPr>
        <w:t xml:space="preserve"> factors (BCF), inhibition concentration (IGC</w:t>
      </w:r>
      <w:r w:rsidRPr="008D53FA">
        <w:rPr>
          <w:rFonts w:asciiTheme="majorBidi" w:hAnsiTheme="majorBidi" w:cstheme="majorBidi"/>
          <w:bCs/>
          <w:vertAlign w:val="subscript"/>
        </w:rPr>
        <w:t>50</w:t>
      </w:r>
      <w:r w:rsidRPr="008D53FA">
        <w:rPr>
          <w:rFonts w:asciiTheme="majorBidi" w:hAnsiTheme="majorBidi" w:cstheme="majorBidi"/>
          <w:bCs/>
        </w:rPr>
        <w:t>), and lethal concentration (LC</w:t>
      </w:r>
      <w:r w:rsidRPr="008D53FA">
        <w:rPr>
          <w:rFonts w:asciiTheme="majorBidi" w:hAnsiTheme="majorBidi" w:cstheme="majorBidi"/>
          <w:bCs/>
          <w:vertAlign w:val="subscript"/>
        </w:rPr>
        <w:t>50</w:t>
      </w:r>
      <w:r w:rsidRPr="008D53FA">
        <w:rPr>
          <w:rFonts w:asciiTheme="majorBidi" w:hAnsiTheme="majorBidi" w:cstheme="majorBidi"/>
          <w:bCs/>
        </w:rPr>
        <w:t xml:space="preserve">) for freshwater (FM) and marine (DM) </w:t>
      </w:r>
      <w:r w:rsidRPr="008D53FA">
        <w:rPr>
          <w:rFonts w:asciiTheme="majorBidi" w:hAnsiTheme="majorBidi" w:cstheme="majorBidi"/>
          <w:bCs/>
        </w:rPr>
        <w:lastRenderedPageBreak/>
        <w:t xml:space="preserve">organisms provide critical insights into the compounds' environmental persistence and toxicity. </w:t>
      </w:r>
      <w:proofErr w:type="spellStart"/>
      <w:r w:rsidRPr="008D53FA">
        <w:rPr>
          <w:rFonts w:asciiTheme="majorBidi" w:hAnsiTheme="majorBidi" w:cstheme="majorBidi"/>
          <w:bCs/>
        </w:rPr>
        <w:t>Bioconcentration</w:t>
      </w:r>
      <w:proofErr w:type="spellEnd"/>
      <w:r w:rsidRPr="008D53FA">
        <w:rPr>
          <w:rFonts w:asciiTheme="majorBidi" w:hAnsiTheme="majorBidi" w:cstheme="majorBidi"/>
          <w:bCs/>
        </w:rPr>
        <w:t xml:space="preserve"> factors (BCF) ranged from </w:t>
      </w:r>
      <w:r w:rsidRPr="008D53FA">
        <w:rPr>
          <w:rFonts w:asciiTheme="majorBidi" w:hAnsiTheme="majorBidi" w:cstheme="majorBidi"/>
        </w:rPr>
        <w:t>0.232</w:t>
      </w:r>
      <w:r w:rsidRPr="008D53FA">
        <w:rPr>
          <w:rFonts w:asciiTheme="majorBidi" w:hAnsiTheme="majorBidi" w:cstheme="majorBidi"/>
          <w:bCs/>
        </w:rPr>
        <w:t xml:space="preserve"> (</w:t>
      </w:r>
      <w:r w:rsidRPr="008D53FA">
        <w:rPr>
          <w:rFonts w:asciiTheme="majorBidi" w:hAnsiTheme="majorBidi" w:cstheme="majorBidi"/>
          <w:b/>
        </w:rPr>
        <w:t>Ob3</w:t>
      </w:r>
      <w:r w:rsidRPr="008D53FA">
        <w:rPr>
          <w:rFonts w:asciiTheme="majorBidi" w:hAnsiTheme="majorBidi" w:cstheme="majorBidi"/>
          <w:bCs/>
        </w:rPr>
        <w:t>) to</w:t>
      </w:r>
      <w:r w:rsidRPr="008D53FA">
        <w:rPr>
          <w:rFonts w:asciiTheme="majorBidi" w:hAnsiTheme="majorBidi" w:cstheme="majorBidi"/>
        </w:rPr>
        <w:t>0.888</w:t>
      </w:r>
      <w:r w:rsidRPr="008D53FA">
        <w:rPr>
          <w:rFonts w:asciiTheme="majorBidi" w:hAnsiTheme="majorBidi" w:cstheme="majorBidi"/>
          <w:bCs/>
        </w:rPr>
        <w:t xml:space="preserve"> (</w:t>
      </w:r>
      <w:r w:rsidRPr="008D53FA">
        <w:rPr>
          <w:rFonts w:asciiTheme="majorBidi" w:hAnsiTheme="majorBidi" w:cstheme="majorBidi"/>
          <w:b/>
        </w:rPr>
        <w:t>Ob2</w:t>
      </w:r>
      <w:r w:rsidRPr="008D53FA">
        <w:rPr>
          <w:rFonts w:asciiTheme="majorBidi" w:hAnsiTheme="majorBidi" w:cstheme="majorBidi"/>
          <w:bCs/>
        </w:rPr>
        <w:t xml:space="preserve">), indicating low to moderate potential for accumulation in aquatic organisms. Compounds like </w:t>
      </w:r>
      <w:r w:rsidRPr="008D53FA">
        <w:rPr>
          <w:rFonts w:asciiTheme="majorBidi" w:hAnsiTheme="majorBidi" w:cstheme="majorBidi"/>
          <w:b/>
        </w:rPr>
        <w:t>Ob2</w:t>
      </w:r>
      <w:r w:rsidRPr="008D53FA">
        <w:rPr>
          <w:rFonts w:asciiTheme="majorBidi" w:hAnsiTheme="majorBidi" w:cstheme="majorBidi"/>
          <w:bCs/>
        </w:rPr>
        <w:t xml:space="preserve"> and </w:t>
      </w:r>
      <w:r w:rsidRPr="008D53FA">
        <w:rPr>
          <w:rFonts w:asciiTheme="majorBidi" w:hAnsiTheme="majorBidi" w:cstheme="majorBidi"/>
          <w:b/>
        </w:rPr>
        <w:t>Ob5</w:t>
      </w:r>
      <w:r w:rsidRPr="008D53FA">
        <w:rPr>
          <w:rFonts w:asciiTheme="majorBidi" w:hAnsiTheme="majorBidi" w:cstheme="majorBidi"/>
          <w:bCs/>
        </w:rPr>
        <w:t xml:space="preserve">, with higher BCF values (&gt;1.9), exhibit a greater tendency for bioaccumulation, which could lead to long-term ecological effects. In contrast, compounds such as </w:t>
      </w:r>
      <w:r w:rsidRPr="008D53FA">
        <w:rPr>
          <w:rFonts w:asciiTheme="majorBidi" w:hAnsiTheme="majorBidi" w:cstheme="majorBidi"/>
          <w:b/>
        </w:rPr>
        <w:t>Ob3</w:t>
      </w:r>
      <w:r w:rsidRPr="008D53FA">
        <w:rPr>
          <w:rFonts w:asciiTheme="majorBidi" w:hAnsiTheme="majorBidi" w:cstheme="majorBidi"/>
          <w:bCs/>
        </w:rPr>
        <w:t xml:space="preserve"> (</w:t>
      </w:r>
      <w:r w:rsidRPr="008D53FA">
        <w:rPr>
          <w:rFonts w:asciiTheme="majorBidi" w:hAnsiTheme="majorBidi" w:cstheme="majorBidi"/>
        </w:rPr>
        <w:t>0.395</w:t>
      </w:r>
      <w:r w:rsidRPr="008D53FA">
        <w:rPr>
          <w:rFonts w:asciiTheme="majorBidi" w:hAnsiTheme="majorBidi" w:cstheme="majorBidi"/>
          <w:bCs/>
        </w:rPr>
        <w:t xml:space="preserve">) and </w:t>
      </w:r>
      <w:r w:rsidRPr="008D53FA">
        <w:rPr>
          <w:rFonts w:asciiTheme="majorBidi" w:hAnsiTheme="majorBidi" w:cstheme="majorBidi"/>
          <w:b/>
        </w:rPr>
        <w:t>Ob4</w:t>
      </w:r>
      <w:r w:rsidRPr="008D53FA">
        <w:rPr>
          <w:rFonts w:asciiTheme="majorBidi" w:hAnsiTheme="majorBidi" w:cstheme="majorBidi"/>
          <w:bCs/>
        </w:rPr>
        <w:t xml:space="preserve"> </w:t>
      </w:r>
      <w:r w:rsidRPr="008D53FA">
        <w:rPr>
          <w:rFonts w:asciiTheme="majorBidi" w:hAnsiTheme="majorBidi" w:cstheme="majorBidi"/>
        </w:rPr>
        <w:t>0.042</w:t>
      </w:r>
      <w:r w:rsidR="00647508" w:rsidRPr="008D53FA">
        <w:rPr>
          <w:rFonts w:asciiTheme="majorBidi" w:hAnsiTheme="majorBidi" w:cstheme="majorBidi"/>
          <w:bCs/>
        </w:rPr>
        <w:t xml:space="preserve"> showed minimal bioaccumulation potential.IGC</w:t>
      </w:r>
      <w:r w:rsidR="00647508" w:rsidRPr="008D53FA">
        <w:rPr>
          <w:rFonts w:asciiTheme="majorBidi" w:hAnsiTheme="majorBidi" w:cstheme="majorBidi"/>
          <w:bCs/>
          <w:vertAlign w:val="subscript"/>
        </w:rPr>
        <w:t>50</w:t>
      </w:r>
      <w:r w:rsidR="00647508" w:rsidRPr="008D53FA">
        <w:rPr>
          <w:rFonts w:asciiTheme="majorBidi" w:hAnsiTheme="majorBidi" w:cstheme="majorBidi"/>
          <w:bCs/>
        </w:rPr>
        <w:t xml:space="preserve"> values, representing the concentration required to inhibit 50% of a test population, ranged from 4.476 (</w:t>
      </w:r>
      <w:r w:rsidR="00647508" w:rsidRPr="008D53FA">
        <w:rPr>
          <w:rFonts w:asciiTheme="majorBidi" w:hAnsiTheme="majorBidi" w:cstheme="majorBidi"/>
          <w:b/>
        </w:rPr>
        <w:t>Ob1</w:t>
      </w:r>
      <w:r w:rsidR="00647508" w:rsidRPr="008D53FA">
        <w:rPr>
          <w:rFonts w:asciiTheme="majorBidi" w:hAnsiTheme="majorBidi" w:cstheme="majorBidi"/>
          <w:bCs/>
        </w:rPr>
        <w:t>) to 5.287 (</w:t>
      </w:r>
      <w:r w:rsidR="00647508" w:rsidRPr="008D53FA">
        <w:rPr>
          <w:rFonts w:asciiTheme="majorBidi" w:hAnsiTheme="majorBidi" w:cstheme="majorBidi"/>
          <w:b/>
        </w:rPr>
        <w:t>Ob6</w:t>
      </w:r>
      <w:r w:rsidR="00647508" w:rsidRPr="008D53FA">
        <w:rPr>
          <w:rFonts w:asciiTheme="majorBidi" w:hAnsiTheme="majorBidi" w:cstheme="majorBidi"/>
          <w:bCs/>
        </w:rPr>
        <w:t>). Higher IGC</w:t>
      </w:r>
      <w:r w:rsidR="00647508" w:rsidRPr="008D53FA">
        <w:rPr>
          <w:rFonts w:asciiTheme="majorBidi" w:hAnsiTheme="majorBidi" w:cstheme="majorBidi"/>
          <w:bCs/>
          <w:vertAlign w:val="subscript"/>
        </w:rPr>
        <w:t>50</w:t>
      </w:r>
      <w:r w:rsidR="00647508" w:rsidRPr="008D53FA">
        <w:rPr>
          <w:rFonts w:asciiTheme="majorBidi" w:hAnsiTheme="majorBidi" w:cstheme="majorBidi"/>
          <w:bCs/>
        </w:rPr>
        <w:t xml:space="preserve"> values, such as those for </w:t>
      </w:r>
      <w:r w:rsidR="00647508" w:rsidRPr="008D53FA">
        <w:rPr>
          <w:rFonts w:asciiTheme="majorBidi" w:hAnsiTheme="majorBidi" w:cstheme="majorBidi"/>
          <w:b/>
        </w:rPr>
        <w:t>Ob5</w:t>
      </w:r>
      <w:r w:rsidR="00647508" w:rsidRPr="008D53FA">
        <w:rPr>
          <w:rFonts w:asciiTheme="majorBidi" w:hAnsiTheme="majorBidi" w:cstheme="majorBidi"/>
          <w:bCs/>
        </w:rPr>
        <w:t xml:space="preserve"> (5.287) and </w:t>
      </w:r>
      <w:r w:rsidR="00647508" w:rsidRPr="008D53FA">
        <w:rPr>
          <w:rFonts w:asciiTheme="majorBidi" w:hAnsiTheme="majorBidi" w:cstheme="majorBidi"/>
          <w:b/>
        </w:rPr>
        <w:t>Ob6</w:t>
      </w:r>
      <w:r w:rsidR="00647508" w:rsidRPr="008D53FA">
        <w:rPr>
          <w:rFonts w:asciiTheme="majorBidi" w:hAnsiTheme="majorBidi" w:cstheme="majorBidi"/>
          <w:bCs/>
        </w:rPr>
        <w:t xml:space="preserve"> (5.255), suggest lower inhibitory toxicity to aquatic microorganisms, while compounds like </w:t>
      </w:r>
      <w:r w:rsidR="00647508" w:rsidRPr="008D53FA">
        <w:rPr>
          <w:rFonts w:asciiTheme="majorBidi" w:hAnsiTheme="majorBidi" w:cstheme="majorBidi"/>
          <w:b/>
        </w:rPr>
        <w:t>Ob1</w:t>
      </w:r>
      <w:r w:rsidR="00647508" w:rsidRPr="008D53FA">
        <w:rPr>
          <w:rFonts w:asciiTheme="majorBidi" w:hAnsiTheme="majorBidi" w:cstheme="majorBidi"/>
          <w:bCs/>
        </w:rPr>
        <w:t xml:space="preserve"> and </w:t>
      </w:r>
      <w:r w:rsidR="00647508" w:rsidRPr="008D53FA">
        <w:rPr>
          <w:rFonts w:asciiTheme="majorBidi" w:hAnsiTheme="majorBidi" w:cstheme="majorBidi"/>
          <w:b/>
        </w:rPr>
        <w:t>Ob4</w:t>
      </w:r>
      <w:r w:rsidR="00647508" w:rsidRPr="008D53FA">
        <w:rPr>
          <w:rFonts w:asciiTheme="majorBidi" w:hAnsiTheme="majorBidi" w:cstheme="majorBidi"/>
          <w:bCs/>
        </w:rPr>
        <w:t xml:space="preserve"> exhibited slightly higher toxicity.</w:t>
      </w:r>
    </w:p>
    <w:p w:rsidR="00647508" w:rsidRPr="00C02236" w:rsidRDefault="00647508" w:rsidP="00647508">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The LC</w:t>
      </w:r>
      <w:r w:rsidRPr="00C02236">
        <w:rPr>
          <w:rFonts w:asciiTheme="majorBidi" w:hAnsiTheme="majorBidi" w:cstheme="majorBidi"/>
          <w:bCs/>
          <w:vertAlign w:val="subscript"/>
        </w:rPr>
        <w:t>50</w:t>
      </w:r>
      <w:r w:rsidRPr="00C02236">
        <w:rPr>
          <w:rFonts w:asciiTheme="majorBidi" w:hAnsiTheme="majorBidi" w:cstheme="majorBidi"/>
          <w:bCs/>
        </w:rPr>
        <w:t>FM (lethal concentration for 50% mortality in freshwater organisms) values ranged from 5.542 (</w:t>
      </w:r>
      <w:r w:rsidRPr="00C02236">
        <w:rPr>
          <w:rFonts w:asciiTheme="majorBidi" w:hAnsiTheme="majorBidi" w:cstheme="majorBidi"/>
          <w:b/>
        </w:rPr>
        <w:t>Ob1</w:t>
      </w:r>
      <w:r w:rsidRPr="00C02236">
        <w:rPr>
          <w:rFonts w:asciiTheme="majorBidi" w:hAnsiTheme="majorBidi" w:cstheme="majorBidi"/>
          <w:bCs/>
        </w:rPr>
        <w:t>) to 7.027 (</w:t>
      </w:r>
      <w:r w:rsidRPr="00C02236">
        <w:rPr>
          <w:rFonts w:asciiTheme="majorBidi" w:hAnsiTheme="majorBidi" w:cstheme="majorBidi"/>
          <w:b/>
        </w:rPr>
        <w:t>Ob9</w:t>
      </w:r>
      <w:r w:rsidRPr="00C02236">
        <w:rPr>
          <w:rFonts w:asciiTheme="majorBidi" w:hAnsiTheme="majorBidi" w:cstheme="majorBidi"/>
          <w:bCs/>
        </w:rPr>
        <w:t xml:space="preserve">). Compound </w:t>
      </w:r>
      <w:r w:rsidRPr="00C02236">
        <w:rPr>
          <w:rFonts w:asciiTheme="majorBidi" w:hAnsiTheme="majorBidi" w:cstheme="majorBidi"/>
          <w:b/>
        </w:rPr>
        <w:t>Ob9</w:t>
      </w:r>
      <w:r w:rsidRPr="00C02236">
        <w:rPr>
          <w:rFonts w:asciiTheme="majorBidi" w:hAnsiTheme="majorBidi" w:cstheme="majorBidi"/>
          <w:bCs/>
        </w:rPr>
        <w:t xml:space="preserve"> exhibited the highest LC</w:t>
      </w:r>
      <w:r w:rsidRPr="00C02236">
        <w:rPr>
          <w:rFonts w:asciiTheme="majorBidi" w:hAnsiTheme="majorBidi" w:cstheme="majorBidi"/>
          <w:bCs/>
          <w:vertAlign w:val="subscript"/>
        </w:rPr>
        <w:t>50</w:t>
      </w:r>
      <w:r w:rsidRPr="00C02236">
        <w:rPr>
          <w:rFonts w:asciiTheme="majorBidi" w:hAnsiTheme="majorBidi" w:cstheme="majorBidi"/>
          <w:bCs/>
        </w:rPr>
        <w:t xml:space="preserve">FM value, indicating reduced toxicity to freshwater organisms, whereas </w:t>
      </w:r>
      <w:r w:rsidRPr="00C02236">
        <w:rPr>
          <w:rFonts w:asciiTheme="majorBidi" w:hAnsiTheme="majorBidi" w:cstheme="majorBidi"/>
          <w:b/>
        </w:rPr>
        <w:t>Ob1</w:t>
      </w:r>
      <w:r w:rsidRPr="00C02236">
        <w:rPr>
          <w:rFonts w:asciiTheme="majorBidi" w:hAnsiTheme="majorBidi" w:cstheme="majorBidi"/>
          <w:bCs/>
        </w:rPr>
        <w:t xml:space="preserve"> (5.542) displayed the lowest LC</w:t>
      </w:r>
      <w:r w:rsidRPr="00C02236">
        <w:rPr>
          <w:rFonts w:asciiTheme="majorBidi" w:hAnsiTheme="majorBidi" w:cstheme="majorBidi"/>
          <w:bCs/>
          <w:vertAlign w:val="subscript"/>
        </w:rPr>
        <w:t>50</w:t>
      </w:r>
      <w:r w:rsidRPr="00C02236">
        <w:rPr>
          <w:rFonts w:asciiTheme="majorBidi" w:hAnsiTheme="majorBidi" w:cstheme="majorBidi"/>
          <w:bCs/>
        </w:rPr>
        <w:t>FM, suggesting higher toxicity in freshwater environments.</w:t>
      </w:r>
    </w:p>
    <w:p w:rsidR="00647508" w:rsidRPr="00C02236" w:rsidRDefault="00647508" w:rsidP="00647508">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Similarly, the LC</w:t>
      </w:r>
      <w:r w:rsidRPr="00C02236">
        <w:rPr>
          <w:rFonts w:asciiTheme="majorBidi" w:hAnsiTheme="majorBidi" w:cstheme="majorBidi"/>
          <w:bCs/>
          <w:vertAlign w:val="subscript"/>
        </w:rPr>
        <w:t>50</w:t>
      </w:r>
      <w:r w:rsidRPr="00C02236">
        <w:rPr>
          <w:rFonts w:asciiTheme="majorBidi" w:hAnsiTheme="majorBidi" w:cstheme="majorBidi"/>
          <w:bCs/>
        </w:rPr>
        <w:t>DM (lethal concentration for 50% mortality in marine organisms) ranged from 5.66 (</w:t>
      </w:r>
      <w:r w:rsidRPr="00C02236">
        <w:rPr>
          <w:rFonts w:asciiTheme="majorBidi" w:hAnsiTheme="majorBidi" w:cstheme="majorBidi"/>
          <w:b/>
        </w:rPr>
        <w:t>Ob1</w:t>
      </w:r>
      <w:r w:rsidRPr="00C02236">
        <w:rPr>
          <w:rFonts w:asciiTheme="majorBidi" w:hAnsiTheme="majorBidi" w:cstheme="majorBidi"/>
          <w:bCs/>
        </w:rPr>
        <w:t>) to 6.987 (</w:t>
      </w:r>
      <w:r w:rsidRPr="00C02236">
        <w:rPr>
          <w:rFonts w:asciiTheme="majorBidi" w:hAnsiTheme="majorBidi" w:cstheme="majorBidi"/>
          <w:b/>
        </w:rPr>
        <w:t>Ob6</w:t>
      </w:r>
      <w:r w:rsidRPr="00C02236">
        <w:rPr>
          <w:rFonts w:asciiTheme="majorBidi" w:hAnsiTheme="majorBidi" w:cstheme="majorBidi"/>
          <w:bCs/>
        </w:rPr>
        <w:t xml:space="preserve">). Compound </w:t>
      </w:r>
      <w:r w:rsidRPr="00C02236">
        <w:rPr>
          <w:rFonts w:asciiTheme="majorBidi" w:hAnsiTheme="majorBidi" w:cstheme="majorBidi"/>
          <w:b/>
        </w:rPr>
        <w:t>Ob6</w:t>
      </w:r>
      <w:r w:rsidRPr="00C02236">
        <w:rPr>
          <w:rFonts w:asciiTheme="majorBidi" w:hAnsiTheme="majorBidi" w:cstheme="majorBidi"/>
          <w:bCs/>
        </w:rPr>
        <w:t xml:space="preserve"> demonstrated the highest LC</w:t>
      </w:r>
      <w:r w:rsidRPr="00C02236">
        <w:rPr>
          <w:rFonts w:asciiTheme="majorBidi" w:hAnsiTheme="majorBidi" w:cstheme="majorBidi"/>
          <w:bCs/>
          <w:vertAlign w:val="subscript"/>
        </w:rPr>
        <w:t>50</w:t>
      </w:r>
      <w:r w:rsidRPr="00C02236">
        <w:rPr>
          <w:rFonts w:asciiTheme="majorBidi" w:hAnsiTheme="majorBidi" w:cstheme="majorBidi"/>
          <w:bCs/>
        </w:rPr>
        <w:t>DM value, indicating relatively lower toxicity in marine environments, while 6l exhibited the lowest LC</w:t>
      </w:r>
      <w:r w:rsidRPr="00C02236">
        <w:rPr>
          <w:rFonts w:asciiTheme="majorBidi" w:hAnsiTheme="majorBidi" w:cstheme="majorBidi"/>
          <w:bCs/>
          <w:vertAlign w:val="subscript"/>
        </w:rPr>
        <w:t>50</w:t>
      </w:r>
      <w:r w:rsidRPr="00C02236">
        <w:rPr>
          <w:rFonts w:asciiTheme="majorBidi" w:hAnsiTheme="majorBidi" w:cstheme="majorBidi"/>
          <w:bCs/>
        </w:rPr>
        <w:t>DM value, reflecting increased potential for marine</w:t>
      </w:r>
      <w:r w:rsidR="008D53FA">
        <w:rPr>
          <w:rFonts w:asciiTheme="majorBidi" w:hAnsiTheme="majorBidi" w:cstheme="majorBidi"/>
          <w:bCs/>
        </w:rPr>
        <w:t xml:space="preserve"> toxicity as shown in Table 9</w:t>
      </w:r>
      <w:r w:rsidRPr="00C02236">
        <w:rPr>
          <w:rFonts w:asciiTheme="majorBidi" w:hAnsiTheme="majorBidi" w:cstheme="majorBidi"/>
          <w:bCs/>
        </w:rPr>
        <w:t>.</w:t>
      </w:r>
    </w:p>
    <w:p w:rsidR="00647508" w:rsidRPr="008D53FA" w:rsidRDefault="00647508" w:rsidP="008D53FA">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In summary, the environmental toxicity profiles of </w:t>
      </w:r>
      <w:r w:rsidR="00F84409">
        <w:rPr>
          <w:rFonts w:asciiTheme="majorBidi" w:hAnsiTheme="majorBidi" w:cstheme="majorBidi"/>
          <w:bCs/>
          <w:sz w:val="20"/>
          <w:szCs w:val="20"/>
        </w:rPr>
        <w:t>chemical constituent</w:t>
      </w:r>
      <w:r w:rsidRPr="00C02236">
        <w:rPr>
          <w:rFonts w:asciiTheme="majorBidi" w:hAnsiTheme="majorBidi" w:cstheme="majorBidi"/>
          <w:bCs/>
        </w:rPr>
        <w:t xml:space="preserve"> </w:t>
      </w:r>
      <w:r w:rsidRPr="00C02236">
        <w:rPr>
          <w:rFonts w:asciiTheme="majorBidi" w:hAnsiTheme="majorBidi" w:cstheme="majorBidi"/>
          <w:b/>
        </w:rPr>
        <w:t>Ob-l</w:t>
      </w:r>
      <w:r w:rsidRPr="00C02236">
        <w:rPr>
          <w:rFonts w:asciiTheme="majorBidi" w:hAnsiTheme="majorBidi" w:cstheme="majorBidi"/>
          <w:bCs/>
        </w:rPr>
        <w:t xml:space="preserve"> suggest moderate risks to aquatic ecosystems. Compounds like </w:t>
      </w:r>
      <w:r w:rsidRPr="00C02236">
        <w:rPr>
          <w:rFonts w:asciiTheme="majorBidi" w:hAnsiTheme="majorBidi" w:cstheme="majorBidi"/>
          <w:b/>
        </w:rPr>
        <w:t>Ob5</w:t>
      </w:r>
      <w:r w:rsidRPr="00C02236">
        <w:rPr>
          <w:rFonts w:asciiTheme="majorBidi" w:hAnsiTheme="majorBidi" w:cstheme="majorBidi"/>
          <w:bCs/>
        </w:rPr>
        <w:t xml:space="preserve"> and </w:t>
      </w:r>
      <w:r w:rsidRPr="00C02236">
        <w:rPr>
          <w:rFonts w:asciiTheme="majorBidi" w:hAnsiTheme="majorBidi" w:cstheme="majorBidi"/>
          <w:b/>
        </w:rPr>
        <w:t>Ob6</w:t>
      </w:r>
      <w:r w:rsidRPr="00C02236">
        <w:rPr>
          <w:rFonts w:asciiTheme="majorBidi" w:hAnsiTheme="majorBidi" w:cstheme="majorBidi"/>
          <w:bCs/>
        </w:rPr>
        <w:t xml:space="preserve"> displayed lower toxicity and bioaccumulation potential, making them environmentally safer options. However, compounds such as </w:t>
      </w:r>
      <w:r w:rsidRPr="00C02236">
        <w:rPr>
          <w:rFonts w:asciiTheme="majorBidi" w:hAnsiTheme="majorBidi" w:cstheme="majorBidi"/>
          <w:b/>
        </w:rPr>
        <w:t>Ob2</w:t>
      </w:r>
      <w:r w:rsidRPr="00C02236">
        <w:rPr>
          <w:rFonts w:asciiTheme="majorBidi" w:hAnsiTheme="majorBidi" w:cstheme="majorBidi"/>
          <w:bCs/>
        </w:rPr>
        <w:t xml:space="preserve"> and </w:t>
      </w:r>
      <w:r w:rsidRPr="00C02236">
        <w:rPr>
          <w:rFonts w:asciiTheme="majorBidi" w:hAnsiTheme="majorBidi" w:cstheme="majorBidi"/>
          <w:b/>
        </w:rPr>
        <w:t>Ob1</w:t>
      </w:r>
      <w:r w:rsidRPr="00C02236">
        <w:rPr>
          <w:rFonts w:asciiTheme="majorBidi" w:hAnsiTheme="majorBidi" w:cstheme="majorBidi"/>
          <w:bCs/>
        </w:rPr>
        <w:t xml:space="preserve">, with higher </w:t>
      </w:r>
      <w:proofErr w:type="spellStart"/>
      <w:r w:rsidRPr="00C02236">
        <w:rPr>
          <w:rFonts w:asciiTheme="majorBidi" w:hAnsiTheme="majorBidi" w:cstheme="majorBidi"/>
          <w:bCs/>
        </w:rPr>
        <w:t>bioconcentration</w:t>
      </w:r>
      <w:proofErr w:type="spellEnd"/>
      <w:r w:rsidRPr="00C02236">
        <w:rPr>
          <w:rFonts w:asciiTheme="majorBidi" w:hAnsiTheme="majorBidi" w:cstheme="majorBidi"/>
          <w:bCs/>
        </w:rPr>
        <w:t xml:space="preserve"> factors and lower LC</w:t>
      </w:r>
      <w:r w:rsidRPr="00C02236">
        <w:rPr>
          <w:rFonts w:asciiTheme="majorBidi" w:hAnsiTheme="majorBidi" w:cstheme="majorBidi"/>
          <w:bCs/>
          <w:vertAlign w:val="subscript"/>
        </w:rPr>
        <w:t>50</w:t>
      </w:r>
      <w:r w:rsidRPr="00C02236">
        <w:rPr>
          <w:rFonts w:asciiTheme="majorBidi" w:hAnsiTheme="majorBidi" w:cstheme="majorBidi"/>
          <w:bCs/>
        </w:rPr>
        <w:t xml:space="preserve"> values, may pose greater ecological risks, warranting further evaluation to mitigate environmental i</w:t>
      </w:r>
      <w:r w:rsidR="008D53FA">
        <w:rPr>
          <w:rFonts w:asciiTheme="majorBidi" w:hAnsiTheme="majorBidi" w:cstheme="majorBidi"/>
          <w:bCs/>
        </w:rPr>
        <w:t>mpact.</w:t>
      </w:r>
    </w:p>
    <w:p w:rsidR="00647508" w:rsidRPr="008D53FA" w:rsidRDefault="008D53FA" w:rsidP="008D53FA">
      <w:pPr>
        <w:pStyle w:val="NormalWeb"/>
        <w:spacing w:line="360" w:lineRule="auto"/>
        <w:jc w:val="both"/>
        <w:rPr>
          <w:b/>
        </w:rPr>
      </w:pPr>
      <w:r w:rsidRPr="0095487C">
        <w:rPr>
          <w:rFonts w:asciiTheme="majorBidi" w:hAnsiTheme="majorBidi" w:cstheme="majorBidi"/>
          <w:b/>
        </w:rPr>
        <w:t xml:space="preserve">Table 9: Environmental Toxicity profile </w:t>
      </w:r>
      <w:r w:rsidRPr="0022377C">
        <w:rPr>
          <w:rFonts w:asciiTheme="majorBidi" w:hAnsiTheme="majorBidi" w:cstheme="majorBidi"/>
          <w:b/>
        </w:rPr>
        <w:t>of Ob1-Ob10</w:t>
      </w:r>
    </w:p>
    <w:tbl>
      <w:tblPr>
        <w:tblStyle w:val="TableGridLight"/>
        <w:tblW w:w="0" w:type="auto"/>
        <w:tblLook w:val="04A0" w:firstRow="1" w:lastRow="0" w:firstColumn="1" w:lastColumn="0" w:noHBand="0" w:noVBand="1"/>
      </w:tblPr>
      <w:tblGrid>
        <w:gridCol w:w="1791"/>
        <w:gridCol w:w="753"/>
        <w:gridCol w:w="753"/>
        <w:gridCol w:w="755"/>
        <w:gridCol w:w="755"/>
        <w:gridCol w:w="755"/>
        <w:gridCol w:w="754"/>
        <w:gridCol w:w="754"/>
        <w:gridCol w:w="755"/>
        <w:gridCol w:w="754"/>
        <w:gridCol w:w="771"/>
      </w:tblGrid>
      <w:tr w:rsidR="00647508" w:rsidRPr="00FC53C1" w:rsidTr="00F84409">
        <w:tc>
          <w:tcPr>
            <w:tcW w:w="1791" w:type="dxa"/>
          </w:tcPr>
          <w:p w:rsidR="00647508" w:rsidRPr="008D53FA" w:rsidRDefault="00647508" w:rsidP="00A60F55">
            <w:pPr>
              <w:spacing w:line="360" w:lineRule="auto"/>
              <w:jc w:val="both"/>
              <w:rPr>
                <w:rFonts w:asciiTheme="majorBidi" w:hAnsiTheme="majorBidi" w:cstheme="majorBidi"/>
                <w:b/>
                <w:sz w:val="20"/>
                <w:szCs w:val="20"/>
              </w:rPr>
            </w:pPr>
            <w:r w:rsidRPr="008D53FA">
              <w:rPr>
                <w:rFonts w:asciiTheme="majorBidi" w:hAnsiTheme="majorBidi" w:cstheme="majorBidi"/>
                <w:b/>
                <w:sz w:val="20"/>
                <w:szCs w:val="20"/>
              </w:rPr>
              <w:t>Properties</w:t>
            </w:r>
          </w:p>
        </w:tc>
        <w:tc>
          <w:tcPr>
            <w:tcW w:w="753"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OB1</w:t>
            </w:r>
          </w:p>
        </w:tc>
        <w:tc>
          <w:tcPr>
            <w:tcW w:w="753"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OB2</w:t>
            </w:r>
          </w:p>
        </w:tc>
        <w:tc>
          <w:tcPr>
            <w:tcW w:w="755"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OB3</w:t>
            </w:r>
          </w:p>
        </w:tc>
        <w:tc>
          <w:tcPr>
            <w:tcW w:w="755"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OB4</w:t>
            </w:r>
          </w:p>
        </w:tc>
        <w:tc>
          <w:tcPr>
            <w:tcW w:w="755"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OB5</w:t>
            </w:r>
          </w:p>
        </w:tc>
        <w:tc>
          <w:tcPr>
            <w:tcW w:w="754"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OB6</w:t>
            </w:r>
          </w:p>
        </w:tc>
        <w:tc>
          <w:tcPr>
            <w:tcW w:w="754"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OB7</w:t>
            </w:r>
          </w:p>
        </w:tc>
        <w:tc>
          <w:tcPr>
            <w:tcW w:w="755"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OB8</w:t>
            </w:r>
          </w:p>
        </w:tc>
        <w:tc>
          <w:tcPr>
            <w:tcW w:w="754"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OB9</w:t>
            </w:r>
          </w:p>
        </w:tc>
        <w:tc>
          <w:tcPr>
            <w:tcW w:w="771" w:type="dxa"/>
          </w:tcPr>
          <w:p w:rsidR="00647508" w:rsidRPr="00FC53C1" w:rsidRDefault="00647508" w:rsidP="00A60F55">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OB10</w:t>
            </w:r>
          </w:p>
        </w:tc>
      </w:tr>
      <w:tr w:rsidR="00647508" w:rsidRPr="00FC53C1" w:rsidTr="00F84409">
        <w:tc>
          <w:tcPr>
            <w:tcW w:w="1791" w:type="dxa"/>
          </w:tcPr>
          <w:p w:rsidR="00647508" w:rsidRPr="008D53FA" w:rsidRDefault="00647508" w:rsidP="00A60F55">
            <w:pPr>
              <w:spacing w:line="360" w:lineRule="auto"/>
              <w:jc w:val="both"/>
              <w:rPr>
                <w:rFonts w:asciiTheme="majorBidi" w:hAnsiTheme="majorBidi" w:cstheme="majorBidi"/>
                <w:bCs/>
                <w:sz w:val="20"/>
                <w:szCs w:val="20"/>
              </w:rPr>
            </w:pPr>
            <w:proofErr w:type="spellStart"/>
            <w:r w:rsidRPr="008D53FA">
              <w:rPr>
                <w:rFonts w:asciiTheme="majorBidi" w:hAnsiTheme="majorBidi" w:cstheme="majorBidi"/>
                <w:bCs/>
                <w:sz w:val="20"/>
                <w:szCs w:val="20"/>
              </w:rPr>
              <w:t>Bioconcentration</w:t>
            </w:r>
            <w:proofErr w:type="spellEnd"/>
            <w:r w:rsidRPr="008D53FA">
              <w:rPr>
                <w:rFonts w:asciiTheme="majorBidi" w:hAnsiTheme="majorBidi" w:cstheme="majorBidi"/>
                <w:bCs/>
                <w:sz w:val="20"/>
                <w:szCs w:val="20"/>
              </w:rPr>
              <w:t xml:space="preserve"> Factors</w:t>
            </w:r>
          </w:p>
        </w:tc>
        <w:tc>
          <w:tcPr>
            <w:tcW w:w="7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0.611</w:t>
            </w:r>
          </w:p>
        </w:tc>
        <w:tc>
          <w:tcPr>
            <w:tcW w:w="7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0.668</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2.052</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1.292</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1.287</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3.419</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3.204</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3.287</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2.613</w:t>
            </w:r>
          </w:p>
        </w:tc>
        <w:tc>
          <w:tcPr>
            <w:tcW w:w="77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2.647</w:t>
            </w:r>
          </w:p>
        </w:tc>
      </w:tr>
      <w:tr w:rsidR="00647508" w:rsidRPr="00FC53C1" w:rsidTr="00F84409">
        <w:tc>
          <w:tcPr>
            <w:tcW w:w="1791"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IGC                     50</w:t>
            </w:r>
          </w:p>
        </w:tc>
        <w:tc>
          <w:tcPr>
            <w:tcW w:w="7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2.439</w:t>
            </w:r>
          </w:p>
        </w:tc>
        <w:tc>
          <w:tcPr>
            <w:tcW w:w="7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3.057</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4.249</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3.155</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3.52</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4.671</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4.832</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4.643</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4.525</w:t>
            </w:r>
          </w:p>
        </w:tc>
        <w:tc>
          <w:tcPr>
            <w:tcW w:w="77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4.193</w:t>
            </w:r>
          </w:p>
        </w:tc>
      </w:tr>
      <w:tr w:rsidR="00647508" w:rsidRPr="00FC53C1" w:rsidTr="00F84409">
        <w:tc>
          <w:tcPr>
            <w:tcW w:w="1791"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 xml:space="preserve">LC  50 FM </w:t>
            </w:r>
          </w:p>
        </w:tc>
        <w:tc>
          <w:tcPr>
            <w:tcW w:w="7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3.218</w:t>
            </w:r>
          </w:p>
        </w:tc>
        <w:tc>
          <w:tcPr>
            <w:tcW w:w="7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4.16</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5.14</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3.848</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3.966</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5.678</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5.689</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5.5</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5.353</w:t>
            </w:r>
          </w:p>
        </w:tc>
        <w:tc>
          <w:tcPr>
            <w:tcW w:w="77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4.825</w:t>
            </w:r>
          </w:p>
        </w:tc>
      </w:tr>
      <w:tr w:rsidR="00647508" w:rsidRPr="00FC53C1" w:rsidTr="00F84409">
        <w:tc>
          <w:tcPr>
            <w:tcW w:w="1791" w:type="dxa"/>
          </w:tcPr>
          <w:p w:rsidR="00647508" w:rsidRPr="008D53FA" w:rsidRDefault="00647508" w:rsidP="00A60F55">
            <w:pPr>
              <w:spacing w:line="360" w:lineRule="auto"/>
              <w:jc w:val="both"/>
              <w:rPr>
                <w:rFonts w:asciiTheme="majorBidi" w:hAnsiTheme="majorBidi" w:cstheme="majorBidi"/>
                <w:bCs/>
                <w:sz w:val="20"/>
                <w:szCs w:val="20"/>
              </w:rPr>
            </w:pPr>
            <w:r w:rsidRPr="008D53FA">
              <w:rPr>
                <w:rFonts w:asciiTheme="majorBidi" w:hAnsiTheme="majorBidi" w:cstheme="majorBidi"/>
                <w:bCs/>
                <w:sz w:val="20"/>
                <w:szCs w:val="20"/>
              </w:rPr>
              <w:t>LC50DM</w:t>
            </w:r>
          </w:p>
        </w:tc>
        <w:tc>
          <w:tcPr>
            <w:tcW w:w="7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3.71</w:t>
            </w:r>
          </w:p>
        </w:tc>
        <w:tc>
          <w:tcPr>
            <w:tcW w:w="753"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4.537</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5.476</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4.357</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4.272</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5.131</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5.54</w:t>
            </w:r>
          </w:p>
        </w:tc>
        <w:tc>
          <w:tcPr>
            <w:tcW w:w="755"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5.088</w:t>
            </w:r>
          </w:p>
        </w:tc>
        <w:tc>
          <w:tcPr>
            <w:tcW w:w="754"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5.418</w:t>
            </w:r>
          </w:p>
        </w:tc>
        <w:tc>
          <w:tcPr>
            <w:tcW w:w="771" w:type="dxa"/>
          </w:tcPr>
          <w:p w:rsidR="00647508" w:rsidRPr="00FC53C1" w:rsidRDefault="00647508" w:rsidP="00A60F55">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4.911</w:t>
            </w:r>
          </w:p>
        </w:tc>
      </w:tr>
    </w:tbl>
    <w:p w:rsidR="00F84409" w:rsidRDefault="00F84409" w:rsidP="00647508">
      <w:pPr>
        <w:spacing w:line="360" w:lineRule="auto"/>
        <w:jc w:val="both"/>
        <w:rPr>
          <w:rFonts w:asciiTheme="majorBidi" w:hAnsiTheme="majorBidi" w:cstheme="majorBidi"/>
          <w:bCs/>
        </w:rPr>
      </w:pPr>
    </w:p>
    <w:p w:rsidR="008D53FA" w:rsidRPr="008D53FA" w:rsidRDefault="008D53FA" w:rsidP="008D53FA">
      <w:pPr>
        <w:spacing w:line="360" w:lineRule="auto"/>
        <w:jc w:val="both"/>
        <w:rPr>
          <w:rFonts w:asciiTheme="majorBidi" w:hAnsiTheme="majorBidi" w:cstheme="majorBidi"/>
          <w:b/>
        </w:rPr>
      </w:pPr>
      <w:r>
        <w:rPr>
          <w:b/>
          <w:color w:val="000000" w:themeColor="text1"/>
        </w:rPr>
        <w:t xml:space="preserve">3.3.8: </w:t>
      </w:r>
      <w:r w:rsidRPr="008D53FA">
        <w:rPr>
          <w:rFonts w:asciiTheme="majorBidi" w:hAnsiTheme="majorBidi" w:cstheme="majorBidi"/>
          <w:b/>
        </w:rPr>
        <w:t xml:space="preserve">Tox21 pathway </w:t>
      </w:r>
      <w:r w:rsidR="008C5CEE" w:rsidRPr="0022377C">
        <w:rPr>
          <w:rFonts w:asciiTheme="majorBidi" w:hAnsiTheme="majorBidi" w:cstheme="majorBidi"/>
          <w:b/>
        </w:rPr>
        <w:t>of Ob1-Ob10</w:t>
      </w:r>
    </w:p>
    <w:p w:rsidR="00647508" w:rsidRPr="00C02236" w:rsidRDefault="00647508" w:rsidP="00F84409">
      <w:pPr>
        <w:spacing w:line="360" w:lineRule="auto"/>
        <w:jc w:val="both"/>
        <w:rPr>
          <w:rFonts w:asciiTheme="majorBidi" w:hAnsiTheme="majorBidi" w:cstheme="majorBidi"/>
        </w:rPr>
      </w:pPr>
      <w:r w:rsidRPr="00C02236">
        <w:rPr>
          <w:rFonts w:asciiTheme="majorBidi" w:hAnsiTheme="majorBidi" w:cstheme="majorBidi"/>
          <w:bCs/>
        </w:rPr>
        <w:lastRenderedPageBreak/>
        <w:t xml:space="preserve">The Tox21 pathway analysis for </w:t>
      </w:r>
      <w:r w:rsidR="00F84409">
        <w:rPr>
          <w:rFonts w:asciiTheme="majorBidi" w:hAnsiTheme="majorBidi" w:cstheme="majorBidi"/>
          <w:bCs/>
          <w:sz w:val="20"/>
          <w:szCs w:val="20"/>
        </w:rPr>
        <w:t>chemical constituent</w:t>
      </w:r>
      <w:r w:rsidRPr="00C02236">
        <w:rPr>
          <w:rFonts w:asciiTheme="majorBidi" w:hAnsiTheme="majorBidi" w:cstheme="majorBidi"/>
          <w:bCs/>
        </w:rPr>
        <w:t xml:space="preserve"> </w:t>
      </w:r>
      <w:r w:rsidRPr="00C02236">
        <w:rPr>
          <w:rFonts w:asciiTheme="majorBidi" w:hAnsiTheme="majorBidi" w:cstheme="majorBidi"/>
          <w:b/>
        </w:rPr>
        <w:t>Ob-l</w:t>
      </w:r>
      <w:r w:rsidRPr="00C02236">
        <w:rPr>
          <w:rFonts w:asciiTheme="majorBidi" w:hAnsiTheme="majorBidi" w:cstheme="majorBidi"/>
          <w:bCs/>
        </w:rPr>
        <w:t xml:space="preserve"> provides valuable insights into their interactions with nuclear receptors (NR) and stress response (SR) pathways, which are crucial for understanding toxicological mechanisms at the molecular level. The aryl hydrocarbon receptor (NR-</w:t>
      </w:r>
      <w:proofErr w:type="spellStart"/>
      <w:r w:rsidRPr="00C02236">
        <w:rPr>
          <w:rFonts w:asciiTheme="majorBidi" w:hAnsiTheme="majorBidi" w:cstheme="majorBidi"/>
          <w:bCs/>
        </w:rPr>
        <w:t>AhR</w:t>
      </w:r>
      <w:proofErr w:type="spellEnd"/>
      <w:r w:rsidRPr="00C02236">
        <w:rPr>
          <w:rFonts w:asciiTheme="majorBidi" w:hAnsiTheme="majorBidi" w:cstheme="majorBidi"/>
          <w:bCs/>
        </w:rPr>
        <w:t xml:space="preserve">) pathway exhibited high activation probabilities for most compounds, with values exceeding 0.99 across the series, except for </w:t>
      </w:r>
      <w:r w:rsidRPr="00C02236">
        <w:rPr>
          <w:rFonts w:asciiTheme="majorBidi" w:hAnsiTheme="majorBidi" w:cstheme="majorBidi"/>
          <w:b/>
        </w:rPr>
        <w:t>Ob1</w:t>
      </w:r>
      <w:r w:rsidRPr="00C02236">
        <w:rPr>
          <w:rFonts w:asciiTheme="majorBidi" w:hAnsiTheme="majorBidi" w:cstheme="majorBidi"/>
          <w:bCs/>
        </w:rPr>
        <w:t xml:space="preserve"> (</w:t>
      </w:r>
      <w:r w:rsidRPr="00C02236">
        <w:rPr>
          <w:rFonts w:asciiTheme="majorBidi" w:hAnsiTheme="majorBidi" w:cstheme="majorBidi"/>
        </w:rPr>
        <w:t>2.439</w:t>
      </w:r>
      <w:r w:rsidRPr="00C02236">
        <w:rPr>
          <w:rFonts w:asciiTheme="majorBidi" w:hAnsiTheme="majorBidi" w:cstheme="majorBidi"/>
          <w:bCs/>
        </w:rPr>
        <w:t xml:space="preserve">). This suggests that compounds such as </w:t>
      </w:r>
      <w:r w:rsidRPr="00C02236">
        <w:rPr>
          <w:rFonts w:asciiTheme="majorBidi" w:hAnsiTheme="majorBidi" w:cstheme="majorBidi"/>
          <w:b/>
        </w:rPr>
        <w:t>Ob2</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and </w:t>
      </w:r>
      <w:r w:rsidRPr="00C02236">
        <w:rPr>
          <w:rFonts w:asciiTheme="majorBidi" w:hAnsiTheme="majorBidi" w:cstheme="majorBidi"/>
          <w:b/>
        </w:rPr>
        <w:t>Ob5</w:t>
      </w:r>
      <w:r w:rsidRPr="00C02236">
        <w:rPr>
          <w:rFonts w:asciiTheme="majorBidi" w:hAnsiTheme="majorBidi" w:cstheme="majorBidi"/>
          <w:bCs/>
        </w:rPr>
        <w:t xml:space="preserve"> strongly activate this pathway, indicating potential for endocrine disruption and interference with normal cellular signaling. The androgen receptor (NR-AR) and its ligand-binding domain (NR-AR-LBD) pathways showed variable activation. NR-AR activation probabilities ranged from</w:t>
      </w:r>
      <w:r w:rsidRPr="00C02236">
        <w:rPr>
          <w:rFonts w:asciiTheme="majorBidi" w:hAnsiTheme="majorBidi" w:cstheme="majorBidi"/>
        </w:rPr>
        <w:t xml:space="preserve">0. </w:t>
      </w:r>
      <w:proofErr w:type="gramStart"/>
      <w:r w:rsidRPr="00C02236">
        <w:rPr>
          <w:rFonts w:asciiTheme="majorBidi" w:hAnsiTheme="majorBidi" w:cstheme="majorBidi"/>
        </w:rPr>
        <w:t>0.611</w:t>
      </w:r>
      <w:r w:rsidRPr="00C02236">
        <w:rPr>
          <w:rFonts w:asciiTheme="majorBidi" w:hAnsiTheme="majorBidi" w:cstheme="majorBidi"/>
          <w:bCs/>
        </w:rPr>
        <w:t xml:space="preserve">  (</w:t>
      </w:r>
      <w:proofErr w:type="gramEnd"/>
      <w:r w:rsidRPr="00C02236">
        <w:rPr>
          <w:rFonts w:asciiTheme="majorBidi" w:hAnsiTheme="majorBidi" w:cstheme="majorBidi"/>
          <w:b/>
        </w:rPr>
        <w:t>Ob1</w:t>
      </w:r>
      <w:r w:rsidRPr="00C02236">
        <w:rPr>
          <w:rFonts w:asciiTheme="majorBidi" w:hAnsiTheme="majorBidi" w:cstheme="majorBidi"/>
          <w:bCs/>
        </w:rPr>
        <w:t>) to</w:t>
      </w:r>
      <w:r w:rsidRPr="00C02236">
        <w:rPr>
          <w:rFonts w:asciiTheme="majorBidi" w:hAnsiTheme="majorBidi" w:cstheme="majorBidi"/>
        </w:rPr>
        <w:t>5.14</w:t>
      </w:r>
      <w:r w:rsidRPr="00C02236">
        <w:rPr>
          <w:rFonts w:asciiTheme="majorBidi" w:hAnsiTheme="majorBidi" w:cstheme="majorBidi"/>
          <w:bCs/>
        </w:rPr>
        <w:t xml:space="preserve">  (</w:t>
      </w:r>
      <w:r w:rsidRPr="00C02236">
        <w:rPr>
          <w:rFonts w:asciiTheme="majorBidi" w:hAnsiTheme="majorBidi" w:cstheme="majorBidi"/>
          <w:b/>
        </w:rPr>
        <w:t>Ob3</w:t>
      </w:r>
      <w:r w:rsidRPr="00C02236">
        <w:rPr>
          <w:rFonts w:asciiTheme="majorBidi" w:hAnsiTheme="majorBidi" w:cstheme="majorBidi"/>
          <w:bCs/>
        </w:rPr>
        <w:t xml:space="preserve">), with most compounds showing minimal activity. For NR-AR-LBD, higher probabilities were observed for </w:t>
      </w:r>
      <w:r w:rsidRPr="00C02236">
        <w:rPr>
          <w:rFonts w:asciiTheme="majorBidi" w:hAnsiTheme="majorBidi" w:cstheme="majorBidi"/>
          <w:b/>
        </w:rPr>
        <w:t>Ob4</w:t>
      </w:r>
      <w:r w:rsidRPr="00C02236">
        <w:rPr>
          <w:rFonts w:asciiTheme="majorBidi" w:hAnsiTheme="majorBidi" w:cstheme="majorBidi"/>
          <w:bCs/>
        </w:rPr>
        <w:t xml:space="preserve"> (</w:t>
      </w:r>
      <w:r w:rsidRPr="00C02236">
        <w:rPr>
          <w:rFonts w:asciiTheme="majorBidi" w:hAnsiTheme="majorBidi" w:cstheme="majorBidi"/>
        </w:rPr>
        <w:t>3.848</w:t>
      </w:r>
      <w:r w:rsidRPr="00C02236">
        <w:rPr>
          <w:rFonts w:asciiTheme="majorBidi" w:hAnsiTheme="majorBidi" w:cstheme="majorBidi"/>
          <w:bCs/>
        </w:rPr>
        <w:t xml:space="preserve">) and </w:t>
      </w:r>
      <w:r w:rsidRPr="00C02236">
        <w:rPr>
          <w:rFonts w:asciiTheme="majorBidi" w:hAnsiTheme="majorBidi" w:cstheme="majorBidi"/>
          <w:b/>
        </w:rPr>
        <w:t xml:space="preserve">Ob3 </w:t>
      </w:r>
      <w:r w:rsidRPr="00C02236">
        <w:rPr>
          <w:rFonts w:asciiTheme="majorBidi" w:hAnsiTheme="majorBidi" w:cstheme="majorBidi"/>
          <w:bCs/>
        </w:rPr>
        <w:t>(</w:t>
      </w:r>
      <w:r w:rsidRPr="00C02236">
        <w:rPr>
          <w:rFonts w:asciiTheme="majorBidi" w:hAnsiTheme="majorBidi" w:cstheme="majorBidi"/>
        </w:rPr>
        <w:t>5.14</w:t>
      </w:r>
      <w:r w:rsidRPr="00C02236">
        <w:rPr>
          <w:rFonts w:asciiTheme="majorBidi" w:hAnsiTheme="majorBidi" w:cstheme="majorBidi"/>
          <w:bCs/>
        </w:rPr>
        <w:t>), suggesting a greater likelihood of interaction with androgen receptors. The aromatase (NR-Aromatase) pathway showed activation probabilities ranging from 0.073 (</w:t>
      </w:r>
      <w:r w:rsidRPr="00C02236">
        <w:rPr>
          <w:rFonts w:asciiTheme="majorBidi" w:hAnsiTheme="majorBidi" w:cstheme="majorBidi"/>
          <w:b/>
        </w:rPr>
        <w:t>Ob1</w:t>
      </w:r>
      <w:r w:rsidRPr="00C02236">
        <w:rPr>
          <w:rFonts w:asciiTheme="majorBidi" w:hAnsiTheme="majorBidi" w:cstheme="majorBidi"/>
          <w:bCs/>
        </w:rPr>
        <w:t>) to 0.874 (</w:t>
      </w:r>
      <w:r w:rsidRPr="00C02236">
        <w:rPr>
          <w:rFonts w:asciiTheme="majorBidi" w:hAnsiTheme="majorBidi" w:cstheme="majorBidi"/>
          <w:b/>
        </w:rPr>
        <w:t>Ob4</w:t>
      </w:r>
      <w:r w:rsidRPr="00C02236">
        <w:rPr>
          <w:rFonts w:asciiTheme="majorBidi" w:hAnsiTheme="majorBidi" w:cstheme="majorBidi"/>
          <w:bCs/>
        </w:rPr>
        <w:t xml:space="preserve">), with compounds </w:t>
      </w:r>
      <w:r w:rsidRPr="00C02236">
        <w:rPr>
          <w:rFonts w:asciiTheme="majorBidi" w:hAnsiTheme="majorBidi" w:cstheme="majorBidi"/>
          <w:b/>
        </w:rPr>
        <w:t>Ob4</w:t>
      </w:r>
      <w:r w:rsidRPr="00C02236">
        <w:rPr>
          <w:rFonts w:asciiTheme="majorBidi" w:hAnsiTheme="majorBidi" w:cstheme="majorBidi"/>
          <w:bCs/>
        </w:rPr>
        <w:t xml:space="preserve"> and </w:t>
      </w:r>
      <w:r w:rsidRPr="00C02236">
        <w:rPr>
          <w:rFonts w:asciiTheme="majorBidi" w:hAnsiTheme="majorBidi" w:cstheme="majorBidi"/>
          <w:b/>
        </w:rPr>
        <w:t>Ob3</w:t>
      </w:r>
      <w:r w:rsidRPr="00C02236">
        <w:rPr>
          <w:rFonts w:asciiTheme="majorBidi" w:hAnsiTheme="majorBidi" w:cstheme="majorBidi"/>
          <w:bCs/>
        </w:rPr>
        <w:t xml:space="preserve"> demonstrating the highest activation, indicating possible effects on steroid metabolism and endocrine function. Similarly, the estrogen receptor (NR-ER) pathway showed high activation for </w:t>
      </w:r>
      <w:r w:rsidRPr="00C02236">
        <w:rPr>
          <w:rFonts w:asciiTheme="majorBidi" w:hAnsiTheme="majorBidi" w:cstheme="majorBidi"/>
          <w:b/>
        </w:rPr>
        <w:t xml:space="preserve">6d </w:t>
      </w:r>
      <w:r w:rsidRPr="00C02236">
        <w:rPr>
          <w:rFonts w:asciiTheme="majorBidi" w:hAnsiTheme="majorBidi" w:cstheme="majorBidi"/>
          <w:bCs/>
        </w:rPr>
        <w:t xml:space="preserve">(0.832) and moderate activation for other compounds, with </w:t>
      </w:r>
      <w:r w:rsidRPr="00C02236">
        <w:rPr>
          <w:rFonts w:asciiTheme="majorBidi" w:hAnsiTheme="majorBidi" w:cstheme="majorBidi"/>
          <w:b/>
        </w:rPr>
        <w:t xml:space="preserve">Ob1 </w:t>
      </w:r>
      <w:r w:rsidRPr="00C02236">
        <w:rPr>
          <w:rFonts w:asciiTheme="majorBidi" w:hAnsiTheme="majorBidi" w:cstheme="majorBidi"/>
          <w:bCs/>
        </w:rPr>
        <w:t>(0.018) exhibiting the lowest probability. For the ligand-binding domain of the estrogen receptor (NR-ER-LBD), activation probabilities were minimal, ranging from 0.001 (</w:t>
      </w:r>
      <w:r w:rsidRPr="00C02236">
        <w:rPr>
          <w:rFonts w:asciiTheme="majorBidi" w:hAnsiTheme="majorBidi" w:cstheme="majorBidi"/>
          <w:b/>
        </w:rPr>
        <w:t>Ob1</w:t>
      </w:r>
      <w:r w:rsidRPr="00C02236">
        <w:rPr>
          <w:rFonts w:asciiTheme="majorBidi" w:hAnsiTheme="majorBidi" w:cstheme="majorBidi"/>
          <w:bCs/>
        </w:rPr>
        <w:t>) to 0.114 (</w:t>
      </w:r>
      <w:r w:rsidRPr="00C02236">
        <w:rPr>
          <w:rFonts w:asciiTheme="majorBidi" w:hAnsiTheme="majorBidi" w:cstheme="majorBidi"/>
          <w:b/>
        </w:rPr>
        <w:t>Ob4</w:t>
      </w:r>
      <w:r w:rsidRPr="00C02236">
        <w:rPr>
          <w:rFonts w:asciiTheme="majorBidi" w:hAnsiTheme="majorBidi" w:cstheme="majorBidi"/>
          <w:bCs/>
        </w:rPr>
        <w:t xml:space="preserve">), suggesting limited direct binding. The peroxisome proliferator-activated receptor gamma (NR-PPAR-gamma) pathway displayed significant activation for compounds </w:t>
      </w:r>
      <w:r w:rsidRPr="00C02236">
        <w:rPr>
          <w:rFonts w:asciiTheme="majorBidi" w:hAnsiTheme="majorBidi" w:cstheme="majorBidi"/>
          <w:b/>
        </w:rPr>
        <w:t>Ob2</w:t>
      </w:r>
      <w:r w:rsidRPr="00C02236">
        <w:rPr>
          <w:rFonts w:asciiTheme="majorBidi" w:hAnsiTheme="majorBidi" w:cstheme="majorBidi"/>
          <w:bCs/>
        </w:rPr>
        <w:t xml:space="preserve"> (0.624), </w:t>
      </w:r>
      <w:r w:rsidRPr="00C02236">
        <w:rPr>
          <w:rFonts w:asciiTheme="majorBidi" w:hAnsiTheme="majorBidi" w:cstheme="majorBidi"/>
          <w:b/>
        </w:rPr>
        <w:t xml:space="preserve">Ob3 </w:t>
      </w:r>
      <w:r w:rsidRPr="00C02236">
        <w:rPr>
          <w:rFonts w:asciiTheme="majorBidi" w:hAnsiTheme="majorBidi" w:cstheme="majorBidi"/>
          <w:bCs/>
        </w:rPr>
        <w:t xml:space="preserve">(0.629), and </w:t>
      </w:r>
      <w:r w:rsidRPr="00C02236">
        <w:rPr>
          <w:rFonts w:asciiTheme="majorBidi" w:hAnsiTheme="majorBidi" w:cstheme="majorBidi"/>
          <w:b/>
        </w:rPr>
        <w:t xml:space="preserve">Ob8 </w:t>
      </w:r>
      <w:r w:rsidRPr="00C02236">
        <w:rPr>
          <w:rFonts w:asciiTheme="majorBidi" w:hAnsiTheme="majorBidi" w:cstheme="majorBidi"/>
          <w:bCs/>
        </w:rPr>
        <w:t xml:space="preserve">(0.634), indicating potential involvement in lipid metabolism and adipocyte differentiation. In contrast, compounds like </w:t>
      </w:r>
      <w:r w:rsidRPr="00C02236">
        <w:rPr>
          <w:rFonts w:asciiTheme="majorBidi" w:hAnsiTheme="majorBidi" w:cstheme="majorBidi"/>
          <w:b/>
        </w:rPr>
        <w:t xml:space="preserve">Ob1 </w:t>
      </w:r>
      <w:r w:rsidRPr="00C02236">
        <w:rPr>
          <w:rFonts w:asciiTheme="majorBidi" w:hAnsiTheme="majorBidi" w:cstheme="majorBidi"/>
          <w:bCs/>
        </w:rPr>
        <w:t>(0.003) and Ob7 (0.044) exhibited negligible activation.</w:t>
      </w:r>
    </w:p>
    <w:p w:rsidR="00647508" w:rsidRPr="00C02236" w:rsidRDefault="00647508" w:rsidP="00647508">
      <w:pPr>
        <w:spacing w:line="360" w:lineRule="auto"/>
        <w:jc w:val="both"/>
        <w:rPr>
          <w:rFonts w:asciiTheme="majorBidi" w:hAnsiTheme="majorBidi" w:cstheme="majorBidi"/>
        </w:rPr>
      </w:pPr>
      <w:r w:rsidRPr="00C02236">
        <w:rPr>
          <w:rFonts w:asciiTheme="majorBidi" w:hAnsiTheme="majorBidi" w:cstheme="majorBidi"/>
          <w:bCs/>
        </w:rPr>
        <w:t xml:space="preserve">In terms of stress response (SR) pathways, the antioxidant response element (SR-ARE) pathway, associated with oxidative stress response, demonstrated high activation probabilities for most compounds, with values close to 1.001 for </w:t>
      </w:r>
      <w:r w:rsidRPr="00C02236">
        <w:rPr>
          <w:rFonts w:asciiTheme="majorBidi" w:hAnsiTheme="majorBidi" w:cstheme="majorBidi"/>
          <w:b/>
        </w:rPr>
        <w:t>Ob4</w:t>
      </w:r>
      <w:r w:rsidRPr="00C02236">
        <w:rPr>
          <w:rFonts w:asciiTheme="majorBidi" w:hAnsiTheme="majorBidi" w:cstheme="majorBidi"/>
          <w:bCs/>
        </w:rPr>
        <w:t xml:space="preserve">, </w:t>
      </w:r>
      <w:r w:rsidRPr="00C02236">
        <w:rPr>
          <w:rFonts w:asciiTheme="majorBidi" w:hAnsiTheme="majorBidi" w:cstheme="majorBidi"/>
          <w:b/>
        </w:rPr>
        <w:t>Ob5</w:t>
      </w:r>
      <w:r w:rsidRPr="00C02236">
        <w:rPr>
          <w:rFonts w:asciiTheme="majorBidi" w:hAnsiTheme="majorBidi" w:cstheme="majorBidi"/>
          <w:bCs/>
        </w:rPr>
        <w:t xml:space="preserve">, and Ob8. Compound </w:t>
      </w:r>
      <w:r w:rsidRPr="00C02236">
        <w:rPr>
          <w:rFonts w:asciiTheme="majorBidi" w:hAnsiTheme="majorBidi" w:cstheme="majorBidi"/>
          <w:b/>
        </w:rPr>
        <w:t>Ob1</w:t>
      </w:r>
      <w:r w:rsidRPr="00C02236">
        <w:rPr>
          <w:rFonts w:asciiTheme="majorBidi" w:hAnsiTheme="majorBidi" w:cstheme="majorBidi"/>
          <w:bCs/>
        </w:rPr>
        <w:t xml:space="preserve"> (</w:t>
      </w:r>
      <w:r w:rsidRPr="00C02236">
        <w:rPr>
          <w:rFonts w:asciiTheme="majorBidi" w:hAnsiTheme="majorBidi" w:cstheme="majorBidi"/>
        </w:rPr>
        <w:t>0.011</w:t>
      </w:r>
      <w:r w:rsidRPr="00C02236">
        <w:rPr>
          <w:rFonts w:asciiTheme="majorBidi" w:hAnsiTheme="majorBidi" w:cstheme="majorBidi"/>
          <w:bCs/>
        </w:rPr>
        <w:t>) showed the least activation, indicating a reduced potential for inducing oxidative stress responses. The ATAD5 (SR-ATAD5) pathway, linked to DNA replication stress, showed variable activation, with probabilities ranging from 0.002 (</w:t>
      </w:r>
      <w:r w:rsidRPr="00C02236">
        <w:rPr>
          <w:rFonts w:asciiTheme="majorBidi" w:hAnsiTheme="majorBidi" w:cstheme="majorBidi"/>
          <w:b/>
        </w:rPr>
        <w:t>Ob1</w:t>
      </w:r>
      <w:r w:rsidRPr="00C02236">
        <w:rPr>
          <w:rFonts w:asciiTheme="majorBidi" w:hAnsiTheme="majorBidi" w:cstheme="majorBidi"/>
          <w:bCs/>
        </w:rPr>
        <w:t>) to 0.614 (</w:t>
      </w:r>
      <w:r w:rsidRPr="00C02236">
        <w:rPr>
          <w:rFonts w:asciiTheme="majorBidi" w:hAnsiTheme="majorBidi" w:cstheme="majorBidi"/>
          <w:b/>
        </w:rPr>
        <w:t>Ob9</w:t>
      </w:r>
      <w:r w:rsidRPr="00C02236">
        <w:rPr>
          <w:rFonts w:asciiTheme="majorBidi" w:hAnsiTheme="majorBidi" w:cstheme="majorBidi"/>
          <w:bCs/>
        </w:rPr>
        <w:t xml:space="preserve">). Compounds </w:t>
      </w:r>
      <w:r w:rsidRPr="00C02236">
        <w:rPr>
          <w:rFonts w:asciiTheme="majorBidi" w:hAnsiTheme="majorBidi" w:cstheme="majorBidi"/>
          <w:b/>
        </w:rPr>
        <w:t>Ob9</w:t>
      </w:r>
      <w:r w:rsidRPr="00C02236">
        <w:rPr>
          <w:rFonts w:asciiTheme="majorBidi" w:hAnsiTheme="majorBidi" w:cstheme="majorBidi"/>
          <w:bCs/>
        </w:rPr>
        <w:t xml:space="preserve"> and </w:t>
      </w:r>
      <w:r w:rsidRPr="00C02236">
        <w:rPr>
          <w:rFonts w:asciiTheme="majorBidi" w:hAnsiTheme="majorBidi" w:cstheme="majorBidi"/>
          <w:b/>
        </w:rPr>
        <w:t>Ob4</w:t>
      </w:r>
      <w:r w:rsidRPr="00C02236">
        <w:rPr>
          <w:rFonts w:asciiTheme="majorBidi" w:hAnsiTheme="majorBidi" w:cstheme="majorBidi"/>
          <w:bCs/>
        </w:rPr>
        <w:t xml:space="preserve"> demonstrated the highest activation, suggesting potential </w:t>
      </w:r>
      <w:proofErr w:type="spellStart"/>
      <w:r w:rsidRPr="00C02236">
        <w:rPr>
          <w:rFonts w:asciiTheme="majorBidi" w:hAnsiTheme="majorBidi" w:cstheme="majorBidi"/>
          <w:bCs/>
        </w:rPr>
        <w:t>genotoxic</w:t>
      </w:r>
      <w:proofErr w:type="spellEnd"/>
      <w:r w:rsidRPr="00C02236">
        <w:rPr>
          <w:rFonts w:asciiTheme="majorBidi" w:hAnsiTheme="majorBidi" w:cstheme="majorBidi"/>
          <w:bCs/>
        </w:rPr>
        <w:t xml:space="preserve"> stress induction. The heat shock response element (SR-HSE) pathway, indicative of protein damage and </w:t>
      </w:r>
      <w:proofErr w:type="spellStart"/>
      <w:r w:rsidRPr="00C02236">
        <w:rPr>
          <w:rFonts w:asciiTheme="majorBidi" w:hAnsiTheme="majorBidi" w:cstheme="majorBidi"/>
          <w:bCs/>
        </w:rPr>
        <w:t>misfolding</w:t>
      </w:r>
      <w:proofErr w:type="spellEnd"/>
      <w:r w:rsidRPr="00C02236">
        <w:rPr>
          <w:rFonts w:asciiTheme="majorBidi" w:hAnsiTheme="majorBidi" w:cstheme="majorBidi"/>
          <w:bCs/>
        </w:rPr>
        <w:t xml:space="preserve">, exhibited high activation probabilities for most compounds, particularly </w:t>
      </w:r>
      <w:r w:rsidRPr="00C02236">
        <w:rPr>
          <w:rFonts w:asciiTheme="majorBidi" w:hAnsiTheme="majorBidi" w:cstheme="majorBidi"/>
          <w:b/>
        </w:rPr>
        <w:t>Ob9</w:t>
      </w:r>
      <w:r w:rsidRPr="00C02236">
        <w:rPr>
          <w:rFonts w:asciiTheme="majorBidi" w:hAnsiTheme="majorBidi" w:cstheme="majorBidi"/>
          <w:bCs/>
        </w:rPr>
        <w:t xml:space="preserve"> (0.99) and </w:t>
      </w:r>
      <w:r w:rsidRPr="00C02236">
        <w:rPr>
          <w:rFonts w:asciiTheme="majorBidi" w:hAnsiTheme="majorBidi" w:cstheme="majorBidi"/>
          <w:b/>
        </w:rPr>
        <w:t>Ob5</w:t>
      </w:r>
      <w:r w:rsidRPr="00C02236">
        <w:rPr>
          <w:rFonts w:asciiTheme="majorBidi" w:hAnsiTheme="majorBidi" w:cstheme="majorBidi"/>
          <w:bCs/>
        </w:rPr>
        <w:t xml:space="preserve"> (0.98), while </w:t>
      </w:r>
      <w:r w:rsidRPr="00C02236">
        <w:rPr>
          <w:rFonts w:asciiTheme="majorBidi" w:hAnsiTheme="majorBidi" w:cstheme="majorBidi"/>
          <w:b/>
        </w:rPr>
        <w:t xml:space="preserve">Ob1 </w:t>
      </w:r>
      <w:r w:rsidRPr="00C02236">
        <w:rPr>
          <w:rFonts w:asciiTheme="majorBidi" w:hAnsiTheme="majorBidi" w:cstheme="majorBidi"/>
          <w:bCs/>
        </w:rPr>
        <w:lastRenderedPageBreak/>
        <w:t xml:space="preserve">(0.551) displayed the lowest probability, indicating reduced potential for protein stress induction. The matrix metalloproteinase (SR-MMP) pathway, associated with tissue remodeling, showed uniform activation across most compounds (1.0), except for </w:t>
      </w:r>
      <w:r w:rsidRPr="00C02236">
        <w:rPr>
          <w:rFonts w:asciiTheme="majorBidi" w:hAnsiTheme="majorBidi" w:cstheme="majorBidi"/>
          <w:b/>
        </w:rPr>
        <w:t>Ob1</w:t>
      </w:r>
      <w:r w:rsidRPr="00C02236">
        <w:rPr>
          <w:rFonts w:asciiTheme="majorBidi" w:hAnsiTheme="majorBidi" w:cstheme="majorBidi"/>
          <w:bCs/>
        </w:rPr>
        <w:t xml:space="preserve"> (</w:t>
      </w:r>
      <w:r w:rsidRPr="00C02236">
        <w:rPr>
          <w:rFonts w:asciiTheme="majorBidi" w:hAnsiTheme="majorBidi" w:cstheme="majorBidi"/>
        </w:rPr>
        <w:t>0.0</w:t>
      </w:r>
      <w:r w:rsidRPr="00C02236">
        <w:rPr>
          <w:rFonts w:asciiTheme="majorBidi" w:hAnsiTheme="majorBidi" w:cstheme="majorBidi"/>
          <w:bCs/>
        </w:rPr>
        <w:t xml:space="preserve">), reflecting consistent involvement in extracellular matrix regulation. Lastly, the p53 pathway (SR-p53), related to DNA damage and tumor suppression, displayed moderate to high activation probabilities ranging from </w:t>
      </w:r>
      <w:r w:rsidRPr="00C02236">
        <w:rPr>
          <w:rFonts w:asciiTheme="majorBidi" w:hAnsiTheme="majorBidi" w:cstheme="majorBidi"/>
        </w:rPr>
        <w:t>0.011</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to</w:t>
      </w:r>
      <w:r w:rsidRPr="00C02236">
        <w:rPr>
          <w:rFonts w:asciiTheme="majorBidi" w:hAnsiTheme="majorBidi" w:cstheme="majorBidi"/>
        </w:rPr>
        <w:t>0.424</w:t>
      </w:r>
      <w:r w:rsidRPr="00C02236">
        <w:rPr>
          <w:rFonts w:asciiTheme="majorBidi" w:hAnsiTheme="majorBidi" w:cstheme="majorBidi"/>
          <w:bCs/>
        </w:rPr>
        <w:t xml:space="preserve"> (</w:t>
      </w:r>
      <w:r w:rsidRPr="00C02236">
        <w:rPr>
          <w:rFonts w:asciiTheme="majorBidi" w:hAnsiTheme="majorBidi" w:cstheme="majorBidi"/>
          <w:b/>
        </w:rPr>
        <w:t>Ob9</w:t>
      </w:r>
      <w:r w:rsidR="008D53FA">
        <w:rPr>
          <w:rFonts w:asciiTheme="majorBidi" w:hAnsiTheme="majorBidi" w:cstheme="majorBidi"/>
          <w:bCs/>
        </w:rPr>
        <w:t>) as shown in Table 10</w:t>
      </w:r>
      <w:r w:rsidRPr="00C02236">
        <w:rPr>
          <w:rFonts w:asciiTheme="majorBidi" w:hAnsiTheme="majorBidi" w:cstheme="majorBidi"/>
          <w:bCs/>
        </w:rPr>
        <w:t xml:space="preserve">. Compounds </w:t>
      </w:r>
      <w:r w:rsidRPr="00C02236">
        <w:rPr>
          <w:rFonts w:asciiTheme="majorBidi" w:hAnsiTheme="majorBidi" w:cstheme="majorBidi"/>
          <w:b/>
        </w:rPr>
        <w:t>Ob8</w:t>
      </w:r>
      <w:r w:rsidRPr="00C02236">
        <w:rPr>
          <w:rFonts w:asciiTheme="majorBidi" w:hAnsiTheme="majorBidi" w:cstheme="majorBidi"/>
          <w:bCs/>
        </w:rPr>
        <w:t xml:space="preserve"> and </w:t>
      </w:r>
      <w:r w:rsidRPr="00C02236">
        <w:rPr>
          <w:rFonts w:asciiTheme="majorBidi" w:hAnsiTheme="majorBidi" w:cstheme="majorBidi"/>
          <w:b/>
        </w:rPr>
        <w:t>Ob4</w:t>
      </w:r>
      <w:r w:rsidRPr="00C02236">
        <w:rPr>
          <w:rFonts w:asciiTheme="majorBidi" w:hAnsiTheme="majorBidi" w:cstheme="majorBidi"/>
          <w:bCs/>
        </w:rPr>
        <w:t xml:space="preserve"> showed the highest activation, indicating potential </w:t>
      </w:r>
      <w:proofErr w:type="spellStart"/>
      <w:r w:rsidRPr="00C02236">
        <w:rPr>
          <w:rFonts w:asciiTheme="majorBidi" w:hAnsiTheme="majorBidi" w:cstheme="majorBidi"/>
          <w:bCs/>
        </w:rPr>
        <w:t>genotoxic</w:t>
      </w:r>
      <w:proofErr w:type="spellEnd"/>
      <w:r w:rsidRPr="00C02236">
        <w:rPr>
          <w:rFonts w:asciiTheme="majorBidi" w:hAnsiTheme="majorBidi" w:cstheme="majorBidi"/>
          <w:bCs/>
        </w:rPr>
        <w:t xml:space="preserve"> effects and activation of p53-mediated stress responses. These findings emphasize the importance of further studies to evaluate the toxicological impact of these compounds comprehensively.</w:t>
      </w:r>
    </w:p>
    <w:p w:rsidR="00647508" w:rsidRPr="00C02236" w:rsidRDefault="00647508" w:rsidP="00647508">
      <w:pPr>
        <w:spacing w:line="360" w:lineRule="auto"/>
        <w:jc w:val="both"/>
        <w:rPr>
          <w:rFonts w:asciiTheme="majorBidi" w:hAnsiTheme="majorBidi" w:cstheme="majorBidi"/>
        </w:rPr>
      </w:pPr>
    </w:p>
    <w:p w:rsidR="00647508" w:rsidRPr="00C02236" w:rsidRDefault="008D53FA" w:rsidP="008C5CEE">
      <w:pPr>
        <w:spacing w:line="360" w:lineRule="auto"/>
        <w:jc w:val="both"/>
        <w:rPr>
          <w:rFonts w:asciiTheme="majorBidi" w:hAnsiTheme="majorBidi" w:cstheme="majorBidi"/>
          <w:b/>
        </w:rPr>
      </w:pPr>
      <w:r>
        <w:rPr>
          <w:rFonts w:asciiTheme="majorBidi" w:hAnsiTheme="majorBidi" w:cstheme="majorBidi"/>
          <w:b/>
        </w:rPr>
        <w:t>Table 1</w:t>
      </w:r>
      <w:r w:rsidR="00647508" w:rsidRPr="00C02236">
        <w:rPr>
          <w:rFonts w:asciiTheme="majorBidi" w:hAnsiTheme="majorBidi" w:cstheme="majorBidi"/>
          <w:b/>
        </w:rPr>
        <w:t>0:</w:t>
      </w:r>
      <w:r>
        <w:rPr>
          <w:rFonts w:asciiTheme="majorBidi" w:hAnsiTheme="majorBidi" w:cstheme="majorBidi"/>
          <w:b/>
        </w:rPr>
        <w:t xml:space="preserve"> </w:t>
      </w:r>
      <w:r w:rsidR="00647508" w:rsidRPr="00C02236">
        <w:rPr>
          <w:rFonts w:asciiTheme="majorBidi" w:hAnsiTheme="majorBidi" w:cstheme="majorBidi"/>
          <w:b/>
        </w:rPr>
        <w:t>TOX21 pathway</w:t>
      </w:r>
      <w:r w:rsidR="008C5CEE">
        <w:rPr>
          <w:rFonts w:asciiTheme="majorBidi" w:hAnsiTheme="majorBidi" w:cstheme="majorBidi"/>
          <w:b/>
        </w:rPr>
        <w:t xml:space="preserve"> </w:t>
      </w:r>
      <w:r w:rsidR="008C5CEE" w:rsidRPr="0022377C">
        <w:rPr>
          <w:rFonts w:asciiTheme="majorBidi" w:hAnsiTheme="majorBidi" w:cstheme="majorBidi"/>
          <w:b/>
        </w:rPr>
        <w:t>of Ob1-Ob10</w:t>
      </w:r>
    </w:p>
    <w:tbl>
      <w:tblPr>
        <w:tblStyle w:val="TableGridLight"/>
        <w:tblW w:w="0" w:type="auto"/>
        <w:tblLook w:val="04A0" w:firstRow="1" w:lastRow="0" w:firstColumn="1" w:lastColumn="0" w:noHBand="0" w:noVBand="1"/>
      </w:tblPr>
      <w:tblGrid>
        <w:gridCol w:w="1218"/>
        <w:gridCol w:w="768"/>
        <w:gridCol w:w="768"/>
        <w:gridCol w:w="769"/>
        <w:gridCol w:w="768"/>
        <w:gridCol w:w="769"/>
        <w:gridCol w:w="768"/>
        <w:gridCol w:w="768"/>
        <w:gridCol w:w="769"/>
        <w:gridCol w:w="768"/>
        <w:gridCol w:w="1217"/>
      </w:tblGrid>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Properties</w:t>
            </w:r>
          </w:p>
        </w:tc>
        <w:tc>
          <w:tcPr>
            <w:tcW w:w="76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Ob1</w:t>
            </w:r>
          </w:p>
        </w:tc>
        <w:tc>
          <w:tcPr>
            <w:tcW w:w="76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Ob2</w:t>
            </w:r>
          </w:p>
        </w:tc>
        <w:tc>
          <w:tcPr>
            <w:tcW w:w="769"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Ob3</w:t>
            </w:r>
          </w:p>
        </w:tc>
        <w:tc>
          <w:tcPr>
            <w:tcW w:w="76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Ob4</w:t>
            </w:r>
          </w:p>
        </w:tc>
        <w:tc>
          <w:tcPr>
            <w:tcW w:w="769"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Ob5</w:t>
            </w:r>
          </w:p>
        </w:tc>
        <w:tc>
          <w:tcPr>
            <w:tcW w:w="76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Ob6</w:t>
            </w:r>
          </w:p>
        </w:tc>
        <w:tc>
          <w:tcPr>
            <w:tcW w:w="76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Ob7</w:t>
            </w:r>
          </w:p>
        </w:tc>
        <w:tc>
          <w:tcPr>
            <w:tcW w:w="769"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Ob8</w:t>
            </w:r>
          </w:p>
        </w:tc>
        <w:tc>
          <w:tcPr>
            <w:tcW w:w="76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Ob9</w:t>
            </w:r>
          </w:p>
        </w:tc>
        <w:tc>
          <w:tcPr>
            <w:tcW w:w="1217"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Ob10</w:t>
            </w:r>
          </w:p>
        </w:tc>
      </w:tr>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NR-</w:t>
            </w:r>
            <w:proofErr w:type="spellStart"/>
            <w:r w:rsidRPr="00686892">
              <w:rPr>
                <w:rFonts w:asciiTheme="majorBidi" w:hAnsiTheme="majorBidi" w:cstheme="majorBidi"/>
                <w:b/>
                <w:sz w:val="20"/>
                <w:szCs w:val="20"/>
              </w:rPr>
              <w:t>AhR</w:t>
            </w:r>
            <w:proofErr w:type="spellEnd"/>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0.003</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0.001</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0.006</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0.001</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0.004</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0.007</w:t>
            </w:r>
          </w:p>
        </w:tc>
        <w:tc>
          <w:tcPr>
            <w:tcW w:w="1217"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0.029</w:t>
            </w:r>
          </w:p>
        </w:tc>
      </w:tr>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NR-AR</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0.005</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0.003</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0.027</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0.034</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0.003</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0.001</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0.05</w:t>
            </w:r>
          </w:p>
        </w:tc>
        <w:tc>
          <w:tcPr>
            <w:tcW w:w="1217"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0.118</w:t>
            </w:r>
          </w:p>
        </w:tc>
      </w:tr>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NR-AR-LBD</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0.011</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0.003</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0.001</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0.001</w:t>
            </w:r>
          </w:p>
        </w:tc>
        <w:tc>
          <w:tcPr>
            <w:tcW w:w="1217"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0.000.5223</w:t>
            </w:r>
          </w:p>
        </w:tc>
      </w:tr>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NR-Aromatase</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0.005</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0.05</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0.771</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0.014</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0.361</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0.065</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0.003</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0.748</w:t>
            </w:r>
          </w:p>
        </w:tc>
        <w:tc>
          <w:tcPr>
            <w:tcW w:w="1217"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0.565</w:t>
            </w:r>
          </w:p>
        </w:tc>
      </w:tr>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NR-ER</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0.062</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0.27</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0.98</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0.103</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0.025</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0.925</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0.073</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0.984</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0.136</w:t>
            </w:r>
          </w:p>
        </w:tc>
        <w:tc>
          <w:tcPr>
            <w:tcW w:w="1217"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0.092</w:t>
            </w:r>
          </w:p>
        </w:tc>
      </w:tr>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0.NR-ER-LBD</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0.006</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0.003</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0.997</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0.009</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0.002</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0.369</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0.001</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0.235</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0.083</w:t>
            </w:r>
          </w:p>
        </w:tc>
        <w:tc>
          <w:tcPr>
            <w:tcW w:w="1217"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0.019</w:t>
            </w:r>
          </w:p>
        </w:tc>
      </w:tr>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NR-PPAR-gam ma0.0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0.001</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0.396</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0.001</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0.344</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0.344</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0.003</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0.151</w:t>
            </w:r>
          </w:p>
        </w:tc>
        <w:tc>
          <w:tcPr>
            <w:tcW w:w="1217"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0.351</w:t>
            </w:r>
          </w:p>
        </w:tc>
      </w:tr>
      <w:tr w:rsidR="00647508" w:rsidRPr="00686892" w:rsidTr="00F84409">
        <w:tc>
          <w:tcPr>
            <w:tcW w:w="1218"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SR-ARE</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0.011</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0.072</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0.016</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0.038</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0.115</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0.747</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0.038</w:t>
            </w:r>
          </w:p>
        </w:tc>
        <w:tc>
          <w:tcPr>
            <w:tcW w:w="769"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0.328</w:t>
            </w:r>
          </w:p>
        </w:tc>
        <w:tc>
          <w:tcPr>
            <w:tcW w:w="768"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0.424</w:t>
            </w:r>
          </w:p>
        </w:tc>
        <w:tc>
          <w:tcPr>
            <w:tcW w:w="1217"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0.013</w:t>
            </w:r>
          </w:p>
        </w:tc>
      </w:tr>
    </w:tbl>
    <w:p w:rsidR="0018648E" w:rsidRPr="0041385D" w:rsidRDefault="0018648E" w:rsidP="008D53FA">
      <w:pPr>
        <w:pStyle w:val="NormalWeb"/>
        <w:rPr>
          <w:b/>
          <w:color w:val="000000" w:themeColor="text1"/>
        </w:rPr>
      </w:pPr>
      <w:r>
        <w:rPr>
          <w:b/>
          <w:color w:val="000000" w:themeColor="text1"/>
        </w:rPr>
        <w:t>3.3.</w:t>
      </w:r>
      <w:r w:rsidR="008D53FA">
        <w:rPr>
          <w:b/>
          <w:color w:val="000000" w:themeColor="text1"/>
        </w:rPr>
        <w:t>9</w:t>
      </w:r>
      <w:r>
        <w:rPr>
          <w:b/>
          <w:color w:val="000000" w:themeColor="text1"/>
        </w:rPr>
        <w:t xml:space="preserve">: </w:t>
      </w:r>
      <w:proofErr w:type="spellStart"/>
      <w:r>
        <w:rPr>
          <w:b/>
          <w:color w:val="000000" w:themeColor="text1"/>
        </w:rPr>
        <w:t>Toxicophore</w:t>
      </w:r>
      <w:proofErr w:type="spellEnd"/>
      <w:r>
        <w:rPr>
          <w:b/>
          <w:color w:val="000000" w:themeColor="text1"/>
        </w:rPr>
        <w:t xml:space="preserve"> Rules</w:t>
      </w:r>
      <w:r w:rsidR="008C5CEE">
        <w:rPr>
          <w:b/>
          <w:color w:val="000000" w:themeColor="text1"/>
        </w:rPr>
        <w:t xml:space="preserve"> </w:t>
      </w:r>
      <w:r w:rsidR="008C5CEE" w:rsidRPr="0022377C">
        <w:rPr>
          <w:rFonts w:asciiTheme="majorBidi" w:hAnsiTheme="majorBidi" w:cstheme="majorBidi"/>
          <w:b/>
        </w:rPr>
        <w:t>of Ob1-Ob10</w:t>
      </w:r>
    </w:p>
    <w:p w:rsidR="00647508" w:rsidRPr="00C02236" w:rsidRDefault="00647508" w:rsidP="00F84409">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The </w:t>
      </w:r>
      <w:proofErr w:type="spellStart"/>
      <w:r w:rsidRPr="00C02236">
        <w:rPr>
          <w:rFonts w:asciiTheme="majorBidi" w:hAnsiTheme="majorBidi" w:cstheme="majorBidi"/>
          <w:bCs/>
        </w:rPr>
        <w:t>toxicophore</w:t>
      </w:r>
      <w:proofErr w:type="spellEnd"/>
      <w:r w:rsidRPr="00C02236">
        <w:rPr>
          <w:rFonts w:asciiTheme="majorBidi" w:hAnsiTheme="majorBidi" w:cstheme="majorBidi"/>
          <w:bCs/>
        </w:rPr>
        <w:t xml:space="preserve"> analysis of the </w:t>
      </w:r>
      <w:r w:rsidR="00F84409">
        <w:rPr>
          <w:rFonts w:asciiTheme="majorBidi" w:hAnsiTheme="majorBidi" w:cstheme="majorBidi"/>
          <w:bCs/>
          <w:sz w:val="20"/>
          <w:szCs w:val="20"/>
        </w:rPr>
        <w:t>chemical constituent</w:t>
      </w:r>
      <w:r w:rsidRPr="00C02236">
        <w:rPr>
          <w:rFonts w:asciiTheme="majorBidi" w:hAnsiTheme="majorBidi" w:cstheme="majorBidi"/>
          <w:bCs/>
        </w:rPr>
        <w:t xml:space="preserve"> (</w:t>
      </w:r>
      <w:r w:rsidRPr="00C02236">
        <w:rPr>
          <w:rFonts w:asciiTheme="majorBidi" w:hAnsiTheme="majorBidi" w:cstheme="majorBidi"/>
          <w:b/>
        </w:rPr>
        <w:t>Ob1-Ob10</w:t>
      </w:r>
      <w:r w:rsidRPr="00C02236">
        <w:rPr>
          <w:rFonts w:asciiTheme="majorBidi" w:hAnsiTheme="majorBidi" w:cstheme="majorBidi"/>
          <w:bCs/>
        </w:rPr>
        <w:t xml:space="preserve">) identified structural alerts associated with various toxicological risks. Notably, none of the compounds triggered alerts for acute toxicity, indicating a low likelihood of immediate toxic effects under short-term exposure. However, alerts for </w:t>
      </w:r>
      <w:proofErr w:type="spellStart"/>
      <w:r w:rsidRPr="00C02236">
        <w:rPr>
          <w:rFonts w:asciiTheme="majorBidi" w:hAnsiTheme="majorBidi" w:cstheme="majorBidi"/>
          <w:bCs/>
        </w:rPr>
        <w:t>genotoxic</w:t>
      </w:r>
      <w:proofErr w:type="spellEnd"/>
      <w:r w:rsidRPr="00C02236">
        <w:rPr>
          <w:rFonts w:asciiTheme="majorBidi" w:hAnsiTheme="majorBidi" w:cstheme="majorBidi"/>
          <w:bCs/>
        </w:rPr>
        <w:t xml:space="preserve"> carcinogenicity were observed across all compounds, with most having one alert, while compounds 6c and 6d showed two and six alerts, respectively, indicating higher risks for DNA damage-induced carcinogenesis. Similarly, alerts for non-</w:t>
      </w:r>
      <w:proofErr w:type="spellStart"/>
      <w:r w:rsidRPr="00C02236">
        <w:rPr>
          <w:rFonts w:asciiTheme="majorBidi" w:hAnsiTheme="majorBidi" w:cstheme="majorBidi"/>
          <w:bCs/>
        </w:rPr>
        <w:t>genotoxic</w:t>
      </w:r>
      <w:proofErr w:type="spellEnd"/>
      <w:r w:rsidRPr="00C02236">
        <w:rPr>
          <w:rFonts w:asciiTheme="majorBidi" w:hAnsiTheme="majorBidi" w:cstheme="majorBidi"/>
          <w:bCs/>
        </w:rPr>
        <w:t xml:space="preserve"> carcinogenicity were consistent, with most compounds showing one alert, except for </w:t>
      </w:r>
      <w:r w:rsidRPr="00C02236">
        <w:rPr>
          <w:rFonts w:asciiTheme="majorBidi" w:hAnsiTheme="majorBidi" w:cstheme="majorBidi"/>
          <w:b/>
        </w:rPr>
        <w:t>Ob1</w:t>
      </w:r>
      <w:r w:rsidRPr="00C02236">
        <w:rPr>
          <w:rFonts w:asciiTheme="majorBidi" w:hAnsiTheme="majorBidi" w:cstheme="majorBidi"/>
          <w:bCs/>
        </w:rPr>
        <w:t xml:space="preserve"> and </w:t>
      </w:r>
      <w:r w:rsidRPr="00C02236">
        <w:rPr>
          <w:rFonts w:asciiTheme="majorBidi" w:hAnsiTheme="majorBidi" w:cstheme="majorBidi"/>
          <w:b/>
        </w:rPr>
        <w:lastRenderedPageBreak/>
        <w:t>Ob10</w:t>
      </w:r>
      <w:r w:rsidRPr="00C02236">
        <w:rPr>
          <w:rFonts w:asciiTheme="majorBidi" w:hAnsiTheme="majorBidi" w:cstheme="majorBidi"/>
          <w:bCs/>
        </w:rPr>
        <w:t xml:space="preserve">, which displayed two alerts, suggesting elevated risks of cancer through other mechanisms. Regarding skin sensitization, most compounds exhibited four alerts, with </w:t>
      </w:r>
      <w:r w:rsidRPr="00C02236">
        <w:rPr>
          <w:rFonts w:asciiTheme="majorBidi" w:hAnsiTheme="majorBidi" w:cstheme="majorBidi"/>
          <w:b/>
        </w:rPr>
        <w:t xml:space="preserve">Ob1 </w:t>
      </w:r>
      <w:r w:rsidRPr="00C02236">
        <w:rPr>
          <w:rFonts w:asciiTheme="majorBidi" w:hAnsiTheme="majorBidi" w:cstheme="majorBidi"/>
          <w:bCs/>
        </w:rPr>
        <w:t xml:space="preserve">showing five and </w:t>
      </w:r>
      <w:r w:rsidRPr="00C02236">
        <w:rPr>
          <w:rFonts w:asciiTheme="majorBidi" w:hAnsiTheme="majorBidi" w:cstheme="majorBidi"/>
          <w:b/>
        </w:rPr>
        <w:t>Ob5</w:t>
      </w:r>
      <w:r w:rsidRPr="00C02236">
        <w:rPr>
          <w:rFonts w:asciiTheme="majorBidi" w:hAnsiTheme="majorBidi" w:cstheme="majorBidi"/>
          <w:bCs/>
        </w:rPr>
        <w:t xml:space="preserve"> demonstrating the highest number at eight alerts, reflecting significant potential for allergic skin reactions. For aquatic toxicity, all compounds triggered one alert, indicating a baseline risk for environmental impact on aquatic ecosystems.</w:t>
      </w:r>
    </w:p>
    <w:p w:rsidR="008D53FA" w:rsidRDefault="00647508" w:rsidP="003305EB">
      <w:pPr>
        <w:autoSpaceDE w:val="0"/>
        <w:autoSpaceDN w:val="0"/>
        <w:adjustRightInd w:val="0"/>
        <w:spacing w:before="100" w:beforeAutospacing="1" w:after="100" w:afterAutospacing="1" w:line="360" w:lineRule="auto"/>
        <w:jc w:val="both"/>
        <w:rPr>
          <w:rFonts w:asciiTheme="majorBidi" w:hAnsiTheme="majorBidi" w:cstheme="majorBidi"/>
          <w:bCs/>
        </w:rPr>
      </w:pPr>
      <w:r w:rsidRPr="00C02236">
        <w:rPr>
          <w:rFonts w:asciiTheme="majorBidi" w:hAnsiTheme="majorBidi" w:cstheme="majorBidi"/>
          <w:bCs/>
        </w:rPr>
        <w:t xml:space="preserve">Alerts for non-biodegradability were minimal for most </w:t>
      </w:r>
      <w:r w:rsidR="00F84409">
        <w:rPr>
          <w:rFonts w:asciiTheme="majorBidi" w:hAnsiTheme="majorBidi" w:cstheme="majorBidi"/>
          <w:bCs/>
          <w:sz w:val="20"/>
          <w:szCs w:val="20"/>
        </w:rPr>
        <w:t>chemical constituent</w:t>
      </w:r>
      <w:r w:rsidRPr="00C02236">
        <w:rPr>
          <w:rFonts w:asciiTheme="majorBidi" w:hAnsiTheme="majorBidi" w:cstheme="majorBidi"/>
          <w:bCs/>
        </w:rPr>
        <w:t xml:space="preserve">, with one alert across the series, except for </w:t>
      </w:r>
      <w:r w:rsidRPr="00C02236">
        <w:rPr>
          <w:rFonts w:asciiTheme="majorBidi" w:hAnsiTheme="majorBidi" w:cstheme="majorBidi"/>
          <w:b/>
        </w:rPr>
        <w:t>Ob1</w:t>
      </w:r>
      <w:r w:rsidRPr="00C02236">
        <w:rPr>
          <w:rFonts w:asciiTheme="majorBidi" w:hAnsiTheme="majorBidi" w:cstheme="majorBidi"/>
          <w:bCs/>
        </w:rPr>
        <w:t xml:space="preserve">, which showed four alerts, suggesting a greater environmental persistence. The </w:t>
      </w:r>
      <w:proofErr w:type="spellStart"/>
      <w:r w:rsidRPr="00C02236">
        <w:rPr>
          <w:rFonts w:asciiTheme="majorBidi" w:hAnsiTheme="majorBidi" w:cstheme="majorBidi"/>
          <w:bCs/>
        </w:rPr>
        <w:t>SureChEMBL</w:t>
      </w:r>
      <w:proofErr w:type="spellEnd"/>
      <w:r w:rsidRPr="00C02236">
        <w:rPr>
          <w:rFonts w:asciiTheme="majorBidi" w:hAnsiTheme="majorBidi" w:cstheme="majorBidi"/>
          <w:bCs/>
        </w:rPr>
        <w:t xml:space="preserve"> Rule identified two alerts for most compounds, while </w:t>
      </w:r>
      <w:r w:rsidRPr="00C02236">
        <w:rPr>
          <w:rFonts w:asciiTheme="majorBidi" w:hAnsiTheme="majorBidi" w:cstheme="majorBidi"/>
          <w:b/>
        </w:rPr>
        <w:t>Ob1</w:t>
      </w:r>
      <w:r w:rsidRPr="00C02236">
        <w:rPr>
          <w:rFonts w:asciiTheme="majorBidi" w:hAnsiTheme="majorBidi" w:cstheme="majorBidi"/>
          <w:bCs/>
        </w:rPr>
        <w:t xml:space="preserve"> demonstrated only one, indicating a comparatively less toxic structural profile. Similarly, the FAF-Drugs4 Rule, which predicts a broad range of toxicological concerns, flagged four alerts for most compounds, with </w:t>
      </w:r>
      <w:r w:rsidRPr="00C02236">
        <w:rPr>
          <w:rFonts w:asciiTheme="majorBidi" w:hAnsiTheme="majorBidi" w:cstheme="majorBidi"/>
          <w:b/>
        </w:rPr>
        <w:t>Ob1</w:t>
      </w:r>
      <w:r w:rsidRPr="00C02236">
        <w:rPr>
          <w:rFonts w:asciiTheme="majorBidi" w:hAnsiTheme="majorBidi" w:cstheme="majorBidi"/>
          <w:bCs/>
        </w:rPr>
        <w:t xml:space="preserve">, </w:t>
      </w:r>
      <w:r w:rsidRPr="00C02236">
        <w:rPr>
          <w:rFonts w:asciiTheme="majorBidi" w:hAnsiTheme="majorBidi" w:cstheme="majorBidi"/>
          <w:b/>
        </w:rPr>
        <w:t>Ob2</w:t>
      </w:r>
      <w:r w:rsidRPr="00C02236">
        <w:rPr>
          <w:rFonts w:asciiTheme="majorBidi" w:hAnsiTheme="majorBidi" w:cstheme="majorBidi"/>
          <w:bCs/>
        </w:rPr>
        <w:t xml:space="preserve">, and </w:t>
      </w:r>
      <w:r w:rsidRPr="00C02236">
        <w:rPr>
          <w:rFonts w:asciiTheme="majorBidi" w:hAnsiTheme="majorBidi" w:cstheme="majorBidi"/>
          <w:b/>
        </w:rPr>
        <w:t xml:space="preserve">Ob4 </w:t>
      </w:r>
      <w:r w:rsidRPr="00C02236">
        <w:rPr>
          <w:rFonts w:asciiTheme="majorBidi" w:hAnsiTheme="majorBidi" w:cstheme="majorBidi"/>
          <w:bCs/>
        </w:rPr>
        <w:t xml:space="preserve">showing five alerts, and </w:t>
      </w:r>
      <w:r w:rsidRPr="00C02236">
        <w:rPr>
          <w:rFonts w:asciiTheme="majorBidi" w:hAnsiTheme="majorBidi" w:cstheme="majorBidi"/>
          <w:b/>
        </w:rPr>
        <w:t xml:space="preserve">Ob5 </w:t>
      </w:r>
      <w:r w:rsidRPr="00C02236">
        <w:rPr>
          <w:rFonts w:asciiTheme="majorBidi" w:hAnsiTheme="majorBidi" w:cstheme="majorBidi"/>
          <w:bCs/>
        </w:rPr>
        <w:t xml:space="preserve">exhibiting the highest number of six alerts. Overall, while compounds such as  and </w:t>
      </w:r>
      <w:r w:rsidRPr="00C02236">
        <w:rPr>
          <w:rFonts w:asciiTheme="majorBidi" w:hAnsiTheme="majorBidi" w:cstheme="majorBidi"/>
          <w:b/>
        </w:rPr>
        <w:t>Ob1</w:t>
      </w:r>
      <w:r w:rsidRPr="00C02236">
        <w:rPr>
          <w:rFonts w:asciiTheme="majorBidi" w:hAnsiTheme="majorBidi" w:cstheme="majorBidi"/>
          <w:bCs/>
        </w:rPr>
        <w:t xml:space="preserve"> displayed relatively fewer toxicological alerts, compounds like </w:t>
      </w:r>
      <w:r w:rsidRPr="00C02236">
        <w:rPr>
          <w:rFonts w:asciiTheme="majorBidi" w:hAnsiTheme="majorBidi" w:cstheme="majorBidi"/>
          <w:b/>
        </w:rPr>
        <w:t>Ob1</w:t>
      </w:r>
      <w:r w:rsidRPr="00C02236">
        <w:rPr>
          <w:rFonts w:asciiTheme="majorBidi" w:hAnsiTheme="majorBidi" w:cstheme="majorBidi"/>
          <w:bCs/>
        </w:rPr>
        <w:t xml:space="preserve"> and </w:t>
      </w:r>
      <w:r w:rsidRPr="00C02236">
        <w:rPr>
          <w:rFonts w:asciiTheme="majorBidi" w:hAnsiTheme="majorBidi" w:cstheme="majorBidi"/>
          <w:b/>
        </w:rPr>
        <w:t>Ob7</w:t>
      </w:r>
      <w:r w:rsidRPr="00C02236">
        <w:rPr>
          <w:rFonts w:asciiTheme="majorBidi" w:hAnsiTheme="majorBidi" w:cstheme="majorBidi"/>
          <w:bCs/>
        </w:rPr>
        <w:t xml:space="preserve"> raised significant concerns, particularly for </w:t>
      </w:r>
      <w:proofErr w:type="spellStart"/>
      <w:r w:rsidRPr="00C02236">
        <w:rPr>
          <w:rFonts w:asciiTheme="majorBidi" w:hAnsiTheme="majorBidi" w:cstheme="majorBidi"/>
          <w:bCs/>
        </w:rPr>
        <w:t>genotoxicity</w:t>
      </w:r>
      <w:proofErr w:type="spellEnd"/>
      <w:r w:rsidRPr="00C02236">
        <w:rPr>
          <w:rFonts w:asciiTheme="majorBidi" w:hAnsiTheme="majorBidi" w:cstheme="majorBidi"/>
          <w:bCs/>
        </w:rPr>
        <w:t>, skin sensitization, and environmental persistence. These findings highlight the importance of further experimental validation to ensure the safety and environmental c</w:t>
      </w:r>
      <w:r w:rsidR="0018648E">
        <w:rPr>
          <w:rFonts w:asciiTheme="majorBidi" w:hAnsiTheme="majorBidi" w:cstheme="majorBidi"/>
          <w:bCs/>
        </w:rPr>
        <w:t>ompatibility of these compounds</w:t>
      </w:r>
      <w:r w:rsidR="008D53FA">
        <w:rPr>
          <w:rFonts w:asciiTheme="majorBidi" w:hAnsiTheme="majorBidi" w:cstheme="majorBidi"/>
          <w:bCs/>
        </w:rPr>
        <w:t xml:space="preserve"> as shown in table </w:t>
      </w:r>
      <w:r w:rsidR="003305EB">
        <w:rPr>
          <w:rFonts w:asciiTheme="majorBidi" w:hAnsiTheme="majorBidi" w:cstheme="majorBidi"/>
          <w:bCs/>
        </w:rPr>
        <w:t>1</w:t>
      </w:r>
    </w:p>
    <w:p w:rsidR="00647508" w:rsidRPr="0018648E" w:rsidRDefault="0018648E" w:rsidP="003305EB">
      <w:pPr>
        <w:autoSpaceDE w:val="0"/>
        <w:autoSpaceDN w:val="0"/>
        <w:adjustRightInd w:val="0"/>
        <w:spacing w:before="100" w:beforeAutospacing="1" w:after="100" w:afterAutospacing="1" w:line="360" w:lineRule="auto"/>
        <w:jc w:val="both"/>
        <w:rPr>
          <w:rFonts w:asciiTheme="majorBidi" w:hAnsiTheme="majorBidi" w:cstheme="majorBidi"/>
          <w:bCs/>
        </w:rPr>
      </w:pPr>
      <w:r w:rsidRPr="0095487C">
        <w:rPr>
          <w:b/>
        </w:rPr>
        <w:t>Table 1</w:t>
      </w:r>
      <w:r w:rsidR="003305EB">
        <w:rPr>
          <w:b/>
        </w:rPr>
        <w:t>1</w:t>
      </w:r>
      <w:r w:rsidRPr="0095487C">
        <w:rPr>
          <w:b/>
        </w:rPr>
        <w:t xml:space="preserve">: </w:t>
      </w:r>
      <w:proofErr w:type="spellStart"/>
      <w:r w:rsidRPr="0095487C">
        <w:rPr>
          <w:b/>
        </w:rPr>
        <w:t>Toxicophore</w:t>
      </w:r>
      <w:proofErr w:type="spellEnd"/>
      <w:r w:rsidRPr="0095487C">
        <w:rPr>
          <w:b/>
        </w:rPr>
        <w:t xml:space="preserve"> Rules </w:t>
      </w:r>
      <w:r w:rsidR="0022377C" w:rsidRPr="0022377C">
        <w:rPr>
          <w:rFonts w:asciiTheme="majorBidi" w:hAnsiTheme="majorBidi" w:cstheme="majorBidi"/>
          <w:b/>
        </w:rPr>
        <w:t>of Ob1-Ob10</w:t>
      </w:r>
    </w:p>
    <w:tbl>
      <w:tblPr>
        <w:tblStyle w:val="TableGridLight"/>
        <w:tblW w:w="0" w:type="auto"/>
        <w:tblLook w:val="04A0" w:firstRow="1" w:lastRow="0" w:firstColumn="1" w:lastColumn="0" w:noHBand="0" w:noVBand="1"/>
      </w:tblPr>
      <w:tblGrid>
        <w:gridCol w:w="1727"/>
        <w:gridCol w:w="714"/>
        <w:gridCol w:w="786"/>
        <w:gridCol w:w="738"/>
        <w:gridCol w:w="786"/>
        <w:gridCol w:w="786"/>
        <w:gridCol w:w="786"/>
        <w:gridCol w:w="786"/>
        <w:gridCol w:w="786"/>
        <w:gridCol w:w="716"/>
        <w:gridCol w:w="739"/>
      </w:tblGrid>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
                <w:sz w:val="20"/>
                <w:szCs w:val="20"/>
              </w:rPr>
            </w:pPr>
            <w:r w:rsidRPr="00406B66">
              <w:rPr>
                <w:rFonts w:asciiTheme="majorBidi" w:hAnsiTheme="majorBidi" w:cstheme="majorBidi"/>
                <w:b/>
                <w:sz w:val="20"/>
                <w:szCs w:val="20"/>
              </w:rPr>
              <w:t>Properties</w:t>
            </w:r>
          </w:p>
        </w:tc>
        <w:tc>
          <w:tcPr>
            <w:tcW w:w="870" w:type="dxa"/>
          </w:tcPr>
          <w:p w:rsidR="00647508" w:rsidRPr="00686892" w:rsidRDefault="00647508" w:rsidP="00A60F55">
            <w:pPr>
              <w:spacing w:line="360" w:lineRule="auto"/>
              <w:jc w:val="both"/>
              <w:rPr>
                <w:rFonts w:asciiTheme="majorBidi" w:hAnsiTheme="majorBidi" w:cstheme="majorBidi"/>
                <w:b/>
                <w:i/>
                <w:sz w:val="20"/>
                <w:szCs w:val="20"/>
                <w:u w:val="single"/>
              </w:rPr>
            </w:pPr>
            <w:r w:rsidRPr="00686892">
              <w:rPr>
                <w:rFonts w:asciiTheme="majorBidi" w:hAnsiTheme="majorBidi" w:cstheme="majorBidi"/>
                <w:b/>
                <w:sz w:val="20"/>
                <w:szCs w:val="20"/>
              </w:rPr>
              <w:t>Ob1</w:t>
            </w:r>
          </w:p>
        </w:tc>
        <w:tc>
          <w:tcPr>
            <w:tcW w:w="870"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Ob2</w:t>
            </w:r>
          </w:p>
        </w:tc>
        <w:tc>
          <w:tcPr>
            <w:tcW w:w="870"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Ob33</w:t>
            </w:r>
          </w:p>
        </w:tc>
        <w:tc>
          <w:tcPr>
            <w:tcW w:w="870"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Ob4</w:t>
            </w:r>
          </w:p>
        </w:tc>
        <w:tc>
          <w:tcPr>
            <w:tcW w:w="871"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Ob5</w:t>
            </w:r>
          </w:p>
        </w:tc>
        <w:tc>
          <w:tcPr>
            <w:tcW w:w="871"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Ob6</w:t>
            </w:r>
          </w:p>
        </w:tc>
        <w:tc>
          <w:tcPr>
            <w:tcW w:w="871"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Ob7</w:t>
            </w:r>
          </w:p>
        </w:tc>
        <w:tc>
          <w:tcPr>
            <w:tcW w:w="871"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Ob8</w:t>
            </w:r>
          </w:p>
        </w:tc>
        <w:tc>
          <w:tcPr>
            <w:tcW w:w="871"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Ob9</w:t>
            </w:r>
          </w:p>
        </w:tc>
        <w:tc>
          <w:tcPr>
            <w:tcW w:w="871" w:type="dxa"/>
          </w:tcPr>
          <w:p w:rsidR="00647508" w:rsidRPr="00686892" w:rsidRDefault="00647508" w:rsidP="00A60F55">
            <w:pPr>
              <w:spacing w:line="360" w:lineRule="auto"/>
              <w:jc w:val="both"/>
              <w:rPr>
                <w:rFonts w:asciiTheme="majorBidi" w:hAnsiTheme="majorBidi" w:cstheme="majorBidi"/>
                <w:b/>
                <w:sz w:val="20"/>
                <w:szCs w:val="20"/>
              </w:rPr>
            </w:pPr>
            <w:r w:rsidRPr="00686892">
              <w:rPr>
                <w:rFonts w:asciiTheme="majorBidi" w:hAnsiTheme="majorBidi" w:cstheme="majorBidi"/>
                <w:b/>
                <w:sz w:val="20"/>
                <w:szCs w:val="20"/>
              </w:rPr>
              <w:t>Ob10</w:t>
            </w:r>
          </w:p>
        </w:tc>
      </w:tr>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Acute Toxicity Rule</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r>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t>Genotoxic</w:t>
            </w:r>
            <w:proofErr w:type="spellEnd"/>
            <w:r w:rsidRPr="00406B66">
              <w:rPr>
                <w:rFonts w:asciiTheme="majorBidi" w:hAnsiTheme="majorBidi" w:cstheme="majorBidi"/>
                <w:bCs/>
                <w:sz w:val="20"/>
                <w:szCs w:val="20"/>
              </w:rPr>
              <w:t xml:space="preserve"> Carcinogenicity Rule</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r>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t>NonGenotoxic</w:t>
            </w:r>
            <w:proofErr w:type="spellEnd"/>
            <w:r w:rsidRPr="00406B66">
              <w:rPr>
                <w:rFonts w:asciiTheme="majorBidi" w:hAnsiTheme="majorBidi" w:cstheme="majorBidi"/>
                <w:bCs/>
                <w:sz w:val="20"/>
                <w:szCs w:val="20"/>
              </w:rPr>
              <w:t xml:space="preserve"> Carcinogenicity Rule                                   </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r>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Skin Sensitization Rule</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2 alerts</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r>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Aquatic Toxicity Rule</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2 alerts</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 alerts</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2alerts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 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 alerts</w:t>
            </w:r>
          </w:p>
        </w:tc>
      </w:tr>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lastRenderedPageBreak/>
              <w:t>NonBiodegradable</w:t>
            </w:r>
            <w:proofErr w:type="spellEnd"/>
            <w:r w:rsidRPr="00406B66">
              <w:rPr>
                <w:rFonts w:asciiTheme="majorBidi" w:hAnsiTheme="majorBidi" w:cstheme="majorBidi"/>
                <w:bCs/>
                <w:sz w:val="20"/>
                <w:szCs w:val="20"/>
              </w:rPr>
              <w:t xml:space="preserve"> Rule</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 alerts</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1alerts</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r>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t>SureChEMBL</w:t>
            </w:r>
            <w:proofErr w:type="spellEnd"/>
            <w:r w:rsidRPr="00406B66">
              <w:rPr>
                <w:rFonts w:asciiTheme="majorBidi" w:hAnsiTheme="majorBidi" w:cstheme="majorBidi"/>
                <w:bCs/>
                <w:sz w:val="20"/>
                <w:szCs w:val="20"/>
              </w:rPr>
              <w:t xml:space="preserve"> Rule</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 alerts</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r>
      <w:tr w:rsidR="00647508" w:rsidRPr="00686892" w:rsidTr="00F84409">
        <w:tc>
          <w:tcPr>
            <w:tcW w:w="870" w:type="dxa"/>
          </w:tcPr>
          <w:p w:rsidR="00647508" w:rsidRPr="00406B66" w:rsidRDefault="00647508" w:rsidP="00A60F55">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FAF-Drugs4 Rule</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 alerts</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2 alerts</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0"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2alerts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1alerts</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c>
          <w:tcPr>
            <w:tcW w:w="871" w:type="dxa"/>
          </w:tcPr>
          <w:p w:rsidR="00647508" w:rsidRPr="00686892" w:rsidRDefault="00647508" w:rsidP="00A60F55">
            <w:pPr>
              <w:spacing w:line="360" w:lineRule="auto"/>
              <w:jc w:val="both"/>
              <w:rPr>
                <w:rFonts w:asciiTheme="majorBidi" w:hAnsiTheme="majorBidi" w:cstheme="majorBidi"/>
                <w:sz w:val="20"/>
                <w:szCs w:val="20"/>
              </w:rPr>
            </w:pPr>
            <w:r w:rsidRPr="00686892">
              <w:rPr>
                <w:rFonts w:asciiTheme="majorBidi" w:hAnsiTheme="majorBidi" w:cstheme="majorBidi"/>
                <w:sz w:val="20"/>
                <w:szCs w:val="20"/>
              </w:rPr>
              <w:t>0</w:t>
            </w:r>
          </w:p>
        </w:tc>
      </w:tr>
    </w:tbl>
    <w:p w:rsidR="00647508" w:rsidRPr="00C02236" w:rsidRDefault="00647508" w:rsidP="00647508">
      <w:pPr>
        <w:spacing w:line="360" w:lineRule="auto"/>
        <w:jc w:val="both"/>
        <w:rPr>
          <w:rFonts w:asciiTheme="majorBidi" w:hAnsiTheme="majorBidi" w:cstheme="majorBidi"/>
        </w:rPr>
      </w:pPr>
    </w:p>
    <w:p w:rsidR="0018648E" w:rsidRPr="0041385D" w:rsidRDefault="008D53FA" w:rsidP="0018648E">
      <w:pPr>
        <w:pStyle w:val="NormalWeb"/>
        <w:rPr>
          <w:b/>
          <w:color w:val="000000" w:themeColor="text1"/>
        </w:rPr>
      </w:pPr>
      <w:r>
        <w:rPr>
          <w:b/>
          <w:color w:val="000000" w:themeColor="text1"/>
        </w:rPr>
        <w:t>3.3.10</w:t>
      </w:r>
      <w:r w:rsidR="0018648E">
        <w:rPr>
          <w:b/>
          <w:color w:val="000000" w:themeColor="text1"/>
        </w:rPr>
        <w:t>: Toxicity</w:t>
      </w:r>
      <w:r w:rsidR="008C5CEE">
        <w:rPr>
          <w:b/>
          <w:color w:val="000000" w:themeColor="text1"/>
        </w:rPr>
        <w:t xml:space="preserve"> </w:t>
      </w:r>
      <w:r w:rsidR="008C5CEE" w:rsidRPr="0022377C">
        <w:rPr>
          <w:rFonts w:asciiTheme="majorBidi" w:hAnsiTheme="majorBidi" w:cstheme="majorBidi"/>
          <w:b/>
        </w:rPr>
        <w:t>of Ob1-Ob10</w:t>
      </w:r>
    </w:p>
    <w:p w:rsidR="0018648E" w:rsidRPr="00C02236" w:rsidRDefault="0018648E" w:rsidP="0018648E">
      <w:pPr>
        <w:spacing w:line="360" w:lineRule="auto"/>
        <w:jc w:val="both"/>
        <w:rPr>
          <w:rFonts w:asciiTheme="majorBidi" w:hAnsiTheme="majorBidi" w:cstheme="majorBidi"/>
        </w:rPr>
      </w:pPr>
      <w:r w:rsidRPr="00C02236">
        <w:rPr>
          <w:rFonts w:asciiTheme="majorBidi" w:hAnsiTheme="majorBidi" w:cstheme="majorBidi"/>
          <w:bCs/>
        </w:rPr>
        <w:t xml:space="preserve">The toxicity profiles of the </w:t>
      </w:r>
      <w:r>
        <w:rPr>
          <w:rFonts w:asciiTheme="majorBidi" w:hAnsiTheme="majorBidi" w:cstheme="majorBidi"/>
          <w:bCs/>
        </w:rPr>
        <w:t>chemical constituent</w:t>
      </w:r>
      <w:r w:rsidRPr="00C02236">
        <w:rPr>
          <w:rFonts w:asciiTheme="majorBidi" w:hAnsiTheme="majorBidi" w:cstheme="majorBidi"/>
          <w:bCs/>
        </w:rPr>
        <w:t xml:space="preserve"> (</w:t>
      </w:r>
      <w:r w:rsidRPr="00C02236">
        <w:rPr>
          <w:rFonts w:asciiTheme="majorBidi" w:hAnsiTheme="majorBidi" w:cstheme="majorBidi"/>
          <w:b/>
        </w:rPr>
        <w:t>Ob-l</w:t>
      </w:r>
      <w:r w:rsidRPr="00C02236">
        <w:rPr>
          <w:rFonts w:asciiTheme="majorBidi" w:hAnsiTheme="majorBidi" w:cstheme="majorBidi"/>
          <w:bCs/>
        </w:rPr>
        <w:t xml:space="preserve">) were evaluated to predict potential adverse effects, including organ toxicity, mutagenicity, and cytotoxicity. These parameters provide crucial insights into the safety profiles of the compounds. The </w:t>
      </w:r>
      <w:proofErr w:type="spellStart"/>
      <w:r w:rsidRPr="00C02236">
        <w:rPr>
          <w:rFonts w:asciiTheme="majorBidi" w:hAnsiTheme="majorBidi" w:cstheme="majorBidi"/>
          <w:bCs/>
        </w:rPr>
        <w:t>hERG</w:t>
      </w:r>
      <w:proofErr w:type="spellEnd"/>
      <w:r w:rsidRPr="00C02236">
        <w:rPr>
          <w:rFonts w:asciiTheme="majorBidi" w:hAnsiTheme="majorBidi" w:cstheme="majorBidi"/>
          <w:bCs/>
        </w:rPr>
        <w:t xml:space="preserve"> (human Ether-à-go-go-Related Gene) blocker predictions, indicative of potential cardiac toxicity, ranged from </w:t>
      </w:r>
      <w:r w:rsidRPr="00C02236">
        <w:rPr>
          <w:rFonts w:asciiTheme="majorBidi" w:hAnsiTheme="majorBidi" w:cstheme="majorBidi"/>
        </w:rPr>
        <w:t>0.058</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to </w:t>
      </w:r>
      <w:r w:rsidRPr="00C02236">
        <w:rPr>
          <w:rFonts w:asciiTheme="majorBidi" w:hAnsiTheme="majorBidi" w:cstheme="majorBidi"/>
        </w:rPr>
        <w:t>0.096</w:t>
      </w:r>
      <w:r w:rsidRPr="00C02236">
        <w:rPr>
          <w:rFonts w:asciiTheme="majorBidi" w:hAnsiTheme="majorBidi" w:cstheme="majorBidi"/>
          <w:bCs/>
        </w:rPr>
        <w:t xml:space="preserve"> (</w:t>
      </w:r>
      <w:r w:rsidRPr="00C02236">
        <w:rPr>
          <w:rFonts w:asciiTheme="majorBidi" w:hAnsiTheme="majorBidi" w:cstheme="majorBidi"/>
          <w:b/>
        </w:rPr>
        <w:t>Ob10</w:t>
      </w:r>
      <w:r w:rsidRPr="00C02236">
        <w:rPr>
          <w:rFonts w:asciiTheme="majorBidi" w:hAnsiTheme="majorBidi" w:cstheme="majorBidi"/>
          <w:bCs/>
        </w:rPr>
        <w:t xml:space="preserve">) for general blocking activity and from </w:t>
      </w:r>
      <w:r w:rsidRPr="00C02236">
        <w:rPr>
          <w:rFonts w:asciiTheme="majorBidi" w:hAnsiTheme="majorBidi" w:cstheme="majorBidi"/>
        </w:rPr>
        <w:t>0.058</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to</w:t>
      </w:r>
      <w:r w:rsidRPr="00C02236">
        <w:rPr>
          <w:rFonts w:asciiTheme="majorBidi" w:hAnsiTheme="majorBidi" w:cstheme="majorBidi"/>
        </w:rPr>
        <w:t>0.759</w:t>
      </w:r>
      <w:r w:rsidRPr="00C02236">
        <w:rPr>
          <w:rFonts w:asciiTheme="majorBidi" w:hAnsiTheme="majorBidi" w:cstheme="majorBidi"/>
          <w:bCs/>
        </w:rPr>
        <w:t xml:space="preserve"> (</w:t>
      </w:r>
      <w:r w:rsidRPr="00C02236">
        <w:rPr>
          <w:rFonts w:asciiTheme="majorBidi" w:hAnsiTheme="majorBidi" w:cstheme="majorBidi"/>
          <w:b/>
        </w:rPr>
        <w:t>Ob5</w:t>
      </w:r>
      <w:r w:rsidRPr="00C02236">
        <w:rPr>
          <w:rFonts w:asciiTheme="majorBidi" w:hAnsiTheme="majorBidi" w:cstheme="majorBidi"/>
          <w:bCs/>
        </w:rPr>
        <w:t xml:space="preserve">) at 10 µM concentrations. </w:t>
      </w:r>
    </w:p>
    <w:p w:rsidR="0018648E" w:rsidRPr="00C02236" w:rsidRDefault="0018648E" w:rsidP="0018648E">
      <w:pPr>
        <w:spacing w:line="360" w:lineRule="auto"/>
        <w:jc w:val="both"/>
        <w:rPr>
          <w:rFonts w:asciiTheme="majorBidi" w:hAnsiTheme="majorBidi" w:cstheme="majorBidi"/>
        </w:rPr>
      </w:pPr>
      <w:r w:rsidRPr="00C02236">
        <w:rPr>
          <w:rFonts w:asciiTheme="majorBidi" w:hAnsiTheme="majorBidi" w:cstheme="majorBidi"/>
          <w:bCs/>
        </w:rPr>
        <w:t xml:space="preserve">Drug-induced liver injury (DILI) probabilities were consistently high for all </w:t>
      </w:r>
      <w:r>
        <w:rPr>
          <w:rFonts w:asciiTheme="majorBidi" w:hAnsiTheme="majorBidi" w:cstheme="majorBidi"/>
          <w:bCs/>
        </w:rPr>
        <w:t>chemical constituent</w:t>
      </w:r>
      <w:r w:rsidRPr="00C02236">
        <w:rPr>
          <w:rFonts w:asciiTheme="majorBidi" w:hAnsiTheme="majorBidi" w:cstheme="majorBidi"/>
          <w:bCs/>
        </w:rPr>
        <w:t xml:space="preserve"> (≥0.995), with compounds like Ob3 and Ob4 reaching a probability of </w:t>
      </w:r>
      <w:r w:rsidRPr="00C02236">
        <w:rPr>
          <w:rFonts w:asciiTheme="majorBidi" w:hAnsiTheme="majorBidi" w:cstheme="majorBidi"/>
        </w:rPr>
        <w:t>0.221</w:t>
      </w:r>
      <w:r w:rsidRPr="00C02236">
        <w:rPr>
          <w:rFonts w:asciiTheme="majorBidi" w:hAnsiTheme="majorBidi" w:cstheme="majorBidi"/>
          <w:bCs/>
        </w:rPr>
        <w:t>, indicating a strong likelihood of hepatotoxic effects. AMES mutagenicity predictions ranged from</w:t>
      </w:r>
      <w:r>
        <w:rPr>
          <w:rFonts w:asciiTheme="majorBidi" w:hAnsiTheme="majorBidi" w:cstheme="majorBidi"/>
          <w:bCs/>
        </w:rPr>
        <w:t xml:space="preserve"> </w:t>
      </w:r>
      <w:proofErr w:type="gramStart"/>
      <w:r w:rsidRPr="00C02236">
        <w:rPr>
          <w:rFonts w:asciiTheme="majorBidi" w:hAnsiTheme="majorBidi" w:cstheme="majorBidi"/>
        </w:rPr>
        <w:t>0.288</w:t>
      </w:r>
      <w:r w:rsidRPr="00C02236">
        <w:rPr>
          <w:rFonts w:asciiTheme="majorBidi" w:hAnsiTheme="majorBidi" w:cstheme="majorBidi"/>
          <w:bCs/>
        </w:rPr>
        <w:t xml:space="preserve">  (</w:t>
      </w:r>
      <w:proofErr w:type="gramEnd"/>
      <w:r w:rsidRPr="00C02236">
        <w:rPr>
          <w:rFonts w:asciiTheme="majorBidi" w:hAnsiTheme="majorBidi" w:cstheme="majorBidi"/>
          <w:b/>
        </w:rPr>
        <w:t>Ob7</w:t>
      </w:r>
      <w:r w:rsidRPr="00C02236">
        <w:rPr>
          <w:rFonts w:asciiTheme="majorBidi" w:hAnsiTheme="majorBidi" w:cstheme="majorBidi"/>
          <w:bCs/>
        </w:rPr>
        <w:t>) to</w:t>
      </w:r>
      <w:r w:rsidRPr="00C02236">
        <w:rPr>
          <w:rFonts w:asciiTheme="majorBidi" w:hAnsiTheme="majorBidi" w:cstheme="majorBidi"/>
        </w:rPr>
        <w:t>0.54</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with several compounds exhibiting moderate risks of mutagenic potential, particularly </w:t>
      </w:r>
      <w:r w:rsidRPr="00C02236">
        <w:rPr>
          <w:rFonts w:asciiTheme="majorBidi" w:hAnsiTheme="majorBidi" w:cstheme="majorBidi"/>
          <w:b/>
        </w:rPr>
        <w:t>Ob1</w:t>
      </w:r>
      <w:r w:rsidRPr="00C02236">
        <w:rPr>
          <w:rFonts w:asciiTheme="majorBidi" w:hAnsiTheme="majorBidi" w:cstheme="majorBidi"/>
          <w:bCs/>
        </w:rPr>
        <w:t xml:space="preserve"> and </w:t>
      </w:r>
      <w:r w:rsidRPr="00C02236">
        <w:rPr>
          <w:rFonts w:asciiTheme="majorBidi" w:hAnsiTheme="majorBidi" w:cstheme="majorBidi"/>
          <w:b/>
        </w:rPr>
        <w:t>Ob10</w:t>
      </w:r>
      <w:r w:rsidRPr="00C02236">
        <w:rPr>
          <w:rFonts w:asciiTheme="majorBidi" w:hAnsiTheme="majorBidi" w:cstheme="majorBidi"/>
          <w:bCs/>
        </w:rPr>
        <w:t>.</w:t>
      </w:r>
    </w:p>
    <w:p w:rsidR="0018648E" w:rsidRPr="00C02236" w:rsidRDefault="0018648E" w:rsidP="0018648E">
      <w:pPr>
        <w:spacing w:line="360" w:lineRule="auto"/>
        <w:jc w:val="both"/>
        <w:rPr>
          <w:rFonts w:asciiTheme="majorBidi" w:hAnsiTheme="majorBidi" w:cstheme="majorBidi"/>
        </w:rPr>
      </w:pPr>
      <w:r w:rsidRPr="00C02236">
        <w:rPr>
          <w:rFonts w:asciiTheme="majorBidi" w:hAnsiTheme="majorBidi" w:cstheme="majorBidi"/>
          <w:bCs/>
        </w:rPr>
        <w:t xml:space="preserve">Rat oral acute toxicity, indicative of short-term toxicity, ranged from </w:t>
      </w:r>
      <w:r w:rsidRPr="00C02236">
        <w:rPr>
          <w:rFonts w:asciiTheme="majorBidi" w:hAnsiTheme="majorBidi" w:cstheme="majorBidi"/>
        </w:rPr>
        <w:t>0.273</w:t>
      </w:r>
      <w:r w:rsidRPr="00C02236">
        <w:rPr>
          <w:rFonts w:asciiTheme="majorBidi" w:hAnsiTheme="majorBidi" w:cstheme="majorBidi"/>
          <w:bCs/>
        </w:rPr>
        <w:t xml:space="preserve"> (</w:t>
      </w:r>
      <w:r w:rsidRPr="00C02236">
        <w:rPr>
          <w:rFonts w:asciiTheme="majorBidi" w:hAnsiTheme="majorBidi" w:cstheme="majorBidi"/>
          <w:b/>
        </w:rPr>
        <w:t>Ob7</w:t>
      </w:r>
      <w:r w:rsidRPr="00C02236">
        <w:rPr>
          <w:rFonts w:asciiTheme="majorBidi" w:hAnsiTheme="majorBidi" w:cstheme="majorBidi"/>
          <w:bCs/>
        </w:rPr>
        <w:t>) to 0.002 (</w:t>
      </w:r>
      <w:r w:rsidRPr="00C02236">
        <w:rPr>
          <w:rFonts w:asciiTheme="majorBidi" w:hAnsiTheme="majorBidi" w:cstheme="majorBidi"/>
          <w:b/>
        </w:rPr>
        <w:t>Ob10</w:t>
      </w:r>
      <w:r w:rsidRPr="00C02236">
        <w:rPr>
          <w:rFonts w:asciiTheme="majorBidi" w:hAnsiTheme="majorBidi" w:cstheme="majorBidi"/>
          <w:bCs/>
        </w:rPr>
        <w:t xml:space="preserve">), suggesting relatively low acute toxicity across the series. The FDAMDD (Maximum Recommended Daily Dose) predictions varied from </w:t>
      </w:r>
      <w:r w:rsidRPr="00C02236">
        <w:rPr>
          <w:rFonts w:asciiTheme="majorBidi" w:hAnsiTheme="majorBidi" w:cstheme="majorBidi"/>
        </w:rPr>
        <w:t>0.364</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to </w:t>
      </w:r>
      <w:r w:rsidRPr="00C02236">
        <w:rPr>
          <w:rFonts w:asciiTheme="majorBidi" w:hAnsiTheme="majorBidi" w:cstheme="majorBidi"/>
        </w:rPr>
        <w:t>0.382</w:t>
      </w:r>
      <w:r w:rsidRPr="00C02236">
        <w:rPr>
          <w:rFonts w:asciiTheme="majorBidi" w:hAnsiTheme="majorBidi" w:cstheme="majorBidi"/>
          <w:bCs/>
        </w:rPr>
        <w:t xml:space="preserve"> (</w:t>
      </w:r>
      <w:r w:rsidRPr="00C02236">
        <w:rPr>
          <w:rFonts w:asciiTheme="majorBidi" w:hAnsiTheme="majorBidi" w:cstheme="majorBidi"/>
          <w:b/>
        </w:rPr>
        <w:t>Ob4</w:t>
      </w:r>
      <w:r w:rsidRPr="00C02236">
        <w:rPr>
          <w:rFonts w:asciiTheme="majorBidi" w:hAnsiTheme="majorBidi" w:cstheme="majorBidi"/>
          <w:bCs/>
        </w:rPr>
        <w:t xml:space="preserve">), with higher values indicating a higher likelihood of safety at recommended doses. Compounds like </w:t>
      </w:r>
      <w:r w:rsidRPr="00C02236">
        <w:rPr>
          <w:rFonts w:asciiTheme="majorBidi" w:hAnsiTheme="majorBidi" w:cstheme="majorBidi"/>
          <w:b/>
        </w:rPr>
        <w:t>Ob4</w:t>
      </w:r>
      <w:r w:rsidRPr="00C02236">
        <w:rPr>
          <w:rFonts w:asciiTheme="majorBidi" w:hAnsiTheme="majorBidi" w:cstheme="majorBidi"/>
          <w:bCs/>
        </w:rPr>
        <w:t xml:space="preserve"> and </w:t>
      </w:r>
      <w:r w:rsidRPr="00C02236">
        <w:rPr>
          <w:rFonts w:asciiTheme="majorBidi" w:hAnsiTheme="majorBidi" w:cstheme="majorBidi"/>
          <w:b/>
        </w:rPr>
        <w:t>Ob3</w:t>
      </w:r>
      <w:r w:rsidRPr="00C02236">
        <w:rPr>
          <w:rFonts w:asciiTheme="majorBidi" w:hAnsiTheme="majorBidi" w:cstheme="majorBidi"/>
          <w:bCs/>
        </w:rPr>
        <w:t xml:space="preserve"> showed higher FDAMDD values, suggesting better tolerability. Skin sensitization probabilities were variable, ranging from </w:t>
      </w:r>
      <w:r w:rsidRPr="00C02236">
        <w:rPr>
          <w:rFonts w:asciiTheme="majorBidi" w:hAnsiTheme="majorBidi" w:cstheme="majorBidi"/>
        </w:rPr>
        <w:t>0.414</w:t>
      </w:r>
      <w:r w:rsidRPr="00C02236">
        <w:rPr>
          <w:rFonts w:asciiTheme="majorBidi" w:hAnsiTheme="majorBidi" w:cstheme="majorBidi"/>
          <w:bCs/>
        </w:rPr>
        <w:t xml:space="preserve"> (</w:t>
      </w:r>
      <w:r w:rsidRPr="00C02236">
        <w:rPr>
          <w:rFonts w:asciiTheme="majorBidi" w:hAnsiTheme="majorBidi" w:cstheme="majorBidi"/>
          <w:b/>
        </w:rPr>
        <w:t>Ob10</w:t>
      </w:r>
      <w:r w:rsidRPr="00C02236">
        <w:rPr>
          <w:rFonts w:asciiTheme="majorBidi" w:hAnsiTheme="majorBidi" w:cstheme="majorBidi"/>
          <w:bCs/>
        </w:rPr>
        <w:t xml:space="preserve">) to </w:t>
      </w:r>
      <w:r w:rsidRPr="00C02236">
        <w:rPr>
          <w:rFonts w:asciiTheme="majorBidi" w:hAnsiTheme="majorBidi" w:cstheme="majorBidi"/>
        </w:rPr>
        <w:t>0.364</w:t>
      </w:r>
      <w:r w:rsidRPr="00C02236">
        <w:rPr>
          <w:rFonts w:asciiTheme="majorBidi" w:hAnsiTheme="majorBidi" w:cstheme="majorBidi"/>
          <w:bCs/>
        </w:rPr>
        <w:t xml:space="preserve"> (</w:t>
      </w:r>
      <w:r w:rsidRPr="00C02236">
        <w:rPr>
          <w:rFonts w:asciiTheme="majorBidi" w:hAnsiTheme="majorBidi" w:cstheme="majorBidi"/>
          <w:b/>
        </w:rPr>
        <w:t>Ob1</w:t>
      </w:r>
      <w:r w:rsidRPr="00C02236">
        <w:rPr>
          <w:rFonts w:asciiTheme="majorBidi" w:hAnsiTheme="majorBidi" w:cstheme="majorBidi"/>
          <w:bCs/>
        </w:rPr>
        <w:t xml:space="preserve">). Compounds like </w:t>
      </w:r>
      <w:r w:rsidRPr="00C02236">
        <w:rPr>
          <w:rFonts w:asciiTheme="majorBidi" w:hAnsiTheme="majorBidi" w:cstheme="majorBidi"/>
          <w:b/>
        </w:rPr>
        <w:t>0b9</w:t>
      </w:r>
      <w:r w:rsidRPr="00C02236">
        <w:rPr>
          <w:rFonts w:asciiTheme="majorBidi" w:hAnsiTheme="majorBidi" w:cstheme="majorBidi"/>
          <w:bCs/>
        </w:rPr>
        <w:t xml:space="preserve"> showed the least risk of inducing skin irritation, while </w:t>
      </w:r>
      <w:r w:rsidRPr="00C02236">
        <w:rPr>
          <w:rFonts w:asciiTheme="majorBidi" w:hAnsiTheme="majorBidi" w:cstheme="majorBidi"/>
          <w:b/>
        </w:rPr>
        <w:t xml:space="preserve">Ob1 </w:t>
      </w:r>
      <w:r w:rsidRPr="00C02236">
        <w:rPr>
          <w:rFonts w:asciiTheme="majorBidi" w:hAnsiTheme="majorBidi" w:cstheme="majorBidi"/>
          <w:bCs/>
        </w:rPr>
        <w:t xml:space="preserve">presented the highest likelihood. Predictions for carcinogenicity ranged from 0.56 </w:t>
      </w:r>
      <w:r w:rsidRPr="00C02236">
        <w:rPr>
          <w:rFonts w:asciiTheme="majorBidi" w:hAnsiTheme="majorBidi" w:cstheme="majorBidi"/>
          <w:b/>
        </w:rPr>
        <w:t>(Ob1</w:t>
      </w:r>
      <w:r w:rsidRPr="00C02236">
        <w:rPr>
          <w:rFonts w:asciiTheme="majorBidi" w:hAnsiTheme="majorBidi" w:cstheme="majorBidi"/>
          <w:bCs/>
        </w:rPr>
        <w:t>) to 0.935 (</w:t>
      </w:r>
      <w:r w:rsidRPr="00C02236">
        <w:rPr>
          <w:rFonts w:asciiTheme="majorBidi" w:hAnsiTheme="majorBidi" w:cstheme="majorBidi"/>
          <w:b/>
        </w:rPr>
        <w:t>Ob1</w:t>
      </w:r>
      <w:r w:rsidRPr="00C02236">
        <w:rPr>
          <w:rFonts w:asciiTheme="majorBidi" w:hAnsiTheme="majorBidi" w:cstheme="majorBidi"/>
          <w:bCs/>
        </w:rPr>
        <w:t xml:space="preserve">), with compounds like </w:t>
      </w:r>
      <w:r w:rsidRPr="00C02236">
        <w:rPr>
          <w:rFonts w:asciiTheme="majorBidi" w:hAnsiTheme="majorBidi" w:cstheme="majorBidi"/>
          <w:b/>
        </w:rPr>
        <w:t>OB1</w:t>
      </w:r>
      <w:r w:rsidRPr="00C02236">
        <w:rPr>
          <w:rFonts w:asciiTheme="majorBidi" w:hAnsiTheme="majorBidi" w:cstheme="majorBidi"/>
          <w:bCs/>
        </w:rPr>
        <w:t xml:space="preserve"> and </w:t>
      </w:r>
      <w:r w:rsidRPr="00C02236">
        <w:rPr>
          <w:rFonts w:asciiTheme="majorBidi" w:hAnsiTheme="majorBidi" w:cstheme="majorBidi"/>
          <w:b/>
        </w:rPr>
        <w:t>Ob10</w:t>
      </w:r>
      <w:r w:rsidRPr="00C02236">
        <w:rPr>
          <w:rFonts w:asciiTheme="majorBidi" w:hAnsiTheme="majorBidi" w:cstheme="majorBidi"/>
          <w:bCs/>
        </w:rPr>
        <w:t xml:space="preserve"> showing higher potential for carcinogenic effects. For eye-related toxicity, all compounds showed no potential for eye corrosion (probability = 0.0). However, probabilities for eye irritation ranged from 0.025 (</w:t>
      </w:r>
      <w:r w:rsidRPr="00C02236">
        <w:rPr>
          <w:rFonts w:asciiTheme="majorBidi" w:hAnsiTheme="majorBidi" w:cstheme="majorBidi"/>
          <w:b/>
        </w:rPr>
        <w:t>Ob10</w:t>
      </w:r>
      <w:r w:rsidRPr="00C02236">
        <w:rPr>
          <w:rFonts w:asciiTheme="majorBidi" w:hAnsiTheme="majorBidi" w:cstheme="majorBidi"/>
          <w:bCs/>
        </w:rPr>
        <w:t>) to 0.191 (</w:t>
      </w:r>
      <w:r w:rsidRPr="00C02236">
        <w:rPr>
          <w:rFonts w:asciiTheme="majorBidi" w:hAnsiTheme="majorBidi" w:cstheme="majorBidi"/>
          <w:b/>
        </w:rPr>
        <w:t>Ob2</w:t>
      </w:r>
      <w:r w:rsidRPr="00C02236">
        <w:rPr>
          <w:rFonts w:asciiTheme="majorBidi" w:hAnsiTheme="majorBidi" w:cstheme="majorBidi"/>
          <w:bCs/>
        </w:rPr>
        <w:t xml:space="preserve">), with minimal risks overall. Respiratory </w:t>
      </w:r>
      <w:r w:rsidRPr="00C02236">
        <w:rPr>
          <w:rFonts w:asciiTheme="majorBidi" w:hAnsiTheme="majorBidi" w:cstheme="majorBidi"/>
          <w:bCs/>
        </w:rPr>
        <w:lastRenderedPageBreak/>
        <w:t>toxicity, indicative of potential lung toxicity, showed probabilities ranging from 0.195 (Ob1) to 0.685 (</w:t>
      </w:r>
      <w:r w:rsidRPr="00C02236">
        <w:rPr>
          <w:rFonts w:asciiTheme="majorBidi" w:hAnsiTheme="majorBidi" w:cstheme="majorBidi"/>
          <w:b/>
        </w:rPr>
        <w:t>Ob2</w:t>
      </w:r>
      <w:r w:rsidRPr="00C02236">
        <w:rPr>
          <w:rFonts w:asciiTheme="majorBidi" w:hAnsiTheme="majorBidi" w:cstheme="majorBidi"/>
          <w:bCs/>
        </w:rPr>
        <w:t xml:space="preserve">), with </w:t>
      </w:r>
      <w:r w:rsidRPr="00C02236">
        <w:rPr>
          <w:rFonts w:asciiTheme="majorBidi" w:hAnsiTheme="majorBidi" w:cstheme="majorBidi"/>
          <w:b/>
        </w:rPr>
        <w:t>Ob1</w:t>
      </w:r>
      <w:r w:rsidRPr="00C02236">
        <w:rPr>
          <w:rFonts w:asciiTheme="majorBidi" w:hAnsiTheme="majorBidi" w:cstheme="majorBidi"/>
          <w:bCs/>
        </w:rPr>
        <w:t xml:space="preserve"> demonstrating the highest risk.</w:t>
      </w:r>
    </w:p>
    <w:p w:rsidR="0018648E" w:rsidRPr="00C02236" w:rsidRDefault="0018648E" w:rsidP="0018648E">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Human hepatotoxicity probabilities ranged from 0.302 (</w:t>
      </w:r>
      <w:r w:rsidRPr="00C02236">
        <w:rPr>
          <w:rFonts w:asciiTheme="majorBidi" w:hAnsiTheme="majorBidi" w:cstheme="majorBidi"/>
          <w:b/>
        </w:rPr>
        <w:t>Ob1</w:t>
      </w:r>
      <w:r w:rsidRPr="00C02236">
        <w:rPr>
          <w:rFonts w:asciiTheme="majorBidi" w:hAnsiTheme="majorBidi" w:cstheme="majorBidi"/>
          <w:bCs/>
        </w:rPr>
        <w:t>) to 0.814 (</w:t>
      </w:r>
      <w:r w:rsidRPr="00C02236">
        <w:rPr>
          <w:rFonts w:asciiTheme="majorBidi" w:hAnsiTheme="majorBidi" w:cstheme="majorBidi"/>
          <w:b/>
        </w:rPr>
        <w:t>Ob6</w:t>
      </w:r>
      <w:r w:rsidRPr="00C02236">
        <w:rPr>
          <w:rFonts w:asciiTheme="majorBidi" w:hAnsiTheme="majorBidi" w:cstheme="majorBidi"/>
          <w:bCs/>
        </w:rPr>
        <w:t xml:space="preserve">), with compounds like </w:t>
      </w:r>
      <w:r w:rsidRPr="00C02236">
        <w:rPr>
          <w:rFonts w:asciiTheme="majorBidi" w:hAnsiTheme="majorBidi" w:cstheme="majorBidi"/>
          <w:b/>
        </w:rPr>
        <w:t>Ob1</w:t>
      </w:r>
      <w:r w:rsidRPr="00C02236">
        <w:rPr>
          <w:rFonts w:asciiTheme="majorBidi" w:hAnsiTheme="majorBidi" w:cstheme="majorBidi"/>
          <w:bCs/>
        </w:rPr>
        <w:t xml:space="preserve"> showing higher liver toxicity risks. Drug-induced nephrotoxicity, reflecting kidney toxicity, showed significant variation, ranging from 0.452 (</w:t>
      </w:r>
      <w:r w:rsidRPr="00C02236">
        <w:rPr>
          <w:rFonts w:asciiTheme="majorBidi" w:hAnsiTheme="majorBidi" w:cstheme="majorBidi"/>
          <w:b/>
        </w:rPr>
        <w:t>Ob7</w:t>
      </w:r>
      <w:r w:rsidRPr="00C02236">
        <w:rPr>
          <w:rFonts w:asciiTheme="majorBidi" w:hAnsiTheme="majorBidi" w:cstheme="majorBidi"/>
          <w:bCs/>
        </w:rPr>
        <w:t>) to 0.944 (</w:t>
      </w:r>
      <w:r w:rsidRPr="00C02236">
        <w:rPr>
          <w:rFonts w:asciiTheme="majorBidi" w:hAnsiTheme="majorBidi" w:cstheme="majorBidi"/>
          <w:b/>
        </w:rPr>
        <w:t>Ob9</w:t>
      </w:r>
      <w:r w:rsidRPr="00C02236">
        <w:rPr>
          <w:rFonts w:asciiTheme="majorBidi" w:hAnsiTheme="majorBidi" w:cstheme="majorBidi"/>
          <w:bCs/>
        </w:rPr>
        <w:t xml:space="preserve">), with </w:t>
      </w:r>
      <w:r w:rsidRPr="00C02236">
        <w:rPr>
          <w:rFonts w:asciiTheme="majorBidi" w:hAnsiTheme="majorBidi" w:cstheme="majorBidi"/>
          <w:b/>
        </w:rPr>
        <w:t>Ob9</w:t>
      </w:r>
      <w:r w:rsidRPr="00C02236">
        <w:rPr>
          <w:rFonts w:asciiTheme="majorBidi" w:hAnsiTheme="majorBidi" w:cstheme="majorBidi"/>
          <w:bCs/>
        </w:rPr>
        <w:t xml:space="preserve"> presenting the highest likelihood of renal toxicity.</w:t>
      </w:r>
    </w:p>
    <w:p w:rsidR="0018648E" w:rsidRPr="00C02236" w:rsidRDefault="0018648E" w:rsidP="0018648E">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Ototoxicity (ear toxicity) was relatively low, ranging from 0.097 (</w:t>
      </w:r>
      <w:r w:rsidRPr="00C02236">
        <w:rPr>
          <w:rFonts w:asciiTheme="majorBidi" w:hAnsiTheme="majorBidi" w:cstheme="majorBidi"/>
          <w:b/>
        </w:rPr>
        <w:t>OB1</w:t>
      </w:r>
      <w:r w:rsidRPr="00C02236">
        <w:rPr>
          <w:rFonts w:asciiTheme="majorBidi" w:hAnsiTheme="majorBidi" w:cstheme="majorBidi"/>
          <w:bCs/>
        </w:rPr>
        <w:t>) to 0.631 (</w:t>
      </w:r>
      <w:r w:rsidRPr="00C02236">
        <w:rPr>
          <w:rFonts w:asciiTheme="majorBidi" w:hAnsiTheme="majorBidi" w:cstheme="majorBidi"/>
          <w:b/>
        </w:rPr>
        <w:t>Ob9</w:t>
      </w:r>
      <w:r w:rsidRPr="00C02236">
        <w:rPr>
          <w:rFonts w:asciiTheme="majorBidi" w:hAnsiTheme="majorBidi" w:cstheme="majorBidi"/>
          <w:bCs/>
        </w:rPr>
        <w:t xml:space="preserve">). </w:t>
      </w:r>
      <w:proofErr w:type="spellStart"/>
      <w:r w:rsidRPr="00C02236">
        <w:rPr>
          <w:rFonts w:asciiTheme="majorBidi" w:hAnsiTheme="majorBidi" w:cstheme="majorBidi"/>
          <w:bCs/>
        </w:rPr>
        <w:t>Hematotoxicity</w:t>
      </w:r>
      <w:proofErr w:type="spellEnd"/>
      <w:r w:rsidRPr="00C02236">
        <w:rPr>
          <w:rFonts w:asciiTheme="majorBidi" w:hAnsiTheme="majorBidi" w:cstheme="majorBidi"/>
          <w:bCs/>
        </w:rPr>
        <w:t xml:space="preserve"> predictions ranged from 0.055 (</w:t>
      </w:r>
      <w:r w:rsidRPr="00C02236">
        <w:rPr>
          <w:rFonts w:asciiTheme="majorBidi" w:hAnsiTheme="majorBidi" w:cstheme="majorBidi"/>
          <w:b/>
        </w:rPr>
        <w:t>Ob6</w:t>
      </w:r>
      <w:r w:rsidRPr="00C02236">
        <w:rPr>
          <w:rFonts w:asciiTheme="majorBidi" w:hAnsiTheme="majorBidi" w:cstheme="majorBidi"/>
          <w:bCs/>
        </w:rPr>
        <w:t>) to 0.451 (</w:t>
      </w:r>
      <w:r w:rsidRPr="00C02236">
        <w:rPr>
          <w:rFonts w:asciiTheme="majorBidi" w:hAnsiTheme="majorBidi" w:cstheme="majorBidi"/>
          <w:b/>
        </w:rPr>
        <w:t>Ob1</w:t>
      </w:r>
      <w:r w:rsidRPr="00C02236">
        <w:rPr>
          <w:rFonts w:asciiTheme="majorBidi" w:hAnsiTheme="majorBidi" w:cstheme="majorBidi"/>
          <w:bCs/>
        </w:rPr>
        <w:t xml:space="preserve">), indicating minimal risk of blood toxicity for most compounds. </w:t>
      </w:r>
      <w:proofErr w:type="spellStart"/>
      <w:r w:rsidRPr="00C02236">
        <w:rPr>
          <w:rFonts w:asciiTheme="majorBidi" w:hAnsiTheme="majorBidi" w:cstheme="majorBidi"/>
          <w:bCs/>
        </w:rPr>
        <w:t>Genotoxicity</w:t>
      </w:r>
      <w:proofErr w:type="spellEnd"/>
      <w:r w:rsidRPr="00C02236">
        <w:rPr>
          <w:rFonts w:asciiTheme="majorBidi" w:hAnsiTheme="majorBidi" w:cstheme="majorBidi"/>
          <w:bCs/>
        </w:rPr>
        <w:t>, a measure of DNA-damaging potential, was high across all compounds (≥0.998), underscoring the need for further investigation into mutagenic risks.</w:t>
      </w:r>
    </w:p>
    <w:p w:rsidR="0018648E" w:rsidRDefault="0018648E" w:rsidP="003305EB">
      <w:pPr>
        <w:autoSpaceDE w:val="0"/>
        <w:autoSpaceDN w:val="0"/>
        <w:adjustRightInd w:val="0"/>
        <w:spacing w:line="360" w:lineRule="auto"/>
        <w:jc w:val="both"/>
        <w:rPr>
          <w:rFonts w:asciiTheme="majorBidi" w:hAnsiTheme="majorBidi" w:cstheme="majorBidi"/>
          <w:bCs/>
        </w:rPr>
      </w:pPr>
      <w:r w:rsidRPr="00C02236">
        <w:rPr>
          <w:rFonts w:asciiTheme="majorBidi" w:hAnsiTheme="majorBidi" w:cstheme="majorBidi"/>
          <w:bCs/>
        </w:rPr>
        <w:t xml:space="preserve">Cytotoxicity predictions for cancer cell lines revealed variability in RPMI-8226 </w:t>
      </w:r>
      <w:proofErr w:type="spellStart"/>
      <w:r w:rsidRPr="00C02236">
        <w:rPr>
          <w:rFonts w:asciiTheme="majorBidi" w:hAnsiTheme="majorBidi" w:cstheme="majorBidi"/>
          <w:bCs/>
        </w:rPr>
        <w:t>immunotoxicity</w:t>
      </w:r>
      <w:proofErr w:type="spellEnd"/>
      <w:r w:rsidRPr="00C02236">
        <w:rPr>
          <w:rFonts w:asciiTheme="majorBidi" w:hAnsiTheme="majorBidi" w:cstheme="majorBidi"/>
          <w:bCs/>
        </w:rPr>
        <w:t>, ranging from 0.021 (</w:t>
      </w:r>
      <w:r w:rsidRPr="00C02236">
        <w:rPr>
          <w:rFonts w:asciiTheme="majorBidi" w:hAnsiTheme="majorBidi" w:cstheme="majorBidi"/>
          <w:b/>
        </w:rPr>
        <w:t>Ob1</w:t>
      </w:r>
      <w:r w:rsidRPr="00C02236">
        <w:rPr>
          <w:rFonts w:asciiTheme="majorBidi" w:hAnsiTheme="majorBidi" w:cstheme="majorBidi"/>
          <w:bCs/>
        </w:rPr>
        <w:t>) to 0.076 (</w:t>
      </w:r>
      <w:r w:rsidRPr="00C02236">
        <w:rPr>
          <w:rFonts w:asciiTheme="majorBidi" w:hAnsiTheme="majorBidi" w:cstheme="majorBidi"/>
          <w:b/>
        </w:rPr>
        <w:t>Ob1</w:t>
      </w:r>
      <w:r w:rsidRPr="00C02236">
        <w:rPr>
          <w:rFonts w:asciiTheme="majorBidi" w:hAnsiTheme="majorBidi" w:cstheme="majorBidi"/>
          <w:bCs/>
        </w:rPr>
        <w:t>), and A549 cytotoxicity, ranging from 0.019 (</w:t>
      </w:r>
      <w:r w:rsidRPr="00C02236">
        <w:rPr>
          <w:rFonts w:asciiTheme="majorBidi" w:hAnsiTheme="majorBidi" w:cstheme="majorBidi"/>
          <w:b/>
        </w:rPr>
        <w:t>Ob1</w:t>
      </w:r>
      <w:r w:rsidRPr="00C02236">
        <w:rPr>
          <w:rFonts w:asciiTheme="majorBidi" w:hAnsiTheme="majorBidi" w:cstheme="majorBidi"/>
          <w:bCs/>
        </w:rPr>
        <w:t>) to 0.301 (</w:t>
      </w:r>
      <w:r w:rsidRPr="00C02236">
        <w:rPr>
          <w:rFonts w:asciiTheme="majorBidi" w:hAnsiTheme="majorBidi" w:cstheme="majorBidi"/>
          <w:b/>
        </w:rPr>
        <w:t>Ob9</w:t>
      </w:r>
      <w:r w:rsidRPr="00C02236">
        <w:rPr>
          <w:rFonts w:asciiTheme="majorBidi" w:hAnsiTheme="majorBidi" w:cstheme="majorBidi"/>
          <w:bCs/>
        </w:rPr>
        <w:t>). For HEK293 cytotoxicity, probabilities ranged from 0.621 (</w:t>
      </w:r>
      <w:r w:rsidRPr="00C02236">
        <w:rPr>
          <w:rFonts w:asciiTheme="majorBidi" w:hAnsiTheme="majorBidi" w:cstheme="majorBidi"/>
          <w:b/>
        </w:rPr>
        <w:t>Ob1</w:t>
      </w:r>
      <w:r w:rsidR="0022377C">
        <w:rPr>
          <w:rFonts w:asciiTheme="majorBidi" w:hAnsiTheme="majorBidi" w:cstheme="majorBidi"/>
          <w:bCs/>
        </w:rPr>
        <w:t>) to 0.947 O</w:t>
      </w:r>
      <w:r w:rsidRPr="00C02236">
        <w:rPr>
          <w:rFonts w:asciiTheme="majorBidi" w:hAnsiTheme="majorBidi" w:cstheme="majorBidi"/>
          <w:b/>
        </w:rPr>
        <w:t>b9</w:t>
      </w:r>
      <w:r w:rsidRPr="00C02236">
        <w:rPr>
          <w:rFonts w:asciiTheme="majorBidi" w:hAnsiTheme="majorBidi" w:cstheme="majorBidi"/>
          <w:bCs/>
        </w:rPr>
        <w:t xml:space="preserve">), with compound </w:t>
      </w:r>
      <w:r w:rsidRPr="00C02236">
        <w:rPr>
          <w:rFonts w:asciiTheme="majorBidi" w:hAnsiTheme="majorBidi" w:cstheme="majorBidi"/>
          <w:b/>
        </w:rPr>
        <w:t>Ob9</w:t>
      </w:r>
      <w:r w:rsidRPr="00C02236">
        <w:rPr>
          <w:rFonts w:asciiTheme="majorBidi" w:hAnsiTheme="majorBidi" w:cstheme="majorBidi"/>
          <w:bCs/>
        </w:rPr>
        <w:t xml:space="preserve"> showing the highest potential for toxicity in kidney cell lines. Drug-induced neurotoxicity was predicted to be significant, with probabilities ranging from 0.778 (</w:t>
      </w:r>
      <w:r w:rsidRPr="00C02236">
        <w:rPr>
          <w:rFonts w:asciiTheme="majorBidi" w:hAnsiTheme="majorBidi" w:cstheme="majorBidi"/>
          <w:b/>
        </w:rPr>
        <w:t>Ob7</w:t>
      </w:r>
      <w:r w:rsidRPr="00C02236">
        <w:rPr>
          <w:rFonts w:asciiTheme="majorBidi" w:hAnsiTheme="majorBidi" w:cstheme="majorBidi"/>
          <w:bCs/>
        </w:rPr>
        <w:t>) to 0.982 (</w:t>
      </w:r>
      <w:r w:rsidRPr="00C02236">
        <w:rPr>
          <w:rFonts w:asciiTheme="majorBidi" w:hAnsiTheme="majorBidi" w:cstheme="majorBidi"/>
          <w:b/>
        </w:rPr>
        <w:t>Ob9</w:t>
      </w:r>
      <w:r w:rsidRPr="00C02236">
        <w:rPr>
          <w:rFonts w:asciiTheme="majorBidi" w:hAnsiTheme="majorBidi" w:cstheme="majorBidi"/>
          <w:bCs/>
        </w:rPr>
        <w:t xml:space="preserve">), suggesting potential risks to the nervous system, particularly for </w:t>
      </w:r>
      <w:r w:rsidRPr="00C02236">
        <w:rPr>
          <w:rFonts w:asciiTheme="majorBidi" w:hAnsiTheme="majorBidi" w:cstheme="majorBidi"/>
          <w:b/>
        </w:rPr>
        <w:t>Ob9</w:t>
      </w:r>
      <w:r w:rsidRPr="00C02236">
        <w:rPr>
          <w:rFonts w:asciiTheme="majorBidi" w:hAnsiTheme="majorBidi" w:cstheme="majorBidi"/>
          <w:bCs/>
        </w:rPr>
        <w:t xml:space="preserve"> and </w:t>
      </w:r>
      <w:r w:rsidRPr="00C02236">
        <w:rPr>
          <w:rFonts w:asciiTheme="majorBidi" w:hAnsiTheme="majorBidi" w:cstheme="majorBidi"/>
          <w:b/>
        </w:rPr>
        <w:t>Ob5</w:t>
      </w:r>
      <w:r w:rsidR="00406B66">
        <w:rPr>
          <w:rFonts w:asciiTheme="majorBidi" w:hAnsiTheme="majorBidi" w:cstheme="majorBidi"/>
          <w:b/>
        </w:rPr>
        <w:t xml:space="preserve"> </w:t>
      </w:r>
      <w:r w:rsidRPr="00C02236">
        <w:rPr>
          <w:rFonts w:asciiTheme="majorBidi" w:hAnsiTheme="majorBidi" w:cstheme="majorBidi"/>
          <w:bCs/>
        </w:rPr>
        <w:t xml:space="preserve">as given in Table </w:t>
      </w:r>
      <w:r>
        <w:rPr>
          <w:rFonts w:asciiTheme="majorBidi" w:hAnsiTheme="majorBidi" w:cstheme="majorBidi"/>
          <w:bCs/>
        </w:rPr>
        <w:t>1</w:t>
      </w:r>
      <w:r w:rsidR="003305EB">
        <w:rPr>
          <w:rFonts w:asciiTheme="majorBidi" w:hAnsiTheme="majorBidi" w:cstheme="majorBidi"/>
          <w:bCs/>
        </w:rPr>
        <w:t>2</w:t>
      </w:r>
      <w:r w:rsidRPr="00C02236">
        <w:rPr>
          <w:rFonts w:asciiTheme="majorBidi" w:hAnsiTheme="majorBidi" w:cstheme="majorBidi"/>
          <w:bCs/>
        </w:rPr>
        <w:t>.</w:t>
      </w:r>
    </w:p>
    <w:p w:rsidR="0018648E" w:rsidRPr="0018648E" w:rsidRDefault="0018648E" w:rsidP="003305EB">
      <w:pPr>
        <w:pStyle w:val="NormalWeb"/>
        <w:spacing w:line="360" w:lineRule="auto"/>
        <w:jc w:val="both"/>
        <w:rPr>
          <w:b/>
        </w:rPr>
      </w:pPr>
      <w:bookmarkStart w:id="1" w:name="_Toc191889982"/>
      <w:r w:rsidRPr="0095487C">
        <w:rPr>
          <w:rFonts w:asciiTheme="majorBidi" w:hAnsiTheme="majorBidi" w:cstheme="majorBidi"/>
          <w:b/>
        </w:rPr>
        <w:t>Table 1</w:t>
      </w:r>
      <w:r w:rsidR="003305EB">
        <w:rPr>
          <w:rFonts w:asciiTheme="majorBidi" w:hAnsiTheme="majorBidi" w:cstheme="majorBidi"/>
          <w:b/>
        </w:rPr>
        <w:t>2</w:t>
      </w:r>
      <w:r w:rsidRPr="0095487C">
        <w:rPr>
          <w:rFonts w:asciiTheme="majorBidi" w:hAnsiTheme="majorBidi" w:cstheme="majorBidi"/>
          <w:b/>
        </w:rPr>
        <w:t xml:space="preserve">: Toxicity profile </w:t>
      </w:r>
      <w:bookmarkEnd w:id="1"/>
      <w:r w:rsidR="0022377C" w:rsidRPr="0022377C">
        <w:rPr>
          <w:rFonts w:asciiTheme="majorBidi" w:hAnsiTheme="majorBidi" w:cstheme="majorBidi"/>
          <w:b/>
        </w:rPr>
        <w:t>of Ob1-Ob10</w:t>
      </w:r>
    </w:p>
    <w:tbl>
      <w:tblPr>
        <w:tblStyle w:val="TableGridLight"/>
        <w:tblW w:w="9445" w:type="dxa"/>
        <w:tblLook w:val="04A0" w:firstRow="1" w:lastRow="0" w:firstColumn="1" w:lastColumn="0" w:noHBand="0" w:noVBand="1"/>
      </w:tblPr>
      <w:tblGrid>
        <w:gridCol w:w="1996"/>
        <w:gridCol w:w="735"/>
        <w:gridCol w:w="735"/>
        <w:gridCol w:w="736"/>
        <w:gridCol w:w="736"/>
        <w:gridCol w:w="736"/>
        <w:gridCol w:w="735"/>
        <w:gridCol w:w="735"/>
        <w:gridCol w:w="736"/>
        <w:gridCol w:w="735"/>
        <w:gridCol w:w="830"/>
      </w:tblGrid>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
                <w:sz w:val="20"/>
                <w:szCs w:val="20"/>
              </w:rPr>
            </w:pPr>
            <w:r w:rsidRPr="00406B66">
              <w:rPr>
                <w:rFonts w:asciiTheme="majorBidi" w:hAnsiTheme="majorBidi" w:cstheme="majorBidi"/>
                <w:b/>
                <w:sz w:val="20"/>
                <w:szCs w:val="20"/>
              </w:rPr>
              <w:t>Properties</w:t>
            </w:r>
          </w:p>
        </w:tc>
        <w:tc>
          <w:tcPr>
            <w:tcW w:w="735"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Ob1</w:t>
            </w:r>
          </w:p>
        </w:tc>
        <w:tc>
          <w:tcPr>
            <w:tcW w:w="735"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Ob2</w:t>
            </w:r>
          </w:p>
        </w:tc>
        <w:tc>
          <w:tcPr>
            <w:tcW w:w="736"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Ob3</w:t>
            </w:r>
          </w:p>
        </w:tc>
        <w:tc>
          <w:tcPr>
            <w:tcW w:w="736"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Ob4</w:t>
            </w:r>
          </w:p>
        </w:tc>
        <w:tc>
          <w:tcPr>
            <w:tcW w:w="736"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Ob5</w:t>
            </w:r>
          </w:p>
        </w:tc>
        <w:tc>
          <w:tcPr>
            <w:tcW w:w="735"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Ob6</w:t>
            </w:r>
          </w:p>
        </w:tc>
        <w:tc>
          <w:tcPr>
            <w:tcW w:w="735"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Ob7</w:t>
            </w:r>
          </w:p>
        </w:tc>
        <w:tc>
          <w:tcPr>
            <w:tcW w:w="736"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OB8</w:t>
            </w:r>
          </w:p>
        </w:tc>
        <w:tc>
          <w:tcPr>
            <w:tcW w:w="735"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Ob9</w:t>
            </w:r>
          </w:p>
        </w:tc>
        <w:tc>
          <w:tcPr>
            <w:tcW w:w="830" w:type="dxa"/>
          </w:tcPr>
          <w:p w:rsidR="0018648E" w:rsidRPr="00FC53C1" w:rsidRDefault="0018648E" w:rsidP="00A54387">
            <w:pPr>
              <w:spacing w:line="360" w:lineRule="auto"/>
              <w:jc w:val="both"/>
              <w:rPr>
                <w:rFonts w:asciiTheme="majorBidi" w:hAnsiTheme="majorBidi" w:cstheme="majorBidi"/>
                <w:b/>
                <w:sz w:val="20"/>
                <w:szCs w:val="20"/>
              </w:rPr>
            </w:pPr>
            <w:r w:rsidRPr="00FC53C1">
              <w:rPr>
                <w:rFonts w:asciiTheme="majorBidi" w:hAnsiTheme="majorBidi" w:cstheme="majorBidi"/>
                <w:b/>
                <w:sz w:val="20"/>
                <w:szCs w:val="20"/>
              </w:rPr>
              <w:t>0b10</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t>hERG</w:t>
            </w:r>
            <w:proofErr w:type="spellEnd"/>
            <w:r w:rsidRPr="00406B66">
              <w:rPr>
                <w:rFonts w:asciiTheme="majorBidi" w:hAnsiTheme="majorBidi" w:cstheme="majorBidi"/>
                <w:bCs/>
                <w:sz w:val="20"/>
                <w:szCs w:val="20"/>
              </w:rPr>
              <w:t xml:space="preserve"> Blockers</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0.058</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0.088</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0.058</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0.114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0.076</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0.096</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t>hERG</w:t>
            </w:r>
            <w:proofErr w:type="spellEnd"/>
            <w:r w:rsidRPr="00406B66">
              <w:rPr>
                <w:rFonts w:asciiTheme="majorBidi" w:hAnsiTheme="majorBidi" w:cstheme="majorBidi"/>
                <w:bCs/>
                <w:sz w:val="20"/>
                <w:szCs w:val="20"/>
              </w:rPr>
              <w:t xml:space="preserve"> Blockers (10um)</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0.433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0.412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0.573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0.528</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0.759</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0.321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0.431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0.324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0.368</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0.487</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DILI</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0.214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0.221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0.196</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0.136</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0.258</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0.215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0.336</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0.327</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 xml:space="preserve">AMES </w:t>
            </w:r>
            <w:proofErr w:type="spellStart"/>
            <w:r w:rsidRPr="00406B66">
              <w:rPr>
                <w:rFonts w:asciiTheme="majorBidi" w:hAnsiTheme="majorBidi" w:cstheme="majorBidi"/>
                <w:bCs/>
                <w:sz w:val="20"/>
                <w:szCs w:val="20"/>
              </w:rPr>
              <w:t>Muta</w:t>
            </w:r>
            <w:proofErr w:type="spellEnd"/>
            <w:r w:rsidRPr="00406B66">
              <w:rPr>
                <w:rFonts w:asciiTheme="majorBidi" w:hAnsiTheme="majorBidi" w:cstheme="majorBidi"/>
                <w:bCs/>
                <w:sz w:val="20"/>
                <w:szCs w:val="20"/>
              </w:rPr>
              <w:t xml:space="preserve"> </w:t>
            </w:r>
            <w:proofErr w:type="spellStart"/>
            <w:r w:rsidRPr="00406B66">
              <w:rPr>
                <w:rFonts w:asciiTheme="majorBidi" w:hAnsiTheme="majorBidi" w:cstheme="majorBidi"/>
                <w:bCs/>
                <w:sz w:val="20"/>
                <w:szCs w:val="20"/>
              </w:rPr>
              <w:t>genicity</w:t>
            </w:r>
            <w:proofErr w:type="spellEnd"/>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0.316</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0.615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0.391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0.345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0.288</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0.284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0.325</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0.398</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Rat Oral Acute Toxicity</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0.459</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0.555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0.284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0.566</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0.309</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0.353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0.273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0.243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0.243</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0.02</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FDAMDD</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0.364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0.422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0.455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0.382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0.274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0.272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0.537</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0.537</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0.414</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 xml:space="preserve">Skin </w:t>
            </w:r>
            <w:proofErr w:type="spellStart"/>
            <w:r w:rsidRPr="00406B66">
              <w:rPr>
                <w:rFonts w:asciiTheme="majorBidi" w:hAnsiTheme="majorBidi" w:cstheme="majorBidi"/>
                <w:bCs/>
                <w:sz w:val="20"/>
                <w:szCs w:val="20"/>
              </w:rPr>
              <w:t>Sensiti</w:t>
            </w:r>
            <w:proofErr w:type="spellEnd"/>
            <w:r w:rsidRPr="00406B66">
              <w:rPr>
                <w:rFonts w:asciiTheme="majorBidi" w:hAnsiTheme="majorBidi" w:cstheme="majorBidi"/>
                <w:bCs/>
                <w:sz w:val="20"/>
                <w:szCs w:val="20"/>
              </w:rPr>
              <w:t xml:space="preserve"> </w:t>
            </w:r>
            <w:proofErr w:type="spellStart"/>
            <w:r w:rsidRPr="00406B66">
              <w:rPr>
                <w:rFonts w:asciiTheme="majorBidi" w:hAnsiTheme="majorBidi" w:cstheme="majorBidi"/>
                <w:bCs/>
                <w:sz w:val="20"/>
                <w:szCs w:val="20"/>
              </w:rPr>
              <w:t>zatio</w:t>
            </w:r>
            <w:proofErr w:type="spellEnd"/>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0.956</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0.585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0.963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0.691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0.676</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0.904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0.904</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0.567</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t>Carcinogeni</w:t>
            </w:r>
            <w:proofErr w:type="spellEnd"/>
            <w:r w:rsidRPr="00406B66">
              <w:rPr>
                <w:rFonts w:asciiTheme="majorBidi" w:hAnsiTheme="majorBidi" w:cstheme="majorBidi"/>
                <w:bCs/>
                <w:sz w:val="20"/>
                <w:szCs w:val="20"/>
              </w:rPr>
              <w:t xml:space="preserve"> city</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0.651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0.759</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0.443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0.854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0.566</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0.661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0.606</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0.809</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0.809</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0.682</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Eye Corrosion</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0.986</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0.923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0.897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0.711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0.987</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0.612</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0.692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0.955</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0.489</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lastRenderedPageBreak/>
              <w:t>Eye irritation</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0.996</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0.978</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0.983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0.996</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0.977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0.994</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0.95</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Respiratory</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0.764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0.445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0.499</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0.681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0.753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0.609</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0.541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0.895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0.895</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0.715</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 xml:space="preserve">Human </w:t>
            </w:r>
            <w:proofErr w:type="spellStart"/>
            <w:r w:rsidRPr="00406B66">
              <w:rPr>
                <w:rFonts w:asciiTheme="majorBidi" w:hAnsiTheme="majorBidi" w:cstheme="majorBidi"/>
                <w:bCs/>
                <w:sz w:val="20"/>
                <w:szCs w:val="20"/>
              </w:rPr>
              <w:t>hep</w:t>
            </w:r>
            <w:proofErr w:type="spellEnd"/>
            <w:r w:rsidRPr="00406B66">
              <w:rPr>
                <w:rFonts w:asciiTheme="majorBidi" w:hAnsiTheme="majorBidi" w:cstheme="majorBidi"/>
                <w:bCs/>
                <w:sz w:val="20"/>
                <w:szCs w:val="20"/>
              </w:rPr>
              <w:t xml:space="preserve"> </w:t>
            </w:r>
            <w:proofErr w:type="spellStart"/>
            <w:r w:rsidRPr="00406B66">
              <w:rPr>
                <w:rFonts w:asciiTheme="majorBidi" w:hAnsiTheme="majorBidi" w:cstheme="majorBidi"/>
                <w:bCs/>
                <w:sz w:val="20"/>
                <w:szCs w:val="20"/>
              </w:rPr>
              <w:t>atoxicity</w:t>
            </w:r>
            <w:proofErr w:type="spellEnd"/>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0.395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0.351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0.484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0.232</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0.46</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0.369</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0.58</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0.58</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0.54</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 xml:space="preserve">Drug-induce d </w:t>
            </w:r>
            <w:proofErr w:type="spellStart"/>
            <w:r w:rsidRPr="00406B66">
              <w:rPr>
                <w:rFonts w:asciiTheme="majorBidi" w:hAnsiTheme="majorBidi" w:cstheme="majorBidi"/>
                <w:bCs/>
                <w:sz w:val="20"/>
                <w:szCs w:val="20"/>
              </w:rPr>
              <w:t>Nephrotox</w:t>
            </w:r>
            <w:proofErr w:type="spellEnd"/>
            <w:r w:rsidRPr="00406B66">
              <w:rPr>
                <w:rFonts w:asciiTheme="majorBidi" w:hAnsiTheme="majorBidi" w:cstheme="majorBidi"/>
                <w:bCs/>
                <w:sz w:val="20"/>
                <w:szCs w:val="20"/>
              </w:rPr>
              <w:t xml:space="preserve"> </w:t>
            </w:r>
            <w:proofErr w:type="spellStart"/>
            <w:r w:rsidRPr="00406B66">
              <w:rPr>
                <w:rFonts w:asciiTheme="majorBidi" w:hAnsiTheme="majorBidi" w:cstheme="majorBidi"/>
                <w:bCs/>
                <w:sz w:val="20"/>
                <w:szCs w:val="20"/>
              </w:rPr>
              <w:t>icity</w:t>
            </w:r>
            <w:proofErr w:type="spellEnd"/>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0.078</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0.087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0.377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0.067</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0.341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0.223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0.541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0.41</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0.293</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Ototoxicity</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0.183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0.368</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0.239</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0.091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0.408</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0.247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0.369</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0.275</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0.372</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t>Hematotoxic</w:t>
            </w:r>
            <w:proofErr w:type="spellEnd"/>
            <w:r w:rsidRPr="00406B66">
              <w:rPr>
                <w:rFonts w:asciiTheme="majorBidi" w:hAnsiTheme="majorBidi" w:cstheme="majorBidi"/>
                <w:bCs/>
                <w:sz w:val="20"/>
                <w:szCs w:val="20"/>
              </w:rPr>
              <w:t xml:space="preserve"> </w:t>
            </w:r>
            <w:proofErr w:type="spellStart"/>
            <w:r w:rsidRPr="00406B66">
              <w:rPr>
                <w:rFonts w:asciiTheme="majorBidi" w:hAnsiTheme="majorBidi" w:cstheme="majorBidi"/>
                <w:bCs/>
                <w:sz w:val="20"/>
                <w:szCs w:val="20"/>
              </w:rPr>
              <w:t>ity</w:t>
            </w:r>
            <w:proofErr w:type="spellEnd"/>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0.101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0.164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0.167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0.263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0.053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0.641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0.372</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0.432</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0.607</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proofErr w:type="spellStart"/>
            <w:r w:rsidRPr="00406B66">
              <w:rPr>
                <w:rFonts w:asciiTheme="majorBidi" w:hAnsiTheme="majorBidi" w:cstheme="majorBidi"/>
                <w:bCs/>
                <w:sz w:val="20"/>
                <w:szCs w:val="20"/>
              </w:rPr>
              <w:t>Genotoxicity</w:t>
            </w:r>
            <w:proofErr w:type="spellEnd"/>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0.179</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0.888</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0.015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0.281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0.125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0.062</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0.215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0.595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0.049</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0.234</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 xml:space="preserve">RPMI-8226 </w:t>
            </w:r>
            <w:proofErr w:type="spellStart"/>
            <w:r w:rsidRPr="00406B66">
              <w:rPr>
                <w:rFonts w:asciiTheme="majorBidi" w:hAnsiTheme="majorBidi" w:cstheme="majorBidi"/>
                <w:bCs/>
                <w:sz w:val="20"/>
                <w:szCs w:val="20"/>
              </w:rPr>
              <w:t>Immunitoxicity</w:t>
            </w:r>
            <w:proofErr w:type="spellEnd"/>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0.063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0.067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0.042</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0.044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0.037</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0.031</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0.071</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A549 Cytotoxicity</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0.185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0.078</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0.187</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0.184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0.135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0.04</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0.083</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0.264</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0.263</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Hek293 cytotoxicity</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0.356</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0.425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0.162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0.325</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0.414</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0.302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0.22</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0.279</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0.293</w:t>
            </w:r>
          </w:p>
        </w:tc>
      </w:tr>
      <w:tr w:rsidR="0018648E" w:rsidRPr="00FC53C1" w:rsidTr="00A54387">
        <w:tc>
          <w:tcPr>
            <w:tcW w:w="1996" w:type="dxa"/>
          </w:tcPr>
          <w:p w:rsidR="0018648E" w:rsidRPr="00406B66" w:rsidRDefault="0018648E" w:rsidP="00A54387">
            <w:pPr>
              <w:spacing w:line="360" w:lineRule="auto"/>
              <w:jc w:val="both"/>
              <w:rPr>
                <w:rFonts w:asciiTheme="majorBidi" w:hAnsiTheme="majorBidi" w:cstheme="majorBidi"/>
                <w:bCs/>
                <w:sz w:val="20"/>
                <w:szCs w:val="20"/>
              </w:rPr>
            </w:pPr>
            <w:r w:rsidRPr="00406B66">
              <w:rPr>
                <w:rFonts w:asciiTheme="majorBidi" w:hAnsiTheme="majorBidi" w:cstheme="majorBidi"/>
                <w:bCs/>
                <w:sz w:val="20"/>
                <w:szCs w:val="20"/>
              </w:rPr>
              <w:t xml:space="preserve">Drug-induced </w:t>
            </w:r>
            <w:proofErr w:type="spellStart"/>
            <w:r w:rsidRPr="00406B66">
              <w:rPr>
                <w:rFonts w:asciiTheme="majorBidi" w:hAnsiTheme="majorBidi" w:cstheme="majorBidi"/>
                <w:bCs/>
                <w:sz w:val="20"/>
                <w:szCs w:val="20"/>
              </w:rPr>
              <w:t>Neurotoxcity</w:t>
            </w:r>
            <w:proofErr w:type="spellEnd"/>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0.242</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0.342</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0.408</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0.503</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0.582</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0.191</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0.401</w:t>
            </w:r>
          </w:p>
        </w:tc>
        <w:tc>
          <w:tcPr>
            <w:tcW w:w="736"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0.435</w:t>
            </w:r>
          </w:p>
        </w:tc>
        <w:tc>
          <w:tcPr>
            <w:tcW w:w="735"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0.384</w:t>
            </w:r>
          </w:p>
        </w:tc>
        <w:tc>
          <w:tcPr>
            <w:tcW w:w="830" w:type="dxa"/>
          </w:tcPr>
          <w:p w:rsidR="0018648E" w:rsidRPr="00FC53C1" w:rsidRDefault="0018648E" w:rsidP="00A54387">
            <w:pPr>
              <w:spacing w:line="360" w:lineRule="auto"/>
              <w:jc w:val="both"/>
              <w:rPr>
                <w:rFonts w:asciiTheme="majorBidi" w:hAnsiTheme="majorBidi" w:cstheme="majorBidi"/>
                <w:sz w:val="20"/>
                <w:szCs w:val="20"/>
              </w:rPr>
            </w:pPr>
            <w:r w:rsidRPr="00FC53C1">
              <w:rPr>
                <w:rFonts w:asciiTheme="majorBidi" w:hAnsiTheme="majorBidi" w:cstheme="majorBidi"/>
                <w:sz w:val="20"/>
                <w:szCs w:val="20"/>
              </w:rPr>
              <w:t>0.641</w:t>
            </w:r>
          </w:p>
        </w:tc>
      </w:tr>
    </w:tbl>
    <w:p w:rsidR="0065647A" w:rsidRDefault="0065647A">
      <w:pPr>
        <w:rPr>
          <w:i/>
          <w:iCs/>
        </w:rPr>
      </w:pPr>
    </w:p>
    <w:p w:rsidR="000C33CD" w:rsidRDefault="000C33CD" w:rsidP="0065647A">
      <w:pPr>
        <w:shd w:val="clear" w:color="auto" w:fill="FFFFFF"/>
        <w:spacing w:before="100" w:beforeAutospacing="1" w:after="100" w:afterAutospacing="1" w:line="360" w:lineRule="auto"/>
        <w:rPr>
          <w:b/>
          <w:bCs/>
        </w:rPr>
      </w:pPr>
      <w:r>
        <w:rPr>
          <w:b/>
          <w:bCs/>
        </w:rPr>
        <w:t>Conclusion:</w:t>
      </w:r>
    </w:p>
    <w:p w:rsidR="000C33CD" w:rsidRPr="00474B7B" w:rsidRDefault="00474B7B" w:rsidP="00474B7B">
      <w:pPr>
        <w:spacing w:line="360" w:lineRule="auto"/>
        <w:jc w:val="both"/>
        <w:rPr>
          <w:color w:val="000000" w:themeColor="text1"/>
        </w:rPr>
      </w:pPr>
      <w:r w:rsidRPr="0041385D">
        <w:rPr>
          <w:color w:val="000000" w:themeColor="text1"/>
        </w:rPr>
        <w:t xml:space="preserve">The current research extensively assessed the phytochemical, pharmacokinetic, and toxicological profiles of </w:t>
      </w:r>
      <w:proofErr w:type="spellStart"/>
      <w:r w:rsidRPr="00A54387">
        <w:rPr>
          <w:i/>
          <w:iCs/>
        </w:rPr>
        <w:t>Ocimum</w:t>
      </w:r>
      <w:proofErr w:type="spellEnd"/>
      <w:r w:rsidRPr="00A54387">
        <w:rPr>
          <w:i/>
          <w:iCs/>
        </w:rPr>
        <w:t xml:space="preserve"> </w:t>
      </w:r>
      <w:proofErr w:type="spellStart"/>
      <w:r w:rsidRPr="00A54387">
        <w:rPr>
          <w:i/>
          <w:iCs/>
        </w:rPr>
        <w:t>basilicum</w:t>
      </w:r>
      <w:proofErr w:type="spellEnd"/>
      <w:r w:rsidRPr="0041385D">
        <w:rPr>
          <w:color w:val="000000" w:themeColor="text1"/>
        </w:rPr>
        <w:t xml:space="preserve">, which is a renowned traditional medicine plant in the </w:t>
      </w:r>
      <w:proofErr w:type="spellStart"/>
      <w:r w:rsidRPr="000C4221">
        <w:rPr>
          <w:rFonts w:asciiTheme="majorBidi" w:hAnsiTheme="majorBidi" w:cstheme="majorBidi"/>
          <w:bCs/>
        </w:rPr>
        <w:t>Lamiaceae</w:t>
      </w:r>
      <w:proofErr w:type="spellEnd"/>
      <w:r w:rsidRPr="0041385D">
        <w:rPr>
          <w:color w:val="000000" w:themeColor="text1"/>
        </w:rPr>
        <w:t xml:space="preserve"> family. The results are in agreement with conventional uses and recent pharmacological information that indicate the plant's bioactive constituents as the most important elements responsible for it</w:t>
      </w:r>
      <w:r>
        <w:rPr>
          <w:color w:val="000000" w:themeColor="text1"/>
        </w:rPr>
        <w:t>s curative action and therapeutic properties.</w:t>
      </w:r>
    </w:p>
    <w:p w:rsidR="0065647A" w:rsidRPr="00A76361" w:rsidRDefault="0065647A" w:rsidP="0065647A">
      <w:pPr>
        <w:shd w:val="clear" w:color="auto" w:fill="FFFFFF"/>
        <w:spacing w:before="100" w:beforeAutospacing="1" w:after="100" w:afterAutospacing="1" w:line="360" w:lineRule="auto"/>
        <w:rPr>
          <w:b/>
          <w:bCs/>
        </w:rPr>
      </w:pPr>
      <w:r w:rsidRPr="00A76361">
        <w:rPr>
          <w:b/>
          <w:bCs/>
        </w:rPr>
        <w:t>Authors' contributions </w:t>
      </w:r>
    </w:p>
    <w:p w:rsidR="0065647A" w:rsidRPr="00D76157" w:rsidRDefault="0065647A" w:rsidP="00680922">
      <w:pPr>
        <w:spacing w:before="240" w:line="360" w:lineRule="auto"/>
        <w:jc w:val="both"/>
      </w:pPr>
      <w:r w:rsidRPr="00D76157">
        <w:rPr>
          <w:rFonts w:asciiTheme="majorBidi" w:hAnsiTheme="majorBidi" w:cstheme="majorBidi"/>
        </w:rPr>
        <w:t xml:space="preserve">The study plan was designed and supervised by Tahira Shamim. The whole experimental work was carried out by </w:t>
      </w:r>
      <w:r>
        <w:rPr>
          <w:rFonts w:asciiTheme="majorBidi" w:hAnsiTheme="majorBidi" w:cstheme="majorBidi"/>
        </w:rPr>
        <w:t xml:space="preserve">Laila </w:t>
      </w:r>
      <w:proofErr w:type="spellStart"/>
      <w:r>
        <w:rPr>
          <w:rFonts w:asciiTheme="majorBidi" w:hAnsiTheme="majorBidi" w:cstheme="majorBidi"/>
        </w:rPr>
        <w:t>Sumreen</w:t>
      </w:r>
      <w:proofErr w:type="spellEnd"/>
      <w:r>
        <w:rPr>
          <w:rFonts w:asciiTheme="majorBidi" w:hAnsiTheme="majorBidi" w:cstheme="majorBidi"/>
        </w:rPr>
        <w:t xml:space="preserve">, </w:t>
      </w:r>
      <w:proofErr w:type="spellStart"/>
      <w:r>
        <w:rPr>
          <w:rFonts w:asciiTheme="majorBidi" w:hAnsiTheme="majorBidi" w:cstheme="majorBidi"/>
        </w:rPr>
        <w:t>Jafir</w:t>
      </w:r>
      <w:proofErr w:type="spellEnd"/>
      <w:r>
        <w:rPr>
          <w:rFonts w:asciiTheme="majorBidi" w:hAnsiTheme="majorBidi" w:cstheme="majorBidi"/>
        </w:rPr>
        <w:t xml:space="preserve"> </w:t>
      </w:r>
      <w:proofErr w:type="spellStart"/>
      <w:r>
        <w:rPr>
          <w:rFonts w:asciiTheme="majorBidi" w:hAnsiTheme="majorBidi" w:cstheme="majorBidi"/>
        </w:rPr>
        <w:t>Hussain</w:t>
      </w:r>
      <w:proofErr w:type="spellEnd"/>
      <w:r>
        <w:rPr>
          <w:rFonts w:asciiTheme="majorBidi" w:hAnsiTheme="majorBidi" w:cstheme="majorBidi"/>
        </w:rPr>
        <w:t xml:space="preserve"> </w:t>
      </w:r>
      <w:proofErr w:type="spellStart"/>
      <w:r>
        <w:rPr>
          <w:rFonts w:asciiTheme="majorBidi" w:hAnsiTheme="majorBidi" w:cstheme="majorBidi"/>
        </w:rPr>
        <w:t>Shirazi</w:t>
      </w:r>
      <w:proofErr w:type="spellEnd"/>
      <w:r>
        <w:rPr>
          <w:rFonts w:asciiTheme="majorBidi" w:hAnsiTheme="majorBidi" w:cstheme="majorBidi"/>
        </w:rPr>
        <w:t>,</w:t>
      </w:r>
      <w:r w:rsidRPr="00443B41">
        <w:rPr>
          <w:bCs/>
        </w:rPr>
        <w:t xml:space="preserve"> </w:t>
      </w:r>
      <w:proofErr w:type="spellStart"/>
      <w:r>
        <w:rPr>
          <w:rFonts w:asciiTheme="majorBidi" w:hAnsiTheme="majorBidi" w:cstheme="majorBidi"/>
        </w:rPr>
        <w:t>Kinza</w:t>
      </w:r>
      <w:proofErr w:type="spellEnd"/>
      <w:r>
        <w:rPr>
          <w:rFonts w:asciiTheme="majorBidi" w:hAnsiTheme="majorBidi" w:cstheme="majorBidi"/>
        </w:rPr>
        <w:t xml:space="preserve"> </w:t>
      </w:r>
      <w:proofErr w:type="spellStart"/>
      <w:r>
        <w:rPr>
          <w:rFonts w:asciiTheme="majorBidi" w:hAnsiTheme="majorBidi" w:cstheme="majorBidi"/>
        </w:rPr>
        <w:t>Javaid</w:t>
      </w:r>
      <w:proofErr w:type="spellEnd"/>
      <w:r>
        <w:rPr>
          <w:rFonts w:asciiTheme="majorBidi" w:hAnsiTheme="majorBidi" w:cstheme="majorBidi"/>
        </w:rPr>
        <w:t xml:space="preserve"> and </w:t>
      </w:r>
      <w:r w:rsidRPr="00443B41">
        <w:rPr>
          <w:rFonts w:asciiTheme="majorBidi" w:hAnsiTheme="majorBidi" w:cstheme="majorBidi"/>
        </w:rPr>
        <w:t xml:space="preserve">Maryam </w:t>
      </w:r>
      <w:proofErr w:type="spellStart"/>
      <w:r w:rsidRPr="00443B41">
        <w:rPr>
          <w:rFonts w:asciiTheme="majorBidi" w:hAnsiTheme="majorBidi" w:cstheme="majorBidi"/>
        </w:rPr>
        <w:t>Ramzan</w:t>
      </w:r>
      <w:proofErr w:type="spellEnd"/>
      <w:r>
        <w:rPr>
          <w:rFonts w:asciiTheme="majorBidi" w:hAnsiTheme="majorBidi" w:cstheme="majorBidi"/>
        </w:rPr>
        <w:t xml:space="preserve">, </w:t>
      </w:r>
      <w:r w:rsidRPr="00D76157">
        <w:rPr>
          <w:rFonts w:asciiTheme="majorBidi" w:hAnsiTheme="majorBidi" w:cstheme="majorBidi"/>
        </w:rPr>
        <w:t>following the directions of Tahira Shamim. The manuscript write-up was carried out by</w:t>
      </w:r>
      <w:r>
        <w:rPr>
          <w:rFonts w:asciiTheme="majorBidi" w:hAnsiTheme="majorBidi" w:cstheme="majorBidi"/>
        </w:rPr>
        <w:t xml:space="preserve"> </w:t>
      </w:r>
      <w:proofErr w:type="spellStart"/>
      <w:r>
        <w:rPr>
          <w:bCs/>
        </w:rPr>
        <w:t>Qazi</w:t>
      </w:r>
      <w:proofErr w:type="spellEnd"/>
      <w:r>
        <w:rPr>
          <w:bCs/>
        </w:rPr>
        <w:t xml:space="preserve"> Adnan</w:t>
      </w:r>
      <w:r w:rsidR="00680922">
        <w:rPr>
          <w:bCs/>
        </w:rPr>
        <w:t xml:space="preserve">, </w:t>
      </w:r>
      <w:proofErr w:type="spellStart"/>
      <w:r w:rsidRPr="00443B41">
        <w:rPr>
          <w:rFonts w:asciiTheme="majorBidi" w:hAnsiTheme="majorBidi" w:cstheme="majorBidi"/>
        </w:rPr>
        <w:t>Aima</w:t>
      </w:r>
      <w:proofErr w:type="spellEnd"/>
      <w:r w:rsidRPr="00443B41">
        <w:rPr>
          <w:rFonts w:asciiTheme="majorBidi" w:hAnsiTheme="majorBidi" w:cstheme="majorBidi"/>
        </w:rPr>
        <w:t xml:space="preserve"> </w:t>
      </w:r>
      <w:proofErr w:type="spellStart"/>
      <w:r>
        <w:rPr>
          <w:rFonts w:asciiTheme="majorBidi" w:hAnsiTheme="majorBidi" w:cstheme="majorBidi"/>
        </w:rPr>
        <w:t>Batool</w:t>
      </w:r>
      <w:proofErr w:type="spellEnd"/>
      <w:r>
        <w:rPr>
          <w:rFonts w:asciiTheme="majorBidi" w:hAnsiTheme="majorBidi" w:cstheme="majorBidi"/>
        </w:rPr>
        <w:t xml:space="preserve"> and </w:t>
      </w:r>
      <w:proofErr w:type="spellStart"/>
      <w:r w:rsidRPr="00443B41">
        <w:rPr>
          <w:rFonts w:asciiTheme="majorBidi" w:hAnsiTheme="majorBidi" w:cstheme="majorBidi"/>
        </w:rPr>
        <w:t>Irsa</w:t>
      </w:r>
      <w:proofErr w:type="spellEnd"/>
      <w:r w:rsidRPr="00443B41">
        <w:rPr>
          <w:rFonts w:asciiTheme="majorBidi" w:hAnsiTheme="majorBidi" w:cstheme="majorBidi"/>
        </w:rPr>
        <w:t xml:space="preserve"> </w:t>
      </w:r>
      <w:proofErr w:type="spellStart"/>
      <w:r w:rsidRPr="00443B41">
        <w:rPr>
          <w:rFonts w:asciiTheme="majorBidi" w:hAnsiTheme="majorBidi" w:cstheme="majorBidi"/>
        </w:rPr>
        <w:t>shokaut</w:t>
      </w:r>
      <w:proofErr w:type="spellEnd"/>
      <w:r w:rsidRPr="00D76157">
        <w:t xml:space="preserve"> </w:t>
      </w:r>
      <w:r w:rsidRPr="00D76157">
        <w:rPr>
          <w:rFonts w:asciiTheme="majorBidi" w:hAnsiTheme="majorBidi" w:cstheme="majorBidi"/>
        </w:rPr>
        <w:t xml:space="preserve">under the guidance of Tahira Shamim. All authors read and approved the manuscript for publications.  </w:t>
      </w:r>
    </w:p>
    <w:p w:rsidR="0065647A" w:rsidRPr="00A76361" w:rsidRDefault="0065647A" w:rsidP="0065647A">
      <w:pPr>
        <w:shd w:val="clear" w:color="auto" w:fill="FFFFFF"/>
        <w:spacing w:before="100" w:beforeAutospacing="1" w:after="100" w:afterAutospacing="1" w:line="360" w:lineRule="auto"/>
        <w:rPr>
          <w:b/>
          <w:bCs/>
        </w:rPr>
      </w:pPr>
      <w:r w:rsidRPr="00A76361">
        <w:rPr>
          <w:b/>
          <w:bCs/>
        </w:rPr>
        <w:t>Availability of data and materials  </w:t>
      </w:r>
    </w:p>
    <w:p w:rsidR="0065647A" w:rsidRPr="00EA404E" w:rsidRDefault="0065647A" w:rsidP="0065647A">
      <w:pPr>
        <w:pStyle w:val="ListParagraph"/>
        <w:shd w:val="clear" w:color="auto" w:fill="FFFFFF"/>
        <w:spacing w:before="100" w:beforeAutospacing="1" w:after="100" w:afterAutospacing="1" w:line="360" w:lineRule="auto"/>
        <w:ind w:left="0"/>
        <w:contextualSpacing w:val="0"/>
        <w:rPr>
          <w:rFonts w:ascii="Times New Roman" w:hAnsi="Times New Roman"/>
          <w:sz w:val="24"/>
          <w:szCs w:val="24"/>
          <w:shd w:val="clear" w:color="auto" w:fill="FFFFFF"/>
          <w:lang w:val="en-GB"/>
        </w:rPr>
      </w:pPr>
      <w:r w:rsidRPr="00EA404E">
        <w:rPr>
          <w:rFonts w:ascii="Times New Roman" w:hAnsi="Times New Roman"/>
          <w:sz w:val="24"/>
          <w:szCs w:val="24"/>
          <w:shd w:val="clear" w:color="auto" w:fill="FFFFFF"/>
          <w:lang w:val="en-GB"/>
        </w:rPr>
        <w:t>Data will be available on request by the corresponding author.</w:t>
      </w:r>
      <w:bookmarkStart w:id="2" w:name="_GoBack"/>
      <w:bookmarkEnd w:id="2"/>
    </w:p>
    <w:p w:rsidR="0065647A" w:rsidRPr="00A76361" w:rsidRDefault="0065647A" w:rsidP="0065647A">
      <w:pPr>
        <w:shd w:val="clear" w:color="auto" w:fill="FFFFFF"/>
        <w:spacing w:before="100" w:beforeAutospacing="1" w:after="100" w:afterAutospacing="1" w:line="360" w:lineRule="auto"/>
        <w:rPr>
          <w:b/>
          <w:bCs/>
        </w:rPr>
      </w:pPr>
      <w:r w:rsidRPr="00A76361">
        <w:rPr>
          <w:b/>
          <w:bCs/>
        </w:rPr>
        <w:lastRenderedPageBreak/>
        <w:t>Competing interests  </w:t>
      </w:r>
    </w:p>
    <w:p w:rsidR="0065647A" w:rsidRPr="0024080C" w:rsidRDefault="0065647A" w:rsidP="0065647A">
      <w:pPr>
        <w:shd w:val="clear" w:color="auto" w:fill="FFFFFF"/>
        <w:spacing w:before="100" w:beforeAutospacing="1" w:after="100" w:afterAutospacing="1" w:line="360" w:lineRule="auto"/>
      </w:pPr>
      <w:r w:rsidRPr="00EA404E">
        <w:t>There is no any financial or personal competing interest among authors.</w:t>
      </w:r>
    </w:p>
    <w:p w:rsidR="0065647A" w:rsidRPr="0041385D" w:rsidRDefault="0065647A" w:rsidP="0065647A">
      <w:pPr>
        <w:spacing w:line="360" w:lineRule="auto"/>
        <w:jc w:val="both"/>
      </w:pPr>
    </w:p>
    <w:p w:rsidR="0065647A" w:rsidRPr="00D36BE7" w:rsidRDefault="0065647A" w:rsidP="0065647A">
      <w:pPr>
        <w:rPr>
          <w:b/>
          <w:bCs/>
          <w:sz w:val="28"/>
          <w:szCs w:val="28"/>
        </w:rPr>
      </w:pPr>
      <w:r>
        <w:rPr>
          <w:b/>
          <w:bCs/>
          <w:sz w:val="28"/>
          <w:szCs w:val="28"/>
        </w:rPr>
        <w:t xml:space="preserve">6. </w:t>
      </w:r>
      <w:r w:rsidRPr="00D36BE7">
        <w:rPr>
          <w:b/>
          <w:bCs/>
          <w:sz w:val="28"/>
          <w:szCs w:val="28"/>
        </w:rPr>
        <w:t>References</w:t>
      </w:r>
    </w:p>
    <w:p w:rsidR="00EF2E3C" w:rsidRDefault="00EF2E3C">
      <w:pPr>
        <w:rPr>
          <w:i/>
          <w:iCs/>
        </w:rPr>
      </w:pPr>
    </w:p>
    <w:p w:rsidR="00EF2E3C" w:rsidRDefault="00EF2E3C" w:rsidP="00062767">
      <w:pPr>
        <w:jc w:val="both"/>
        <w:rPr>
          <w:i/>
          <w:iCs/>
        </w:rPr>
      </w:pPr>
    </w:p>
    <w:p w:rsidR="00611177" w:rsidRPr="00611177" w:rsidRDefault="00EF2E3C" w:rsidP="00062767">
      <w:pPr>
        <w:pStyle w:val="EndNoteBibliography"/>
        <w:ind w:left="720" w:hanging="720"/>
        <w:jc w:val="both"/>
      </w:pPr>
      <w:r>
        <w:rPr>
          <w:i/>
          <w:iCs/>
        </w:rPr>
        <w:fldChar w:fldCharType="begin"/>
      </w:r>
      <w:r>
        <w:rPr>
          <w:i/>
          <w:iCs/>
        </w:rPr>
        <w:instrText xml:space="preserve"> ADDIN EN.REFLIST </w:instrText>
      </w:r>
      <w:r>
        <w:rPr>
          <w:i/>
          <w:iCs/>
        </w:rPr>
        <w:fldChar w:fldCharType="separate"/>
      </w:r>
      <w:bookmarkStart w:id="3" w:name="_ENREF_1"/>
      <w:r w:rsidR="00611177" w:rsidRPr="00611177">
        <w:t>1.</w:t>
      </w:r>
      <w:r w:rsidR="00611177" w:rsidRPr="00611177">
        <w:tab/>
        <w:t xml:space="preserve">Elshafie, H.S., I. Camele, and A.A. Mohamed, </w:t>
      </w:r>
      <w:r w:rsidR="00611177" w:rsidRPr="00611177">
        <w:rPr>
          <w:i/>
        </w:rPr>
        <w:t>A comprehensive review on the biological, agricultural and pharmaceutical properties of secondary metabolites based-plant origin.</w:t>
      </w:r>
      <w:r w:rsidR="00611177" w:rsidRPr="00611177">
        <w:t xml:space="preserve"> International journal of molecular sciences, 2023. </w:t>
      </w:r>
      <w:r w:rsidR="00611177" w:rsidRPr="00611177">
        <w:rPr>
          <w:b/>
        </w:rPr>
        <w:t>24</w:t>
      </w:r>
      <w:r w:rsidR="00611177" w:rsidRPr="00611177">
        <w:t>(4): p. 3266.</w:t>
      </w:r>
      <w:bookmarkEnd w:id="3"/>
    </w:p>
    <w:p w:rsidR="00611177" w:rsidRPr="00611177" w:rsidRDefault="00611177" w:rsidP="00062767">
      <w:pPr>
        <w:pStyle w:val="EndNoteBibliography"/>
        <w:ind w:left="720" w:hanging="720"/>
        <w:jc w:val="both"/>
      </w:pPr>
      <w:bookmarkStart w:id="4" w:name="_ENREF_2"/>
      <w:r w:rsidRPr="00611177">
        <w:t>2.</w:t>
      </w:r>
      <w:r w:rsidRPr="00611177">
        <w:tab/>
        <w:t xml:space="preserve">El-Saadony, M.T., et al., </w:t>
      </w:r>
      <w:r w:rsidRPr="00611177">
        <w:rPr>
          <w:i/>
        </w:rPr>
        <w:t>Medicinal plants: bioactive compounds, biological activities, combating multidrug-resistant microorganisms, and human health benefits-a comprehensive review.</w:t>
      </w:r>
      <w:r w:rsidRPr="00611177">
        <w:t xml:space="preserve"> Frontiers in immunology, 2025. </w:t>
      </w:r>
      <w:r w:rsidRPr="00611177">
        <w:rPr>
          <w:b/>
        </w:rPr>
        <w:t>16</w:t>
      </w:r>
      <w:r w:rsidRPr="00611177">
        <w:t>: p. 1491777.</w:t>
      </w:r>
      <w:bookmarkEnd w:id="4"/>
    </w:p>
    <w:p w:rsidR="00611177" w:rsidRPr="00611177" w:rsidRDefault="00611177" w:rsidP="00062767">
      <w:pPr>
        <w:pStyle w:val="EndNoteBibliography"/>
        <w:ind w:left="720" w:hanging="720"/>
        <w:jc w:val="both"/>
      </w:pPr>
      <w:bookmarkStart w:id="5" w:name="_ENREF_3"/>
      <w:r w:rsidRPr="00611177">
        <w:t>3.</w:t>
      </w:r>
      <w:r w:rsidRPr="00611177">
        <w:tab/>
        <w:t xml:space="preserve">Manisha, D.R.B., et al., </w:t>
      </w:r>
      <w:r w:rsidRPr="00611177">
        <w:rPr>
          <w:i/>
        </w:rPr>
        <w:t>Medicinal plants and traditional uses and modern applications.</w:t>
      </w:r>
      <w:r w:rsidRPr="00611177">
        <w:t xml:space="preserve"> Journal of Neonatal Surgery, 2025. </w:t>
      </w:r>
      <w:r w:rsidRPr="00611177">
        <w:rPr>
          <w:b/>
        </w:rPr>
        <w:t>14</w:t>
      </w:r>
      <w:r w:rsidRPr="00611177">
        <w:t>(3): p. 162-175.</w:t>
      </w:r>
      <w:bookmarkEnd w:id="5"/>
    </w:p>
    <w:p w:rsidR="00611177" w:rsidRPr="00611177" w:rsidRDefault="00611177" w:rsidP="00062767">
      <w:pPr>
        <w:pStyle w:val="EndNoteBibliography"/>
        <w:ind w:left="720" w:hanging="720"/>
        <w:jc w:val="both"/>
      </w:pPr>
      <w:bookmarkStart w:id="6" w:name="_ENREF_4"/>
      <w:r w:rsidRPr="00611177">
        <w:t>4.</w:t>
      </w:r>
      <w:r w:rsidRPr="00611177">
        <w:tab/>
        <w:t xml:space="preserve">Azizah, N.S., et al., </w:t>
      </w:r>
      <w:r w:rsidRPr="00611177">
        <w:rPr>
          <w:i/>
        </w:rPr>
        <w:t>Sweet basil (Ocimum basilicum L.)―A review of its botany, phytochemistry, pharmacological activities, and biotechnological development.</w:t>
      </w:r>
      <w:r w:rsidRPr="00611177">
        <w:t xml:space="preserve"> Plants, 2023. </w:t>
      </w:r>
      <w:r w:rsidRPr="00611177">
        <w:rPr>
          <w:b/>
        </w:rPr>
        <w:t>12</w:t>
      </w:r>
      <w:r w:rsidRPr="00611177">
        <w:t>(24): p. 4148.</w:t>
      </w:r>
      <w:bookmarkEnd w:id="6"/>
    </w:p>
    <w:p w:rsidR="00611177" w:rsidRPr="00611177" w:rsidRDefault="00611177" w:rsidP="00062767">
      <w:pPr>
        <w:pStyle w:val="EndNoteBibliography"/>
        <w:ind w:left="720" w:hanging="720"/>
        <w:jc w:val="both"/>
      </w:pPr>
      <w:bookmarkStart w:id="7" w:name="_ENREF_5"/>
      <w:r w:rsidRPr="00611177">
        <w:t>5.</w:t>
      </w:r>
      <w:r w:rsidRPr="00611177">
        <w:tab/>
        <w:t xml:space="preserve">Gurav, T.P., B.B. Dholakia, and A.P. Giri, </w:t>
      </w:r>
      <w:r w:rsidRPr="00611177">
        <w:rPr>
          <w:i/>
        </w:rPr>
        <w:t>A glance at the chemodiversity of Ocimum species: Trends, implications, and strategies for the quality and yield improvement of essential oil.</w:t>
      </w:r>
      <w:r w:rsidRPr="00611177">
        <w:t xml:space="preserve"> Phytochemistry Reviews, 2022. </w:t>
      </w:r>
      <w:r w:rsidRPr="00611177">
        <w:rPr>
          <w:b/>
        </w:rPr>
        <w:t>21</w:t>
      </w:r>
      <w:r w:rsidRPr="00611177">
        <w:t>(3): p. 879-913.</w:t>
      </w:r>
      <w:bookmarkEnd w:id="7"/>
    </w:p>
    <w:p w:rsidR="00611177" w:rsidRPr="00611177" w:rsidRDefault="00611177" w:rsidP="00062767">
      <w:pPr>
        <w:pStyle w:val="EndNoteBibliography"/>
        <w:ind w:left="720" w:hanging="720"/>
        <w:jc w:val="both"/>
      </w:pPr>
      <w:bookmarkStart w:id="8" w:name="_ENREF_6"/>
      <w:r w:rsidRPr="00611177">
        <w:t>6.</w:t>
      </w:r>
      <w:r w:rsidRPr="00611177">
        <w:tab/>
        <w:t xml:space="preserve">Acharya, A., G. Ghimire, and P. Shakya, </w:t>
      </w:r>
      <w:r w:rsidRPr="00611177">
        <w:rPr>
          <w:i/>
        </w:rPr>
        <w:t>Medicinal herbs.</w:t>
      </w:r>
      <w:r w:rsidRPr="00611177">
        <w:t xml:space="preserve"> Herbs and Spices—New Perspectives in Human Health and Food Industry; IntechOpen: Rijeka, Croatia, 2024. </w:t>
      </w:r>
      <w:r w:rsidRPr="00611177">
        <w:rPr>
          <w:b/>
        </w:rPr>
        <w:t>1</w:t>
      </w:r>
      <w:r w:rsidRPr="00611177">
        <w:t>: p. 161-186.</w:t>
      </w:r>
      <w:bookmarkEnd w:id="8"/>
    </w:p>
    <w:p w:rsidR="00611177" w:rsidRPr="00611177" w:rsidRDefault="00611177" w:rsidP="00062767">
      <w:pPr>
        <w:pStyle w:val="EndNoteBibliography"/>
        <w:ind w:left="720" w:hanging="720"/>
        <w:jc w:val="both"/>
      </w:pPr>
      <w:bookmarkStart w:id="9" w:name="_ENREF_7"/>
      <w:r w:rsidRPr="00611177">
        <w:t>7.</w:t>
      </w:r>
      <w:r w:rsidRPr="00611177">
        <w:tab/>
        <w:t xml:space="preserve">Stannard, J., </w:t>
      </w:r>
      <w:r w:rsidRPr="00611177">
        <w:rPr>
          <w:i/>
        </w:rPr>
        <w:t>Medicinal plants and folk remedies in pliny," historia naturalis".</w:t>
      </w:r>
      <w:r w:rsidRPr="00611177">
        <w:t xml:space="preserve"> History and Philosophy of the Life Sciences, 1982. </w:t>
      </w:r>
      <w:r w:rsidRPr="00611177">
        <w:rPr>
          <w:b/>
        </w:rPr>
        <w:t>4</w:t>
      </w:r>
      <w:r w:rsidRPr="00611177">
        <w:t>(1): p. 3-23.</w:t>
      </w:r>
      <w:bookmarkEnd w:id="9"/>
    </w:p>
    <w:p w:rsidR="00611177" w:rsidRPr="00611177" w:rsidRDefault="00611177" w:rsidP="00062767">
      <w:pPr>
        <w:pStyle w:val="EndNoteBibliography"/>
        <w:ind w:left="720" w:hanging="720"/>
        <w:jc w:val="both"/>
      </w:pPr>
      <w:bookmarkStart w:id="10" w:name="_ENREF_8"/>
      <w:r w:rsidRPr="00611177">
        <w:t>8.</w:t>
      </w:r>
      <w:r w:rsidRPr="00611177">
        <w:tab/>
        <w:t xml:space="preserve">Ivanova, T., et al., </w:t>
      </w:r>
      <w:r w:rsidRPr="00611177">
        <w:rPr>
          <w:i/>
        </w:rPr>
        <w:t>Sweet Basil between the Soul and the Table—Transformation of Traditional Knowledge on Ocimum basilicum L. in Bulgaria.</w:t>
      </w:r>
      <w:r w:rsidRPr="00611177">
        <w:t xml:space="preserve"> Plants, 2023. </w:t>
      </w:r>
      <w:r w:rsidRPr="00611177">
        <w:rPr>
          <w:b/>
        </w:rPr>
        <w:t>12</w:t>
      </w:r>
      <w:r w:rsidRPr="00611177">
        <w:t>(15): p. 2771.</w:t>
      </w:r>
      <w:bookmarkEnd w:id="10"/>
    </w:p>
    <w:p w:rsidR="00611177" w:rsidRPr="00611177" w:rsidRDefault="00611177" w:rsidP="00062767">
      <w:pPr>
        <w:pStyle w:val="EndNoteBibliography"/>
        <w:ind w:left="720" w:hanging="720"/>
        <w:jc w:val="both"/>
      </w:pPr>
      <w:bookmarkStart w:id="11" w:name="_ENREF_9"/>
      <w:r w:rsidRPr="00611177">
        <w:t>9.</w:t>
      </w:r>
      <w:r w:rsidRPr="00611177">
        <w:tab/>
        <w:t xml:space="preserve">Lupton, D., et al., </w:t>
      </w:r>
      <w:r w:rsidRPr="00611177">
        <w:rPr>
          <w:i/>
        </w:rPr>
        <w:t>Basil</w:t>
      </w:r>
      <w:r w:rsidRPr="00611177">
        <w:t xml:space="preserve">, in </w:t>
      </w:r>
      <w:r w:rsidRPr="00611177">
        <w:rPr>
          <w:i/>
        </w:rPr>
        <w:t>Leafy medicinal herbs: Botany, chemistry, postharvest technology and uses</w:t>
      </w:r>
      <w:r w:rsidRPr="00611177">
        <w:t>. 2016, CABI Wallingford UK. p. 27-41.</w:t>
      </w:r>
      <w:bookmarkEnd w:id="11"/>
    </w:p>
    <w:p w:rsidR="00611177" w:rsidRPr="00611177" w:rsidRDefault="00611177" w:rsidP="00062767">
      <w:pPr>
        <w:pStyle w:val="EndNoteBibliography"/>
        <w:ind w:left="720" w:hanging="720"/>
        <w:jc w:val="both"/>
      </w:pPr>
      <w:bookmarkStart w:id="12" w:name="_ENREF_10"/>
      <w:r w:rsidRPr="00611177">
        <w:t>10.</w:t>
      </w:r>
      <w:r w:rsidRPr="00611177">
        <w:tab/>
        <w:t xml:space="preserve">Allen, L. </w:t>
      </w:r>
      <w:r w:rsidRPr="00611177">
        <w:rPr>
          <w:i/>
        </w:rPr>
        <w:t>A visual history of basil</w:t>
      </w:r>
      <w:r w:rsidRPr="00611177">
        <w:t xml:space="preserve">. in </w:t>
      </w:r>
      <w:r w:rsidRPr="00611177">
        <w:rPr>
          <w:i/>
        </w:rPr>
        <w:t>Proceedings of th e Oxford Symposium on Food and Cookery</w:t>
      </w:r>
      <w:r w:rsidRPr="00611177">
        <w:t>. 2020.</w:t>
      </w:r>
      <w:bookmarkEnd w:id="12"/>
    </w:p>
    <w:p w:rsidR="00611177" w:rsidRPr="00611177" w:rsidRDefault="00611177" w:rsidP="00062767">
      <w:pPr>
        <w:pStyle w:val="EndNoteBibliography"/>
        <w:ind w:left="720" w:hanging="720"/>
        <w:jc w:val="both"/>
      </w:pPr>
      <w:bookmarkStart w:id="13" w:name="_ENREF_11"/>
      <w:r w:rsidRPr="00611177">
        <w:t>11.</w:t>
      </w:r>
      <w:r w:rsidRPr="00611177">
        <w:tab/>
        <w:t xml:space="preserve">Bilal, A., et al., </w:t>
      </w:r>
      <w:r w:rsidRPr="00611177">
        <w:rPr>
          <w:i/>
        </w:rPr>
        <w:t>Phytochemical and pharmacological studies on Ocimum basilicum Linn-A review.</w:t>
      </w:r>
      <w:r w:rsidRPr="00611177">
        <w:t xml:space="preserve"> International Journal of Current Research and Review, 2012. </w:t>
      </w:r>
      <w:r w:rsidRPr="00611177">
        <w:rPr>
          <w:b/>
        </w:rPr>
        <w:t>4</w:t>
      </w:r>
      <w:r w:rsidRPr="00611177">
        <w:t>(23): p. 73-83.</w:t>
      </w:r>
      <w:bookmarkEnd w:id="13"/>
    </w:p>
    <w:p w:rsidR="00611177" w:rsidRPr="00611177" w:rsidRDefault="00611177" w:rsidP="00062767">
      <w:pPr>
        <w:pStyle w:val="EndNoteBibliography"/>
        <w:ind w:left="720" w:hanging="720"/>
        <w:jc w:val="both"/>
      </w:pPr>
      <w:bookmarkStart w:id="14" w:name="_ENREF_12"/>
      <w:r w:rsidRPr="00611177">
        <w:t>12.</w:t>
      </w:r>
      <w:r w:rsidRPr="00611177">
        <w:tab/>
        <w:t xml:space="preserve">Qasem, J.R., </w:t>
      </w:r>
      <w:r w:rsidRPr="00611177">
        <w:rPr>
          <w:i/>
        </w:rPr>
        <w:t>Prospects of wild medicinal and industrial plants of saline habitats in the Jordan valley.</w:t>
      </w:r>
      <w:r w:rsidRPr="00611177">
        <w:t xml:space="preserve"> Pak J Bot, 2015. </w:t>
      </w:r>
      <w:r w:rsidRPr="00611177">
        <w:rPr>
          <w:b/>
        </w:rPr>
        <w:t>47</w:t>
      </w:r>
      <w:r w:rsidRPr="00611177">
        <w:t>(2): p. 551-570.</w:t>
      </w:r>
      <w:bookmarkEnd w:id="14"/>
    </w:p>
    <w:p w:rsidR="00611177" w:rsidRPr="00611177" w:rsidRDefault="00611177" w:rsidP="00062767">
      <w:pPr>
        <w:pStyle w:val="EndNoteBibliography"/>
        <w:ind w:left="720" w:hanging="720"/>
        <w:jc w:val="both"/>
      </w:pPr>
      <w:bookmarkStart w:id="15" w:name="_ENREF_13"/>
      <w:r w:rsidRPr="00611177">
        <w:t>13.</w:t>
      </w:r>
      <w:r w:rsidRPr="00611177">
        <w:tab/>
        <w:t xml:space="preserve">Gunawardana, S. and W. Jayasuriya, </w:t>
      </w:r>
      <w:r w:rsidRPr="00611177">
        <w:rPr>
          <w:i/>
        </w:rPr>
        <w:t>Medicinally important herbal flowers in Sri Lanka.</w:t>
      </w:r>
      <w:r w:rsidRPr="00611177">
        <w:t xml:space="preserve"> Evidence</w:t>
      </w:r>
      <w:r w:rsidRPr="00611177">
        <w:rPr>
          <w:rFonts w:ascii="Cambria Math" w:hAnsi="Cambria Math" w:cs="Cambria Math"/>
        </w:rPr>
        <w:t>‐</w:t>
      </w:r>
      <w:r w:rsidRPr="00611177">
        <w:t xml:space="preserve">Based Complementary and Alternative Medicine, 2019. </w:t>
      </w:r>
      <w:r w:rsidRPr="00611177">
        <w:rPr>
          <w:b/>
        </w:rPr>
        <w:t>2019</w:t>
      </w:r>
      <w:r w:rsidRPr="00611177">
        <w:t>(1): p. 2321961.</w:t>
      </w:r>
      <w:bookmarkEnd w:id="15"/>
    </w:p>
    <w:p w:rsidR="00611177" w:rsidRPr="00611177" w:rsidRDefault="00611177" w:rsidP="00062767">
      <w:pPr>
        <w:pStyle w:val="EndNoteBibliography"/>
        <w:ind w:left="720" w:hanging="720"/>
        <w:jc w:val="both"/>
      </w:pPr>
      <w:bookmarkStart w:id="16" w:name="_ENREF_14"/>
      <w:r w:rsidRPr="00611177">
        <w:t>14.</w:t>
      </w:r>
      <w:r w:rsidRPr="00611177">
        <w:tab/>
        <w:t xml:space="preserve">Kabiraj, A. and R. Deshmukh, </w:t>
      </w:r>
      <w:r w:rsidRPr="00611177">
        <w:rPr>
          <w:i/>
        </w:rPr>
        <w:t>A review on chinese herbal medicine used as carminative.</w:t>
      </w:r>
      <w:r w:rsidRPr="00611177">
        <w:t xml:space="preserve"> Pharmacological Research-Modern Chinese Medicine, 2024. </w:t>
      </w:r>
      <w:r w:rsidRPr="00611177">
        <w:rPr>
          <w:b/>
        </w:rPr>
        <w:t>11</w:t>
      </w:r>
      <w:r w:rsidRPr="00611177">
        <w:t>: p. 100409.</w:t>
      </w:r>
      <w:bookmarkEnd w:id="16"/>
    </w:p>
    <w:p w:rsidR="00611177" w:rsidRPr="00611177" w:rsidRDefault="00611177" w:rsidP="00062767">
      <w:pPr>
        <w:pStyle w:val="EndNoteBibliography"/>
        <w:ind w:left="720" w:hanging="720"/>
        <w:jc w:val="both"/>
      </w:pPr>
      <w:bookmarkStart w:id="17" w:name="_ENREF_15"/>
      <w:r w:rsidRPr="00611177">
        <w:t>15.</w:t>
      </w:r>
      <w:r w:rsidRPr="00611177">
        <w:tab/>
        <w:t xml:space="preserve">Mahajan, P. and M.M. Uzzaman Khan, </w:t>
      </w:r>
      <w:r w:rsidRPr="00611177">
        <w:rPr>
          <w:i/>
        </w:rPr>
        <w:t>Basil “Culinary Plant Of High Medical Value”: A Comprehensive Review Of Traditional, Medicinal And Pharmacological Potency.</w:t>
      </w:r>
      <w:r w:rsidRPr="00611177">
        <w:t xml:space="preserve"> Journal of Namibian Studies, 2023. </w:t>
      </w:r>
      <w:r w:rsidRPr="00611177">
        <w:rPr>
          <w:b/>
        </w:rPr>
        <w:t>38</w:t>
      </w:r>
      <w:r w:rsidRPr="00611177">
        <w:t>.</w:t>
      </w:r>
      <w:bookmarkEnd w:id="17"/>
    </w:p>
    <w:p w:rsidR="00611177" w:rsidRPr="00611177" w:rsidRDefault="00611177" w:rsidP="00062767">
      <w:pPr>
        <w:pStyle w:val="EndNoteBibliography"/>
        <w:ind w:left="720" w:hanging="720"/>
        <w:jc w:val="both"/>
      </w:pPr>
      <w:bookmarkStart w:id="18" w:name="_ENREF_16"/>
      <w:r w:rsidRPr="00611177">
        <w:lastRenderedPageBreak/>
        <w:t>16.</w:t>
      </w:r>
      <w:r w:rsidRPr="00611177">
        <w:tab/>
        <w:t xml:space="preserve">Weng, M.-H., H.-C. Chou, and J.-J. Liaw, </w:t>
      </w:r>
      <w:r w:rsidRPr="00611177">
        <w:rPr>
          <w:i/>
        </w:rPr>
        <w:t>Women's sense of control during labour and birth with epidural analgesia: a qualitative descriptive study.</w:t>
      </w:r>
      <w:r w:rsidRPr="00611177">
        <w:t xml:space="preserve"> Midwifery, 2023. </w:t>
      </w:r>
      <w:r w:rsidRPr="00611177">
        <w:rPr>
          <w:b/>
        </w:rPr>
        <w:t>116</w:t>
      </w:r>
      <w:r w:rsidRPr="00611177">
        <w:t>: p. 103496.</w:t>
      </w:r>
      <w:bookmarkEnd w:id="18"/>
    </w:p>
    <w:p w:rsidR="00611177" w:rsidRPr="00611177" w:rsidRDefault="00611177" w:rsidP="00062767">
      <w:pPr>
        <w:pStyle w:val="EndNoteBibliography"/>
        <w:ind w:left="720" w:hanging="720"/>
        <w:jc w:val="both"/>
      </w:pPr>
      <w:bookmarkStart w:id="19" w:name="_ENREF_17"/>
      <w:r w:rsidRPr="00611177">
        <w:t>17.</w:t>
      </w:r>
      <w:r w:rsidRPr="00611177">
        <w:tab/>
        <w:t xml:space="preserve">Lin, H.C., et al., </w:t>
      </w:r>
      <w:r w:rsidRPr="00611177">
        <w:rPr>
          <w:i/>
        </w:rPr>
        <w:t>Antidermatophytic activity of ethanolic extract from Croton tiglium.</w:t>
      </w:r>
      <w:r w:rsidRPr="00611177">
        <w:t xml:space="preserve"> BioMed Research International, 2016. </w:t>
      </w:r>
      <w:r w:rsidRPr="00611177">
        <w:rPr>
          <w:b/>
        </w:rPr>
        <w:t>2016</w:t>
      </w:r>
      <w:r w:rsidRPr="00611177">
        <w:t>(1): p. 3237586.</w:t>
      </w:r>
      <w:bookmarkEnd w:id="19"/>
    </w:p>
    <w:p w:rsidR="00611177" w:rsidRPr="00611177" w:rsidRDefault="00611177" w:rsidP="00062767">
      <w:pPr>
        <w:pStyle w:val="EndNoteBibliography"/>
        <w:ind w:left="720" w:hanging="720"/>
        <w:jc w:val="both"/>
      </w:pPr>
      <w:bookmarkStart w:id="20" w:name="_ENREF_18"/>
      <w:r w:rsidRPr="00611177">
        <w:t>18.</w:t>
      </w:r>
      <w:r w:rsidRPr="00611177">
        <w:tab/>
        <w:t xml:space="preserve">Udoisoh, M.G., et al., </w:t>
      </w:r>
      <w:r w:rsidRPr="00611177">
        <w:rPr>
          <w:i/>
        </w:rPr>
        <w:t>Corrosion inhibition of mild steel by ethanol extract of bitter leaf (Vernonia amygdalina): effects of inhibitor concentration and time.</w:t>
      </w:r>
      <w:r w:rsidRPr="00611177">
        <w:t xml:space="preserve"> Prog. Chem. Biochem. Res, 2024. </w:t>
      </w:r>
      <w:r w:rsidRPr="00611177">
        <w:rPr>
          <w:b/>
        </w:rPr>
        <w:t>7</w:t>
      </w:r>
      <w:r w:rsidRPr="00611177">
        <w:t>(3): p. 225-238.</w:t>
      </w:r>
      <w:bookmarkEnd w:id="20"/>
    </w:p>
    <w:p w:rsidR="00611177" w:rsidRPr="00611177" w:rsidRDefault="00611177" w:rsidP="00062767">
      <w:pPr>
        <w:pStyle w:val="EndNoteBibliography"/>
        <w:ind w:left="720" w:hanging="720"/>
        <w:jc w:val="both"/>
      </w:pPr>
      <w:bookmarkStart w:id="21" w:name="_ENREF_19"/>
      <w:r w:rsidRPr="00611177">
        <w:t>19.</w:t>
      </w:r>
      <w:r w:rsidRPr="00611177">
        <w:tab/>
        <w:t xml:space="preserve">Kadhim, M.J., A.A. Sosa, and I.H. Hameed, </w:t>
      </w:r>
      <w:r w:rsidRPr="00611177">
        <w:rPr>
          <w:i/>
        </w:rPr>
        <w:t>Evaluation of anti-bacterial activity and bioactive chemical analysis of Ocimum basilicum using Fourier transform infrared (FT-IR) and gas chromatography-mass spectrometry (GC-MS) techniques.</w:t>
      </w:r>
      <w:r w:rsidRPr="00611177">
        <w:t xml:space="preserve"> Journal of pharmacognosy and phytotherapy, 2016. </w:t>
      </w:r>
      <w:r w:rsidRPr="00611177">
        <w:rPr>
          <w:b/>
        </w:rPr>
        <w:t>8</w:t>
      </w:r>
      <w:r w:rsidRPr="00611177">
        <w:t>(6): p. 127-146.</w:t>
      </w:r>
      <w:bookmarkEnd w:id="21"/>
    </w:p>
    <w:p w:rsidR="00611177" w:rsidRPr="00611177" w:rsidRDefault="00611177" w:rsidP="00062767">
      <w:pPr>
        <w:pStyle w:val="EndNoteBibliography"/>
        <w:ind w:left="720" w:hanging="720"/>
        <w:jc w:val="both"/>
      </w:pPr>
      <w:bookmarkStart w:id="22" w:name="_ENREF_20"/>
      <w:r w:rsidRPr="00611177">
        <w:t>20.</w:t>
      </w:r>
      <w:r w:rsidRPr="00611177">
        <w:tab/>
        <w:t xml:space="preserve">Daina, A. and V. Zoete, </w:t>
      </w:r>
      <w:r w:rsidRPr="00611177">
        <w:rPr>
          <w:i/>
        </w:rPr>
        <w:t>Application of the SwissDrugDesign online resources in virtual screening.</w:t>
      </w:r>
      <w:r w:rsidRPr="00611177">
        <w:t xml:space="preserve"> International journal of molecular sciences, 2019. </w:t>
      </w:r>
      <w:r w:rsidRPr="00611177">
        <w:rPr>
          <w:b/>
        </w:rPr>
        <w:t>20</w:t>
      </w:r>
      <w:r w:rsidRPr="00611177">
        <w:t>(18): p. 4612.</w:t>
      </w:r>
      <w:bookmarkEnd w:id="22"/>
    </w:p>
    <w:p w:rsidR="0065647A" w:rsidRPr="00E74B62" w:rsidRDefault="00EF2E3C" w:rsidP="00062767">
      <w:pPr>
        <w:jc w:val="both"/>
        <w:rPr>
          <w:i/>
          <w:iCs/>
        </w:rPr>
      </w:pPr>
      <w:r>
        <w:rPr>
          <w:i/>
          <w:iCs/>
        </w:rPr>
        <w:fldChar w:fldCharType="end"/>
      </w:r>
    </w:p>
    <w:sectPr w:rsidR="0065647A" w:rsidRPr="00E74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5EA7"/>
    <w:multiLevelType w:val="hybridMultilevel"/>
    <w:tmpl w:val="0F7A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6694E"/>
    <w:multiLevelType w:val="hybridMultilevel"/>
    <w:tmpl w:val="291A5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61B68"/>
    <w:multiLevelType w:val="hybridMultilevel"/>
    <w:tmpl w:val="FC48EC5E"/>
    <w:lvl w:ilvl="0" w:tplc="76262B44">
      <w:start w:val="1"/>
      <w:numFmt w:val="decimal"/>
      <w:lvlText w:val="%1."/>
      <w:lvlJc w:val="left"/>
      <w:pPr>
        <w:ind w:left="720" w:hanging="360"/>
      </w:pPr>
      <w:rPr>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32BE6"/>
    <w:multiLevelType w:val="hybridMultilevel"/>
    <w:tmpl w:val="95E4B99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zwdwxpsd2p0rrevxampz09aw9w9art9vs0d&quot;&gt;try&lt;record-ids&gt;&lt;item&gt;613&lt;/item&gt;&lt;item&gt;614&lt;/item&gt;&lt;item&gt;615&lt;/item&gt;&lt;item&gt;616&lt;/item&gt;&lt;item&gt;617&lt;/item&gt;&lt;item&gt;618&lt;/item&gt;&lt;item&gt;619&lt;/item&gt;&lt;item&gt;620&lt;/item&gt;&lt;item&gt;621&lt;/item&gt;&lt;item&gt;622&lt;/item&gt;&lt;item&gt;623&lt;/item&gt;&lt;item&gt;624&lt;/item&gt;&lt;item&gt;625&lt;/item&gt;&lt;item&gt;626&lt;/item&gt;&lt;item&gt;627&lt;/item&gt;&lt;item&gt;628&lt;/item&gt;&lt;item&gt;629&lt;/item&gt;&lt;item&gt;630&lt;/item&gt;&lt;item&gt;631&lt;/item&gt;&lt;/record-ids&gt;&lt;/item&gt;&lt;/Libraries&gt;"/>
  </w:docVars>
  <w:rsids>
    <w:rsidRoot w:val="00E74B62"/>
    <w:rsid w:val="0004538C"/>
    <w:rsid w:val="00062767"/>
    <w:rsid w:val="000C33CD"/>
    <w:rsid w:val="000C4221"/>
    <w:rsid w:val="00120289"/>
    <w:rsid w:val="0014548E"/>
    <w:rsid w:val="0018648E"/>
    <w:rsid w:val="0022377C"/>
    <w:rsid w:val="00317A15"/>
    <w:rsid w:val="003305EB"/>
    <w:rsid w:val="0039114A"/>
    <w:rsid w:val="003E1058"/>
    <w:rsid w:val="003F1319"/>
    <w:rsid w:val="00406B66"/>
    <w:rsid w:val="00443B41"/>
    <w:rsid w:val="00474B7B"/>
    <w:rsid w:val="004C60B5"/>
    <w:rsid w:val="00542E37"/>
    <w:rsid w:val="00552480"/>
    <w:rsid w:val="00611177"/>
    <w:rsid w:val="00647508"/>
    <w:rsid w:val="0065647A"/>
    <w:rsid w:val="00680922"/>
    <w:rsid w:val="00686892"/>
    <w:rsid w:val="007B31DC"/>
    <w:rsid w:val="007B326C"/>
    <w:rsid w:val="007D4618"/>
    <w:rsid w:val="007E1589"/>
    <w:rsid w:val="008B546D"/>
    <w:rsid w:val="008C5CEE"/>
    <w:rsid w:val="008D53FA"/>
    <w:rsid w:val="008E33AD"/>
    <w:rsid w:val="009C5CD6"/>
    <w:rsid w:val="009E0F89"/>
    <w:rsid w:val="00A54387"/>
    <w:rsid w:val="00A60F55"/>
    <w:rsid w:val="00A872F7"/>
    <w:rsid w:val="00BE491A"/>
    <w:rsid w:val="00C15C93"/>
    <w:rsid w:val="00C55DF1"/>
    <w:rsid w:val="00CD7B49"/>
    <w:rsid w:val="00DC2068"/>
    <w:rsid w:val="00DD12D5"/>
    <w:rsid w:val="00E74B62"/>
    <w:rsid w:val="00EC6847"/>
    <w:rsid w:val="00EF2E3C"/>
    <w:rsid w:val="00F0133A"/>
    <w:rsid w:val="00F84409"/>
    <w:rsid w:val="00FC5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C9B04-C8E7-4EC3-8D88-0D5CC3D6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B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55D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647A"/>
    <w:pPr>
      <w:keepNext/>
      <w:keepLines/>
      <w:spacing w:before="160" w:after="120" w:line="259" w:lineRule="auto"/>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D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647A"/>
    <w:rPr>
      <w:rFonts w:ascii="Times New Roman" w:eastAsiaTheme="majorEastAsia" w:hAnsi="Times New Roman" w:cstheme="majorBidi"/>
      <w:b/>
      <w:sz w:val="26"/>
      <w:szCs w:val="26"/>
    </w:rPr>
  </w:style>
  <w:style w:type="character" w:styleId="Strong">
    <w:name w:val="Strong"/>
    <w:uiPriority w:val="22"/>
    <w:qFormat/>
    <w:rsid w:val="00E74B62"/>
    <w:rPr>
      <w:b/>
      <w:bCs/>
    </w:rPr>
  </w:style>
  <w:style w:type="character" w:styleId="Hyperlink">
    <w:name w:val="Hyperlink"/>
    <w:basedOn w:val="DefaultParagraphFont"/>
    <w:uiPriority w:val="99"/>
    <w:unhideWhenUsed/>
    <w:rsid w:val="00443B41"/>
    <w:rPr>
      <w:color w:val="0563C1" w:themeColor="hyperlink"/>
      <w:u w:val="single"/>
    </w:rPr>
  </w:style>
  <w:style w:type="character" w:styleId="Emphasis">
    <w:name w:val="Emphasis"/>
    <w:basedOn w:val="DefaultParagraphFont"/>
    <w:uiPriority w:val="20"/>
    <w:qFormat/>
    <w:rsid w:val="00443B41"/>
    <w:rPr>
      <w:i/>
      <w:iCs/>
    </w:rPr>
  </w:style>
  <w:style w:type="paragraph" w:customStyle="1" w:styleId="MDPI16affiliation">
    <w:name w:val="MDPI_1.6_affiliation"/>
    <w:qFormat/>
    <w:rsid w:val="00443B41"/>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styleId="ListParagraph">
    <w:name w:val="List Paragraph"/>
    <w:basedOn w:val="Normal"/>
    <w:uiPriority w:val="34"/>
    <w:qFormat/>
    <w:rsid w:val="00443B41"/>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6564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5647A"/>
    <w:pPr>
      <w:spacing w:before="100" w:beforeAutospacing="1" w:after="100" w:afterAutospacing="1"/>
    </w:pPr>
  </w:style>
  <w:style w:type="character" w:customStyle="1" w:styleId="html-italic">
    <w:name w:val="html-italic"/>
    <w:basedOn w:val="DefaultParagraphFont"/>
    <w:rsid w:val="00647508"/>
  </w:style>
  <w:style w:type="paragraph" w:styleId="NoSpacing">
    <w:name w:val="No Spacing"/>
    <w:uiPriority w:val="1"/>
    <w:qFormat/>
    <w:rsid w:val="00647508"/>
    <w:pPr>
      <w:spacing w:after="0" w:line="240" w:lineRule="auto"/>
    </w:pPr>
    <w:rPr>
      <w:rFonts w:ascii="Calibri" w:eastAsia="Calibri" w:hAnsi="Calibri" w:cs="SimSun"/>
    </w:rPr>
  </w:style>
  <w:style w:type="character" w:customStyle="1" w:styleId="anchor-text">
    <w:name w:val="anchor-text"/>
    <w:basedOn w:val="DefaultParagraphFont"/>
    <w:rsid w:val="00647508"/>
  </w:style>
  <w:style w:type="character" w:customStyle="1" w:styleId="uv3um">
    <w:name w:val="uv3um"/>
    <w:basedOn w:val="DefaultParagraphFont"/>
    <w:rsid w:val="00647508"/>
  </w:style>
  <w:style w:type="character" w:customStyle="1" w:styleId="dtet0b">
    <w:name w:val="dtet0b"/>
    <w:basedOn w:val="DefaultParagraphFont"/>
    <w:rsid w:val="00647508"/>
  </w:style>
  <w:style w:type="paragraph" w:styleId="Header">
    <w:name w:val="header"/>
    <w:basedOn w:val="Normal"/>
    <w:link w:val="HeaderChar"/>
    <w:uiPriority w:val="99"/>
    <w:unhideWhenUsed/>
    <w:rsid w:val="00647508"/>
    <w:pPr>
      <w:tabs>
        <w:tab w:val="center" w:pos="4680"/>
        <w:tab w:val="right" w:pos="9360"/>
      </w:tabs>
    </w:pPr>
    <w:rPr>
      <w:rFonts w:ascii="Calibri" w:eastAsia="Calibri" w:hAnsi="Calibri" w:cs="SimSun"/>
      <w:sz w:val="22"/>
      <w:szCs w:val="22"/>
    </w:rPr>
  </w:style>
  <w:style w:type="character" w:customStyle="1" w:styleId="HeaderChar">
    <w:name w:val="Header Char"/>
    <w:basedOn w:val="DefaultParagraphFont"/>
    <w:link w:val="Header"/>
    <w:uiPriority w:val="99"/>
    <w:rsid w:val="00647508"/>
    <w:rPr>
      <w:rFonts w:ascii="Calibri" w:eastAsia="Calibri" w:hAnsi="Calibri" w:cs="SimSun"/>
    </w:rPr>
  </w:style>
  <w:style w:type="paragraph" w:styleId="Footer">
    <w:name w:val="footer"/>
    <w:basedOn w:val="Normal"/>
    <w:link w:val="FooterChar"/>
    <w:uiPriority w:val="99"/>
    <w:unhideWhenUsed/>
    <w:rsid w:val="00647508"/>
    <w:pPr>
      <w:tabs>
        <w:tab w:val="center" w:pos="4680"/>
        <w:tab w:val="right" w:pos="9360"/>
      </w:tabs>
    </w:pPr>
    <w:rPr>
      <w:rFonts w:ascii="Calibri" w:eastAsia="Calibri" w:hAnsi="Calibri" w:cs="SimSun"/>
      <w:sz w:val="22"/>
      <w:szCs w:val="22"/>
    </w:rPr>
  </w:style>
  <w:style w:type="character" w:customStyle="1" w:styleId="FooterChar">
    <w:name w:val="Footer Char"/>
    <w:basedOn w:val="DefaultParagraphFont"/>
    <w:link w:val="Footer"/>
    <w:uiPriority w:val="99"/>
    <w:rsid w:val="00647508"/>
    <w:rPr>
      <w:rFonts w:ascii="Calibri" w:eastAsia="Calibri" w:hAnsi="Calibri" w:cs="SimSun"/>
    </w:rPr>
  </w:style>
  <w:style w:type="paragraph" w:customStyle="1" w:styleId="Tablecaption">
    <w:name w:val="Table caption"/>
    <w:basedOn w:val="Caption"/>
    <w:qFormat/>
    <w:rsid w:val="00647508"/>
    <w:pPr>
      <w:spacing w:after="0" w:line="360" w:lineRule="auto"/>
    </w:pPr>
    <w:rPr>
      <w:rFonts w:ascii="Times New Roman" w:eastAsiaTheme="minorHAnsi" w:hAnsi="Times New Roman" w:cstheme="minorBidi"/>
      <w:b/>
      <w:i w:val="0"/>
      <w:color w:val="auto"/>
      <w:sz w:val="24"/>
    </w:rPr>
  </w:style>
  <w:style w:type="paragraph" w:styleId="Caption">
    <w:name w:val="caption"/>
    <w:basedOn w:val="Normal"/>
    <w:next w:val="Normal"/>
    <w:uiPriority w:val="35"/>
    <w:semiHidden/>
    <w:unhideWhenUsed/>
    <w:qFormat/>
    <w:rsid w:val="00647508"/>
    <w:pPr>
      <w:spacing w:after="200"/>
    </w:pPr>
    <w:rPr>
      <w:rFonts w:ascii="Calibri" w:eastAsia="Calibri" w:hAnsi="Calibri" w:cs="SimSun"/>
      <w:i/>
      <w:iCs/>
      <w:color w:val="44546A" w:themeColor="text2"/>
      <w:sz w:val="18"/>
      <w:szCs w:val="18"/>
    </w:rPr>
  </w:style>
  <w:style w:type="table" w:styleId="TableGridLight">
    <w:name w:val="Grid Table Light"/>
    <w:basedOn w:val="TableNormal"/>
    <w:uiPriority w:val="40"/>
    <w:rsid w:val="00A872F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EF2E3C"/>
    <w:pPr>
      <w:jc w:val="center"/>
    </w:pPr>
    <w:rPr>
      <w:noProof/>
    </w:rPr>
  </w:style>
  <w:style w:type="character" w:customStyle="1" w:styleId="EndNoteBibliographyTitleChar">
    <w:name w:val="EndNote Bibliography Title Char"/>
    <w:basedOn w:val="DefaultParagraphFont"/>
    <w:link w:val="EndNoteBibliographyTitle"/>
    <w:rsid w:val="00EF2E3C"/>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EF2E3C"/>
    <w:rPr>
      <w:noProof/>
    </w:rPr>
  </w:style>
  <w:style w:type="character" w:customStyle="1" w:styleId="EndNoteBibliographyChar">
    <w:name w:val="EndNote Bibliography Char"/>
    <w:basedOn w:val="DefaultParagraphFont"/>
    <w:link w:val="EndNoteBibliography"/>
    <w:rsid w:val="00EF2E3C"/>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issadme.ch\" TargetMode="External"/><Relationship Id="rId5" Type="http://schemas.openxmlformats.org/officeDocument/2006/relationships/hyperlink" Target="mailto:tahira.shamim@iub.edu.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26</Pages>
  <Words>11058</Words>
  <Characters>63035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cp:lastModifiedBy>
  <cp:revision>17</cp:revision>
  <dcterms:created xsi:type="dcterms:W3CDTF">2026-04-09T10:11:00Z</dcterms:created>
  <dcterms:modified xsi:type="dcterms:W3CDTF">2026-06-24T11:08:00Z</dcterms:modified>
</cp:coreProperties>
</file>