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90D40" w14:textId="77777777" w:rsidR="00051495" w:rsidRPr="00F42BEC" w:rsidRDefault="00051495" w:rsidP="00F42BEC">
      <w:pPr>
        <w:spacing w:line="240" w:lineRule="auto"/>
        <w:jc w:val="center"/>
        <w:rPr>
          <w:rFonts w:ascii="Times New Roman" w:hAnsi="Times New Roman" w:cs="Times New Roman"/>
          <w:b/>
          <w:sz w:val="32"/>
          <w:szCs w:val="28"/>
          <w:u w:val="single"/>
        </w:rPr>
      </w:pPr>
      <w:r w:rsidRPr="00F42BEC">
        <w:rPr>
          <w:rFonts w:ascii="Times New Roman" w:hAnsi="Times New Roman" w:cs="Times New Roman"/>
          <w:b/>
          <w:sz w:val="32"/>
          <w:szCs w:val="28"/>
          <w:u w:val="single"/>
        </w:rPr>
        <w:t>Beyond Algorithms: Cultural Sensitivity and Cost Considerations in User Acceptance of AI-Driven Personalised Nutrition</w:t>
      </w:r>
    </w:p>
    <w:p w14:paraId="215DF44B" w14:textId="3C49EED5" w:rsidR="00051495" w:rsidRPr="00F42BEC" w:rsidRDefault="00051495" w:rsidP="00F42BEC">
      <w:pPr>
        <w:spacing w:line="240" w:lineRule="auto"/>
        <w:jc w:val="center"/>
        <w:rPr>
          <w:rFonts w:ascii="Times New Roman" w:hAnsi="Times New Roman" w:cs="Times New Roman"/>
          <w:b/>
          <w:sz w:val="24"/>
          <w:szCs w:val="24"/>
          <w:vertAlign w:val="superscript"/>
          <w:lang w:val="en-US"/>
        </w:rPr>
      </w:pPr>
      <w:r w:rsidRPr="00F42BEC">
        <w:rPr>
          <w:rFonts w:ascii="Times New Roman" w:hAnsi="Times New Roman" w:cs="Times New Roman"/>
          <w:b/>
          <w:sz w:val="24"/>
          <w:szCs w:val="24"/>
          <w:lang w:val="en-US"/>
        </w:rPr>
        <w:t>S. Mahalakshmi</w:t>
      </w:r>
      <w:r w:rsidRPr="00F42BEC">
        <w:rPr>
          <w:rFonts w:ascii="Times New Roman" w:hAnsi="Times New Roman" w:cs="Times New Roman"/>
          <w:b/>
          <w:sz w:val="24"/>
          <w:szCs w:val="24"/>
          <w:vertAlign w:val="superscript"/>
          <w:lang w:val="en-US"/>
        </w:rPr>
        <w:t xml:space="preserve">1, </w:t>
      </w:r>
      <w:r w:rsidRPr="00F42BEC">
        <w:rPr>
          <w:rFonts w:ascii="Times New Roman" w:hAnsi="Times New Roman" w:cs="Times New Roman"/>
          <w:b/>
          <w:sz w:val="24"/>
          <w:szCs w:val="24"/>
          <w:lang w:val="en-US"/>
        </w:rPr>
        <w:t>Mahasrii.N</w:t>
      </w:r>
      <w:r w:rsidRPr="00F42BEC">
        <w:rPr>
          <w:rFonts w:ascii="Times New Roman" w:hAnsi="Times New Roman" w:cs="Times New Roman"/>
          <w:b/>
          <w:sz w:val="24"/>
          <w:szCs w:val="24"/>
          <w:vertAlign w:val="superscript"/>
          <w:lang w:val="en-US"/>
        </w:rPr>
        <w:t>2,</w:t>
      </w:r>
      <w:r w:rsidRPr="00F42BEC">
        <w:rPr>
          <w:rFonts w:ascii="Times New Roman" w:hAnsi="Times New Roman" w:cs="Times New Roman"/>
          <w:b/>
          <w:sz w:val="24"/>
          <w:szCs w:val="24"/>
          <w:lang w:val="en-US"/>
        </w:rPr>
        <w:t xml:space="preserve"> Jaya Sri.R</w:t>
      </w:r>
      <w:r w:rsidRPr="00F42BEC">
        <w:rPr>
          <w:rFonts w:ascii="Times New Roman" w:hAnsi="Times New Roman" w:cs="Times New Roman"/>
          <w:b/>
          <w:sz w:val="24"/>
          <w:szCs w:val="24"/>
          <w:vertAlign w:val="superscript"/>
          <w:lang w:val="en-US"/>
        </w:rPr>
        <w:t>3</w:t>
      </w:r>
    </w:p>
    <w:p w14:paraId="2C71A2E3" w14:textId="77777777" w:rsidR="00051495" w:rsidRPr="00F42BEC" w:rsidRDefault="00051495" w:rsidP="00F42BEC">
      <w:pPr>
        <w:spacing w:line="240" w:lineRule="auto"/>
        <w:jc w:val="center"/>
        <w:rPr>
          <w:rFonts w:ascii="Times New Roman" w:hAnsi="Times New Roman" w:cs="Times New Roman"/>
          <w:b/>
          <w:sz w:val="24"/>
          <w:szCs w:val="24"/>
          <w:lang w:val="en-US"/>
        </w:rPr>
      </w:pPr>
      <w:r w:rsidRPr="00F42BEC">
        <w:rPr>
          <w:rFonts w:ascii="Times New Roman" w:hAnsi="Times New Roman" w:cs="Times New Roman"/>
          <w:b/>
          <w:sz w:val="24"/>
          <w:szCs w:val="24"/>
          <w:vertAlign w:val="superscript"/>
          <w:lang w:val="en-US"/>
        </w:rPr>
        <w:t xml:space="preserve">1 </w:t>
      </w:r>
      <w:r w:rsidRPr="00F42BEC">
        <w:rPr>
          <w:rFonts w:ascii="Times New Roman" w:hAnsi="Times New Roman" w:cs="Times New Roman"/>
          <w:b/>
          <w:sz w:val="24"/>
          <w:szCs w:val="24"/>
          <w:lang w:val="en-US"/>
        </w:rPr>
        <w:t>Assistant professor, Department of Home Science, Nutrition Food Service Management and Dietetics</w:t>
      </w:r>
    </w:p>
    <w:p w14:paraId="1E829670" w14:textId="77777777" w:rsidR="00051495" w:rsidRPr="00F42BEC" w:rsidRDefault="00051495" w:rsidP="00F42BEC">
      <w:pPr>
        <w:spacing w:line="240" w:lineRule="auto"/>
        <w:jc w:val="center"/>
        <w:rPr>
          <w:rFonts w:ascii="Times New Roman" w:hAnsi="Times New Roman" w:cs="Times New Roman"/>
          <w:b/>
          <w:sz w:val="24"/>
          <w:szCs w:val="24"/>
          <w:lang w:val="en-US"/>
        </w:rPr>
      </w:pPr>
      <w:r w:rsidRPr="00F42BEC">
        <w:rPr>
          <w:rFonts w:ascii="Times New Roman" w:hAnsi="Times New Roman" w:cs="Times New Roman"/>
          <w:b/>
          <w:bCs/>
          <w:sz w:val="24"/>
          <w:szCs w:val="24"/>
          <w:vertAlign w:val="superscript"/>
          <w:lang w:val="en-US"/>
        </w:rPr>
        <w:t xml:space="preserve">2&amp;3 </w:t>
      </w:r>
      <w:r w:rsidRPr="00F42BEC">
        <w:rPr>
          <w:rFonts w:ascii="Times New Roman" w:hAnsi="Times New Roman" w:cs="Times New Roman"/>
          <w:b/>
          <w:sz w:val="24"/>
          <w:szCs w:val="24"/>
          <w:lang w:val="en-US"/>
        </w:rPr>
        <w:t>B.Sc., Student, Department of Home Science, Clinical Nutrition and Dietetics</w:t>
      </w:r>
    </w:p>
    <w:p w14:paraId="12D21477" w14:textId="77777777" w:rsidR="00051495" w:rsidRPr="00F42BEC" w:rsidRDefault="00051495" w:rsidP="00F42BEC">
      <w:pPr>
        <w:spacing w:line="240" w:lineRule="auto"/>
        <w:jc w:val="center"/>
        <w:rPr>
          <w:rFonts w:ascii="Times New Roman" w:hAnsi="Times New Roman" w:cs="Times New Roman"/>
          <w:b/>
          <w:sz w:val="24"/>
          <w:szCs w:val="24"/>
        </w:rPr>
      </w:pPr>
      <w:r w:rsidRPr="00F42BEC">
        <w:rPr>
          <w:rFonts w:ascii="Times New Roman" w:hAnsi="Times New Roman" w:cs="Times New Roman"/>
          <w:b/>
          <w:sz w:val="24"/>
          <w:szCs w:val="24"/>
        </w:rPr>
        <w:t>Shrimathi Devkunvar Nanalal Bhatt Vaishnav College for Women (Autonomous)</w:t>
      </w:r>
    </w:p>
    <w:p w14:paraId="2067E18A" w14:textId="77777777" w:rsidR="00051495" w:rsidRPr="00F42BEC" w:rsidRDefault="00051495" w:rsidP="00F42BEC">
      <w:pPr>
        <w:spacing w:line="240" w:lineRule="auto"/>
        <w:jc w:val="center"/>
        <w:rPr>
          <w:rFonts w:ascii="Times New Roman" w:hAnsi="Times New Roman" w:cs="Times New Roman"/>
          <w:b/>
        </w:rPr>
      </w:pPr>
      <w:r w:rsidRPr="00F42BEC">
        <w:rPr>
          <w:rFonts w:ascii="Times New Roman" w:hAnsi="Times New Roman" w:cs="Times New Roman"/>
          <w:b/>
          <w:sz w:val="24"/>
          <w:szCs w:val="24"/>
          <w:vertAlign w:val="superscript"/>
          <w:lang w:val="en-US"/>
        </w:rPr>
        <w:t>1</w:t>
      </w:r>
      <w:hyperlink r:id="rId8" w:history="1">
        <w:r w:rsidRPr="00F42BEC">
          <w:rPr>
            <w:rStyle w:val="Hyperlink"/>
            <w:rFonts w:ascii="Times New Roman" w:hAnsi="Times New Roman" w:cs="Times New Roman"/>
            <w:b/>
            <w:sz w:val="24"/>
            <w:szCs w:val="24"/>
            <w:lang w:val="en-US"/>
          </w:rPr>
          <w:t>maharamesh181@gmail.com</w:t>
        </w:r>
      </w:hyperlink>
    </w:p>
    <w:p w14:paraId="4C442979" w14:textId="7B5C3F43" w:rsidR="00051495" w:rsidRPr="00F42BEC" w:rsidRDefault="00051495" w:rsidP="00F42BEC">
      <w:pPr>
        <w:spacing w:line="240" w:lineRule="auto"/>
        <w:jc w:val="center"/>
        <w:rPr>
          <w:rFonts w:ascii="Times New Roman" w:hAnsi="Times New Roman" w:cs="Times New Roman"/>
          <w:b/>
          <w:sz w:val="24"/>
          <w:szCs w:val="24"/>
        </w:rPr>
      </w:pPr>
      <w:r w:rsidRPr="00F42BEC">
        <w:rPr>
          <w:rFonts w:ascii="Times New Roman" w:hAnsi="Times New Roman" w:cs="Times New Roman"/>
          <w:b/>
          <w:vertAlign w:val="superscript"/>
        </w:rPr>
        <w:t>2</w:t>
      </w:r>
      <w:hyperlink r:id="rId9" w:history="1">
        <w:r w:rsidRPr="00F42BEC">
          <w:rPr>
            <w:rStyle w:val="Hyperlink"/>
            <w:rFonts w:ascii="Times New Roman" w:hAnsi="Times New Roman" w:cs="Times New Roman"/>
            <w:b/>
            <w:sz w:val="24"/>
            <w:szCs w:val="24"/>
          </w:rPr>
          <w:t>mahasrii.narayanan@gmail.com</w:t>
        </w:r>
      </w:hyperlink>
    </w:p>
    <w:p w14:paraId="6DF7E597" w14:textId="77777777" w:rsidR="00051495" w:rsidRPr="00F42BEC" w:rsidRDefault="00051495" w:rsidP="00F42BEC">
      <w:pPr>
        <w:spacing w:line="240" w:lineRule="auto"/>
        <w:jc w:val="center"/>
        <w:rPr>
          <w:rFonts w:ascii="Times New Roman" w:hAnsi="Times New Roman" w:cs="Times New Roman"/>
          <w:b/>
          <w:sz w:val="24"/>
          <w:szCs w:val="24"/>
          <w:lang w:val="en-US"/>
        </w:rPr>
      </w:pPr>
      <w:r w:rsidRPr="00F42BEC">
        <w:rPr>
          <w:rFonts w:ascii="Times New Roman" w:hAnsi="Times New Roman" w:cs="Times New Roman"/>
          <w:b/>
          <w:sz w:val="24"/>
          <w:szCs w:val="24"/>
          <w:vertAlign w:val="superscript"/>
        </w:rPr>
        <w:t>3</w:t>
      </w:r>
      <w:hyperlink r:id="rId10" w:history="1">
        <w:r w:rsidRPr="00F42BEC">
          <w:rPr>
            <w:rStyle w:val="Hyperlink"/>
            <w:rFonts w:ascii="Times New Roman" w:hAnsi="Times New Roman" w:cs="Times New Roman"/>
            <w:b/>
            <w:sz w:val="24"/>
            <w:szCs w:val="24"/>
            <w:lang w:val="en-US"/>
          </w:rPr>
          <w:t>jayasriravi48@gmail.com</w:t>
        </w:r>
      </w:hyperlink>
    </w:p>
    <w:p w14:paraId="5A2FBB81" w14:textId="57AF959E" w:rsidR="00051495" w:rsidRPr="00F42BEC" w:rsidRDefault="00F42BEC" w:rsidP="00F42BEC">
      <w:pPr>
        <w:spacing w:line="240" w:lineRule="auto"/>
        <w:jc w:val="both"/>
        <w:rPr>
          <w:rFonts w:ascii="Times New Roman" w:hAnsi="Times New Roman" w:cs="Times New Roman"/>
          <w:b/>
          <w:bCs/>
          <w:sz w:val="28"/>
          <w:szCs w:val="24"/>
        </w:rPr>
      </w:pPr>
      <w:r w:rsidRPr="00F42BEC">
        <w:rPr>
          <w:rFonts w:ascii="Times New Roman" w:hAnsi="Times New Roman" w:cs="Times New Roman"/>
          <w:b/>
          <w:bCs/>
          <w:sz w:val="28"/>
          <w:szCs w:val="24"/>
        </w:rPr>
        <w:t>ABSTRACT:</w:t>
      </w:r>
    </w:p>
    <w:p w14:paraId="517E46A8" w14:textId="39B7E76F" w:rsidR="00283142" w:rsidRPr="00283142" w:rsidRDefault="00283142" w:rsidP="00D30C0A">
      <w:pPr>
        <w:spacing w:after="120" w:line="240" w:lineRule="auto"/>
        <w:jc w:val="both"/>
        <w:rPr>
          <w:rFonts w:ascii="Times New Roman" w:hAnsi="Times New Roman" w:cs="Times New Roman"/>
          <w:sz w:val="24"/>
          <w:szCs w:val="24"/>
          <w:shd w:val="clear" w:color="auto" w:fill="FFFFFF"/>
        </w:rPr>
      </w:pPr>
      <w:r w:rsidRPr="00283142">
        <w:rPr>
          <w:rFonts w:ascii="Times New Roman" w:hAnsi="Times New Roman" w:cs="Times New Roman"/>
          <w:sz w:val="24"/>
          <w:szCs w:val="24"/>
          <w:shd w:val="clear" w:color="auto" w:fill="FFFFFF"/>
        </w:rPr>
        <w:t xml:space="preserve">In the realm of digital health, the personalization of AI-driven nutritional guidance has emerged as a critical factor. </w:t>
      </w:r>
      <w:r w:rsidRPr="00283142">
        <w:rPr>
          <w:rFonts w:ascii="Times New Roman" w:eastAsia="Times New Roman" w:hAnsi="Times New Roman" w:cs="Times New Roman"/>
          <w:kern w:val="0"/>
          <w:sz w:val="24"/>
          <w:szCs w:val="24"/>
          <w:lang w:eastAsia="en-IN"/>
          <w14:ligatures w14:val="none"/>
        </w:rPr>
        <w:t>This study aims to explore the user’s perception regarding personalization and practicality in relation to AI-generated nutrition plans and diet plans created by dietitia</w:t>
      </w:r>
      <w:r>
        <w:rPr>
          <w:rFonts w:ascii="Times New Roman" w:eastAsia="Times New Roman" w:hAnsi="Times New Roman" w:cs="Times New Roman"/>
          <w:kern w:val="0"/>
          <w:sz w:val="24"/>
          <w:szCs w:val="24"/>
          <w:lang w:eastAsia="en-IN"/>
          <w14:ligatures w14:val="none"/>
        </w:rPr>
        <w:t xml:space="preserve">ns. </w:t>
      </w:r>
      <w:r w:rsidRPr="00283142">
        <w:rPr>
          <w:rFonts w:ascii="Times New Roman" w:hAnsi="Times New Roman" w:cs="Times New Roman"/>
          <w:sz w:val="24"/>
          <w:szCs w:val="24"/>
          <w:shd w:val="clear" w:color="auto" w:fill="FFFFFF"/>
        </w:rPr>
        <w:t>Furthermore, it highlights the significance of cultural sensitivity, emotional intelligence, and cost as essential determinants of user perceptions.</w:t>
      </w:r>
      <w:r w:rsidR="00D30C0A">
        <w:rPr>
          <w:rFonts w:ascii="Times New Roman" w:hAnsi="Times New Roman" w:cs="Times New Roman"/>
          <w:sz w:val="24"/>
          <w:szCs w:val="24"/>
          <w:shd w:val="clear" w:color="auto" w:fill="FFFFFF"/>
        </w:rPr>
        <w:t xml:space="preserve"> </w:t>
      </w:r>
      <w:r w:rsidR="00D30C0A" w:rsidRPr="00216D12">
        <w:rPr>
          <w:rFonts w:ascii="Times New Roman" w:eastAsia="Times New Roman" w:hAnsi="Times New Roman" w:cs="Times New Roman"/>
          <w:kern w:val="0"/>
          <w:sz w:val="24"/>
          <w:szCs w:val="24"/>
          <w:lang w:eastAsia="en-IN"/>
          <w14:ligatures w14:val="none"/>
        </w:rPr>
        <w:t>It also emphasizes key factors like cultural sensitivity, emotional intelligence,</w:t>
      </w:r>
      <w:r w:rsidR="00D30C0A">
        <w:rPr>
          <w:rFonts w:ascii="Times New Roman" w:eastAsia="Times New Roman" w:hAnsi="Times New Roman" w:cs="Times New Roman"/>
          <w:kern w:val="0"/>
          <w:sz w:val="24"/>
          <w:szCs w:val="24"/>
          <w:lang w:eastAsia="en-IN"/>
          <w14:ligatures w14:val="none"/>
        </w:rPr>
        <w:t xml:space="preserve"> </w:t>
      </w:r>
      <w:r w:rsidR="00D30C0A" w:rsidRPr="00216D12">
        <w:rPr>
          <w:rFonts w:ascii="Times New Roman" w:eastAsia="Times New Roman" w:hAnsi="Times New Roman" w:cs="Times New Roman"/>
          <w:kern w:val="0"/>
          <w:sz w:val="24"/>
          <w:szCs w:val="24"/>
          <w:lang w:eastAsia="en-IN"/>
          <w14:ligatures w14:val="none"/>
        </w:rPr>
        <w:t xml:space="preserve">and cost, which are crucial in determining user perceptions. </w:t>
      </w:r>
      <w:r w:rsidRPr="00283142">
        <w:rPr>
          <w:rFonts w:ascii="Times New Roman" w:hAnsi="Times New Roman" w:cs="Times New Roman"/>
          <w:sz w:val="24"/>
          <w:szCs w:val="24"/>
          <w:shd w:val="clear" w:color="auto" w:fill="FFFFFF"/>
        </w:rPr>
        <w:br/>
        <w:t>Data were collected from 126 participants across various age groups ranging from adolescents to adults through a structured questionnaire assessing comfort with AI, personalization quality, cultural integration, and effectiveness relative to Dieticians. The economic aspect is also considered when assessing the feasibility of AI-generated plans. The findings suggest that while AI is perceived as advantageous and potentially more economical, reservations persist regarding its capacity to fully comprehend cultural nuances and offer emotionally attuned guidance. Consequently, the results indicate that enhancing personalization features within AI systems and fostering AI-human collaboration (hybrid models) would likely yield superior outcomes in the realm of nutritional care.</w:t>
      </w:r>
    </w:p>
    <w:p w14:paraId="4D58D4DD" w14:textId="4B6AE890" w:rsidR="00F42BEC" w:rsidRDefault="00051495" w:rsidP="00F42BEC">
      <w:pPr>
        <w:spacing w:after="120" w:line="240" w:lineRule="auto"/>
        <w:jc w:val="both"/>
        <w:rPr>
          <w:rFonts w:ascii="Times New Roman" w:eastAsia="Times New Roman" w:hAnsi="Times New Roman" w:cs="Times New Roman"/>
          <w:kern w:val="0"/>
          <w:sz w:val="24"/>
          <w:szCs w:val="24"/>
          <w:lang w:eastAsia="en-IN"/>
          <w14:ligatures w14:val="none"/>
        </w:rPr>
      </w:pPr>
      <w:r w:rsidRPr="000C77EA">
        <w:rPr>
          <w:rFonts w:ascii="Times New Roman" w:eastAsia="Times New Roman" w:hAnsi="Times New Roman" w:cs="Times New Roman"/>
          <w:b/>
          <w:kern w:val="0"/>
          <w:sz w:val="28"/>
          <w:szCs w:val="24"/>
          <w:lang w:eastAsia="en-IN"/>
          <w14:ligatures w14:val="none"/>
        </w:rPr>
        <w:t>KEYWORDS</w:t>
      </w:r>
      <w:r w:rsidRPr="000C77EA">
        <w:rPr>
          <w:rFonts w:ascii="Times New Roman" w:eastAsia="Times New Roman" w:hAnsi="Times New Roman" w:cs="Times New Roman"/>
          <w:kern w:val="0"/>
          <w:sz w:val="28"/>
          <w:szCs w:val="24"/>
          <w:lang w:eastAsia="en-IN"/>
          <w14:ligatures w14:val="none"/>
        </w:rPr>
        <w:t xml:space="preserve">: </w:t>
      </w:r>
      <w:r w:rsidR="00D30C0A" w:rsidRPr="00216D12">
        <w:rPr>
          <w:rFonts w:ascii="Times New Roman" w:eastAsia="Times New Roman" w:hAnsi="Times New Roman" w:cs="Times New Roman"/>
          <w:kern w:val="0"/>
          <w:sz w:val="24"/>
          <w:szCs w:val="24"/>
          <w:lang w:eastAsia="en-IN"/>
          <w14:ligatures w14:val="none"/>
        </w:rPr>
        <w:t>Artificial intelligence (AI), Personalised nutrition, Cultural Preferences, Cost influence, AI-Human collaboration (Hybrid model)</w:t>
      </w:r>
    </w:p>
    <w:p w14:paraId="476794CB" w14:textId="1B56005E" w:rsidR="001C35C3" w:rsidRPr="00F42BEC" w:rsidRDefault="00F42BEC" w:rsidP="00F42BEC">
      <w:pPr>
        <w:spacing w:after="12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8"/>
          <w:szCs w:val="24"/>
          <w:lang w:eastAsia="en-IN"/>
          <w14:ligatures w14:val="none"/>
        </w:rPr>
        <w:t xml:space="preserve"> INTRODUCTION</w:t>
      </w:r>
    </w:p>
    <w:p w14:paraId="6BC3FC05" w14:textId="44717565" w:rsidR="00051495" w:rsidRPr="00F42BEC" w:rsidRDefault="00051495" w:rsidP="00F42BEC">
      <w:pPr>
        <w:spacing w:after="12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Artificial Intelligence in Healthcare and Nutrition</w:t>
      </w:r>
    </w:p>
    <w:p w14:paraId="58A84892" w14:textId="223F2066" w:rsidR="00F40F9F"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Artificial Intelligence (AI) has revolutionized modern healthcare significantly by providing complex data analysis, predictive modelling, and improved clinical decision-making. </w:t>
      </w:r>
      <w:r w:rsidR="00D30C0A" w:rsidRPr="00732F1D">
        <w:rPr>
          <w:rFonts w:ascii="Times New Roman" w:eastAsia="Times New Roman" w:hAnsi="Times New Roman" w:cs="Times New Roman"/>
          <w:kern w:val="0"/>
          <w:sz w:val="24"/>
          <w:szCs w:val="24"/>
          <w:lang w:eastAsia="en-IN"/>
          <w14:ligatures w14:val="none"/>
        </w:rPr>
        <w:t xml:space="preserve">Currently, Artificial Intelligence technology has significantly improved its application, especially regarding nutritional analysis, nutritional deficiency diagnosis, and personalized nutritional advice. AI technology is capable of </w:t>
      </w:r>
      <w:r w:rsidR="00D30C0A" w:rsidRPr="00732F1D">
        <w:rPr>
          <w:rFonts w:ascii="Times New Roman" w:eastAsia="Times New Roman" w:hAnsi="Times New Roman" w:cs="Times New Roman"/>
          <w:kern w:val="0"/>
          <w:sz w:val="24"/>
          <w:szCs w:val="24"/>
          <w:lang w:eastAsia="en-IN"/>
          <w14:ligatures w14:val="none"/>
        </w:rPr>
        <w:t>analysing</w:t>
      </w:r>
      <w:r w:rsidR="00D30C0A" w:rsidRPr="00732F1D">
        <w:rPr>
          <w:rFonts w:ascii="Times New Roman" w:eastAsia="Times New Roman" w:hAnsi="Times New Roman" w:cs="Times New Roman"/>
          <w:kern w:val="0"/>
          <w:sz w:val="24"/>
          <w:szCs w:val="24"/>
          <w:lang w:eastAsia="en-IN"/>
          <w14:ligatures w14:val="none"/>
        </w:rPr>
        <w:t xml:space="preserve"> vast amounts of data, including medical records, lifestyle factors, and physiological factors, to deliver efficient nutritional services.</w:t>
      </w:r>
    </w:p>
    <w:p w14:paraId="4AF4F383" w14:textId="1B4A8BDB" w:rsidR="001C35C3"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 This technology has been particularly beneficial in providing nutrition advice to people. AI technology has been beneficial in providing nutrition advice to people.</w:t>
      </w:r>
      <w:r w:rsidR="001C35C3" w:rsidRPr="00F42BEC">
        <w:rPr>
          <w:rFonts w:ascii="Times New Roman" w:eastAsia="Times New Roman" w:hAnsi="Times New Roman" w:cs="Times New Roman"/>
          <w:kern w:val="0"/>
          <w:sz w:val="24"/>
          <w:szCs w:val="24"/>
          <w:lang w:eastAsia="en-IN"/>
          <w14:ligatures w14:val="none"/>
        </w:rPr>
        <w:t xml:space="preserve"> This advancement has improved access to dietary guidance, particularly for communities with limited healthcare professional availability (Wang et al., 2025; Agrawal et al., 2025). Despite these benefits, there are still concerns about the reliability and contextual adaptability of AI-generated recommendations.</w:t>
      </w:r>
    </w:p>
    <w:p w14:paraId="322EC6B3" w14:textId="4D784E05" w:rsidR="00051495" w:rsidRPr="00F42BEC" w:rsidRDefault="00051495" w:rsidP="00F42BEC">
      <w:pPr>
        <w:spacing w:after="12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Emergence of AI-Based Personalized Diet Planning</w:t>
      </w:r>
    </w:p>
    <w:p w14:paraId="4789A043" w14:textId="4825BF14" w:rsidR="001C35C3" w:rsidRPr="00F42BEC" w:rsidRDefault="001C35C3"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The field of personalized nutrition has advanced with the incorporation of AI technologies, moving from broad dietary guidelines to tailored recommendations. </w:t>
      </w:r>
      <w:r w:rsidR="00D30C0A" w:rsidRPr="00D30C0A">
        <w:rPr>
          <w:rFonts w:ascii="Times New Roman" w:eastAsia="Times New Roman" w:hAnsi="Times New Roman" w:cs="Times New Roman"/>
          <w:kern w:val="0"/>
          <w:sz w:val="24"/>
          <w:szCs w:val="24"/>
          <w:lang w:eastAsia="en-IN"/>
          <w14:ligatures w14:val="none"/>
        </w:rPr>
        <w:t>AI technology uses machine learning and natural language processing to personalize diet plans based on particular information such as age, gender, health, and dietary interests. The technology is designed to change and adapt through interaction and feedback, making it a dynamic and flexible tool (</w:t>
      </w:r>
      <w:proofErr w:type="spellStart"/>
      <w:r w:rsidR="00D30C0A" w:rsidRPr="00D30C0A">
        <w:rPr>
          <w:rFonts w:ascii="Times New Roman" w:eastAsia="Times New Roman" w:hAnsi="Times New Roman" w:cs="Times New Roman"/>
          <w:kern w:val="0"/>
          <w:sz w:val="24"/>
          <w:szCs w:val="24"/>
          <w:lang w:eastAsia="en-IN"/>
          <w14:ligatures w14:val="none"/>
        </w:rPr>
        <w:t>Aydın</w:t>
      </w:r>
      <w:proofErr w:type="spellEnd"/>
      <w:r w:rsidR="00D30C0A" w:rsidRPr="00D30C0A">
        <w:rPr>
          <w:rFonts w:ascii="Times New Roman" w:eastAsia="Times New Roman" w:hAnsi="Times New Roman" w:cs="Times New Roman"/>
          <w:kern w:val="0"/>
          <w:sz w:val="24"/>
          <w:szCs w:val="24"/>
          <w:lang w:eastAsia="en-IN"/>
          <w14:ligatures w14:val="none"/>
        </w:rPr>
        <w:t xml:space="preserve"> et al., 2025). Nevertheless, studies indicate that although AI technology may promise a streamlined and predictable approach, it may not deliver the same level of personalization as a dietitian (</w:t>
      </w:r>
      <w:proofErr w:type="spellStart"/>
      <w:r w:rsidR="00D30C0A" w:rsidRPr="00D30C0A">
        <w:rPr>
          <w:rFonts w:ascii="Times New Roman" w:eastAsia="Times New Roman" w:hAnsi="Times New Roman" w:cs="Times New Roman"/>
          <w:kern w:val="0"/>
          <w:sz w:val="24"/>
          <w:szCs w:val="24"/>
          <w:lang w:eastAsia="en-IN"/>
          <w14:ligatures w14:val="none"/>
        </w:rPr>
        <w:t>Kaçar</w:t>
      </w:r>
      <w:proofErr w:type="spellEnd"/>
      <w:r w:rsidR="00D30C0A" w:rsidRPr="00D30C0A">
        <w:rPr>
          <w:rFonts w:ascii="Times New Roman" w:eastAsia="Times New Roman" w:hAnsi="Times New Roman" w:cs="Times New Roman"/>
          <w:kern w:val="0"/>
          <w:sz w:val="24"/>
          <w:szCs w:val="24"/>
          <w:lang w:eastAsia="en-IN"/>
          <w14:ligatures w14:val="none"/>
        </w:rPr>
        <w:t xml:space="preserve"> et al., 2025).</w:t>
      </w:r>
    </w:p>
    <w:p w14:paraId="05D5FF03" w14:textId="652E7BAC" w:rsidR="00051495" w:rsidRPr="00F42BEC" w:rsidRDefault="00051495" w:rsidP="00F42BEC">
      <w:pPr>
        <w:spacing w:after="12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Cultural and Emotional Influences on Dietary Behaviour</w:t>
      </w:r>
    </w:p>
    <w:p w14:paraId="6A5C4A84" w14:textId="77777777" w:rsidR="00F42BEC" w:rsidRDefault="001C35C3"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lastRenderedPageBreak/>
        <w:t xml:space="preserve">Dietary choices are </w:t>
      </w:r>
      <w:r w:rsidR="00C4493A" w:rsidRPr="00F42BEC">
        <w:rPr>
          <w:rFonts w:ascii="Times New Roman" w:eastAsia="Times New Roman" w:hAnsi="Times New Roman" w:cs="Times New Roman"/>
          <w:kern w:val="0"/>
          <w:sz w:val="24"/>
          <w:szCs w:val="24"/>
          <w:lang w:eastAsia="en-IN"/>
          <w14:ligatures w14:val="none"/>
        </w:rPr>
        <w:t>very much</w:t>
      </w:r>
      <w:r w:rsidRPr="00F42BEC">
        <w:rPr>
          <w:rFonts w:ascii="Times New Roman" w:eastAsia="Times New Roman" w:hAnsi="Times New Roman" w:cs="Times New Roman"/>
          <w:kern w:val="0"/>
          <w:sz w:val="24"/>
          <w:szCs w:val="24"/>
          <w:lang w:eastAsia="en-IN"/>
          <w14:ligatures w14:val="none"/>
        </w:rPr>
        <w:t xml:space="preserve"> influenced by cultural traditions, social norms, and emotional factors. Food is often linked to cultural identity, religious practices, and family habits, which significantly affect food choices and eating </w:t>
      </w:r>
      <w:r w:rsidR="00C4493A" w:rsidRPr="00F42BEC">
        <w:rPr>
          <w:rFonts w:ascii="Times New Roman" w:eastAsia="Times New Roman" w:hAnsi="Times New Roman" w:cs="Times New Roman"/>
          <w:kern w:val="0"/>
          <w:sz w:val="24"/>
          <w:szCs w:val="24"/>
          <w:lang w:eastAsia="en-IN"/>
          <w14:ligatures w14:val="none"/>
        </w:rPr>
        <w:t>behaviours</w:t>
      </w:r>
      <w:r w:rsidRPr="00F42BEC">
        <w:rPr>
          <w:rFonts w:ascii="Times New Roman" w:eastAsia="Times New Roman" w:hAnsi="Times New Roman" w:cs="Times New Roman"/>
          <w:kern w:val="0"/>
          <w:sz w:val="24"/>
          <w:szCs w:val="24"/>
          <w:lang w:eastAsia="en-IN"/>
          <w14:ligatures w14:val="none"/>
        </w:rPr>
        <w:t xml:space="preserve">. Emotional states such as stress, comfort, and mood changes also impact dietary </w:t>
      </w:r>
      <w:r w:rsidR="00C4493A" w:rsidRPr="00F42BEC">
        <w:rPr>
          <w:rFonts w:ascii="Times New Roman" w:eastAsia="Times New Roman" w:hAnsi="Times New Roman" w:cs="Times New Roman"/>
          <w:kern w:val="0"/>
          <w:sz w:val="24"/>
          <w:szCs w:val="24"/>
          <w:lang w:eastAsia="en-IN"/>
          <w14:ligatures w14:val="none"/>
        </w:rPr>
        <w:t>behaviour</w:t>
      </w:r>
      <w:r w:rsidRPr="00F42BEC">
        <w:rPr>
          <w:rFonts w:ascii="Times New Roman" w:eastAsia="Times New Roman" w:hAnsi="Times New Roman" w:cs="Times New Roman"/>
          <w:kern w:val="0"/>
          <w:sz w:val="24"/>
          <w:szCs w:val="24"/>
          <w:lang w:eastAsia="en-IN"/>
          <w14:ligatures w14:val="none"/>
        </w:rPr>
        <w:t>, often leading to preferences that extend beyond nutritional logic. Effective dietary interventions must therefore consider both objective nutritional needs and subjective human experiences. Studies indicate that neglecting these factors can decrease adherence to dietary plans and negatively affect long-term health outcomes (Mundt et al., 2025).</w:t>
      </w:r>
    </w:p>
    <w:p w14:paraId="374B4089" w14:textId="12BFFD12" w:rsidR="00051495" w:rsidRPr="00F42BEC" w:rsidRDefault="0005149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Importance of Cultural Sensitivity in Nutrition Guidance</w:t>
      </w:r>
    </w:p>
    <w:p w14:paraId="77FD8BB2" w14:textId="77777777" w:rsidR="004F7E7B" w:rsidRDefault="001C35C3"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Cultural sensitivity is vital for ensuring the acceptability and sustainability of dietary recommendations. </w:t>
      </w:r>
      <w:r w:rsidR="004F7E7B" w:rsidRPr="004F7E7B">
        <w:rPr>
          <w:rFonts w:ascii="Times New Roman" w:eastAsia="Times New Roman" w:hAnsi="Times New Roman" w:cs="Times New Roman"/>
          <w:kern w:val="0"/>
          <w:sz w:val="24"/>
          <w:szCs w:val="24"/>
          <w:lang w:eastAsia="en-IN"/>
          <w14:ligatures w14:val="none"/>
        </w:rPr>
        <w:t>Dietitians often use culturally relevant foods, methods of preparation, and eating habits, which can improve compliance with a nutritional program. Conversely, AI may fail to comprehend the cultural and emotional aspects, and this may affect the nutritional advice provided to users. The advice may be impractical and may not match the lifestyle of the users. Thus, cultural competence is important for improving the efficacy and trust in AI (Erik et al., 2025).</w:t>
      </w:r>
    </w:p>
    <w:p w14:paraId="23222DCB" w14:textId="33F92497" w:rsidR="00051495" w:rsidRPr="00F42BEC" w:rsidRDefault="0005149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Economic Considerations in Nutrition Consultation and Digital Health</w:t>
      </w:r>
    </w:p>
    <w:p w14:paraId="7143930B" w14:textId="77777777" w:rsidR="00982F15"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Economic factors also have a major influence on the choice between AI-based applications and traditional dietitian services. Professional dietary services may not be an affordable option for many people. On the contrary, AI-based applications offer a cost-effective and convenient solution for many people. This may not be a good idea for those who need personalized attention and emotional support from a professional expert. </w:t>
      </w:r>
      <w:r w:rsidR="001C35C3" w:rsidRPr="00F42BEC">
        <w:rPr>
          <w:rFonts w:ascii="Times New Roman" w:eastAsia="Times New Roman" w:hAnsi="Times New Roman" w:cs="Times New Roman"/>
          <w:kern w:val="0"/>
          <w:sz w:val="24"/>
          <w:szCs w:val="24"/>
          <w:lang w:eastAsia="en-IN"/>
          <w14:ligatures w14:val="none"/>
        </w:rPr>
        <w:t>Research suggests that cost-effectiveness is a major factor driving the adoption of digital health technologies, including AI-based nutrition platforms (</w:t>
      </w:r>
      <w:proofErr w:type="spellStart"/>
      <w:r w:rsidR="001C35C3" w:rsidRPr="00F42BEC">
        <w:rPr>
          <w:rFonts w:ascii="Times New Roman" w:eastAsia="Times New Roman" w:hAnsi="Times New Roman" w:cs="Times New Roman"/>
          <w:kern w:val="0"/>
          <w:sz w:val="24"/>
          <w:szCs w:val="24"/>
          <w:lang w:eastAsia="en-IN"/>
          <w14:ligatures w14:val="none"/>
        </w:rPr>
        <w:t>Azzimani</w:t>
      </w:r>
      <w:proofErr w:type="spellEnd"/>
      <w:r w:rsidR="001C35C3" w:rsidRPr="00F42BEC">
        <w:rPr>
          <w:rFonts w:ascii="Times New Roman" w:eastAsia="Times New Roman" w:hAnsi="Times New Roman" w:cs="Times New Roman"/>
          <w:kern w:val="0"/>
          <w:sz w:val="24"/>
          <w:szCs w:val="24"/>
          <w:lang w:eastAsia="en-IN"/>
          <w14:ligatures w14:val="none"/>
        </w:rPr>
        <w:t xml:space="preserve"> et al., 2026).</w:t>
      </w:r>
    </w:p>
    <w:p w14:paraId="486D0614" w14:textId="6B2DB9EC" w:rsidR="00982F15" w:rsidRPr="00F42BEC" w:rsidRDefault="00982F1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Research Gap</w:t>
      </w:r>
    </w:p>
    <w:p w14:paraId="221E454E" w14:textId="40E3CC5F" w:rsidR="00672A28" w:rsidRPr="00F42BEC" w:rsidRDefault="00672A28" w:rsidP="004F7E7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Although there is a growing body of research on AI's technological capabilities in healthcare and nutrition, studies that focus on user-</w:t>
      </w:r>
      <w:r w:rsidR="004F7E7B" w:rsidRPr="00F42BEC">
        <w:rPr>
          <w:rFonts w:ascii="Times New Roman" w:eastAsia="Times New Roman" w:hAnsi="Times New Roman" w:cs="Times New Roman"/>
          <w:kern w:val="0"/>
          <w:sz w:val="24"/>
          <w:szCs w:val="24"/>
          <w:lang w:eastAsia="en-IN"/>
          <w14:ligatures w14:val="none"/>
        </w:rPr>
        <w:t>centred</w:t>
      </w:r>
      <w:r w:rsidRPr="00F42BEC">
        <w:rPr>
          <w:rFonts w:ascii="Times New Roman" w:eastAsia="Times New Roman" w:hAnsi="Times New Roman" w:cs="Times New Roman"/>
          <w:kern w:val="0"/>
          <w:sz w:val="24"/>
          <w:szCs w:val="24"/>
          <w:lang w:eastAsia="en-IN"/>
          <w14:ligatures w14:val="none"/>
        </w:rPr>
        <w:t xml:space="preserve"> perspectives, particularly regarding personalization and preferences, are still limited. Most current research emphasizes accuracy and efficiency, </w:t>
      </w:r>
      <w:r w:rsidR="004F7E7B" w:rsidRPr="004F7E7B">
        <w:rPr>
          <w:rFonts w:ascii="Times New Roman" w:eastAsia="Times New Roman" w:hAnsi="Times New Roman" w:cs="Times New Roman"/>
          <w:kern w:val="0"/>
          <w:sz w:val="24"/>
          <w:szCs w:val="24"/>
          <w:lang w:eastAsia="en-IN"/>
          <w14:ligatures w14:val="none"/>
        </w:rPr>
        <w:t xml:space="preserve">focuses on the accuracy and efficiency of the results, while the importance of cultural sensitivity, emotional intelligence, and economic considerations are </w:t>
      </w:r>
      <w:r w:rsidR="004F7E7B">
        <w:rPr>
          <w:rFonts w:ascii="Times New Roman" w:eastAsia="Times New Roman" w:hAnsi="Times New Roman" w:cs="Times New Roman"/>
          <w:kern w:val="0"/>
          <w:sz w:val="24"/>
          <w:szCs w:val="24"/>
          <w:lang w:eastAsia="en-IN"/>
          <w14:ligatures w14:val="none"/>
        </w:rPr>
        <w:t>often ignored</w:t>
      </w:r>
      <w:r w:rsidRPr="00F42BEC">
        <w:rPr>
          <w:rFonts w:ascii="Times New Roman" w:eastAsia="Times New Roman" w:hAnsi="Times New Roman" w:cs="Times New Roman"/>
          <w:kern w:val="0"/>
          <w:sz w:val="24"/>
          <w:szCs w:val="24"/>
          <w:lang w:eastAsia="en-IN"/>
          <w14:ligatures w14:val="none"/>
        </w:rPr>
        <w:t xml:space="preserve">. </w:t>
      </w:r>
      <w:r w:rsidR="004F7E7B" w:rsidRPr="004F7E7B">
        <w:rPr>
          <w:rFonts w:ascii="Times New Roman" w:eastAsia="Times New Roman" w:hAnsi="Times New Roman" w:cs="Times New Roman"/>
          <w:kern w:val="0"/>
          <w:sz w:val="24"/>
          <w:szCs w:val="24"/>
          <w:lang w:eastAsia="en-IN"/>
          <w14:ligatures w14:val="none"/>
        </w:rPr>
        <w:t>Moreover, there is a need to conduct comparative studies in which the perception of the users about the diet plans created by AI is compared to those created by professional dietitians, which is an area of concern that must be addressed in the near future to better understand the user and incorporate the concept of AI in the field of nutrition care.</w:t>
      </w:r>
    </w:p>
    <w:p w14:paraId="7E559254" w14:textId="67218A0F" w:rsidR="00982F15" w:rsidRPr="00F42BEC" w:rsidRDefault="00F42BEC" w:rsidP="00F42BEC">
      <w:pPr>
        <w:spacing w:after="120" w:line="240" w:lineRule="auto"/>
        <w:jc w:val="both"/>
        <w:rPr>
          <w:rFonts w:ascii="Times New Roman" w:eastAsia="Times New Roman" w:hAnsi="Times New Roman" w:cs="Times New Roman"/>
          <w:b/>
          <w:kern w:val="0"/>
          <w:sz w:val="28"/>
          <w:szCs w:val="24"/>
          <w:lang w:eastAsia="en-IN"/>
          <w14:ligatures w14:val="none"/>
        </w:rPr>
      </w:pPr>
      <w:r w:rsidRPr="00F42BEC">
        <w:rPr>
          <w:rFonts w:ascii="Times New Roman" w:eastAsia="Times New Roman" w:hAnsi="Times New Roman" w:cs="Times New Roman"/>
          <w:b/>
          <w:kern w:val="0"/>
          <w:sz w:val="28"/>
          <w:szCs w:val="24"/>
          <w:lang w:eastAsia="en-IN"/>
          <w14:ligatures w14:val="none"/>
        </w:rPr>
        <w:t>OBJECTIVE OF THE STUDY</w:t>
      </w:r>
    </w:p>
    <w:p w14:paraId="33DBAE48" w14:textId="77777777" w:rsidR="00982F15" w:rsidRPr="00F42BEC" w:rsidRDefault="00982F15" w:rsidP="00F42BEC">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To assess the importance of cultural and emotional factors in nutrition choices. </w:t>
      </w:r>
    </w:p>
    <w:p w14:paraId="0DB9CD1C" w14:textId="77777777" w:rsidR="00982F15" w:rsidRPr="00F42BEC" w:rsidRDefault="00982F15" w:rsidP="00F42BEC">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To evaluate comfort with AI-based personalized diet advice. </w:t>
      </w:r>
    </w:p>
    <w:p w14:paraId="2BFE738E" w14:textId="77777777" w:rsidR="00982F15" w:rsidRPr="00F42BEC" w:rsidRDefault="00982F15" w:rsidP="00F42BEC">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To examine AI’s ability to incorporate cultural food preferences. </w:t>
      </w:r>
    </w:p>
    <w:p w14:paraId="5BA3D3E5" w14:textId="77777777" w:rsidR="00982F15" w:rsidRPr="00F42BEC" w:rsidRDefault="00982F15" w:rsidP="00F42BEC">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To compare AI and dietitians in perceived personalization effectiveness. </w:t>
      </w:r>
    </w:p>
    <w:p w14:paraId="3704D2B5" w14:textId="77777777" w:rsidR="00982F15" w:rsidRPr="00F42BEC" w:rsidRDefault="00982F15" w:rsidP="00F42BEC">
      <w:pPr>
        <w:pStyle w:val="ListParagraph"/>
        <w:numPr>
          <w:ilvl w:val="0"/>
          <w:numId w:val="1"/>
        </w:numPr>
        <w:spacing w:after="120" w:line="240" w:lineRule="auto"/>
        <w:jc w:val="both"/>
        <w:rPr>
          <w:rFonts w:ascii="Times New Roman" w:eastAsia="Times New Roman" w:hAnsi="Times New Roman" w:cs="Times New Roman"/>
          <w:b/>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To analyse the influence of cost on user preference.</w:t>
      </w:r>
    </w:p>
    <w:p w14:paraId="4F142D6A" w14:textId="77777777" w:rsidR="00982F15" w:rsidRPr="00F42BEC" w:rsidRDefault="00982F15" w:rsidP="00F42BEC">
      <w:pPr>
        <w:pStyle w:val="ListParagraph"/>
        <w:spacing w:after="120" w:line="240" w:lineRule="auto"/>
        <w:jc w:val="both"/>
        <w:rPr>
          <w:rFonts w:ascii="Times New Roman" w:eastAsia="Times New Roman" w:hAnsi="Times New Roman" w:cs="Times New Roman"/>
          <w:b/>
          <w:kern w:val="0"/>
          <w:sz w:val="24"/>
          <w:szCs w:val="24"/>
          <w:lang w:eastAsia="en-IN"/>
          <w14:ligatures w14:val="none"/>
        </w:rPr>
      </w:pPr>
    </w:p>
    <w:p w14:paraId="541F162C" w14:textId="620C01BC" w:rsidR="00672A28" w:rsidRPr="00F42BEC" w:rsidRDefault="00F42BEC" w:rsidP="00F42BEC">
      <w:pPr>
        <w:spacing w:after="120" w:line="240" w:lineRule="auto"/>
        <w:jc w:val="both"/>
        <w:rPr>
          <w:rFonts w:ascii="Times New Roman" w:eastAsia="Times New Roman" w:hAnsi="Times New Roman" w:cs="Times New Roman"/>
          <w:b/>
          <w:kern w:val="0"/>
          <w:sz w:val="28"/>
          <w:szCs w:val="24"/>
          <w:lang w:eastAsia="en-IN"/>
          <w14:ligatures w14:val="none"/>
        </w:rPr>
      </w:pPr>
      <w:r w:rsidRPr="00F42BEC">
        <w:rPr>
          <w:rFonts w:ascii="Times New Roman" w:eastAsia="Times New Roman" w:hAnsi="Times New Roman" w:cs="Times New Roman"/>
          <w:b/>
          <w:kern w:val="0"/>
          <w:sz w:val="28"/>
          <w:szCs w:val="24"/>
          <w:lang w:eastAsia="en-IN"/>
          <w14:ligatures w14:val="none"/>
        </w:rPr>
        <w:t>REVIEW OF LITERATURE</w:t>
      </w:r>
    </w:p>
    <w:p w14:paraId="47A26795" w14:textId="7E9F9557" w:rsidR="00672A28" w:rsidRPr="00F42BEC" w:rsidRDefault="00672A28" w:rsidP="00F42BEC">
      <w:pPr>
        <w:spacing w:after="120" w:line="240" w:lineRule="auto"/>
        <w:jc w:val="both"/>
        <w:rPr>
          <w:rFonts w:ascii="Times New Roman" w:eastAsia="Times New Roman" w:hAnsi="Times New Roman" w:cs="Times New Roman"/>
          <w:b/>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Artificial Intelligence in Personalized Nutrition</w:t>
      </w:r>
    </w:p>
    <w:p w14:paraId="3C6C918D" w14:textId="181BFA7D"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Artificial Intelligence (AI) </w:t>
      </w:r>
      <w:r w:rsidR="004F7E7B" w:rsidRPr="004F7E7B">
        <w:rPr>
          <w:rFonts w:ascii="Times New Roman" w:eastAsia="Times New Roman" w:hAnsi="Times New Roman" w:cs="Times New Roman"/>
          <w:kern w:val="0"/>
          <w:sz w:val="24"/>
          <w:szCs w:val="24"/>
          <w:lang w:eastAsia="en-IN"/>
          <w14:ligatures w14:val="none"/>
        </w:rPr>
        <w:t>has been playing a revolutionary role in the delivery of personal nutrition</w:t>
      </w:r>
      <w:r w:rsidRPr="00F42BEC">
        <w:rPr>
          <w:rFonts w:ascii="Times New Roman" w:eastAsia="Times New Roman" w:hAnsi="Times New Roman" w:cs="Times New Roman"/>
          <w:kern w:val="0"/>
          <w:sz w:val="24"/>
          <w:szCs w:val="24"/>
          <w:lang w:eastAsia="en-IN"/>
          <w14:ligatures w14:val="none"/>
        </w:rPr>
        <w:t xml:space="preserve">, moving away from generic, one-size-fits-all advice to recommendations tailored to individuals. </w:t>
      </w:r>
      <w:r w:rsidR="004F7E7B" w:rsidRPr="004F7E7B">
        <w:rPr>
          <w:rFonts w:ascii="Times New Roman" w:eastAsia="Times New Roman" w:hAnsi="Times New Roman" w:cs="Times New Roman"/>
          <w:kern w:val="0"/>
          <w:sz w:val="24"/>
          <w:szCs w:val="24"/>
          <w:lang w:eastAsia="en-IN"/>
          <w14:ligatures w14:val="none"/>
        </w:rPr>
        <w:t>AI-based personal nutrition tools use various machine learning technologies and predictive modelling techniques to process massive amounts of data, including health, lifestyle, and behavioural data, and provide users with diets that match their unique profiles. These tools have been shown to be capable of making real-time updates depending on the availability of more information, which could potentially enhance user compliance with nutritional recommendations and promote better health outcomes.</w:t>
      </w:r>
    </w:p>
    <w:p w14:paraId="42ECF912" w14:textId="77777777" w:rsidR="004F7E7B"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Additionally, many AI-assisted nutrition platforms are now incorporated into mobile health apps, providing users with immediate dietary guidance. </w:t>
      </w:r>
      <w:r w:rsidR="004F7E7B" w:rsidRPr="004F7E7B">
        <w:rPr>
          <w:rFonts w:ascii="Times New Roman" w:eastAsia="Times New Roman" w:hAnsi="Times New Roman" w:cs="Times New Roman"/>
          <w:kern w:val="0"/>
          <w:sz w:val="24"/>
          <w:szCs w:val="24"/>
          <w:lang w:eastAsia="en-IN"/>
          <w14:ligatures w14:val="none"/>
        </w:rPr>
        <w:t xml:space="preserve">Nevertheless, factors such as a lack of transparency in AI algorithm functioning, ethical issues, and data privacy concerns have been shown to potentially influence users’ trust and acceptance of AI-assisted personal nutrition tools (Wang et al., 2025; Agrawal et al., 2025). For AI to be effective in personal nutrition, there </w:t>
      </w:r>
      <w:r w:rsidR="004F7E7B" w:rsidRPr="004F7E7B">
        <w:rPr>
          <w:rFonts w:ascii="Times New Roman" w:eastAsia="Times New Roman" w:hAnsi="Times New Roman" w:cs="Times New Roman"/>
          <w:kern w:val="0"/>
          <w:sz w:val="24"/>
          <w:szCs w:val="24"/>
          <w:lang w:eastAsia="en-IN"/>
          <w14:ligatures w14:val="none"/>
        </w:rPr>
        <w:lastRenderedPageBreak/>
        <w:t>needs to be a balance between technological capabilities and considerations that prioritize the needs and interests of the end users.</w:t>
      </w:r>
    </w:p>
    <w:p w14:paraId="47D4CC6B" w14:textId="6AEDE166"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Machine Learning Applications in Diet Planning</w:t>
      </w:r>
    </w:p>
    <w:p w14:paraId="628A1D4D" w14:textId="77777777" w:rsidR="004F7E7B"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Machine learning (ML) has increased the capabilities of AI systems to support individualized diet planning, as it allows them to learn from the user and adapt their recommendations accordingly. </w:t>
      </w:r>
      <w:r w:rsidR="004F7E7B" w:rsidRPr="004F7E7B">
        <w:rPr>
          <w:rFonts w:ascii="Times New Roman" w:eastAsia="Times New Roman" w:hAnsi="Times New Roman" w:cs="Times New Roman"/>
          <w:kern w:val="0"/>
          <w:sz w:val="24"/>
          <w:szCs w:val="24"/>
          <w:lang w:eastAsia="en-IN"/>
          <w14:ligatures w14:val="none"/>
        </w:rPr>
        <w:t>Both supervised and unsupervised learning are used to understand patterns in food intake, predict the risk of nutritional deficiencies, and suggest appropriate changes to diet. Reinforcement learning has also been used to enable the AI system to respond to the user and changing food intake patterns. The AI system can also use wearable device data, such as physical and metabolic activity, to improve accuracy and dynamic nature in diet recommendations. However, these models are largely dependent on the quality, quantity, and variety of data used to train them. If the data is biased or does not adequately represent a population, recommendations may not be accurate or relevant to culturally diverse groups (</w:t>
      </w:r>
      <w:proofErr w:type="spellStart"/>
      <w:r w:rsidR="004F7E7B" w:rsidRPr="004F7E7B">
        <w:rPr>
          <w:rFonts w:ascii="Times New Roman" w:eastAsia="Times New Roman" w:hAnsi="Times New Roman" w:cs="Times New Roman"/>
          <w:kern w:val="0"/>
          <w:sz w:val="24"/>
          <w:szCs w:val="24"/>
          <w:lang w:eastAsia="en-IN"/>
          <w14:ligatures w14:val="none"/>
        </w:rPr>
        <w:t>Aydın</w:t>
      </w:r>
      <w:proofErr w:type="spellEnd"/>
      <w:r w:rsidR="004F7E7B" w:rsidRPr="004F7E7B">
        <w:rPr>
          <w:rFonts w:ascii="Times New Roman" w:eastAsia="Times New Roman" w:hAnsi="Times New Roman" w:cs="Times New Roman"/>
          <w:kern w:val="0"/>
          <w:sz w:val="24"/>
          <w:szCs w:val="24"/>
          <w:lang w:eastAsia="en-IN"/>
          <w14:ligatures w14:val="none"/>
        </w:rPr>
        <w:t xml:space="preserve"> et al., 2025).</w:t>
      </w:r>
    </w:p>
    <w:p w14:paraId="7155AFA2" w14:textId="3127E507"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AI</w:t>
      </w:r>
      <w:r w:rsidRPr="00F42BEC">
        <w:rPr>
          <w:rFonts w:ascii="Times New Roman" w:eastAsia="Times New Roman" w:hAnsi="Times New Roman" w:cs="Times New Roman"/>
          <w:b/>
          <w:bCs/>
          <w:kern w:val="0"/>
          <w:sz w:val="24"/>
          <w:szCs w:val="24"/>
          <w:lang w:eastAsia="en-IN"/>
          <w14:ligatures w14:val="none"/>
        </w:rPr>
        <w:noBreakHyphen/>
        <w:t>Driven Nutrition Recommendation Systems</w:t>
      </w:r>
    </w:p>
    <w:p w14:paraId="7F3FD2DB" w14:textId="77777777"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AI-powered nutrition recommendation systems integrate computational techniques with nutritional science to offer automated dietary advice. These systems often employ hybrid frameworks that merge established nutritional guidelines with machine-learning elements, enabling them to balance scientific principles with personalized, data-driven insights. Natural language processing (NLP) enhances user interaction by enabling conversational interfaces, like chatbots, to assist users with meal planning and dietary inquiries.</w:t>
      </w:r>
    </w:p>
    <w:p w14:paraId="4E89293F" w14:textId="46DCBB7E"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 </w:t>
      </w:r>
      <w:r w:rsidR="004F7E7B" w:rsidRPr="004F7E7B">
        <w:rPr>
          <w:rFonts w:ascii="Times New Roman" w:eastAsia="Times New Roman" w:hAnsi="Times New Roman" w:cs="Times New Roman"/>
          <w:kern w:val="0"/>
          <w:sz w:val="24"/>
          <w:szCs w:val="24"/>
          <w:lang w:eastAsia="en-IN"/>
          <w14:ligatures w14:val="none"/>
        </w:rPr>
        <w:t xml:space="preserve"> Despite being effective and catering to a large number of people, there can be issues with interpreting complex medical conditions and user preferences (</w:t>
      </w:r>
      <w:proofErr w:type="spellStart"/>
      <w:r w:rsidR="004F7E7B" w:rsidRPr="004F7E7B">
        <w:rPr>
          <w:rFonts w:ascii="Times New Roman" w:eastAsia="Times New Roman" w:hAnsi="Times New Roman" w:cs="Times New Roman"/>
          <w:kern w:val="0"/>
          <w:sz w:val="24"/>
          <w:szCs w:val="24"/>
          <w:lang w:eastAsia="en-IN"/>
          <w14:ligatures w14:val="none"/>
        </w:rPr>
        <w:t>Kaçar</w:t>
      </w:r>
      <w:proofErr w:type="spellEnd"/>
      <w:r w:rsidR="004F7E7B" w:rsidRPr="004F7E7B">
        <w:rPr>
          <w:rFonts w:ascii="Times New Roman" w:eastAsia="Times New Roman" w:hAnsi="Times New Roman" w:cs="Times New Roman"/>
          <w:kern w:val="0"/>
          <w:sz w:val="24"/>
          <w:szCs w:val="24"/>
          <w:lang w:eastAsia="en-IN"/>
          <w14:ligatures w14:val="none"/>
        </w:rPr>
        <w:t xml:space="preserve"> et al., 2025). It can be seen that an AI-based diet plan can be effective for providing energy and other requirements but can be deficient in providing taste, cultural importance of food, availability of a particular ingredient to prepare a particular dish, emotional connections with food, etc. This further indicates how human nutritionists can be effective in more complex cases.</w:t>
      </w:r>
    </w:p>
    <w:p w14:paraId="7F00424E" w14:textId="27DAF048"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Cultural and Social Determinants of Food Choice</w:t>
      </w:r>
    </w:p>
    <w:p w14:paraId="47FCA42B" w14:textId="77777777"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Food choices are influenced by a </w:t>
      </w:r>
      <w:r w:rsidR="008E69B6" w:rsidRPr="00F42BEC">
        <w:rPr>
          <w:rFonts w:ascii="Times New Roman" w:eastAsia="Times New Roman" w:hAnsi="Times New Roman" w:cs="Times New Roman"/>
          <w:kern w:val="0"/>
          <w:sz w:val="24"/>
          <w:szCs w:val="24"/>
          <w:lang w:eastAsia="en-IN"/>
          <w14:ligatures w14:val="none"/>
        </w:rPr>
        <w:t>blend</w:t>
      </w:r>
      <w:r w:rsidRPr="00F42BEC">
        <w:rPr>
          <w:rFonts w:ascii="Times New Roman" w:eastAsia="Times New Roman" w:hAnsi="Times New Roman" w:cs="Times New Roman"/>
          <w:kern w:val="0"/>
          <w:sz w:val="24"/>
          <w:szCs w:val="24"/>
          <w:lang w:eastAsia="en-IN"/>
          <w14:ligatures w14:val="none"/>
        </w:rPr>
        <w:t xml:space="preserve"> of cultural, social, environmental, and psychological factors. Cultural norms dictate which foods are deemed acceptable, how they are prepared, and how meals are organized, while family routines and social interactions further shape daily eating habits. These factors significantly impact how well individuals adhere to dietary recommendations and, ultimately, their health. In personalized nutrition, neglecting these aspects can diminish the effectiveness of dietary interventions. Research indicates that recommendations that do not align with an individual's cultural background often result in low adherence and dissatisfaction (Mundt et al., 2025). Therefore, considering cultural and social factors is </w:t>
      </w:r>
      <w:r w:rsidR="008E69B6" w:rsidRPr="00F42BEC">
        <w:rPr>
          <w:rFonts w:ascii="Times New Roman" w:eastAsia="Times New Roman" w:hAnsi="Times New Roman" w:cs="Times New Roman"/>
          <w:kern w:val="0"/>
          <w:sz w:val="24"/>
          <w:szCs w:val="24"/>
          <w:lang w:eastAsia="en-IN"/>
          <w14:ligatures w14:val="none"/>
        </w:rPr>
        <w:t>essential</w:t>
      </w:r>
      <w:r w:rsidRPr="00F42BEC">
        <w:rPr>
          <w:rFonts w:ascii="Times New Roman" w:eastAsia="Times New Roman" w:hAnsi="Times New Roman" w:cs="Times New Roman"/>
          <w:kern w:val="0"/>
          <w:sz w:val="24"/>
          <w:szCs w:val="24"/>
          <w:lang w:eastAsia="en-IN"/>
          <w14:ligatures w14:val="none"/>
        </w:rPr>
        <w:t xml:space="preserve"> for developing nutrition strategies that are both effective and sustainable over the long term. </w:t>
      </w:r>
    </w:p>
    <w:p w14:paraId="4232ECF3" w14:textId="061FB5A6"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Cultural Food Practices and Dietary Patterns</w:t>
      </w:r>
    </w:p>
    <w:p w14:paraId="36B8EC43" w14:textId="77777777" w:rsidR="00672A28"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Cultural food practices are </w:t>
      </w:r>
      <w:r w:rsidR="008E69B6" w:rsidRPr="00F42BEC">
        <w:rPr>
          <w:rFonts w:ascii="Times New Roman" w:eastAsia="Times New Roman" w:hAnsi="Times New Roman" w:cs="Times New Roman"/>
          <w:kern w:val="0"/>
          <w:sz w:val="24"/>
          <w:szCs w:val="24"/>
          <w:lang w:eastAsia="en-IN"/>
          <w14:ligatures w14:val="none"/>
        </w:rPr>
        <w:t>closely associated</w:t>
      </w:r>
      <w:r w:rsidRPr="00F42BEC">
        <w:rPr>
          <w:rFonts w:ascii="Times New Roman" w:eastAsia="Times New Roman" w:hAnsi="Times New Roman" w:cs="Times New Roman"/>
          <w:kern w:val="0"/>
          <w:sz w:val="24"/>
          <w:szCs w:val="24"/>
          <w:lang w:eastAsia="en-IN"/>
          <w14:ligatures w14:val="none"/>
        </w:rPr>
        <w:t xml:space="preserve"> to social norms, religious beliefs, and regional traditions. These practices affect not only the types of foods consumed but also portion sizes, cooking methods, and meal timing. For instance, religiously motivated vegetarianism or fasting during specific observances can significantly influence dietary habits. </w:t>
      </w:r>
    </w:p>
    <w:p w14:paraId="6F4C92D7" w14:textId="77777777" w:rsidR="0071674C" w:rsidRPr="00F42BEC" w:rsidRDefault="00672A28"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Evidence suggests that incorporating familiar, culturally relevant foods into diet plans enhances their acceptability and the likelihood of long-term adherence. Personalized nutrition approaches that ignore these elements may be seen as impractical or overly restrictive. Unless AI systems are specifically trained on diverse cultural-dietary data, they may struggle to achieve the same level of cultural sensitivity (Erik et al., 2025). </w:t>
      </w:r>
    </w:p>
    <w:p w14:paraId="67AA2D67" w14:textId="59982A5A" w:rsidR="0071674C" w:rsidRPr="00F42BEC" w:rsidRDefault="0071674C"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Emotional and Psychological Aspects of Eating Behaviour</w:t>
      </w:r>
    </w:p>
    <w:p w14:paraId="069CA675" w14:textId="77777777" w:rsidR="00F40F9F"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Eating habits are largely affected by emotions and psychological states such as stress levels, anxieties, moods, and experiences of life events. Stress-related eating habits that result from negative emotions may contribute to undesirable dietary habits and health consequences. Motivations, self-confidence in managing one's diet, and the willingness to make changes can influence the ability to adhere to dietary recommendations.</w:t>
      </w:r>
    </w:p>
    <w:p w14:paraId="42AA8868" w14:textId="77777777" w:rsidR="0071674C" w:rsidRPr="00F42BEC" w:rsidRDefault="0071674C"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lastRenderedPageBreak/>
        <w:t xml:space="preserve"> Human dietitians are well-equipped to address these aspects through </w:t>
      </w:r>
      <w:proofErr w:type="spellStart"/>
      <w:r w:rsidRPr="00F42BEC">
        <w:rPr>
          <w:rFonts w:ascii="Times New Roman" w:eastAsia="Times New Roman" w:hAnsi="Times New Roman" w:cs="Times New Roman"/>
          <w:kern w:val="0"/>
          <w:sz w:val="24"/>
          <w:szCs w:val="24"/>
          <w:lang w:eastAsia="en-IN"/>
          <w14:ligatures w14:val="none"/>
        </w:rPr>
        <w:t>counseling</w:t>
      </w:r>
      <w:proofErr w:type="spellEnd"/>
      <w:r w:rsidRPr="00F42BEC">
        <w:rPr>
          <w:rFonts w:ascii="Times New Roman" w:eastAsia="Times New Roman" w:hAnsi="Times New Roman" w:cs="Times New Roman"/>
          <w:kern w:val="0"/>
          <w:sz w:val="24"/>
          <w:szCs w:val="24"/>
          <w:lang w:eastAsia="en-IN"/>
          <w14:ligatures w14:val="none"/>
        </w:rPr>
        <w:t xml:space="preserve"> and </w:t>
      </w:r>
      <w:proofErr w:type="spellStart"/>
      <w:r w:rsidRPr="00F42BEC">
        <w:rPr>
          <w:rFonts w:ascii="Times New Roman" w:eastAsia="Times New Roman" w:hAnsi="Times New Roman" w:cs="Times New Roman"/>
          <w:kern w:val="0"/>
          <w:sz w:val="24"/>
          <w:szCs w:val="24"/>
          <w:lang w:eastAsia="en-IN"/>
          <w14:ligatures w14:val="none"/>
        </w:rPr>
        <w:t>behavioral</w:t>
      </w:r>
      <w:proofErr w:type="spellEnd"/>
      <w:r w:rsidRPr="00F42BEC">
        <w:rPr>
          <w:rFonts w:ascii="Times New Roman" w:eastAsia="Times New Roman" w:hAnsi="Times New Roman" w:cs="Times New Roman"/>
          <w:kern w:val="0"/>
          <w:sz w:val="24"/>
          <w:szCs w:val="24"/>
          <w:lang w:eastAsia="en-IN"/>
          <w14:ligatures w14:val="none"/>
        </w:rPr>
        <w:t xml:space="preserve"> strategies. In contrast, current AI tools have limited ability to interpret emotional signals or respond with genuine empathy. This gap underscores the need to incorporate psychological insights into the design of AI-based nutrition interventions (Mundt et al., 2025). </w:t>
      </w:r>
    </w:p>
    <w:p w14:paraId="233FD693" w14:textId="4A33C932" w:rsidR="0071674C" w:rsidRPr="00F42BEC" w:rsidRDefault="0071674C"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Cultural Competence in Nutrition Counselling</w:t>
      </w:r>
    </w:p>
    <w:p w14:paraId="6317823E" w14:textId="77777777" w:rsidR="0071674C"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Cultural competence plays an essential role in the delivery of effective and equitable nutritional care services. It entails the recognition and appreciation of the cultural philosophies and dietary habits of the patient, as well as the socio-economic circumstances in which the patient lives. Through </w:t>
      </w:r>
      <w:proofErr w:type="gramStart"/>
      <w:r w:rsidRPr="00F42BEC">
        <w:rPr>
          <w:rFonts w:ascii="Times New Roman" w:eastAsia="Times New Roman" w:hAnsi="Times New Roman" w:cs="Times New Roman"/>
          <w:kern w:val="0"/>
          <w:sz w:val="24"/>
          <w:szCs w:val="24"/>
          <w:lang w:eastAsia="en-IN"/>
          <w14:ligatures w14:val="none"/>
        </w:rPr>
        <w:t>cultural</w:t>
      </w:r>
      <w:proofErr w:type="gramEnd"/>
      <w:r w:rsidRPr="00F42BEC">
        <w:rPr>
          <w:rFonts w:ascii="Times New Roman" w:eastAsia="Times New Roman" w:hAnsi="Times New Roman" w:cs="Times New Roman"/>
          <w:kern w:val="0"/>
          <w:sz w:val="24"/>
          <w:szCs w:val="24"/>
          <w:lang w:eastAsia="en-IN"/>
          <w14:ligatures w14:val="none"/>
        </w:rPr>
        <w:t xml:space="preserve"> competent </w:t>
      </w:r>
      <w:proofErr w:type="spellStart"/>
      <w:r w:rsidRPr="00F42BEC">
        <w:rPr>
          <w:rFonts w:ascii="Times New Roman" w:eastAsia="Times New Roman" w:hAnsi="Times New Roman" w:cs="Times New Roman"/>
          <w:kern w:val="0"/>
          <w:sz w:val="24"/>
          <w:szCs w:val="24"/>
          <w:lang w:eastAsia="en-IN"/>
          <w14:ligatures w14:val="none"/>
        </w:rPr>
        <w:t>counseling</w:t>
      </w:r>
      <w:proofErr w:type="spellEnd"/>
      <w:r w:rsidRPr="00F42BEC">
        <w:rPr>
          <w:rFonts w:ascii="Times New Roman" w:eastAsia="Times New Roman" w:hAnsi="Times New Roman" w:cs="Times New Roman"/>
          <w:kern w:val="0"/>
          <w:sz w:val="24"/>
          <w:szCs w:val="24"/>
          <w:lang w:eastAsia="en-IN"/>
          <w14:ligatures w14:val="none"/>
        </w:rPr>
        <w:t>, effective communication and trust are enhanced, leading to compliance with dietary recommendations.</w:t>
      </w:r>
    </w:p>
    <w:p w14:paraId="1E4246E7" w14:textId="77777777" w:rsidR="001F1FBC" w:rsidRDefault="0071674C"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In</w:t>
      </w:r>
      <w:r w:rsidR="008E69B6" w:rsidRPr="00F42BEC">
        <w:rPr>
          <w:rFonts w:ascii="Times New Roman" w:eastAsia="Times New Roman" w:hAnsi="Times New Roman" w:cs="Times New Roman"/>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 xml:space="preserve">diverse societies, the capacity to </w:t>
      </w:r>
      <w:r w:rsidR="00224D4E" w:rsidRPr="00F42BEC">
        <w:rPr>
          <w:rFonts w:ascii="Times New Roman" w:eastAsia="Times New Roman" w:hAnsi="Times New Roman" w:cs="Times New Roman"/>
          <w:kern w:val="0"/>
          <w:sz w:val="24"/>
          <w:szCs w:val="24"/>
          <w:lang w:eastAsia="en-IN"/>
          <w14:ligatures w14:val="none"/>
        </w:rPr>
        <w:t>alter</w:t>
      </w:r>
      <w:r w:rsidRPr="00F42BEC">
        <w:rPr>
          <w:rFonts w:ascii="Times New Roman" w:eastAsia="Times New Roman" w:hAnsi="Times New Roman" w:cs="Times New Roman"/>
          <w:kern w:val="0"/>
          <w:sz w:val="24"/>
          <w:szCs w:val="24"/>
          <w:lang w:eastAsia="en-IN"/>
          <w14:ligatures w14:val="none"/>
        </w:rPr>
        <w:t xml:space="preserve"> recommendations to accommodate various cultural contexts is particularly critical. </w:t>
      </w:r>
      <w:r w:rsidR="001F1FBC" w:rsidRPr="001F1FBC">
        <w:rPr>
          <w:rFonts w:ascii="Times New Roman" w:eastAsia="Times New Roman" w:hAnsi="Times New Roman" w:cs="Times New Roman"/>
          <w:kern w:val="0"/>
          <w:sz w:val="24"/>
          <w:szCs w:val="24"/>
          <w:lang w:eastAsia="en-IN"/>
          <w14:ligatures w14:val="none"/>
        </w:rPr>
        <w:t>While artificial intelligence systems are capable of acquiring some cultural knowledge and competence, the achievement of true cultural competence depends on the level of education and understanding of the situation and the ability of the human being.</w:t>
      </w:r>
    </w:p>
    <w:p w14:paraId="64C146DD" w14:textId="641F4260" w:rsidR="0071674C" w:rsidRPr="00F42BEC" w:rsidRDefault="0071674C"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Role of Dietitians in Cultural Adaptation of Diet Plans</w:t>
      </w:r>
    </w:p>
    <w:p w14:paraId="65C88957" w14:textId="77777777" w:rsidR="003B51AE" w:rsidRPr="00F42BEC" w:rsidRDefault="0071674C" w:rsidP="00F42BEC">
      <w:pPr>
        <w:pStyle w:val="NormalWeb"/>
        <w:jc w:val="both"/>
      </w:pPr>
      <w:r w:rsidRPr="00F42BEC">
        <w:t xml:space="preserve">Dietitians </w:t>
      </w:r>
      <w:r w:rsidR="003B51AE" w:rsidRPr="00F42BEC">
        <w:t xml:space="preserve">play </w:t>
      </w:r>
      <w:r w:rsidRPr="00F42BEC">
        <w:t xml:space="preserve">a pivotal </w:t>
      </w:r>
      <w:r w:rsidR="003B51AE" w:rsidRPr="00F42BEC">
        <w:t>role</w:t>
      </w:r>
      <w:r w:rsidRPr="00F42BEC">
        <w:t xml:space="preserve"> in harmonizing the principles of nutritional science with individuals' quotidian dietary practices. </w:t>
      </w:r>
      <w:r w:rsidR="003B51AE" w:rsidRPr="00F42BEC">
        <w:t>They skilfully translate research-backed recommendations into nutrition plans that are both scientifically accurate and considerate of cultural practices and dietary needs. This may involve adjusting traditional recipes, recommending appropriate ingredient substitutions, and taking socio-economic factors into account.</w:t>
      </w:r>
    </w:p>
    <w:p w14:paraId="5FE6B088" w14:textId="77777777" w:rsidR="001F1FBC" w:rsidRPr="001F1FBC" w:rsidRDefault="001F1FBC" w:rsidP="00F42BEC">
      <w:pPr>
        <w:spacing w:before="100" w:beforeAutospacing="1" w:after="100" w:afterAutospacing="1" w:line="240" w:lineRule="auto"/>
        <w:jc w:val="both"/>
        <w:rPr>
          <w:rFonts w:ascii="Times New Roman" w:hAnsi="Times New Roman" w:cs="Times New Roman"/>
          <w:color w:val="1F2937"/>
          <w:sz w:val="24"/>
          <w:szCs w:val="24"/>
          <w:shd w:val="clear" w:color="auto" w:fill="FFFFFF"/>
        </w:rPr>
      </w:pPr>
      <w:r w:rsidRPr="001F1FBC">
        <w:rPr>
          <w:rFonts w:ascii="Times New Roman" w:hAnsi="Times New Roman" w:cs="Times New Roman"/>
          <w:color w:val="1F2937"/>
          <w:sz w:val="24"/>
          <w:szCs w:val="24"/>
          <w:shd w:val="clear" w:color="auto" w:fill="FFFFFF"/>
        </w:rPr>
        <w:t>In addition, dietitians provide emotional and motivational support and guidance, which are the key components of the required long-term dietary changes. Their conversational skills allow for adjustments in the process that are difficult to capture in their entirety by purely algorithmic models (Erik et al., 2025).</w:t>
      </w:r>
    </w:p>
    <w:p w14:paraId="7AB8C49B" w14:textId="2367CB15" w:rsidR="003B51AE" w:rsidRPr="00F42BEC" w:rsidRDefault="003B51AE"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Limitations of Digital Diet Systems in Cultural Personalization</w:t>
      </w:r>
    </w:p>
    <w:p w14:paraId="1D5B7987" w14:textId="77777777" w:rsidR="00F40F9F" w:rsidRPr="00F42BEC" w:rsidRDefault="00F40F9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Despite these advances, online diet aids are not very effective in offering a real form of cultural customization. This is mainly due to the fact that most online diet aids rely on limited or uniform data sets that do not show the wide variety of worldwide eating habits. This results in recommendations that are broad, culturally inappropriate, or hard to implement for some individuals.</w:t>
      </w:r>
    </w:p>
    <w:p w14:paraId="476D8D78" w14:textId="77777777" w:rsidR="001F1FBC" w:rsidRDefault="001F1FBC" w:rsidP="000C77E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F1FBC">
        <w:rPr>
          <w:rFonts w:ascii="Times New Roman" w:eastAsia="Times New Roman" w:hAnsi="Times New Roman" w:cs="Times New Roman"/>
          <w:kern w:val="0"/>
          <w:sz w:val="24"/>
          <w:szCs w:val="24"/>
          <w:lang w:eastAsia="en-IN"/>
          <w14:ligatures w14:val="none"/>
        </w:rPr>
        <w:t>In addition, the most important aspects, such as family obligations, social obligations, and emotions related to food, are not considered by AI-based nutrition apps. This reduces the contentment and trust levels among the users. The problem can be solved by using diverse data inputs in the development of AI-based diet solutions (</w:t>
      </w:r>
      <w:proofErr w:type="spellStart"/>
      <w:r w:rsidRPr="001F1FBC">
        <w:rPr>
          <w:rFonts w:ascii="Times New Roman" w:eastAsia="Times New Roman" w:hAnsi="Times New Roman" w:cs="Times New Roman"/>
          <w:kern w:val="0"/>
          <w:sz w:val="24"/>
          <w:szCs w:val="24"/>
          <w:lang w:eastAsia="en-IN"/>
          <w14:ligatures w14:val="none"/>
        </w:rPr>
        <w:t>Kaçar</w:t>
      </w:r>
      <w:proofErr w:type="spellEnd"/>
      <w:r w:rsidRPr="001F1FBC">
        <w:rPr>
          <w:rFonts w:ascii="Times New Roman" w:eastAsia="Times New Roman" w:hAnsi="Times New Roman" w:cs="Times New Roman"/>
          <w:kern w:val="0"/>
          <w:sz w:val="24"/>
          <w:szCs w:val="24"/>
          <w:lang w:eastAsia="en-IN"/>
          <w14:ligatures w14:val="none"/>
        </w:rPr>
        <w:t xml:space="preserve"> et al., 2025).</w:t>
      </w:r>
    </w:p>
    <w:p w14:paraId="38669666" w14:textId="59EBD595" w:rsidR="00BB3528" w:rsidRPr="000C77EA" w:rsidRDefault="00BB3528" w:rsidP="000C77EA">
      <w:pPr>
        <w:spacing w:before="100" w:beforeAutospacing="1" w:after="100" w:afterAutospacing="1" w:line="240" w:lineRule="auto"/>
        <w:jc w:val="both"/>
        <w:rPr>
          <w:rFonts w:ascii="Times New Roman" w:eastAsia="Times New Roman" w:hAnsi="Times New Roman" w:cs="Times New Roman"/>
          <w:b/>
          <w:kern w:val="0"/>
          <w:sz w:val="24"/>
          <w:szCs w:val="24"/>
          <w:lang w:eastAsia="en-IN"/>
          <w14:ligatures w14:val="none"/>
        </w:rPr>
      </w:pPr>
      <w:r w:rsidRPr="00F42BEC">
        <w:rPr>
          <w:rFonts w:ascii="Times New Roman" w:hAnsi="Times New Roman" w:cs="Times New Roman"/>
          <w:sz w:val="24"/>
          <w:szCs w:val="24"/>
        </w:rPr>
        <w:t xml:space="preserve"> </w:t>
      </w:r>
      <w:r w:rsidRPr="000C77EA">
        <w:rPr>
          <w:rFonts w:ascii="Times New Roman" w:hAnsi="Times New Roman" w:cs="Times New Roman"/>
          <w:b/>
          <w:sz w:val="24"/>
          <w:szCs w:val="24"/>
        </w:rPr>
        <w:t>Economic Factors in Digital Health Adoption</w:t>
      </w:r>
    </w:p>
    <w:p w14:paraId="52A49DBF" w14:textId="77777777" w:rsidR="00BB3528" w:rsidRPr="00F42BEC" w:rsidRDefault="00BB3528" w:rsidP="00F42BEC">
      <w:pPr>
        <w:pStyle w:val="my-2"/>
        <w:jc w:val="both"/>
      </w:pPr>
      <w:r w:rsidRPr="00F42BEC">
        <w:t>Economic considerations profoundly shape the adoption of digital health innovations. Foremost among these is cost, where AI-powered nutrition applications present economical or gratis alternatives to the higher fees associated with consultations from registered dietitians. This affordability democratizes access, particularly benefiting underserved or budget-conscious populations who might otherwise forgo professional guidance.</w:t>
      </w:r>
    </w:p>
    <w:p w14:paraId="1044884C" w14:textId="77777777" w:rsidR="00A85B7B" w:rsidRPr="00F42BEC" w:rsidRDefault="00BB3528" w:rsidP="00F42BEC">
      <w:pPr>
        <w:pStyle w:val="my-2"/>
        <w:jc w:val="both"/>
      </w:pPr>
      <w:r w:rsidRPr="00F42BEC">
        <w:t xml:space="preserve">Availability further amplifies attractiveness, as these apps supply immediate, on-demand dietary recommendations without scheduling constraints, thereby slashing ancillary expenses like transportation or lost productivity. </w:t>
      </w:r>
      <w:r w:rsidR="00A85B7B" w:rsidRPr="00F42BEC">
        <w:t>Nonetheless, the users critically evaluate the value for money, and the practicality and affordability of AI are major attractions, although there is a level of doubt about the reliability and level of individualization that the service provides when compared to a human-led service.</w:t>
      </w:r>
    </w:p>
    <w:p w14:paraId="302D9245" w14:textId="77777777" w:rsidR="00A85B7B" w:rsidRPr="00F42BEC" w:rsidRDefault="00A85B7B" w:rsidP="00F42BEC">
      <w:pPr>
        <w:pStyle w:val="my-2"/>
        <w:jc w:val="both"/>
      </w:pPr>
      <w:r w:rsidRPr="00F42BEC">
        <w:t>Thus, a practical compromise is reached with the majority favouring the use of AI as a fundamental tool with the expertise of the dietitian to provide effective results.</w:t>
      </w:r>
    </w:p>
    <w:p w14:paraId="5F511F8E" w14:textId="64A0244E" w:rsidR="00BB3528" w:rsidRPr="00F42BEC" w:rsidRDefault="00BB3528" w:rsidP="00F42BEC">
      <w:pPr>
        <w:pStyle w:val="my-2"/>
        <w:jc w:val="both"/>
        <w:rPr>
          <w:b/>
        </w:rPr>
      </w:pPr>
      <w:r w:rsidRPr="00F42BEC">
        <w:rPr>
          <w:b/>
        </w:rPr>
        <w:t xml:space="preserve"> Cost of Professional Nutrition Consultation</w:t>
      </w:r>
    </w:p>
    <w:p w14:paraId="46347728" w14:textId="77777777" w:rsidR="00BB3528" w:rsidRPr="00F42BEC" w:rsidRDefault="00A85B7B" w:rsidP="00F42BEC">
      <w:pPr>
        <w:spacing w:after="0"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lastRenderedPageBreak/>
        <w:t xml:space="preserve">This is mainly because of the specific assessments that are made, constant follow-ups that are conducted, and appropriate guidance that is offered. As a result, consultations with a nutritionist are likely to attract a high price tag; however, these are often beyond the budget constraints or are logistically challenging in resource-scarce settings. </w:t>
      </w:r>
      <w:r w:rsidR="00BB3528" w:rsidRPr="00F42BEC">
        <w:rPr>
          <w:rFonts w:ascii="Times New Roman" w:hAnsi="Times New Roman" w:cs="Times New Roman"/>
          <w:sz w:val="24"/>
          <w:szCs w:val="24"/>
        </w:rPr>
        <w:t>In response, individuals increasingly gravitate toward cost-efficient digital substitutes, notably AI nutrition platforms (</w:t>
      </w:r>
      <w:proofErr w:type="spellStart"/>
      <w:r w:rsidR="00BB3528" w:rsidRPr="00F42BEC">
        <w:rPr>
          <w:rFonts w:ascii="Times New Roman" w:hAnsi="Times New Roman" w:cs="Times New Roman"/>
          <w:sz w:val="24"/>
          <w:szCs w:val="24"/>
        </w:rPr>
        <w:t>Azzimani</w:t>
      </w:r>
      <w:proofErr w:type="spellEnd"/>
      <w:r w:rsidR="00BB3528" w:rsidRPr="00F42BEC">
        <w:rPr>
          <w:rFonts w:ascii="Times New Roman" w:hAnsi="Times New Roman" w:cs="Times New Roman"/>
          <w:sz w:val="24"/>
          <w:szCs w:val="24"/>
        </w:rPr>
        <w:t xml:space="preserve"> et al., 2026).</w:t>
      </w:r>
    </w:p>
    <w:p w14:paraId="65CC1AF0" w14:textId="4D4E6D87" w:rsidR="00BB3528" w:rsidRPr="00F42BEC" w:rsidRDefault="00BB3528" w:rsidP="00F42BEC">
      <w:pPr>
        <w:pStyle w:val="my-2"/>
        <w:jc w:val="both"/>
        <w:rPr>
          <w:b/>
        </w:rPr>
      </w:pPr>
      <w:r w:rsidRPr="00F42BEC">
        <w:rPr>
          <w:b/>
        </w:rPr>
        <w:t xml:space="preserve"> Affordability and Accessibility of AI</w:t>
      </w:r>
      <w:r w:rsidRPr="00F42BEC">
        <w:rPr>
          <w:b/>
        </w:rPr>
        <w:noBreakHyphen/>
        <w:t>Based Health Tools</w:t>
      </w:r>
    </w:p>
    <w:p w14:paraId="6232481F" w14:textId="1F8BDA62" w:rsidR="00BB3528" w:rsidRPr="00F42BEC" w:rsidRDefault="00BB3528" w:rsidP="00F42BEC">
      <w:pPr>
        <w:pStyle w:val="my-2"/>
        <w:jc w:val="both"/>
      </w:pPr>
      <w:r w:rsidRPr="00F42BEC">
        <w:t>AI nutrition solutions excel in affordability and reach relative to traditional face-to-face engagements. Operating via freemium or nominal subscription structures, they penetrate diverse socioeconomic strata. Perpetual accessibility</w:t>
      </w:r>
      <w:r w:rsidR="001F1FBC">
        <w:t xml:space="preserve"> </w:t>
      </w:r>
      <w:r w:rsidRPr="00F42BEC">
        <w:t>unfettered by clinic hours</w:t>
      </w:r>
      <w:r w:rsidR="001F1FBC">
        <w:t xml:space="preserve"> </w:t>
      </w:r>
      <w:r w:rsidRPr="00F42BEC">
        <w:t>propels widespread use.</w:t>
      </w:r>
    </w:p>
    <w:p w14:paraId="3E05AC6C" w14:textId="77777777" w:rsidR="00BB3528" w:rsidRPr="00F42BEC" w:rsidRDefault="00BB3528" w:rsidP="00F42BEC">
      <w:pPr>
        <w:pStyle w:val="my-2"/>
        <w:jc w:val="both"/>
      </w:pPr>
      <w:r w:rsidRPr="00F42BEC">
        <w:t>Affordability alone, however, does not assure efficacy, particularly amid multifaceted health challenges. Certain users derive greater value from interpersonal professional interactions. Thus, synergistic models fusing AI automation with clinician supervision capitalize on technological prowess alongside irreplaceable human discernment (Agrawal et al., 2025).</w:t>
      </w:r>
    </w:p>
    <w:p w14:paraId="7AB478EF" w14:textId="0758387D" w:rsidR="00BB3528" w:rsidRPr="00F42BEC" w:rsidRDefault="00BB3528" w:rsidP="00F42BEC">
      <w:pPr>
        <w:pStyle w:val="my-2"/>
        <w:jc w:val="both"/>
        <w:rPr>
          <w:b/>
        </w:rPr>
      </w:pPr>
      <w:r w:rsidRPr="00F42BEC">
        <w:rPr>
          <w:b/>
        </w:rPr>
        <w:t xml:space="preserve"> User Acceptance of AI</w:t>
      </w:r>
      <w:r w:rsidRPr="00F42BEC">
        <w:rPr>
          <w:b/>
        </w:rPr>
        <w:noBreakHyphen/>
        <w:t>Based Health Technologies</w:t>
      </w:r>
    </w:p>
    <w:p w14:paraId="78905086" w14:textId="77777777" w:rsidR="00BB3528" w:rsidRPr="00F42BEC" w:rsidRDefault="00BB3528" w:rsidP="00F42BEC">
      <w:pPr>
        <w:pStyle w:val="my-2"/>
        <w:jc w:val="both"/>
      </w:pPr>
      <w:r w:rsidRPr="00F42BEC">
        <w:t>Acceptance by users serves as the linchpin for viable deployment and persistence of AI-enhanced health technologies. Multifaceted influences converge here: system trustworthiness, appraised utility, ergonomic design, data security apprehensions, and prospective adverse effects. Engagement flourishes when technologies prove credible, navigable, and substantively beneficial to personal wellness.</w:t>
      </w:r>
    </w:p>
    <w:p w14:paraId="71AA34C2" w14:textId="34181C87" w:rsidR="000C77EA" w:rsidRDefault="00BB3528" w:rsidP="00F42BEC">
      <w:pPr>
        <w:pStyle w:val="my-2"/>
        <w:jc w:val="both"/>
      </w:pPr>
      <w:r w:rsidRPr="00F42BEC">
        <w:t>Explicitness in algorithmic reasoning and robust protocols for data governance are pivotal to cultivating assurance. Comprehending operational mechanics and assured privacy elevates participation propensity. Inversely, algorithmic inscrutability, malfunction anxieties, and excessive automation dependency curtail uptake</w:t>
      </w:r>
      <w:r w:rsidR="001F1FBC">
        <w:t xml:space="preserve"> </w:t>
      </w:r>
      <w:r w:rsidRPr="00F42BEC">
        <w:t xml:space="preserve">acutely so in healthcare arenas where stakes encompass vitality and security (Aydın et al., 2025; </w:t>
      </w:r>
      <w:proofErr w:type="spellStart"/>
      <w:r w:rsidRPr="00F42BEC">
        <w:t>Azzimani</w:t>
      </w:r>
      <w:proofErr w:type="spellEnd"/>
      <w:r w:rsidRPr="00F42BEC">
        <w:t xml:space="preserve"> et al., 2026).</w:t>
      </w:r>
    </w:p>
    <w:p w14:paraId="4008EC33" w14:textId="401B481C" w:rsidR="00BB3528" w:rsidRPr="000C77EA" w:rsidRDefault="00BB3528" w:rsidP="00F42BEC">
      <w:pPr>
        <w:pStyle w:val="my-2"/>
        <w:jc w:val="both"/>
      </w:pPr>
      <w:r w:rsidRPr="00F42BEC">
        <w:rPr>
          <w:b/>
        </w:rPr>
        <w:t xml:space="preserve"> Perceived Effectiveness of AI in Health Recommendations</w:t>
      </w:r>
    </w:p>
    <w:p w14:paraId="315A2E4E" w14:textId="77777777" w:rsidR="00BB3528" w:rsidRPr="00F42BEC" w:rsidRDefault="00BB3528" w:rsidP="00F42BEC">
      <w:pPr>
        <w:pStyle w:val="my-2"/>
        <w:jc w:val="both"/>
      </w:pPr>
      <w:r w:rsidRPr="00F42BEC">
        <w:t>Users' conviction in the potency of AI-derived health counsel decisively sways dependence thereon. Endorsement surges for counsel deemed precise, unwavering, and outcome-oriented, bolstered by expeditious responses, empirical foundations, and adaptive tailoring to user profiles—facilitating seamless integration into lifestyles.</w:t>
      </w:r>
    </w:p>
    <w:p w14:paraId="6BAF2EA4" w14:textId="77777777" w:rsidR="00BB3528" w:rsidRPr="00F42BEC" w:rsidRDefault="00BB3528" w:rsidP="00F42BEC">
      <w:pPr>
        <w:pStyle w:val="my-2"/>
        <w:jc w:val="both"/>
      </w:pPr>
      <w:r w:rsidRPr="00F42BEC">
        <w:t>Full deference wanes, though, confronting chronic pathologies or labyrinthine scenarios, wherein AI falters in parsing intricate narratives, situational nuances, or bespoke inclinations mirroring clinician acumen. Empirical insights affirm appreciation for AI celerity and facility, tempered by predilection for expert arbitration in pivotal, protracted health stewardship (Wang et al., 2025).</w:t>
      </w:r>
    </w:p>
    <w:p w14:paraId="3A9D2E48" w14:textId="77777777" w:rsidR="00BB3528" w:rsidRPr="00F42BEC" w:rsidRDefault="00BB3528" w:rsidP="00F42BEC">
      <w:pPr>
        <w:pStyle w:val="my-2"/>
        <w:jc w:val="both"/>
      </w:pPr>
      <w:r w:rsidRPr="00F42BEC">
        <w:t>Augmenting efficacy perceptions demands refined precision, hyper-personalization, and embedding within expansive care ecosystems incorporating professional validation—thereby mitigating distrust and fortifying endorsement (Agrawal et al., 2025).</w:t>
      </w:r>
    </w:p>
    <w:p w14:paraId="3B055ECB" w14:textId="0728ECDA" w:rsidR="00BB3528" w:rsidRPr="00F42BEC" w:rsidRDefault="00BB3528" w:rsidP="00F42BEC">
      <w:pPr>
        <w:pStyle w:val="my-2"/>
        <w:jc w:val="both"/>
        <w:rPr>
          <w:b/>
        </w:rPr>
      </w:pPr>
      <w:r w:rsidRPr="00F42BEC">
        <w:rPr>
          <w:b/>
        </w:rPr>
        <w:t xml:space="preserve"> Factors Influencing Adoption of AI</w:t>
      </w:r>
      <w:r w:rsidRPr="00F42BEC">
        <w:rPr>
          <w:b/>
        </w:rPr>
        <w:noBreakHyphen/>
        <w:t>Driven Nutrition Tools</w:t>
      </w:r>
    </w:p>
    <w:p w14:paraId="0D127EE6" w14:textId="77777777" w:rsidR="000C77EA" w:rsidRDefault="00BB3528" w:rsidP="000C77EA">
      <w:pPr>
        <w:pStyle w:val="my-2"/>
        <w:jc w:val="both"/>
      </w:pPr>
      <w:r w:rsidRPr="00F42BEC">
        <w:t xml:space="preserve">Uptake of AI nutrition instruments hinges on usability, customization extent, fiscal viability, confidentiality qualms, technological proficiency, societal pressures, and risk evaluations. </w:t>
      </w:r>
      <w:r w:rsidR="00A85B7B" w:rsidRPr="00F42BEC">
        <w:t xml:space="preserve">Empirical support also emphasizes hybrid models, consisting of the interweaving of AI augmentation and practitioner involvement, as facilitators of enhanced assurance and permeation (Aydın et al., 2025; </w:t>
      </w:r>
      <w:proofErr w:type="spellStart"/>
      <w:r w:rsidR="00A85B7B" w:rsidRPr="00F42BEC">
        <w:t>Azzimani</w:t>
      </w:r>
      <w:proofErr w:type="spellEnd"/>
      <w:r w:rsidR="00A85B7B" w:rsidRPr="00F42BEC">
        <w:t xml:space="preserve"> et al., 2026). Such models combine the general accessibility and responsiveness of AI with human expertise. Human beings are especially good at understanding context, creating emotional connections, and using good judgment.</w:t>
      </w:r>
    </w:p>
    <w:p w14:paraId="309BCAA4" w14:textId="686E0DF4" w:rsidR="003969B0" w:rsidRPr="000C77EA" w:rsidRDefault="003969B0" w:rsidP="000C77EA">
      <w:pPr>
        <w:pStyle w:val="my-2"/>
        <w:jc w:val="both"/>
        <w:rPr>
          <w:sz w:val="28"/>
        </w:rPr>
      </w:pPr>
      <w:r w:rsidRPr="000C77EA">
        <w:rPr>
          <w:b/>
          <w:bCs/>
          <w:sz w:val="28"/>
        </w:rPr>
        <w:t>METHODOLOGY:</w:t>
      </w:r>
    </w:p>
    <w:p w14:paraId="63B9B02C" w14:textId="216E4ACB"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Research Design</w:t>
      </w:r>
    </w:p>
    <w:p w14:paraId="044B2C35" w14:textId="77777777" w:rsidR="000C77EA" w:rsidRDefault="003969B0" w:rsidP="000C77EA">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lastRenderedPageBreak/>
        <w:t xml:space="preserve">This study uses an exploratory research design to look at trust and preference between nutrition plans made by AI and those made by dietitians. Exploratory research is good for gaining insights into </w:t>
      </w:r>
      <w:proofErr w:type="spellStart"/>
      <w:proofErr w:type="gramStart"/>
      <w:r w:rsidRPr="00F42BEC">
        <w:rPr>
          <w:rFonts w:ascii="Times New Roman" w:hAnsi="Times New Roman" w:cs="Times New Roman"/>
          <w:sz w:val="24"/>
          <w:szCs w:val="24"/>
        </w:rPr>
        <w:t>peoples</w:t>
      </w:r>
      <w:proofErr w:type="spellEnd"/>
      <w:proofErr w:type="gramEnd"/>
      <w:r w:rsidRPr="00F42BEC">
        <w:rPr>
          <w:rFonts w:ascii="Times New Roman" w:hAnsi="Times New Roman" w:cs="Times New Roman"/>
          <w:sz w:val="24"/>
          <w:szCs w:val="24"/>
        </w:rPr>
        <w:t xml:space="preserve"> perceptions and attitudes. It helps collect information about what people think and identify trends across different groups. This design is suitable for studies that focus on experiences like trust and preference.</w:t>
      </w:r>
    </w:p>
    <w:p w14:paraId="04F28C77" w14:textId="1B9A2A08" w:rsidR="003969B0" w:rsidRPr="000C77EA" w:rsidRDefault="003969B0" w:rsidP="000C77EA">
      <w:pPr>
        <w:spacing w:line="240" w:lineRule="auto"/>
        <w:jc w:val="both"/>
        <w:rPr>
          <w:rFonts w:ascii="Times New Roman" w:hAnsi="Times New Roman" w:cs="Times New Roman"/>
          <w:sz w:val="24"/>
          <w:szCs w:val="24"/>
        </w:rPr>
      </w:pPr>
      <w:r w:rsidRPr="00F42BEC">
        <w:rPr>
          <w:rFonts w:ascii="Times New Roman" w:eastAsia="Times New Roman" w:hAnsi="Times New Roman" w:cs="Times New Roman"/>
          <w:b/>
          <w:bCs/>
          <w:kern w:val="0"/>
          <w:sz w:val="24"/>
          <w:szCs w:val="24"/>
          <w:lang w:eastAsia="en-IN"/>
          <w14:ligatures w14:val="none"/>
        </w:rPr>
        <w:t xml:space="preserve"> Study Population and Sampling Technique</w:t>
      </w:r>
    </w:p>
    <w:p w14:paraId="10DB31BF"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The study includes people of ages and backgrounds such as students, working professionals, homemakers and retired individuals from urban semi-urban and rural areas. Defining the population clearly makes sure the study findings are relevant to the community.</w:t>
      </w:r>
    </w:p>
    <w:p w14:paraId="4410245C" w14:textId="77777777" w:rsidR="003969B0" w:rsidRPr="00F42BEC" w:rsidRDefault="003969B0" w:rsidP="00F42BEC">
      <w:pPr>
        <w:spacing w:line="240" w:lineRule="auto"/>
        <w:jc w:val="both"/>
        <w:rPr>
          <w:rFonts w:ascii="Times New Roman" w:hAnsi="Times New Roman" w:cs="Times New Roman"/>
        </w:rPr>
      </w:pPr>
      <w:r w:rsidRPr="00F42BEC">
        <w:rPr>
          <w:rFonts w:ascii="Times New Roman" w:hAnsi="Times New Roman" w:cs="Times New Roman"/>
          <w:sz w:val="24"/>
          <w:szCs w:val="24"/>
        </w:rPr>
        <w:t>To select participants a simple random sampling method was used. This method gives each person a chance of being included minimizing selection bias and ensuring the sample reflects the populations diversity. This allows for accurate results and reliable analysis of trust and preference patterns</w:t>
      </w:r>
      <w:r w:rsidRPr="00F42BEC">
        <w:rPr>
          <w:rFonts w:ascii="Times New Roman" w:hAnsi="Times New Roman" w:cs="Times New Roman"/>
        </w:rPr>
        <w:t>.</w:t>
      </w:r>
    </w:p>
    <w:p w14:paraId="1D52B9F2" w14:textId="2C2B8FDB"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Sample Size and Participant Characteristics</w:t>
      </w:r>
    </w:p>
    <w:p w14:paraId="6791641F" w14:textId="166312B8"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A total of 126 people </w:t>
      </w:r>
      <w:proofErr w:type="gramStart"/>
      <w:r w:rsidRPr="00F42BEC">
        <w:rPr>
          <w:rFonts w:ascii="Times New Roman" w:hAnsi="Times New Roman" w:cs="Times New Roman"/>
          <w:sz w:val="24"/>
          <w:szCs w:val="24"/>
        </w:rPr>
        <w:t>were</w:t>
      </w:r>
      <w:proofErr w:type="gramEnd"/>
      <w:r w:rsidRPr="00F42BEC">
        <w:rPr>
          <w:rFonts w:ascii="Times New Roman" w:hAnsi="Times New Roman" w:cs="Times New Roman"/>
          <w:sz w:val="24"/>
          <w:szCs w:val="24"/>
        </w:rPr>
        <w:t xml:space="preserve"> approached, with 26 participating in a pilot study. The pilot study helped assess the research instruments</w:t>
      </w:r>
      <w:r w:rsidR="00166A67" w:rsidRPr="00F42BEC">
        <w:rPr>
          <w:rFonts w:ascii="Times New Roman" w:hAnsi="Times New Roman" w:cs="Times New Roman"/>
          <w:sz w:val="24"/>
          <w:szCs w:val="24"/>
        </w:rPr>
        <w:t xml:space="preserve"> </w:t>
      </w:r>
      <w:proofErr w:type="gramStart"/>
      <w:r w:rsidR="00166A67" w:rsidRPr="00F42BEC">
        <w:rPr>
          <w:rFonts w:ascii="Times New Roman" w:hAnsi="Times New Roman" w:cs="Times New Roman"/>
          <w:sz w:val="24"/>
          <w:szCs w:val="24"/>
        </w:rPr>
        <w:t xml:space="preserve">in </w:t>
      </w:r>
      <w:r w:rsidRPr="00F42BEC">
        <w:rPr>
          <w:rFonts w:ascii="Times New Roman" w:hAnsi="Times New Roman" w:cs="Times New Roman"/>
          <w:sz w:val="24"/>
          <w:szCs w:val="24"/>
        </w:rPr>
        <w:t xml:space="preserve"> clarity</w:t>
      </w:r>
      <w:proofErr w:type="gramEnd"/>
      <w:r w:rsidRPr="00F42BEC">
        <w:rPr>
          <w:rFonts w:ascii="Times New Roman" w:hAnsi="Times New Roman" w:cs="Times New Roman"/>
          <w:sz w:val="24"/>
          <w:szCs w:val="24"/>
        </w:rPr>
        <w:t xml:space="preserve"> and reliability. Based on the feedback the questionnaire was refined. Following </w:t>
      </w:r>
      <w:r w:rsidR="00166A67" w:rsidRPr="00F42BEC">
        <w:rPr>
          <w:rFonts w:ascii="Times New Roman" w:hAnsi="Times New Roman" w:cs="Times New Roman"/>
          <w:sz w:val="24"/>
          <w:szCs w:val="24"/>
        </w:rPr>
        <w:t>these 100 participants</w:t>
      </w:r>
      <w:r w:rsidRPr="00F42BEC">
        <w:rPr>
          <w:rFonts w:ascii="Times New Roman" w:hAnsi="Times New Roman" w:cs="Times New Roman"/>
          <w:sz w:val="24"/>
          <w:szCs w:val="24"/>
        </w:rPr>
        <w:t xml:space="preserve"> were included in the study.</w:t>
      </w:r>
    </w:p>
    <w:p w14:paraId="4FBAEA7A"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Participants were categorized by age group, occupation and area of residence. </w:t>
      </w:r>
      <w:proofErr w:type="spellStart"/>
      <w:r w:rsidRPr="00F42BEC">
        <w:rPr>
          <w:rFonts w:ascii="Times New Roman" w:hAnsi="Times New Roman" w:cs="Times New Roman"/>
          <w:sz w:val="24"/>
          <w:szCs w:val="24"/>
        </w:rPr>
        <w:t>Analyzing</w:t>
      </w:r>
      <w:proofErr w:type="spellEnd"/>
      <w:r w:rsidRPr="00F42BEC">
        <w:rPr>
          <w:rFonts w:ascii="Times New Roman" w:hAnsi="Times New Roman" w:cs="Times New Roman"/>
          <w:sz w:val="24"/>
          <w:szCs w:val="24"/>
        </w:rPr>
        <w:t xml:space="preserve"> these characteristics helps examine patterns and variations in trust and preference across groups. This provides insights into how demographic factors influence perceptions of nutrition plans.</w:t>
      </w:r>
    </w:p>
    <w:p w14:paraId="1AAA0892" w14:textId="2018C2B3"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Development of the Research Instrument</w:t>
      </w:r>
    </w:p>
    <w:p w14:paraId="2A41C92D"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A questionnaire was developed to collect data on trust and preference toward AI-generated and dietitian-guided nutrition plans. The questionnaire was constructed based on a review of studies. It includes sections for data and trust and preference measures.</w:t>
      </w:r>
    </w:p>
    <w:p w14:paraId="38CF8895"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The questionnaire uses Likert scale items to quantify participants attitudes. Content validity was established by consulting experts and reliability was tested using Cronbach’s alpha. This process ensured the instrument was both valid and reliable.</w:t>
      </w:r>
    </w:p>
    <w:p w14:paraId="3F6B76FD" w14:textId="09956399"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Data Collection Procedure</w:t>
      </w:r>
    </w:p>
    <w:p w14:paraId="1E985ACE"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Data were collected using Google Forms allowing participants to respond online. Participants were informed about the </w:t>
      </w:r>
      <w:proofErr w:type="spellStart"/>
      <w:r w:rsidRPr="00F42BEC">
        <w:rPr>
          <w:rFonts w:ascii="Times New Roman" w:hAnsi="Times New Roman" w:cs="Times New Roman"/>
          <w:sz w:val="24"/>
          <w:szCs w:val="24"/>
        </w:rPr>
        <w:t>studys</w:t>
      </w:r>
      <w:proofErr w:type="spellEnd"/>
      <w:r w:rsidRPr="00F42BEC">
        <w:rPr>
          <w:rFonts w:ascii="Times New Roman" w:hAnsi="Times New Roman" w:cs="Times New Roman"/>
          <w:sz w:val="24"/>
          <w:szCs w:val="24"/>
        </w:rPr>
        <w:t xml:space="preserve"> purpose, participation and confidentiality. Informed consent was obtained prior to data collection.</w:t>
      </w:r>
    </w:p>
    <w:p w14:paraId="55E04429" w14:textId="77777777"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The pilot study helped </w:t>
      </w:r>
      <w:proofErr w:type="gramStart"/>
      <w:r w:rsidRPr="00F42BEC">
        <w:rPr>
          <w:rFonts w:ascii="Times New Roman" w:hAnsi="Times New Roman" w:cs="Times New Roman"/>
          <w:sz w:val="24"/>
          <w:szCs w:val="24"/>
        </w:rPr>
        <w:t>refine</w:t>
      </w:r>
      <w:proofErr w:type="gramEnd"/>
      <w:r w:rsidRPr="00F42BEC">
        <w:rPr>
          <w:rFonts w:ascii="Times New Roman" w:hAnsi="Times New Roman" w:cs="Times New Roman"/>
          <w:sz w:val="24"/>
          <w:szCs w:val="24"/>
        </w:rPr>
        <w:t xml:space="preserve"> the questionnaire. After finalizing the </w:t>
      </w:r>
      <w:proofErr w:type="gramStart"/>
      <w:r w:rsidRPr="00F42BEC">
        <w:rPr>
          <w:rFonts w:ascii="Times New Roman" w:hAnsi="Times New Roman" w:cs="Times New Roman"/>
          <w:sz w:val="24"/>
          <w:szCs w:val="24"/>
        </w:rPr>
        <w:t>instrument</w:t>
      </w:r>
      <w:proofErr w:type="gramEnd"/>
      <w:r w:rsidRPr="00F42BEC">
        <w:rPr>
          <w:rFonts w:ascii="Times New Roman" w:hAnsi="Times New Roman" w:cs="Times New Roman"/>
          <w:sz w:val="24"/>
          <w:szCs w:val="24"/>
        </w:rPr>
        <w:t xml:space="preserve"> it was administered to 100 participants for the study. Participants were provided with instructions and responses were reviewed for completeness.</w:t>
      </w:r>
    </w:p>
    <w:p w14:paraId="51A463D9" w14:textId="7FBD643A"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Statistical Tools Used for Analysis</w:t>
      </w:r>
    </w:p>
    <w:p w14:paraId="2A976D5A" w14:textId="7777777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 collected data were analyzed using both descriptive and inferential statistical methods to identify trends and test relationships.</w:t>
      </w:r>
    </w:p>
    <w:p w14:paraId="0E4AD04B" w14:textId="5EE50E93"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Descriptive Statistical Analysis</w:t>
      </w:r>
    </w:p>
    <w:p w14:paraId="6725825E" w14:textId="7777777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Descriptive statistics, including frequency, percentage, mean, and standard deviation, were used to summarize demographic data and participants’ responses on trust and preference. This provided an overall understanding of patterns and tendencies within the data.</w:t>
      </w:r>
    </w:p>
    <w:p w14:paraId="25074809" w14:textId="40E213D1"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Spearman Rank Correlation Analysis</w:t>
      </w:r>
    </w:p>
    <w:p w14:paraId="23634CB9" w14:textId="7777777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 Spearman rank correlation was applied to evaluate associations between ordinal variables, such as participants’ demographic characteristics and their levels of trust or preference. This non-parametric method is suitable for data that may not follow a normal distribution and helps identify relationships between variables.</w:t>
      </w:r>
    </w:p>
    <w:p w14:paraId="33832BAD" w14:textId="7B7623B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lastRenderedPageBreak/>
        <w:t xml:space="preserve"> One-Way ANOVA</w:t>
      </w:r>
    </w:p>
    <w:p w14:paraId="4A2F56DA" w14:textId="7777777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One-Way Analysis of Variance (ANOVA) was used to compare mean trust and preference scores across different demographic groups, such as age, occupation, and area of residence. ANOVA enabled the identification of statistically significant differences between groups, providing insights into factors influencing participants’ perceptions of AI-generated versus dietitian-guided nutrition plans.</w:t>
      </w:r>
    </w:p>
    <w:p w14:paraId="3CD0B4D7" w14:textId="77777777" w:rsidR="000C77EA" w:rsidRDefault="003969B0" w:rsidP="00F42BEC">
      <w:pPr>
        <w:spacing w:before="100" w:beforeAutospacing="1" w:after="100" w:afterAutospacing="1" w:line="240" w:lineRule="auto"/>
        <w:jc w:val="both"/>
        <w:rPr>
          <w:rFonts w:ascii="Times New Roman" w:eastAsia="Times New Roman" w:hAnsi="Times New Roman" w:cs="Times New Roman"/>
          <w:kern w:val="0"/>
          <w:sz w:val="28"/>
          <w:szCs w:val="24"/>
          <w:lang w:eastAsia="en-IN"/>
          <w14:ligatures w14:val="none"/>
        </w:rPr>
      </w:pPr>
      <w:r w:rsidRPr="000C77EA">
        <w:rPr>
          <w:rFonts w:ascii="Times New Roman" w:eastAsia="Times New Roman" w:hAnsi="Times New Roman" w:cs="Times New Roman"/>
          <w:b/>
          <w:bCs/>
          <w:kern w:val="0"/>
          <w:sz w:val="28"/>
          <w:szCs w:val="24"/>
          <w:lang w:eastAsia="en-IN"/>
          <w14:ligatures w14:val="none"/>
        </w:rPr>
        <w:t>RESULTS</w:t>
      </w:r>
      <w:r w:rsidR="000C77EA">
        <w:rPr>
          <w:rFonts w:ascii="Times New Roman" w:eastAsia="Times New Roman" w:hAnsi="Times New Roman" w:cs="Times New Roman"/>
          <w:kern w:val="0"/>
          <w:sz w:val="28"/>
          <w:szCs w:val="24"/>
          <w:lang w:eastAsia="en-IN"/>
          <w14:ligatures w14:val="none"/>
        </w:rPr>
        <w:t>:</w:t>
      </w:r>
    </w:p>
    <w:p w14:paraId="30CFA495" w14:textId="22EEC38D" w:rsidR="003969B0" w:rsidRPr="000C77EA" w:rsidRDefault="003969B0" w:rsidP="00F42BEC">
      <w:pPr>
        <w:spacing w:before="100" w:beforeAutospacing="1" w:after="100" w:afterAutospacing="1" w:line="240" w:lineRule="auto"/>
        <w:jc w:val="both"/>
        <w:rPr>
          <w:rFonts w:ascii="Times New Roman" w:eastAsia="Times New Roman" w:hAnsi="Times New Roman" w:cs="Times New Roman"/>
          <w:kern w:val="0"/>
          <w:sz w:val="28"/>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Demographic Profile of Respondents</w:t>
      </w:r>
    </w:p>
    <w:p w14:paraId="325D9D6A" w14:textId="1008404F" w:rsidR="003969B0" w:rsidRPr="00F42BEC" w:rsidRDefault="003969B0" w:rsidP="00F42BEC">
      <w:pPr>
        <w:spacing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Age Distribution</w:t>
      </w:r>
    </w:p>
    <w:tbl>
      <w:tblPr>
        <w:tblStyle w:val="GridTable6Colorful-Accent2"/>
        <w:tblW w:w="0" w:type="auto"/>
        <w:tblLook w:val="04A0" w:firstRow="1" w:lastRow="0" w:firstColumn="1" w:lastColumn="0" w:noHBand="0" w:noVBand="1"/>
      </w:tblPr>
      <w:tblGrid>
        <w:gridCol w:w="3005"/>
        <w:gridCol w:w="3005"/>
        <w:gridCol w:w="3006"/>
      </w:tblGrid>
      <w:tr w:rsidR="003969B0" w:rsidRPr="00F42BEC" w14:paraId="58A548F0"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97D64FE" w14:textId="77777777" w:rsidR="003969B0" w:rsidRPr="00F42BEC" w:rsidRDefault="003969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rPr>
              <w:t>PARTICULARS</w:t>
            </w:r>
          </w:p>
        </w:tc>
        <w:tc>
          <w:tcPr>
            <w:tcW w:w="3005" w:type="dxa"/>
          </w:tcPr>
          <w:p w14:paraId="5A9862D3"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rPr>
              <w:t>NO. OF RESPONDENTS</w:t>
            </w:r>
          </w:p>
        </w:tc>
        <w:tc>
          <w:tcPr>
            <w:tcW w:w="3006" w:type="dxa"/>
          </w:tcPr>
          <w:p w14:paraId="231430EA"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rPr>
              <w:t>PERCENTAGE</w:t>
            </w:r>
          </w:p>
        </w:tc>
      </w:tr>
      <w:tr w:rsidR="003969B0" w:rsidRPr="00F42BEC" w14:paraId="7657B7AA"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7EC0769"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t>16-18</w:t>
            </w:r>
          </w:p>
        </w:tc>
        <w:tc>
          <w:tcPr>
            <w:tcW w:w="3005" w:type="dxa"/>
          </w:tcPr>
          <w:p w14:paraId="14E53A63"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34</w:t>
            </w:r>
          </w:p>
        </w:tc>
        <w:tc>
          <w:tcPr>
            <w:tcW w:w="3006" w:type="dxa"/>
          </w:tcPr>
          <w:p w14:paraId="38FDA961"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27%</w:t>
            </w:r>
          </w:p>
        </w:tc>
      </w:tr>
      <w:tr w:rsidR="003969B0" w:rsidRPr="00F42BEC" w14:paraId="3EACDF1B"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1E2DF543"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t>19-24</w:t>
            </w:r>
          </w:p>
        </w:tc>
        <w:tc>
          <w:tcPr>
            <w:tcW w:w="3005" w:type="dxa"/>
          </w:tcPr>
          <w:p w14:paraId="6426D298"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74</w:t>
            </w:r>
          </w:p>
        </w:tc>
        <w:tc>
          <w:tcPr>
            <w:tcW w:w="3006" w:type="dxa"/>
          </w:tcPr>
          <w:p w14:paraId="406A0775"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59%</w:t>
            </w:r>
          </w:p>
        </w:tc>
      </w:tr>
      <w:tr w:rsidR="003969B0" w:rsidRPr="00F42BEC" w14:paraId="0AA0A370"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8F7F337"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t>25-34</w:t>
            </w:r>
          </w:p>
        </w:tc>
        <w:tc>
          <w:tcPr>
            <w:tcW w:w="3005" w:type="dxa"/>
          </w:tcPr>
          <w:p w14:paraId="2B3A47BE"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6</w:t>
            </w:r>
          </w:p>
        </w:tc>
        <w:tc>
          <w:tcPr>
            <w:tcW w:w="3006" w:type="dxa"/>
          </w:tcPr>
          <w:p w14:paraId="75DF17CA"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5%</w:t>
            </w:r>
          </w:p>
        </w:tc>
      </w:tr>
      <w:tr w:rsidR="003969B0" w:rsidRPr="00F42BEC" w14:paraId="5B000B62"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4FAAA753"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t>35-44</w:t>
            </w:r>
          </w:p>
        </w:tc>
        <w:tc>
          <w:tcPr>
            <w:tcW w:w="3005" w:type="dxa"/>
          </w:tcPr>
          <w:p w14:paraId="60E1F85D"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0</w:t>
            </w:r>
          </w:p>
        </w:tc>
        <w:tc>
          <w:tcPr>
            <w:tcW w:w="3006" w:type="dxa"/>
          </w:tcPr>
          <w:p w14:paraId="5801E020"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0%</w:t>
            </w:r>
          </w:p>
        </w:tc>
      </w:tr>
      <w:tr w:rsidR="003969B0" w:rsidRPr="00F42BEC" w14:paraId="0B8E1C01"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BC18DB0"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t>45-54</w:t>
            </w:r>
          </w:p>
        </w:tc>
        <w:tc>
          <w:tcPr>
            <w:tcW w:w="3005" w:type="dxa"/>
          </w:tcPr>
          <w:p w14:paraId="3B655FAC"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9</w:t>
            </w:r>
          </w:p>
        </w:tc>
        <w:tc>
          <w:tcPr>
            <w:tcW w:w="3006" w:type="dxa"/>
          </w:tcPr>
          <w:p w14:paraId="3B140EF2"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7%</w:t>
            </w:r>
          </w:p>
        </w:tc>
      </w:tr>
      <w:tr w:rsidR="003969B0" w:rsidRPr="00F42BEC" w14:paraId="01B4864C"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65D50DC8"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color w:val="000000" w:themeColor="text1"/>
                <w:kern w:val="0"/>
                <w:sz w:val="24"/>
                <w:szCs w:val="24"/>
                <w:lang w:eastAsia="en-IN"/>
                <w14:ligatures w14:val="none"/>
              </w:rPr>
            </w:pPr>
            <w:r w:rsidRPr="00F42BEC">
              <w:rPr>
                <w:rFonts w:ascii="Times New Roman" w:hAnsi="Times New Roman" w:cs="Times New Roman"/>
                <w:b w:val="0"/>
                <w:bCs w:val="0"/>
                <w:color w:val="000000" w:themeColor="text1"/>
                <w:sz w:val="28"/>
                <w:szCs w:val="28"/>
                <w:lang w:eastAsia="en-IN"/>
              </w:rPr>
              <w:t>55+</w:t>
            </w:r>
          </w:p>
        </w:tc>
        <w:tc>
          <w:tcPr>
            <w:tcW w:w="3005" w:type="dxa"/>
          </w:tcPr>
          <w:p w14:paraId="397E8D12"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3</w:t>
            </w:r>
          </w:p>
        </w:tc>
        <w:tc>
          <w:tcPr>
            <w:tcW w:w="3006" w:type="dxa"/>
          </w:tcPr>
          <w:p w14:paraId="46F6B618"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2%</w:t>
            </w:r>
          </w:p>
        </w:tc>
      </w:tr>
      <w:tr w:rsidR="003969B0" w:rsidRPr="00F42BEC" w14:paraId="63A6B736"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590C158" w14:textId="77777777" w:rsidR="003969B0" w:rsidRPr="00F42BEC" w:rsidRDefault="003969B0" w:rsidP="00F42BEC">
            <w:pPr>
              <w:spacing w:before="100" w:beforeAutospacing="1" w:after="100" w:afterAutospacing="1"/>
              <w:jc w:val="both"/>
              <w:rPr>
                <w:rFonts w:ascii="Times New Roman" w:eastAsia="Times New Roman" w:hAnsi="Times New Roman" w:cs="Times New Roman"/>
                <w:color w:val="000000" w:themeColor="text1"/>
                <w:kern w:val="0"/>
                <w:sz w:val="24"/>
                <w:szCs w:val="24"/>
                <w:lang w:eastAsia="en-IN"/>
                <w14:ligatures w14:val="none"/>
              </w:rPr>
            </w:pPr>
            <w:r w:rsidRPr="00F42BEC">
              <w:rPr>
                <w:rFonts w:ascii="Times New Roman" w:hAnsi="Times New Roman" w:cs="Times New Roman"/>
                <w:color w:val="000000" w:themeColor="text1"/>
                <w:sz w:val="28"/>
                <w:szCs w:val="28"/>
                <w:lang w:eastAsia="en-IN"/>
              </w:rPr>
              <w:t>TOTAL</w:t>
            </w:r>
          </w:p>
        </w:tc>
        <w:tc>
          <w:tcPr>
            <w:tcW w:w="3005" w:type="dxa"/>
          </w:tcPr>
          <w:p w14:paraId="1D55F523"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rPr>
              <w:t>126</w:t>
            </w:r>
          </w:p>
        </w:tc>
        <w:tc>
          <w:tcPr>
            <w:tcW w:w="3006" w:type="dxa"/>
          </w:tcPr>
          <w:p w14:paraId="05A9F19D"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rPr>
              <w:t>100%</w:t>
            </w:r>
          </w:p>
        </w:tc>
      </w:tr>
    </w:tbl>
    <w:p w14:paraId="01507DF9" w14:textId="77777777" w:rsidR="003969B0" w:rsidRPr="00F42BEC" w:rsidRDefault="003969B0" w:rsidP="00F42BEC">
      <w:pPr>
        <w:spacing w:line="240" w:lineRule="auto"/>
        <w:jc w:val="both"/>
        <w:rPr>
          <w:rFonts w:ascii="Times New Roman" w:hAnsi="Times New Roman" w:cs="Times New Roman"/>
        </w:rPr>
      </w:pPr>
    </w:p>
    <w:p w14:paraId="21447122" w14:textId="53A1CD5E" w:rsidR="003969B0" w:rsidRPr="00F42BEC" w:rsidRDefault="003969B0" w:rsidP="00F42BEC">
      <w:pPr>
        <w:spacing w:line="240" w:lineRule="auto"/>
        <w:jc w:val="both"/>
        <w:rPr>
          <w:rFonts w:ascii="Times New Roman" w:hAnsi="Times New Roman" w:cs="Times New Roman"/>
        </w:rPr>
      </w:pPr>
      <w:r w:rsidRPr="00F42BEC">
        <w:rPr>
          <w:rFonts w:ascii="Times New Roman" w:hAnsi="Times New Roman" w:cs="Times New Roman"/>
          <w:noProof/>
        </w:rPr>
        <w:drawing>
          <wp:inline distT="0" distB="0" distL="0" distR="0" wp14:anchorId="5BFD16A7" wp14:editId="175AE63A">
            <wp:extent cx="3200400" cy="2413635"/>
            <wp:effectExtent l="0" t="0" r="0" b="5715"/>
            <wp:docPr id="939756877"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1D2966" w14:textId="77777777" w:rsidR="003969B0" w:rsidRPr="00F42BEC" w:rsidRDefault="003969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w:t>
      </w:r>
    </w:p>
    <w:p w14:paraId="6A2ECEF0" w14:textId="56E269C9" w:rsidR="003969B0" w:rsidRPr="00F42BEC" w:rsidRDefault="003969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Most of the people who answered the questions were between 19 and 24 years old. These people are adults who know a lot about digital technologies and artificial intelligence tools. Since they have grown up with all these technologies they are very comfortable trying out new things in many areas including taking care of their health and what they eat. Because they know much about </w:t>
      </w:r>
      <w:r w:rsidR="004F4ED4" w:rsidRPr="00F42BEC">
        <w:rPr>
          <w:rFonts w:ascii="Times New Roman" w:hAnsi="Times New Roman" w:cs="Times New Roman"/>
          <w:sz w:val="24"/>
          <w:szCs w:val="24"/>
        </w:rPr>
        <w:t>technology,</w:t>
      </w:r>
      <w:r w:rsidRPr="00F42BEC">
        <w:rPr>
          <w:rFonts w:ascii="Times New Roman" w:hAnsi="Times New Roman" w:cs="Times New Roman"/>
          <w:sz w:val="24"/>
          <w:szCs w:val="24"/>
        </w:rPr>
        <w:t xml:space="preserve"> they are more likely to trust and use artificial intelligence to help them make nutrition plans. </w:t>
      </w:r>
    </w:p>
    <w:p w14:paraId="1FD8428F" w14:textId="76F50B00" w:rsidR="0071674C"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Gender Distribution</w:t>
      </w:r>
    </w:p>
    <w:tbl>
      <w:tblPr>
        <w:tblStyle w:val="GridTable6Colorful-Accent2"/>
        <w:tblW w:w="0" w:type="auto"/>
        <w:tblLook w:val="04A0" w:firstRow="1" w:lastRow="0" w:firstColumn="1" w:lastColumn="0" w:noHBand="0" w:noVBand="1"/>
      </w:tblPr>
      <w:tblGrid>
        <w:gridCol w:w="3005"/>
        <w:gridCol w:w="3005"/>
        <w:gridCol w:w="3006"/>
      </w:tblGrid>
      <w:tr w:rsidR="003969B0" w:rsidRPr="00F42BEC" w14:paraId="07C8262F"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315086C"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rPr>
              <w:t>PARTICULARS</w:t>
            </w:r>
          </w:p>
        </w:tc>
        <w:tc>
          <w:tcPr>
            <w:tcW w:w="3005" w:type="dxa"/>
          </w:tcPr>
          <w:p w14:paraId="68F10AD9"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rPr>
              <w:t>NO. OF RESPONDENTS</w:t>
            </w:r>
          </w:p>
        </w:tc>
        <w:tc>
          <w:tcPr>
            <w:tcW w:w="3006" w:type="dxa"/>
          </w:tcPr>
          <w:p w14:paraId="023A0B17"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rPr>
              <w:t>PERCENTAGE</w:t>
            </w:r>
          </w:p>
        </w:tc>
      </w:tr>
      <w:tr w:rsidR="003969B0" w:rsidRPr="00F42BEC" w14:paraId="26A3C36B"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46D8EBA"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rPr>
              <w:t>MALE</w:t>
            </w:r>
          </w:p>
        </w:tc>
        <w:tc>
          <w:tcPr>
            <w:tcW w:w="3005" w:type="dxa"/>
          </w:tcPr>
          <w:p w14:paraId="1A094224"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29</w:t>
            </w:r>
          </w:p>
        </w:tc>
        <w:tc>
          <w:tcPr>
            <w:tcW w:w="3006" w:type="dxa"/>
          </w:tcPr>
          <w:p w14:paraId="703B1BBB"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23%</w:t>
            </w:r>
          </w:p>
        </w:tc>
      </w:tr>
      <w:tr w:rsidR="003969B0" w:rsidRPr="00F42BEC" w14:paraId="3A11E6E2"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738CA015"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rPr>
              <w:t>FEMALE</w:t>
            </w:r>
          </w:p>
        </w:tc>
        <w:tc>
          <w:tcPr>
            <w:tcW w:w="3005" w:type="dxa"/>
          </w:tcPr>
          <w:p w14:paraId="74E63904"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97</w:t>
            </w:r>
          </w:p>
        </w:tc>
        <w:tc>
          <w:tcPr>
            <w:tcW w:w="3006" w:type="dxa"/>
          </w:tcPr>
          <w:p w14:paraId="3F26442A"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77%</w:t>
            </w:r>
          </w:p>
        </w:tc>
      </w:tr>
      <w:tr w:rsidR="003969B0" w:rsidRPr="00F42BEC" w14:paraId="027A6702"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BD34DF5"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8"/>
                <w:szCs w:val="28"/>
              </w:rPr>
              <w:t>TOTAL</w:t>
            </w:r>
          </w:p>
        </w:tc>
        <w:tc>
          <w:tcPr>
            <w:tcW w:w="3005" w:type="dxa"/>
          </w:tcPr>
          <w:p w14:paraId="54629262"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126</w:t>
            </w:r>
          </w:p>
        </w:tc>
        <w:tc>
          <w:tcPr>
            <w:tcW w:w="3006" w:type="dxa"/>
          </w:tcPr>
          <w:p w14:paraId="6496A665"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100%</w:t>
            </w:r>
          </w:p>
        </w:tc>
      </w:tr>
    </w:tbl>
    <w:p w14:paraId="3791A5BE" w14:textId="77777777" w:rsidR="003969B0" w:rsidRPr="00F42BEC" w:rsidRDefault="003969B0" w:rsidP="00F42BEC">
      <w:pPr>
        <w:spacing w:line="240" w:lineRule="auto"/>
        <w:jc w:val="both"/>
        <w:rPr>
          <w:rFonts w:ascii="Times New Roman" w:hAnsi="Times New Roman" w:cs="Times New Roman"/>
        </w:rPr>
      </w:pPr>
    </w:p>
    <w:p w14:paraId="0649DD7A" w14:textId="0B7F8EB0" w:rsidR="003969B0" w:rsidRPr="00F42BEC" w:rsidRDefault="003969B0" w:rsidP="00F42BEC">
      <w:pPr>
        <w:spacing w:line="240" w:lineRule="auto"/>
        <w:jc w:val="both"/>
        <w:rPr>
          <w:rFonts w:ascii="Times New Roman" w:hAnsi="Times New Roman" w:cs="Times New Roman"/>
        </w:rPr>
      </w:pPr>
      <w:r w:rsidRPr="00F42BEC">
        <w:rPr>
          <w:rFonts w:ascii="Times New Roman" w:hAnsi="Times New Roman" w:cs="Times New Roman"/>
          <w:noProof/>
        </w:rPr>
        <w:lastRenderedPageBreak/>
        <w:drawing>
          <wp:inline distT="0" distB="0" distL="0" distR="0" wp14:anchorId="6A93CF3E" wp14:editId="438279D4">
            <wp:extent cx="3192780" cy="2261235"/>
            <wp:effectExtent l="0" t="0" r="7620" b="5715"/>
            <wp:docPr id="684041780"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A86122" w14:textId="0710CAB3" w:rsidR="003969B0"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w:t>
      </w:r>
      <w:r w:rsidR="003969B0" w:rsidRPr="00F42BEC">
        <w:rPr>
          <w:rFonts w:ascii="Times New Roman" w:hAnsi="Times New Roman" w:cs="Times New Roman"/>
          <w:b/>
          <w:bCs/>
          <w:sz w:val="24"/>
          <w:szCs w:val="24"/>
        </w:rPr>
        <w:t>NTERPRETATIONS:</w:t>
      </w:r>
    </w:p>
    <w:p w14:paraId="3DA3072E" w14:textId="77777777" w:rsidR="003969B0" w:rsidRPr="00F42BEC" w:rsidRDefault="003969B0" w:rsidP="00F42BEC">
      <w:pPr>
        <w:spacing w:line="240" w:lineRule="auto"/>
        <w:jc w:val="both"/>
        <w:rPr>
          <w:rFonts w:ascii="Times New Roman" w:hAnsi="Times New Roman" w:cs="Times New Roman"/>
        </w:rPr>
      </w:pPr>
      <w:r w:rsidRPr="00F42BEC">
        <w:rPr>
          <w:rFonts w:ascii="Times New Roman" w:hAnsi="Times New Roman" w:cs="Times New Roman"/>
          <w:sz w:val="24"/>
          <w:szCs w:val="24"/>
        </w:rPr>
        <w:t>The people in the sample were mostly women, which's likely because women usually care more about things like food and health. Women often decide what food to buy and what meals to make for their families. They think about what's good for their families to eat and what is not. Because women are so involved in these kinds of decisions they tend to know more about the food they eat. They care more about getting good advice on what to eat. This means that what women think about nutrition plans is very important. We want to know if women trust plans made by computers or plans made by dietitians. The women, in the sample told us what they think about these plans. This helps us understand what people really think about different ways of getting nutrition advice</w:t>
      </w:r>
      <w:r w:rsidRPr="00F42BEC">
        <w:rPr>
          <w:rFonts w:ascii="Times New Roman" w:hAnsi="Times New Roman" w:cs="Times New Roman"/>
        </w:rPr>
        <w:t>.</w:t>
      </w:r>
    </w:p>
    <w:p w14:paraId="312300BC" w14:textId="165FE749"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Educational Qualification</w:t>
      </w:r>
    </w:p>
    <w:tbl>
      <w:tblPr>
        <w:tblStyle w:val="GridTable6Colorful-Accent2"/>
        <w:tblW w:w="0" w:type="auto"/>
        <w:tblLook w:val="04A0" w:firstRow="1" w:lastRow="0" w:firstColumn="1" w:lastColumn="0" w:noHBand="0" w:noVBand="1"/>
      </w:tblPr>
      <w:tblGrid>
        <w:gridCol w:w="2972"/>
        <w:gridCol w:w="2268"/>
        <w:gridCol w:w="2410"/>
      </w:tblGrid>
      <w:tr w:rsidR="003969B0" w:rsidRPr="00F42BEC" w14:paraId="680BB616"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5D995D"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1F1F1F"/>
                <w:sz w:val="24"/>
                <w:szCs w:val="24"/>
              </w:rPr>
              <w:t>Educational Qualification</w:t>
            </w:r>
          </w:p>
        </w:tc>
        <w:tc>
          <w:tcPr>
            <w:tcW w:w="2268" w:type="dxa"/>
          </w:tcPr>
          <w:p w14:paraId="30D17794"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2410" w:type="dxa"/>
          </w:tcPr>
          <w:p w14:paraId="6EE526BB"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Percentage</w:t>
            </w:r>
          </w:p>
        </w:tc>
      </w:tr>
      <w:tr w:rsidR="003969B0" w:rsidRPr="00F42BEC" w14:paraId="56DDD9C9"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556866"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High School</w:t>
            </w:r>
          </w:p>
        </w:tc>
        <w:tc>
          <w:tcPr>
            <w:tcW w:w="2268" w:type="dxa"/>
          </w:tcPr>
          <w:p w14:paraId="7B92D4F0"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8</w:t>
            </w:r>
          </w:p>
        </w:tc>
        <w:tc>
          <w:tcPr>
            <w:tcW w:w="2410" w:type="dxa"/>
          </w:tcPr>
          <w:p w14:paraId="4AFFEAC1"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6%</w:t>
            </w:r>
          </w:p>
        </w:tc>
      </w:tr>
      <w:tr w:rsidR="003969B0" w:rsidRPr="00F42BEC" w14:paraId="48DFF2B9" w14:textId="77777777" w:rsidTr="00283142">
        <w:tc>
          <w:tcPr>
            <w:cnfStyle w:val="001000000000" w:firstRow="0" w:lastRow="0" w:firstColumn="1" w:lastColumn="0" w:oddVBand="0" w:evenVBand="0" w:oddHBand="0" w:evenHBand="0" w:firstRowFirstColumn="0" w:firstRowLastColumn="0" w:lastRowFirstColumn="0" w:lastRowLastColumn="0"/>
            <w:tcW w:w="2972" w:type="dxa"/>
          </w:tcPr>
          <w:p w14:paraId="17F8CE89"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Undergraduate</w:t>
            </w:r>
          </w:p>
        </w:tc>
        <w:tc>
          <w:tcPr>
            <w:tcW w:w="2268" w:type="dxa"/>
          </w:tcPr>
          <w:p w14:paraId="3F18216E"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95</w:t>
            </w:r>
          </w:p>
        </w:tc>
        <w:tc>
          <w:tcPr>
            <w:tcW w:w="2410" w:type="dxa"/>
          </w:tcPr>
          <w:p w14:paraId="1BC753A0"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75%</w:t>
            </w:r>
          </w:p>
        </w:tc>
      </w:tr>
      <w:tr w:rsidR="003969B0" w:rsidRPr="00F42BEC" w14:paraId="666D08C2"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26F75A1"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Postgraduate</w:t>
            </w:r>
          </w:p>
        </w:tc>
        <w:tc>
          <w:tcPr>
            <w:tcW w:w="2268" w:type="dxa"/>
          </w:tcPr>
          <w:p w14:paraId="190073D6"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20</w:t>
            </w:r>
          </w:p>
        </w:tc>
        <w:tc>
          <w:tcPr>
            <w:tcW w:w="2410" w:type="dxa"/>
          </w:tcPr>
          <w:p w14:paraId="4168A41F"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16%</w:t>
            </w:r>
          </w:p>
        </w:tc>
      </w:tr>
      <w:tr w:rsidR="003969B0" w:rsidRPr="00F42BEC" w14:paraId="6F9F23DF" w14:textId="77777777" w:rsidTr="00283142">
        <w:tc>
          <w:tcPr>
            <w:cnfStyle w:val="001000000000" w:firstRow="0" w:lastRow="0" w:firstColumn="1" w:lastColumn="0" w:oddVBand="0" w:evenVBand="0" w:oddHBand="0" w:evenHBand="0" w:firstRowFirstColumn="0" w:firstRowLastColumn="0" w:lastRowFirstColumn="0" w:lastRowLastColumn="0"/>
            <w:tcW w:w="2972" w:type="dxa"/>
          </w:tcPr>
          <w:p w14:paraId="7FF5EFF6"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Doctoral graduate</w:t>
            </w:r>
          </w:p>
        </w:tc>
        <w:tc>
          <w:tcPr>
            <w:tcW w:w="2268" w:type="dxa"/>
          </w:tcPr>
          <w:p w14:paraId="1903A961"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4"/>
                <w:szCs w:val="24"/>
                <w:lang w:eastAsia="en-IN"/>
                <w14:ligatures w14:val="none"/>
              </w:rPr>
            </w:pPr>
            <w:r w:rsidRPr="00F42BEC">
              <w:rPr>
                <w:rFonts w:ascii="Times New Roman" w:eastAsia="Times New Roman" w:hAnsi="Times New Roman" w:cs="Times New Roman"/>
                <w:color w:val="000000" w:themeColor="text1"/>
                <w:sz w:val="24"/>
                <w:szCs w:val="24"/>
                <w:lang w:eastAsia="en-IN"/>
              </w:rPr>
              <w:t>2</w:t>
            </w:r>
          </w:p>
        </w:tc>
        <w:tc>
          <w:tcPr>
            <w:tcW w:w="2410" w:type="dxa"/>
          </w:tcPr>
          <w:p w14:paraId="3C85AF34"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1.6%</w:t>
            </w:r>
          </w:p>
        </w:tc>
      </w:tr>
      <w:tr w:rsidR="003969B0" w:rsidRPr="00F42BEC" w14:paraId="3F648479"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73014E0"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AMIE</w:t>
            </w:r>
          </w:p>
        </w:tc>
        <w:tc>
          <w:tcPr>
            <w:tcW w:w="2268" w:type="dxa"/>
          </w:tcPr>
          <w:p w14:paraId="1A9DC0C0"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c>
          <w:tcPr>
            <w:tcW w:w="2410" w:type="dxa"/>
          </w:tcPr>
          <w:p w14:paraId="30F84464"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r>
      <w:tr w:rsidR="003969B0" w:rsidRPr="00F42BEC" w14:paraId="402078C3" w14:textId="77777777" w:rsidTr="00283142">
        <w:tc>
          <w:tcPr>
            <w:cnfStyle w:val="001000000000" w:firstRow="0" w:lastRow="0" w:firstColumn="1" w:lastColumn="0" w:oddVBand="0" w:evenVBand="0" w:oddHBand="0" w:evenHBand="0" w:firstRowFirstColumn="0" w:firstRowLastColumn="0" w:lastRowFirstColumn="0" w:lastRowLastColumn="0"/>
            <w:tcW w:w="2972" w:type="dxa"/>
          </w:tcPr>
          <w:p w14:paraId="0E3AEF20"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Total</w:t>
            </w:r>
          </w:p>
        </w:tc>
        <w:tc>
          <w:tcPr>
            <w:tcW w:w="2268" w:type="dxa"/>
          </w:tcPr>
          <w:p w14:paraId="05F457F3"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126</w:t>
            </w:r>
          </w:p>
        </w:tc>
        <w:tc>
          <w:tcPr>
            <w:tcW w:w="2410" w:type="dxa"/>
          </w:tcPr>
          <w:p w14:paraId="09DEB709"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100%</w:t>
            </w:r>
          </w:p>
        </w:tc>
      </w:tr>
    </w:tbl>
    <w:p w14:paraId="467E387F" w14:textId="1237C145" w:rsidR="00672A28" w:rsidRPr="00F42BEC" w:rsidRDefault="003969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noProof/>
          <w14:ligatures w14:val="none"/>
        </w:rPr>
        <w:drawing>
          <wp:inline distT="0" distB="0" distL="0" distR="0" wp14:anchorId="7FFE28F6" wp14:editId="54766EB6">
            <wp:extent cx="4206240" cy="2903220"/>
            <wp:effectExtent l="0" t="0" r="3810" b="11430"/>
            <wp:docPr id="1734338050" name="Chart 1">
              <a:extLst xmlns:a="http://schemas.openxmlformats.org/drawingml/2006/main">
                <a:ext uri="{FF2B5EF4-FFF2-40B4-BE49-F238E27FC236}">
                  <a16:creationId xmlns:a16="http://schemas.microsoft.com/office/drawing/2014/main" id="{CCBF96F3-D801-54DB-45DE-3C5518717A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27E03C" w14:textId="77777777" w:rsidR="00EF342F"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INTERPRETATIONS:</w:t>
      </w:r>
    </w:p>
    <w:p w14:paraId="3A5C2680" w14:textId="77777777"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 information shows that most people who took part were undergraduates making up 75% of respondents. This means most participants are either studying for or have recently finished a bachelor’s degree.</w:t>
      </w:r>
    </w:p>
    <w:p w14:paraId="7C3DDC1B" w14:textId="77777777"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2B6EBD6" w14:textId="3CDE7AAF"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lastRenderedPageBreak/>
        <w:t>These undergraduates are likely to be well-educated. They are also probably familiar with the digital tools and artificial intelligence in health and nutrition.</w:t>
      </w:r>
    </w:p>
    <w:p w14:paraId="7B175DE5" w14:textId="4A619A48"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Fewer participants were postgraduates at 16%. Postgraduates may know more about the subject. They can give views on nutrition and guidance systems.</w:t>
      </w:r>
    </w:p>
    <w:p w14:paraId="3D1DE0E3" w14:textId="4A7A2170" w:rsidR="003969B0"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Some respondents, 6% had only finished school. A small number of participants had qualifications. These included degrees at 3% and AMIE at 1%. This shows that not many people, from educational backgrounds took part.</w:t>
      </w:r>
    </w:p>
    <w:p w14:paraId="7AD5AA63" w14:textId="7072DC5C"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Occupation and Area of Residence</w:t>
      </w:r>
    </w:p>
    <w:tbl>
      <w:tblPr>
        <w:tblStyle w:val="GridTable6Colorful-Accent2"/>
        <w:tblW w:w="0" w:type="auto"/>
        <w:tblLook w:val="04A0" w:firstRow="1" w:lastRow="0" w:firstColumn="1" w:lastColumn="0" w:noHBand="0" w:noVBand="1"/>
      </w:tblPr>
      <w:tblGrid>
        <w:gridCol w:w="3005"/>
        <w:gridCol w:w="3005"/>
        <w:gridCol w:w="3006"/>
      </w:tblGrid>
      <w:tr w:rsidR="003969B0" w:rsidRPr="00F42BEC" w14:paraId="5DDDDAAF"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0FD3526" w14:textId="77777777" w:rsidR="003969B0" w:rsidRPr="00F42BEC" w:rsidRDefault="003969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color w:val="000000" w:themeColor="text1"/>
                <w:sz w:val="24"/>
                <w:szCs w:val="24"/>
                <w:lang w:eastAsia="en-IN"/>
              </w:rPr>
              <w:t>PARTICULARS</w:t>
            </w:r>
          </w:p>
        </w:tc>
        <w:tc>
          <w:tcPr>
            <w:tcW w:w="3005" w:type="dxa"/>
          </w:tcPr>
          <w:p w14:paraId="2CECA409"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tcPr>
          <w:p w14:paraId="0D5DADB6"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Percentage</w:t>
            </w:r>
          </w:p>
        </w:tc>
      </w:tr>
      <w:tr w:rsidR="003969B0" w:rsidRPr="00F42BEC" w14:paraId="2D0340A5"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31B54ED"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Student</w:t>
            </w:r>
          </w:p>
        </w:tc>
        <w:tc>
          <w:tcPr>
            <w:tcW w:w="3005" w:type="dxa"/>
          </w:tcPr>
          <w:p w14:paraId="6A95CA68"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101</w:t>
            </w:r>
          </w:p>
        </w:tc>
        <w:tc>
          <w:tcPr>
            <w:tcW w:w="3006" w:type="dxa"/>
          </w:tcPr>
          <w:p w14:paraId="0F82EE79"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80%</w:t>
            </w:r>
          </w:p>
        </w:tc>
      </w:tr>
      <w:tr w:rsidR="003969B0" w:rsidRPr="00F42BEC" w14:paraId="0648480F"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70D3C59E"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Working professional</w:t>
            </w:r>
          </w:p>
        </w:tc>
        <w:tc>
          <w:tcPr>
            <w:tcW w:w="3005" w:type="dxa"/>
          </w:tcPr>
          <w:p w14:paraId="075129C6"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21</w:t>
            </w:r>
          </w:p>
        </w:tc>
        <w:tc>
          <w:tcPr>
            <w:tcW w:w="3006" w:type="dxa"/>
          </w:tcPr>
          <w:p w14:paraId="4FBC4FA5"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17%</w:t>
            </w:r>
          </w:p>
        </w:tc>
      </w:tr>
      <w:tr w:rsidR="003969B0" w:rsidRPr="00F42BEC" w14:paraId="437EDD41"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E011622"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Homemaker</w:t>
            </w:r>
          </w:p>
        </w:tc>
        <w:tc>
          <w:tcPr>
            <w:tcW w:w="3005" w:type="dxa"/>
          </w:tcPr>
          <w:p w14:paraId="2ABAD00C"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0</w:t>
            </w:r>
          </w:p>
        </w:tc>
        <w:tc>
          <w:tcPr>
            <w:tcW w:w="3006" w:type="dxa"/>
          </w:tcPr>
          <w:p w14:paraId="5BCC30F4"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0%</w:t>
            </w:r>
          </w:p>
        </w:tc>
      </w:tr>
      <w:tr w:rsidR="003969B0" w:rsidRPr="00F42BEC" w14:paraId="4EF10A82"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74FACD91"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Retried</w:t>
            </w:r>
          </w:p>
        </w:tc>
        <w:tc>
          <w:tcPr>
            <w:tcW w:w="3005" w:type="dxa"/>
          </w:tcPr>
          <w:p w14:paraId="54AD3467"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c>
          <w:tcPr>
            <w:tcW w:w="3006" w:type="dxa"/>
          </w:tcPr>
          <w:p w14:paraId="13C02FA8"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r>
      <w:tr w:rsidR="003969B0" w:rsidRPr="00F42BEC" w14:paraId="5926B01C"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02D0C33"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Entrepreneur</w:t>
            </w:r>
          </w:p>
        </w:tc>
        <w:tc>
          <w:tcPr>
            <w:tcW w:w="3005" w:type="dxa"/>
          </w:tcPr>
          <w:p w14:paraId="2B39B461"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c>
          <w:tcPr>
            <w:tcW w:w="3006" w:type="dxa"/>
          </w:tcPr>
          <w:p w14:paraId="5FC9BB63"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r>
      <w:tr w:rsidR="003969B0" w:rsidRPr="00F42BEC" w14:paraId="7EA32D1D"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3C3F18A2"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Corporate company</w:t>
            </w:r>
          </w:p>
        </w:tc>
        <w:tc>
          <w:tcPr>
            <w:tcW w:w="3005" w:type="dxa"/>
          </w:tcPr>
          <w:p w14:paraId="5BA0DF5C"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c>
          <w:tcPr>
            <w:tcW w:w="3006" w:type="dxa"/>
          </w:tcPr>
          <w:p w14:paraId="45A5A476"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r>
      <w:tr w:rsidR="003969B0" w:rsidRPr="00F42BEC" w14:paraId="270A392B"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506A11A"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Salaried</w:t>
            </w:r>
          </w:p>
        </w:tc>
        <w:tc>
          <w:tcPr>
            <w:tcW w:w="3005" w:type="dxa"/>
          </w:tcPr>
          <w:p w14:paraId="7A5F4E1D"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c>
          <w:tcPr>
            <w:tcW w:w="3006" w:type="dxa"/>
          </w:tcPr>
          <w:p w14:paraId="3544AF6A"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w:t>
            </w:r>
          </w:p>
        </w:tc>
      </w:tr>
      <w:tr w:rsidR="003969B0" w:rsidRPr="00F42BEC" w14:paraId="6B52E022"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4E400149"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Total</w:t>
            </w:r>
          </w:p>
        </w:tc>
        <w:tc>
          <w:tcPr>
            <w:tcW w:w="3005" w:type="dxa"/>
          </w:tcPr>
          <w:p w14:paraId="087E1F1F"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rPr>
              <w:t>126</w:t>
            </w:r>
          </w:p>
        </w:tc>
        <w:tc>
          <w:tcPr>
            <w:tcW w:w="3006" w:type="dxa"/>
          </w:tcPr>
          <w:p w14:paraId="697C9451"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100%</w:t>
            </w:r>
          </w:p>
        </w:tc>
      </w:tr>
    </w:tbl>
    <w:p w14:paraId="2044064C" w14:textId="79433681" w:rsidR="003969B0" w:rsidRPr="00F42BEC" w:rsidRDefault="003969B0" w:rsidP="00F42BEC">
      <w:pPr>
        <w:spacing w:before="100" w:beforeAutospacing="1" w:after="100" w:afterAutospacing="1" w:line="240" w:lineRule="auto"/>
        <w:jc w:val="both"/>
        <w:rPr>
          <w:rFonts w:ascii="Times New Roman" w:hAnsi="Times New Roman" w:cs="Times New Roman"/>
        </w:rPr>
      </w:pPr>
      <w:r w:rsidRPr="00F42BEC">
        <w:rPr>
          <w:rFonts w:ascii="Times New Roman" w:hAnsi="Times New Roman" w:cs="Times New Roman"/>
          <w:noProof/>
          <w14:ligatures w14:val="none"/>
        </w:rPr>
        <w:drawing>
          <wp:inline distT="0" distB="0" distL="0" distR="0" wp14:anchorId="091793CC" wp14:editId="688DAB62">
            <wp:extent cx="4572000" cy="2634615"/>
            <wp:effectExtent l="0" t="0" r="0" b="13335"/>
            <wp:docPr id="1482296830" name="Chart 1">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7509C0" w14:textId="77777777" w:rsidR="00EF342F" w:rsidRPr="00F42BEC" w:rsidRDefault="003969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 xml:space="preserve">INTERPRETATIONS: </w:t>
      </w:r>
    </w:p>
    <w:p w14:paraId="6A51FEB3" w14:textId="77777777"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The data shows that most of the people who answered the questions were students, which's about 80 percent of the people who took part. This means that most of the people who answered are still learning and are probably more used to using things like computers and Artificial Intelligence tools. </w:t>
      </w:r>
      <w:proofErr w:type="gramStart"/>
      <w:r w:rsidRPr="00F42BEC">
        <w:rPr>
          <w:rFonts w:ascii="Times New Roman" w:eastAsia="Times New Roman" w:hAnsi="Times New Roman" w:cs="Times New Roman"/>
          <w:kern w:val="0"/>
          <w:sz w:val="24"/>
          <w:szCs w:val="24"/>
          <w:lang w:eastAsia="en-IN"/>
          <w14:ligatures w14:val="none"/>
        </w:rPr>
        <w:t>So</w:t>
      </w:r>
      <w:proofErr w:type="gramEnd"/>
      <w:r w:rsidRPr="00F42BEC">
        <w:rPr>
          <w:rFonts w:ascii="Times New Roman" w:eastAsia="Times New Roman" w:hAnsi="Times New Roman" w:cs="Times New Roman"/>
          <w:kern w:val="0"/>
          <w:sz w:val="24"/>
          <w:szCs w:val="24"/>
          <w:lang w:eastAsia="en-IN"/>
          <w14:ligatures w14:val="none"/>
        </w:rPr>
        <w:t xml:space="preserve"> the results are mostly based on what younger people think and like.</w:t>
      </w:r>
    </w:p>
    <w:p w14:paraId="66A4FC61" w14:textId="77777777"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Some of the people who answered were working, which's about 17 percent. These people might have ideas about food and health because of what they do and how they live. There were also some people like retired people, people who own their own businesses people who work for companies and people who get a salary but they only made up a very small part of the people who answered so they did not have a big impact on the results. It is interesting that there were no people who stay at home to take care of the house even though they play a role in deciding what food to buy for their families.</w:t>
      </w:r>
    </w:p>
    <w:p w14:paraId="62730FE5" w14:textId="18D7589E"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Overall, the kinds of jobs that people had who answered the questions shows that the study is mostly, about what students think and it might not show what people think who have kinds of jobs or who do not work. The student perspectives are what we mostly see in the study. We do not see as much of what other people think like working people or people who don't work.</w:t>
      </w:r>
    </w:p>
    <w:p w14:paraId="78280E1D" w14:textId="77777777" w:rsidR="003969B0" w:rsidRPr="00F42BEC" w:rsidRDefault="003969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AREA OF RESIDENCE</w:t>
      </w:r>
    </w:p>
    <w:tbl>
      <w:tblPr>
        <w:tblStyle w:val="GridTable6Colorful-Accent2"/>
        <w:tblW w:w="0" w:type="auto"/>
        <w:tblLook w:val="04A0" w:firstRow="1" w:lastRow="0" w:firstColumn="1" w:lastColumn="0" w:noHBand="0" w:noVBand="1"/>
      </w:tblPr>
      <w:tblGrid>
        <w:gridCol w:w="3005"/>
        <w:gridCol w:w="3005"/>
        <w:gridCol w:w="3006"/>
      </w:tblGrid>
      <w:tr w:rsidR="003969B0" w:rsidRPr="00F42BEC" w14:paraId="0D6F6BCB"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3B25EB4" w14:textId="77777777" w:rsidR="003969B0" w:rsidRPr="00F42BEC" w:rsidRDefault="003969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1F1F1F"/>
                <w:sz w:val="24"/>
                <w:szCs w:val="24"/>
              </w:rPr>
              <w:lastRenderedPageBreak/>
              <w:t>PARTICULARS</w:t>
            </w:r>
          </w:p>
        </w:tc>
        <w:tc>
          <w:tcPr>
            <w:tcW w:w="3005" w:type="dxa"/>
          </w:tcPr>
          <w:p w14:paraId="5CE7F615"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tcPr>
          <w:p w14:paraId="49D86389" w14:textId="77777777" w:rsidR="003969B0" w:rsidRPr="00F42BEC" w:rsidRDefault="003969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Percentage</w:t>
            </w:r>
          </w:p>
        </w:tc>
      </w:tr>
      <w:tr w:rsidR="003969B0" w:rsidRPr="00F42BEC" w14:paraId="0739C886"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687093D"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Urban</w:t>
            </w:r>
          </w:p>
        </w:tc>
        <w:tc>
          <w:tcPr>
            <w:tcW w:w="3005" w:type="dxa"/>
          </w:tcPr>
          <w:p w14:paraId="057A2F5F"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97</w:t>
            </w:r>
          </w:p>
        </w:tc>
        <w:tc>
          <w:tcPr>
            <w:tcW w:w="3006" w:type="dxa"/>
          </w:tcPr>
          <w:p w14:paraId="3B780A8E"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77%</w:t>
            </w:r>
          </w:p>
        </w:tc>
      </w:tr>
      <w:tr w:rsidR="003969B0" w:rsidRPr="00F42BEC" w14:paraId="62F6EAC7"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4ECE757A"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Semi Urban</w:t>
            </w:r>
          </w:p>
        </w:tc>
        <w:tc>
          <w:tcPr>
            <w:tcW w:w="3005" w:type="dxa"/>
          </w:tcPr>
          <w:p w14:paraId="617D9705"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16</w:t>
            </w:r>
          </w:p>
        </w:tc>
        <w:tc>
          <w:tcPr>
            <w:tcW w:w="3006" w:type="dxa"/>
          </w:tcPr>
          <w:p w14:paraId="2A178285"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13%</w:t>
            </w:r>
          </w:p>
        </w:tc>
      </w:tr>
      <w:tr w:rsidR="003969B0" w:rsidRPr="00F42BEC" w14:paraId="52D4AE3A"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599B28E" w14:textId="77777777" w:rsidR="003969B0" w:rsidRPr="00F42BEC" w:rsidRDefault="003969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Rural</w:t>
            </w:r>
          </w:p>
        </w:tc>
        <w:tc>
          <w:tcPr>
            <w:tcW w:w="3005" w:type="dxa"/>
          </w:tcPr>
          <w:p w14:paraId="6463B864"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13</w:t>
            </w:r>
          </w:p>
        </w:tc>
        <w:tc>
          <w:tcPr>
            <w:tcW w:w="3006" w:type="dxa"/>
          </w:tcPr>
          <w:p w14:paraId="60A5C71E" w14:textId="77777777" w:rsidR="003969B0" w:rsidRPr="00F42BEC" w:rsidRDefault="003969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w:t>
            </w:r>
          </w:p>
        </w:tc>
      </w:tr>
      <w:tr w:rsidR="003969B0" w:rsidRPr="00F42BEC" w14:paraId="7BE4CEA8"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442CC93A" w14:textId="77777777" w:rsidR="003969B0" w:rsidRPr="00F42BEC" w:rsidRDefault="003969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color w:val="000000" w:themeColor="text1"/>
                <w:kern w:val="0"/>
                <w:sz w:val="24"/>
                <w:szCs w:val="24"/>
                <w:lang w:eastAsia="en-IN"/>
                <w14:ligatures w14:val="none"/>
              </w:rPr>
              <w:t>TOTAL</w:t>
            </w:r>
          </w:p>
        </w:tc>
        <w:tc>
          <w:tcPr>
            <w:tcW w:w="3005" w:type="dxa"/>
          </w:tcPr>
          <w:p w14:paraId="05308DF7"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126</w:t>
            </w:r>
          </w:p>
        </w:tc>
        <w:tc>
          <w:tcPr>
            <w:tcW w:w="3006" w:type="dxa"/>
          </w:tcPr>
          <w:p w14:paraId="32C2F2AE" w14:textId="77777777" w:rsidR="003969B0" w:rsidRPr="00F42BEC" w:rsidRDefault="003969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100%</w:t>
            </w:r>
          </w:p>
        </w:tc>
      </w:tr>
    </w:tbl>
    <w:p w14:paraId="229F417D" w14:textId="77777777" w:rsidR="003969B0" w:rsidRPr="00F42BEC" w:rsidRDefault="003969B0" w:rsidP="00F42BEC">
      <w:pPr>
        <w:spacing w:line="240" w:lineRule="auto"/>
        <w:jc w:val="both"/>
        <w:rPr>
          <w:rFonts w:ascii="Times New Roman" w:hAnsi="Times New Roman" w:cs="Times New Roman"/>
        </w:rPr>
      </w:pPr>
    </w:p>
    <w:p w14:paraId="12979A8C" w14:textId="3688367E" w:rsidR="003969B0" w:rsidRPr="00F42BEC" w:rsidRDefault="003969B0" w:rsidP="00F42BEC">
      <w:pPr>
        <w:spacing w:line="240" w:lineRule="auto"/>
        <w:jc w:val="both"/>
        <w:rPr>
          <w:rFonts w:ascii="Times New Roman" w:hAnsi="Times New Roman" w:cs="Times New Roman"/>
        </w:rPr>
      </w:pPr>
      <w:r w:rsidRPr="00F42BEC">
        <w:rPr>
          <w:rFonts w:ascii="Times New Roman" w:hAnsi="Times New Roman" w:cs="Times New Roman"/>
          <w:noProof/>
          <w14:ligatures w14:val="none"/>
        </w:rPr>
        <w:drawing>
          <wp:inline distT="0" distB="0" distL="0" distR="0" wp14:anchorId="4AD80C4C" wp14:editId="5D5CA5A9">
            <wp:extent cx="4572000" cy="2647950"/>
            <wp:effectExtent l="0" t="0" r="0" b="0"/>
            <wp:docPr id="2005273594" name="Chart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52D112" w14:textId="77777777" w:rsidR="00EF342F"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INTERPRETATIONS:</w:t>
      </w:r>
    </w:p>
    <w:p w14:paraId="268A712A" w14:textId="70CD3498"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The data shows that most of the people who answered the questions (77%) live in urban. This means that the study is mostly about what city people think. People who live in urban area </w:t>
      </w:r>
      <w:proofErr w:type="gramStart"/>
      <w:r w:rsidRPr="00F42BEC">
        <w:rPr>
          <w:rFonts w:ascii="Times New Roman" w:eastAsia="Times New Roman" w:hAnsi="Times New Roman" w:cs="Times New Roman"/>
          <w:kern w:val="0"/>
          <w:sz w:val="24"/>
          <w:szCs w:val="24"/>
          <w:lang w:eastAsia="en-IN"/>
          <w14:ligatures w14:val="none"/>
        </w:rPr>
        <w:t>will  usually</w:t>
      </w:r>
      <w:proofErr w:type="gramEnd"/>
      <w:r w:rsidRPr="00F42BEC">
        <w:rPr>
          <w:rFonts w:ascii="Times New Roman" w:eastAsia="Times New Roman" w:hAnsi="Times New Roman" w:cs="Times New Roman"/>
          <w:kern w:val="0"/>
          <w:sz w:val="24"/>
          <w:szCs w:val="24"/>
          <w:lang w:eastAsia="en-IN"/>
          <w14:ligatures w14:val="none"/>
        </w:rPr>
        <w:t xml:space="preserve"> have access to doctors and the internet and they know more about new technologies like artificial intelligence. This might make them more aware of and okay with using intelligence to help with nutrition.</w:t>
      </w:r>
    </w:p>
    <w:p w14:paraId="0CAEBCC5" w14:textId="0CD8CC43"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Some people who answered the questions (13%) live in areas that're kind of like semi </w:t>
      </w:r>
      <w:proofErr w:type="gramStart"/>
      <w:r w:rsidRPr="00F42BEC">
        <w:rPr>
          <w:rFonts w:ascii="Times New Roman" w:eastAsia="Times New Roman" w:hAnsi="Times New Roman" w:cs="Times New Roman"/>
          <w:kern w:val="0"/>
          <w:sz w:val="24"/>
          <w:szCs w:val="24"/>
          <w:lang w:eastAsia="en-IN"/>
          <w14:ligatures w14:val="none"/>
        </w:rPr>
        <w:t>urban  but</w:t>
      </w:r>
      <w:proofErr w:type="gramEnd"/>
      <w:r w:rsidRPr="00F42BEC">
        <w:rPr>
          <w:rFonts w:ascii="Times New Roman" w:eastAsia="Times New Roman" w:hAnsi="Times New Roman" w:cs="Times New Roman"/>
          <w:kern w:val="0"/>
          <w:sz w:val="24"/>
          <w:szCs w:val="24"/>
          <w:lang w:eastAsia="en-IN"/>
          <w14:ligatures w14:val="none"/>
        </w:rPr>
        <w:t xml:space="preserve"> not totally. These people might have access to doctors and the internet but not as good as city people. They bring a view to the study but it is not as strong.</w:t>
      </w:r>
    </w:p>
    <w:p w14:paraId="793A58C2" w14:textId="784432F8" w:rsidR="00AD44B5"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A few people who answered the questions (10%) live in the </w:t>
      </w:r>
      <w:proofErr w:type="gramStart"/>
      <w:r w:rsidRPr="00F42BEC">
        <w:rPr>
          <w:rFonts w:ascii="Times New Roman" w:eastAsia="Times New Roman" w:hAnsi="Times New Roman" w:cs="Times New Roman"/>
          <w:kern w:val="0"/>
          <w:sz w:val="24"/>
          <w:szCs w:val="24"/>
          <w:lang w:eastAsia="en-IN"/>
          <w14:ligatures w14:val="none"/>
        </w:rPr>
        <w:t>rural .</w:t>
      </w:r>
      <w:proofErr w:type="gramEnd"/>
      <w:r w:rsidRPr="00F42BEC">
        <w:rPr>
          <w:rFonts w:ascii="Times New Roman" w:eastAsia="Times New Roman" w:hAnsi="Times New Roman" w:cs="Times New Roman"/>
          <w:kern w:val="0"/>
          <w:sz w:val="24"/>
          <w:szCs w:val="24"/>
          <w:lang w:eastAsia="en-IN"/>
          <w14:ligatures w14:val="none"/>
        </w:rPr>
        <w:t xml:space="preserve"> This means that people from the </w:t>
      </w:r>
      <w:proofErr w:type="gramStart"/>
      <w:r w:rsidRPr="00F42BEC">
        <w:rPr>
          <w:rFonts w:ascii="Times New Roman" w:eastAsia="Times New Roman" w:hAnsi="Times New Roman" w:cs="Times New Roman"/>
          <w:kern w:val="0"/>
          <w:sz w:val="24"/>
          <w:szCs w:val="24"/>
          <w:lang w:eastAsia="en-IN"/>
          <w14:ligatures w14:val="none"/>
        </w:rPr>
        <w:t>rural  are</w:t>
      </w:r>
      <w:proofErr w:type="gramEnd"/>
      <w:r w:rsidRPr="00F42BEC">
        <w:rPr>
          <w:rFonts w:ascii="Times New Roman" w:eastAsia="Times New Roman" w:hAnsi="Times New Roman" w:cs="Times New Roman"/>
          <w:kern w:val="0"/>
          <w:sz w:val="24"/>
          <w:szCs w:val="24"/>
          <w:lang w:eastAsia="en-IN"/>
          <w14:ligatures w14:val="none"/>
        </w:rPr>
        <w:t xml:space="preserve"> not well represented. People who live in the rural might not have much access to the internet and artificial intelligence, which could make them think differently about these things.</w:t>
      </w:r>
    </w:p>
    <w:p w14:paraId="4654A1D1" w14:textId="77777777" w:rsidR="0007386F" w:rsidRPr="00F42BEC" w:rsidRDefault="00AD44B5"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Overall, what we found out is mostly based on what </w:t>
      </w:r>
      <w:r w:rsidR="0007386F" w:rsidRPr="00F42BEC">
        <w:rPr>
          <w:rFonts w:ascii="Times New Roman" w:eastAsia="Times New Roman" w:hAnsi="Times New Roman" w:cs="Times New Roman"/>
          <w:kern w:val="0"/>
          <w:sz w:val="24"/>
          <w:szCs w:val="24"/>
          <w:lang w:eastAsia="en-IN"/>
          <w14:ligatures w14:val="none"/>
        </w:rPr>
        <w:t xml:space="preserve">urban </w:t>
      </w:r>
      <w:r w:rsidRPr="00F42BEC">
        <w:rPr>
          <w:rFonts w:ascii="Times New Roman" w:eastAsia="Times New Roman" w:hAnsi="Times New Roman" w:cs="Times New Roman"/>
          <w:kern w:val="0"/>
          <w:sz w:val="24"/>
          <w:szCs w:val="24"/>
          <w:lang w:eastAsia="en-IN"/>
          <w14:ligatures w14:val="none"/>
        </w:rPr>
        <w:t>people think. We might not really know what people from</w:t>
      </w:r>
      <w:r w:rsidR="0007386F" w:rsidRPr="00F42BEC">
        <w:rPr>
          <w:rFonts w:ascii="Times New Roman" w:eastAsia="Times New Roman" w:hAnsi="Times New Roman" w:cs="Times New Roman"/>
          <w:kern w:val="0"/>
          <w:sz w:val="24"/>
          <w:szCs w:val="24"/>
          <w:lang w:eastAsia="en-IN"/>
          <w14:ligatures w14:val="none"/>
        </w:rPr>
        <w:t xml:space="preserve"> semi</w:t>
      </w:r>
      <w:r w:rsidRPr="00F42BEC">
        <w:rPr>
          <w:rFonts w:ascii="Times New Roman" w:eastAsia="Times New Roman" w:hAnsi="Times New Roman" w:cs="Times New Roman"/>
          <w:kern w:val="0"/>
          <w:sz w:val="24"/>
          <w:szCs w:val="24"/>
          <w:lang w:eastAsia="en-IN"/>
          <w14:ligatures w14:val="none"/>
        </w:rPr>
        <w:t xml:space="preserve"> -urban and rural areas think and feel because they are not as well represented in the study. The study is mostly, about areas and what people who live in </w:t>
      </w:r>
      <w:r w:rsidR="0007386F" w:rsidRPr="00F42BEC">
        <w:rPr>
          <w:rFonts w:ascii="Times New Roman" w:eastAsia="Times New Roman" w:hAnsi="Times New Roman" w:cs="Times New Roman"/>
          <w:kern w:val="0"/>
          <w:sz w:val="24"/>
          <w:szCs w:val="24"/>
          <w:lang w:eastAsia="en-IN"/>
          <w14:ligatures w14:val="none"/>
        </w:rPr>
        <w:t>urban area</w:t>
      </w:r>
      <w:r w:rsidRPr="00F42BEC">
        <w:rPr>
          <w:rFonts w:ascii="Times New Roman" w:eastAsia="Times New Roman" w:hAnsi="Times New Roman" w:cs="Times New Roman"/>
          <w:kern w:val="0"/>
          <w:sz w:val="24"/>
          <w:szCs w:val="24"/>
          <w:lang w:eastAsia="en-IN"/>
          <w14:ligatures w14:val="none"/>
        </w:rPr>
        <w:t xml:space="preserve"> think about artificial intelligence and nutrition tools.</w:t>
      </w:r>
    </w:p>
    <w:p w14:paraId="2565BFA3" w14:textId="085FC413"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Importance of Cultural and Emotional Understanding in Nutrition Advice</w:t>
      </w:r>
    </w:p>
    <w:tbl>
      <w:tblPr>
        <w:tblStyle w:val="GridTable6Colorful-Accent2"/>
        <w:tblW w:w="0" w:type="auto"/>
        <w:tblLook w:val="04A0" w:firstRow="1" w:lastRow="0" w:firstColumn="1" w:lastColumn="0" w:noHBand="0" w:noVBand="1"/>
      </w:tblPr>
      <w:tblGrid>
        <w:gridCol w:w="3005"/>
        <w:gridCol w:w="3005"/>
        <w:gridCol w:w="3006"/>
      </w:tblGrid>
      <w:tr w:rsidR="002973B0" w:rsidRPr="00F42BEC" w14:paraId="0BFDD627"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bottom"/>
          </w:tcPr>
          <w:p w14:paraId="4B75A149"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PARTICULARS</w:t>
            </w:r>
          </w:p>
        </w:tc>
        <w:tc>
          <w:tcPr>
            <w:tcW w:w="3005" w:type="dxa"/>
            <w:vAlign w:val="bottom"/>
          </w:tcPr>
          <w:p w14:paraId="7AB95BE3"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vAlign w:val="bottom"/>
          </w:tcPr>
          <w:p w14:paraId="340702A9"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Percentage</w:t>
            </w:r>
          </w:p>
        </w:tc>
      </w:tr>
      <w:tr w:rsidR="002973B0" w:rsidRPr="00F42BEC" w14:paraId="50E76A8D"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bottom"/>
          </w:tcPr>
          <w:p w14:paraId="240D57F5"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Not important</w:t>
            </w:r>
          </w:p>
        </w:tc>
        <w:tc>
          <w:tcPr>
            <w:tcW w:w="3005" w:type="dxa"/>
            <w:vAlign w:val="bottom"/>
          </w:tcPr>
          <w:p w14:paraId="2EF417EA"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9</w:t>
            </w:r>
          </w:p>
        </w:tc>
        <w:tc>
          <w:tcPr>
            <w:tcW w:w="3006" w:type="dxa"/>
            <w:vAlign w:val="bottom"/>
          </w:tcPr>
          <w:p w14:paraId="6546318A"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7%</w:t>
            </w:r>
          </w:p>
        </w:tc>
      </w:tr>
      <w:tr w:rsidR="002973B0" w:rsidRPr="00F42BEC" w14:paraId="28F32741" w14:textId="77777777" w:rsidTr="00283142">
        <w:tc>
          <w:tcPr>
            <w:cnfStyle w:val="001000000000" w:firstRow="0" w:lastRow="0" w:firstColumn="1" w:lastColumn="0" w:oddVBand="0" w:evenVBand="0" w:oddHBand="0" w:evenHBand="0" w:firstRowFirstColumn="0" w:firstRowLastColumn="0" w:lastRowFirstColumn="0" w:lastRowLastColumn="0"/>
            <w:tcW w:w="3005" w:type="dxa"/>
            <w:vAlign w:val="bottom"/>
          </w:tcPr>
          <w:p w14:paraId="58EF80E2"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Moderately important</w:t>
            </w:r>
          </w:p>
        </w:tc>
        <w:tc>
          <w:tcPr>
            <w:tcW w:w="3005" w:type="dxa"/>
            <w:vAlign w:val="bottom"/>
          </w:tcPr>
          <w:p w14:paraId="773039E3"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66</w:t>
            </w:r>
          </w:p>
        </w:tc>
        <w:tc>
          <w:tcPr>
            <w:tcW w:w="3006" w:type="dxa"/>
            <w:vAlign w:val="bottom"/>
          </w:tcPr>
          <w:p w14:paraId="1029A6DD"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52%</w:t>
            </w:r>
          </w:p>
        </w:tc>
      </w:tr>
      <w:tr w:rsidR="002973B0" w:rsidRPr="00F42BEC" w14:paraId="194CD2CD"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bottom"/>
          </w:tcPr>
          <w:p w14:paraId="1335C095"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Very important</w:t>
            </w:r>
          </w:p>
        </w:tc>
        <w:tc>
          <w:tcPr>
            <w:tcW w:w="3005" w:type="dxa"/>
            <w:vAlign w:val="bottom"/>
          </w:tcPr>
          <w:p w14:paraId="1029D10D"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51</w:t>
            </w:r>
          </w:p>
        </w:tc>
        <w:tc>
          <w:tcPr>
            <w:tcW w:w="3006" w:type="dxa"/>
            <w:vAlign w:val="bottom"/>
          </w:tcPr>
          <w:p w14:paraId="2F4586B0"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40%</w:t>
            </w:r>
          </w:p>
        </w:tc>
      </w:tr>
      <w:tr w:rsidR="002973B0" w:rsidRPr="00F42BEC" w14:paraId="7DD309D7" w14:textId="77777777" w:rsidTr="00283142">
        <w:tc>
          <w:tcPr>
            <w:cnfStyle w:val="001000000000" w:firstRow="0" w:lastRow="0" w:firstColumn="1" w:lastColumn="0" w:oddVBand="0" w:evenVBand="0" w:oddHBand="0" w:evenHBand="0" w:firstRowFirstColumn="0" w:firstRowLastColumn="0" w:lastRowFirstColumn="0" w:lastRowLastColumn="0"/>
            <w:tcW w:w="3005" w:type="dxa"/>
            <w:vAlign w:val="bottom"/>
          </w:tcPr>
          <w:p w14:paraId="333FB32D"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 xml:space="preserve">Total </w:t>
            </w:r>
          </w:p>
        </w:tc>
        <w:tc>
          <w:tcPr>
            <w:tcW w:w="3005" w:type="dxa"/>
            <w:vAlign w:val="bottom"/>
          </w:tcPr>
          <w:p w14:paraId="2DC9A1BC"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126</w:t>
            </w:r>
          </w:p>
        </w:tc>
        <w:tc>
          <w:tcPr>
            <w:tcW w:w="3006" w:type="dxa"/>
            <w:vAlign w:val="bottom"/>
          </w:tcPr>
          <w:p w14:paraId="2B4E81B7"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100%</w:t>
            </w:r>
          </w:p>
        </w:tc>
      </w:tr>
    </w:tbl>
    <w:p w14:paraId="7AC36F0D" w14:textId="77777777" w:rsidR="003969B0" w:rsidRPr="00F42BEC" w:rsidRDefault="003969B0" w:rsidP="00F42BEC">
      <w:pPr>
        <w:spacing w:line="240" w:lineRule="auto"/>
        <w:jc w:val="both"/>
        <w:rPr>
          <w:rFonts w:ascii="Times New Roman" w:hAnsi="Times New Roman" w:cs="Times New Roman"/>
        </w:rPr>
      </w:pPr>
    </w:p>
    <w:p w14:paraId="695BFC8A" w14:textId="05CE479A" w:rsidR="002973B0" w:rsidRPr="00F42BEC" w:rsidRDefault="002973B0" w:rsidP="00F42BEC">
      <w:pPr>
        <w:spacing w:line="240" w:lineRule="auto"/>
        <w:jc w:val="both"/>
        <w:rPr>
          <w:rFonts w:ascii="Times New Roman" w:hAnsi="Times New Roman" w:cs="Times New Roman"/>
          <w:noProof/>
          <w14:ligatures w14:val="none"/>
        </w:rPr>
      </w:pPr>
      <w:r w:rsidRPr="00F42BEC">
        <w:rPr>
          <w:rFonts w:ascii="Times New Roman" w:hAnsi="Times New Roman" w:cs="Times New Roman"/>
          <w:noProof/>
          <w14:ligatures w14:val="none"/>
        </w:rPr>
        <w:lastRenderedPageBreak/>
        <w:drawing>
          <wp:inline distT="0" distB="0" distL="0" distR="0" wp14:anchorId="559D805D" wp14:editId="16524A14">
            <wp:extent cx="4488180" cy="2575560"/>
            <wp:effectExtent l="0" t="0" r="7620" b="15240"/>
            <wp:docPr id="1932473970" name="Chart 1">
              <a:extLst xmlns:a="http://schemas.openxmlformats.org/drawingml/2006/main">
                <a:ext uri="{FF2B5EF4-FFF2-40B4-BE49-F238E27FC236}">
                  <a16:creationId xmlns:a16="http://schemas.microsoft.com/office/drawing/2014/main" id="{F7E1563D-5CDF-1DF6-CFF8-F1489A6540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E8B159" w14:textId="77777777" w:rsidR="002973B0" w:rsidRPr="00F42BEC" w:rsidRDefault="002973B0" w:rsidP="00F42BEC">
      <w:pPr>
        <w:spacing w:line="240" w:lineRule="auto"/>
        <w:jc w:val="both"/>
        <w:rPr>
          <w:rFonts w:ascii="Times New Roman" w:hAnsi="Times New Roman" w:cs="Times New Roman"/>
          <w:noProof/>
          <w14:ligatures w14:val="none"/>
        </w:rPr>
      </w:pPr>
    </w:p>
    <w:p w14:paraId="696EFF8E" w14:textId="77777777" w:rsidR="00EF342F"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w:t>
      </w:r>
    </w:p>
    <w:p w14:paraId="3CBC56E2" w14:textId="40F3E915"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 chart shows that cultural and emotional factors are really important when it comes to the food people choose to eat. Most people, 52% think these factors are somewhat important. This means that people consider things like family traditions and their feelings when they pick food. They also think about how easy it's to get the food and if it is good for them. Some people even look at what's popular now like food plans that use artificial intelligence.</w:t>
      </w:r>
    </w:p>
    <w:p w14:paraId="503AEA04" w14:textId="6D6FB757"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A big group of people 40%think cultural and emotional factors are very important. This shows that food is closely tied to the way people were raised and what they believe in. These people like to get advice on food from someone who understands where they come from. They trust people who know about the food that's part of their culture.</w:t>
      </w:r>
    </w:p>
    <w:p w14:paraId="00195B0B" w14:textId="2381D72E"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A few people, 7% do not think cultural and emotional factors matter. This means that most people care about the emotional side of food. They might not like to use a computer program to tell them what to eat if it does not understand their culture.</w:t>
      </w:r>
    </w:p>
    <w:p w14:paraId="12ECF1D6" w14:textId="4B828393"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So, what we learn from this is that cultural and emotional factors are a part of what people eat. Any system that gives people advice on food ones that use artificial intelligence should think about these factors. This will help people like the advice they get and think it is relevant, to their lives.</w:t>
      </w:r>
    </w:p>
    <w:p w14:paraId="454C5E0A" w14:textId="4C18960B"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Comfort Level with AI-Generated Personalized Diet Advice</w:t>
      </w:r>
    </w:p>
    <w:tbl>
      <w:tblPr>
        <w:tblStyle w:val="GridTable6Colorful-Accent2"/>
        <w:tblW w:w="0" w:type="auto"/>
        <w:tblLook w:val="04A0" w:firstRow="1" w:lastRow="0" w:firstColumn="1" w:lastColumn="0" w:noHBand="0" w:noVBand="1"/>
      </w:tblPr>
      <w:tblGrid>
        <w:gridCol w:w="3005"/>
        <w:gridCol w:w="3005"/>
        <w:gridCol w:w="3006"/>
      </w:tblGrid>
      <w:tr w:rsidR="002973B0" w:rsidRPr="00F42BEC" w14:paraId="7D6FC864"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DC07C41"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PARTICULARS</w:t>
            </w:r>
          </w:p>
        </w:tc>
        <w:tc>
          <w:tcPr>
            <w:tcW w:w="3005" w:type="dxa"/>
          </w:tcPr>
          <w:p w14:paraId="7C6B7C30"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No of participants</w:t>
            </w:r>
          </w:p>
        </w:tc>
        <w:tc>
          <w:tcPr>
            <w:tcW w:w="3006" w:type="dxa"/>
          </w:tcPr>
          <w:p w14:paraId="42882E94"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Percentage</w:t>
            </w:r>
          </w:p>
        </w:tc>
      </w:tr>
      <w:tr w:rsidR="002973B0" w:rsidRPr="00F42BEC" w14:paraId="1DBD7029"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467A25C"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Very uncomfortable</w:t>
            </w:r>
          </w:p>
        </w:tc>
        <w:tc>
          <w:tcPr>
            <w:tcW w:w="3005" w:type="dxa"/>
          </w:tcPr>
          <w:p w14:paraId="56CC6AFA"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5</w:t>
            </w:r>
          </w:p>
        </w:tc>
        <w:tc>
          <w:tcPr>
            <w:tcW w:w="3006" w:type="dxa"/>
          </w:tcPr>
          <w:p w14:paraId="7B30E490"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4%</w:t>
            </w:r>
          </w:p>
        </w:tc>
      </w:tr>
      <w:tr w:rsidR="002973B0" w:rsidRPr="00F42BEC" w14:paraId="76E5DE4D"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07849483"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Uncomfortable</w:t>
            </w:r>
          </w:p>
        </w:tc>
        <w:tc>
          <w:tcPr>
            <w:tcW w:w="3005" w:type="dxa"/>
          </w:tcPr>
          <w:p w14:paraId="0442213D"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35</w:t>
            </w:r>
          </w:p>
        </w:tc>
        <w:tc>
          <w:tcPr>
            <w:tcW w:w="3006" w:type="dxa"/>
          </w:tcPr>
          <w:p w14:paraId="7801C4BF"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28%</w:t>
            </w:r>
          </w:p>
        </w:tc>
      </w:tr>
      <w:tr w:rsidR="002973B0" w:rsidRPr="00F42BEC" w14:paraId="393205E9"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B8E272E"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Comfortable</w:t>
            </w:r>
          </w:p>
        </w:tc>
        <w:tc>
          <w:tcPr>
            <w:tcW w:w="3005" w:type="dxa"/>
          </w:tcPr>
          <w:p w14:paraId="47820F9D"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72</w:t>
            </w:r>
          </w:p>
        </w:tc>
        <w:tc>
          <w:tcPr>
            <w:tcW w:w="3006" w:type="dxa"/>
          </w:tcPr>
          <w:p w14:paraId="639DD645"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57%</w:t>
            </w:r>
          </w:p>
        </w:tc>
      </w:tr>
      <w:tr w:rsidR="002973B0" w:rsidRPr="00F42BEC" w14:paraId="6D19F862"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4F198440"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Very Comfortable</w:t>
            </w:r>
          </w:p>
        </w:tc>
        <w:tc>
          <w:tcPr>
            <w:tcW w:w="3005" w:type="dxa"/>
          </w:tcPr>
          <w:p w14:paraId="20F36577"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14</w:t>
            </w:r>
          </w:p>
        </w:tc>
        <w:tc>
          <w:tcPr>
            <w:tcW w:w="3006" w:type="dxa"/>
          </w:tcPr>
          <w:p w14:paraId="34885462"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11%</w:t>
            </w:r>
          </w:p>
        </w:tc>
      </w:tr>
      <w:tr w:rsidR="002973B0" w:rsidRPr="00F42BEC" w14:paraId="545BC227"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85ABE11"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 xml:space="preserve">Total </w:t>
            </w:r>
          </w:p>
        </w:tc>
        <w:tc>
          <w:tcPr>
            <w:tcW w:w="3005" w:type="dxa"/>
          </w:tcPr>
          <w:p w14:paraId="6C3A4C65"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126</w:t>
            </w:r>
          </w:p>
        </w:tc>
        <w:tc>
          <w:tcPr>
            <w:tcW w:w="3006" w:type="dxa"/>
          </w:tcPr>
          <w:p w14:paraId="13919DB4"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100%</w:t>
            </w:r>
          </w:p>
        </w:tc>
      </w:tr>
    </w:tbl>
    <w:p w14:paraId="288F8D3A" w14:textId="6E42E437" w:rsidR="002973B0" w:rsidRPr="00F42BEC" w:rsidRDefault="002973B0" w:rsidP="00F42BEC">
      <w:pPr>
        <w:tabs>
          <w:tab w:val="left" w:pos="1500"/>
        </w:tabs>
        <w:spacing w:line="240" w:lineRule="auto"/>
        <w:jc w:val="both"/>
        <w:rPr>
          <w:rFonts w:ascii="Times New Roman" w:hAnsi="Times New Roman" w:cs="Times New Roman"/>
        </w:rPr>
      </w:pPr>
    </w:p>
    <w:p w14:paraId="02A7B742" w14:textId="772E09AF" w:rsidR="002973B0" w:rsidRPr="00F42BEC" w:rsidRDefault="002973B0" w:rsidP="00F42BEC">
      <w:pPr>
        <w:tabs>
          <w:tab w:val="left" w:pos="1500"/>
        </w:tabs>
        <w:spacing w:line="240" w:lineRule="auto"/>
        <w:jc w:val="both"/>
        <w:rPr>
          <w:rFonts w:ascii="Times New Roman" w:hAnsi="Times New Roman" w:cs="Times New Roman"/>
        </w:rPr>
      </w:pPr>
      <w:r w:rsidRPr="00F42BEC">
        <w:rPr>
          <w:rFonts w:ascii="Times New Roman" w:hAnsi="Times New Roman" w:cs="Times New Roman"/>
          <w:noProof/>
          <w14:ligatures w14:val="none"/>
        </w:rPr>
        <w:lastRenderedPageBreak/>
        <w:drawing>
          <wp:inline distT="0" distB="0" distL="0" distR="0" wp14:anchorId="3C366CF2" wp14:editId="0EFE5FC0">
            <wp:extent cx="4572000" cy="2743200"/>
            <wp:effectExtent l="0" t="0" r="0" b="0"/>
            <wp:docPr id="859722637" name="Chart 1">
              <a:extLst xmlns:a="http://schemas.openxmlformats.org/drawingml/2006/main">
                <a:ext uri="{FF2B5EF4-FFF2-40B4-BE49-F238E27FC236}">
                  <a16:creationId xmlns:a16="http://schemas.microsoft.com/office/drawing/2014/main" id="{36E57431-9CB0-AD8D-21BB-EA721D143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95720D" w14:textId="3DB0EDD4" w:rsidR="002973B0"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INTERPRETATIONS:</w:t>
      </w:r>
    </w:p>
    <w:p w14:paraId="3C68F343" w14:textId="1F1612D1"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The data shows how people feel about getting personalized diet advice from Artificial </w:t>
      </w:r>
      <w:r w:rsidR="0007386F" w:rsidRPr="00F42BEC">
        <w:rPr>
          <w:rFonts w:ascii="Times New Roman" w:hAnsi="Times New Roman" w:cs="Times New Roman"/>
          <w:sz w:val="24"/>
          <w:szCs w:val="24"/>
        </w:rPr>
        <w:t>Intelligence.</w:t>
      </w:r>
      <w:r w:rsidRPr="00F42BEC">
        <w:rPr>
          <w:rFonts w:ascii="Times New Roman" w:hAnsi="Times New Roman" w:cs="Times New Roman"/>
          <w:sz w:val="24"/>
          <w:szCs w:val="24"/>
        </w:rPr>
        <w:t xml:space="preserve"> </w:t>
      </w:r>
      <w:r w:rsidR="0007386F" w:rsidRPr="00F42BEC">
        <w:rPr>
          <w:rFonts w:ascii="Times New Roman" w:hAnsi="Times New Roman" w:cs="Times New Roman"/>
          <w:sz w:val="24"/>
          <w:szCs w:val="24"/>
        </w:rPr>
        <w:t>Overall,</w:t>
      </w:r>
      <w:r w:rsidRPr="00F42BEC">
        <w:rPr>
          <w:rFonts w:ascii="Times New Roman" w:hAnsi="Times New Roman" w:cs="Times New Roman"/>
          <w:sz w:val="24"/>
          <w:szCs w:val="24"/>
        </w:rPr>
        <w:t xml:space="preserve"> it shows that people are careful and prefer to get advice from a dietitian.</w:t>
      </w:r>
    </w:p>
    <w:p w14:paraId="6BBFD57C" w14:textId="6A80013F"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Most people, 57%said they are fine with getting diet advice from Artificial intelligence. This means they are willing to try these tools because they are easy to use and can be accessed from anywhere. This does not mean they completely trust artificial intelligence. They are just open to trying it as another option or for some help.</w:t>
      </w:r>
    </w:p>
    <w:p w14:paraId="396DEAB6" w14:textId="1D87EE54"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Only a small number of people 11% feel very comfortable with Artificial intelligence. This shows that not many people have a lot of confidence in intelligence. On the hand 32% of people do not feel comfortable with artificial intelligence. They are probably worried that artificial intelligence does not really understand their health what they like to eat or what they need as a person. These are things that dietitians are better at</w:t>
      </w:r>
      <w:r w:rsidRPr="00F42BEC">
        <w:rPr>
          <w:rFonts w:ascii="Times New Roman" w:eastAsia="Times New Roman" w:hAnsi="Times New Roman" w:cs="Times New Roman"/>
          <w:b/>
          <w:bCs/>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because they can give people</w:t>
      </w:r>
      <w:r w:rsidRPr="00F42BEC">
        <w:rPr>
          <w:rFonts w:ascii="Times New Roman" w:eastAsia="Times New Roman" w:hAnsi="Times New Roman" w:cs="Times New Roman"/>
          <w:b/>
          <w:bCs/>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advice that is just for them and they can be more understanding.</w:t>
      </w:r>
    </w:p>
    <w:p w14:paraId="48D21AEA" w14:textId="77777777" w:rsidR="0007386F" w:rsidRPr="00F42BEC" w:rsidRDefault="0007386F"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Overall people are starting to accept intelligence but they still trust dietitians more. This means that artificial intelligence should be seen as a tool that can help not as a replacement for a person who knows a lot, about nutrition and can give people personalized advice.</w:t>
      </w:r>
    </w:p>
    <w:p w14:paraId="4C876AA0" w14:textId="59B7B84D"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Perception of AI’s Ability to Consider Cultural Food Preference</w:t>
      </w:r>
    </w:p>
    <w:tbl>
      <w:tblPr>
        <w:tblStyle w:val="GridTable6Colorful-Accent2"/>
        <w:tblW w:w="0" w:type="auto"/>
        <w:tblLook w:val="04A0" w:firstRow="1" w:lastRow="0" w:firstColumn="1" w:lastColumn="0" w:noHBand="0" w:noVBand="1"/>
      </w:tblPr>
      <w:tblGrid>
        <w:gridCol w:w="3005"/>
        <w:gridCol w:w="3005"/>
        <w:gridCol w:w="3006"/>
      </w:tblGrid>
      <w:tr w:rsidR="002973B0" w:rsidRPr="00F42BEC" w14:paraId="0C7136D4"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2125B4A"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1F1F1F"/>
                <w:sz w:val="24"/>
                <w:szCs w:val="24"/>
              </w:rPr>
              <w:t>PARTICULARS</w:t>
            </w:r>
          </w:p>
        </w:tc>
        <w:tc>
          <w:tcPr>
            <w:tcW w:w="3005" w:type="dxa"/>
          </w:tcPr>
          <w:p w14:paraId="1544CD39"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tcPr>
          <w:p w14:paraId="0B81C50D"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Percentage</w:t>
            </w:r>
          </w:p>
        </w:tc>
      </w:tr>
      <w:tr w:rsidR="002973B0" w:rsidRPr="00F42BEC" w14:paraId="7CB3AF7C"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E5111D8"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Strongly Disagree</w:t>
            </w:r>
          </w:p>
        </w:tc>
        <w:tc>
          <w:tcPr>
            <w:tcW w:w="3005" w:type="dxa"/>
          </w:tcPr>
          <w:p w14:paraId="37267977"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18</w:t>
            </w:r>
          </w:p>
        </w:tc>
        <w:tc>
          <w:tcPr>
            <w:tcW w:w="3006" w:type="dxa"/>
          </w:tcPr>
          <w:p w14:paraId="5A0E9695"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14%</w:t>
            </w:r>
          </w:p>
        </w:tc>
      </w:tr>
      <w:tr w:rsidR="002973B0" w:rsidRPr="00F42BEC" w14:paraId="1A027067"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146034B1"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Disagree</w:t>
            </w:r>
          </w:p>
        </w:tc>
        <w:tc>
          <w:tcPr>
            <w:tcW w:w="3005" w:type="dxa"/>
          </w:tcPr>
          <w:p w14:paraId="49D21B87"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52</w:t>
            </w:r>
          </w:p>
        </w:tc>
        <w:tc>
          <w:tcPr>
            <w:tcW w:w="3006" w:type="dxa"/>
          </w:tcPr>
          <w:p w14:paraId="1C76F0D9"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41%</w:t>
            </w:r>
          </w:p>
        </w:tc>
      </w:tr>
      <w:tr w:rsidR="002973B0" w:rsidRPr="00F42BEC" w14:paraId="397E1C0C"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A9EE267"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Agree</w:t>
            </w:r>
          </w:p>
        </w:tc>
        <w:tc>
          <w:tcPr>
            <w:tcW w:w="3005" w:type="dxa"/>
          </w:tcPr>
          <w:p w14:paraId="6C607217"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54</w:t>
            </w:r>
          </w:p>
        </w:tc>
        <w:tc>
          <w:tcPr>
            <w:tcW w:w="3006" w:type="dxa"/>
          </w:tcPr>
          <w:p w14:paraId="4B05D30B"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43%</w:t>
            </w:r>
          </w:p>
        </w:tc>
      </w:tr>
      <w:tr w:rsidR="002973B0" w:rsidRPr="00F42BEC" w14:paraId="6D38F845"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3606C40A"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Strongly agree</w:t>
            </w:r>
          </w:p>
        </w:tc>
        <w:tc>
          <w:tcPr>
            <w:tcW w:w="3005" w:type="dxa"/>
          </w:tcPr>
          <w:p w14:paraId="3C9B78A4"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w:t>
            </w:r>
          </w:p>
        </w:tc>
        <w:tc>
          <w:tcPr>
            <w:tcW w:w="3006" w:type="dxa"/>
          </w:tcPr>
          <w:p w14:paraId="33701095"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w:t>
            </w:r>
          </w:p>
        </w:tc>
      </w:tr>
      <w:tr w:rsidR="002973B0" w:rsidRPr="00F42BEC" w14:paraId="19D751E8"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D996E98"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color w:val="000000"/>
                <w:sz w:val="24"/>
                <w:szCs w:val="24"/>
              </w:rPr>
              <w:t>Total</w:t>
            </w:r>
          </w:p>
        </w:tc>
        <w:tc>
          <w:tcPr>
            <w:tcW w:w="3005" w:type="dxa"/>
          </w:tcPr>
          <w:p w14:paraId="42349D0D"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126</w:t>
            </w:r>
          </w:p>
        </w:tc>
        <w:tc>
          <w:tcPr>
            <w:tcW w:w="3006" w:type="dxa"/>
          </w:tcPr>
          <w:p w14:paraId="7779E1C6"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100%</w:t>
            </w:r>
          </w:p>
        </w:tc>
      </w:tr>
    </w:tbl>
    <w:p w14:paraId="047C7D4D" w14:textId="77777777" w:rsidR="002973B0" w:rsidRPr="00F42BEC" w:rsidRDefault="002973B0" w:rsidP="00F42BEC">
      <w:pPr>
        <w:tabs>
          <w:tab w:val="left" w:pos="1500"/>
        </w:tabs>
        <w:spacing w:line="240" w:lineRule="auto"/>
        <w:jc w:val="both"/>
        <w:rPr>
          <w:rFonts w:ascii="Times New Roman" w:hAnsi="Times New Roman" w:cs="Times New Roman"/>
        </w:rPr>
      </w:pPr>
    </w:p>
    <w:p w14:paraId="0804B046" w14:textId="0080AE3A" w:rsidR="002973B0" w:rsidRPr="00F42BEC" w:rsidRDefault="002973B0" w:rsidP="00F42BEC">
      <w:pPr>
        <w:tabs>
          <w:tab w:val="left" w:pos="1500"/>
        </w:tabs>
        <w:spacing w:line="240" w:lineRule="auto"/>
        <w:jc w:val="both"/>
        <w:rPr>
          <w:rFonts w:ascii="Times New Roman" w:hAnsi="Times New Roman" w:cs="Times New Roman"/>
        </w:rPr>
      </w:pPr>
      <w:r w:rsidRPr="00F42BEC">
        <w:rPr>
          <w:rFonts w:ascii="Times New Roman" w:hAnsi="Times New Roman" w:cs="Times New Roman"/>
          <w:noProof/>
          <w14:ligatures w14:val="none"/>
        </w:rPr>
        <w:lastRenderedPageBreak/>
        <w:drawing>
          <wp:inline distT="0" distB="0" distL="0" distR="0" wp14:anchorId="63A89C31" wp14:editId="567CFBB0">
            <wp:extent cx="4572000" cy="2743200"/>
            <wp:effectExtent l="0" t="0" r="0" b="0"/>
            <wp:docPr id="1364339490" name="Chart 1">
              <a:extLst xmlns:a="http://schemas.openxmlformats.org/drawingml/2006/main">
                <a:ext uri="{FF2B5EF4-FFF2-40B4-BE49-F238E27FC236}">
                  <a16:creationId xmlns:a16="http://schemas.microsoft.com/office/drawing/2014/main" id="{52B53B22-12FB-BB8A-D61C-CACD4884EA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23C4A7" w14:textId="04362E27" w:rsidR="002973B0"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INTERPRETATIONS:</w:t>
      </w:r>
    </w:p>
    <w:p w14:paraId="723C140E"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The chart illustrates respondents’ views on whether AI-generated diet plans take personal and cultural food preferences into account. Around 42.86% believe that AI can incorporate cultural aspects, reflecting a moderate level of acceptance of its personalization abilities. However, 41.27% disagree and 14.29% strongly disagree, indicating considerable </w:t>
      </w:r>
      <w:proofErr w:type="spellStart"/>
      <w:r w:rsidRPr="00F42BEC">
        <w:rPr>
          <w:rFonts w:ascii="Times New Roman" w:hAnsi="Times New Roman" w:cs="Times New Roman"/>
          <w:sz w:val="24"/>
          <w:szCs w:val="24"/>
        </w:rPr>
        <w:t>skepticism</w:t>
      </w:r>
      <w:proofErr w:type="spellEnd"/>
      <w:r w:rsidRPr="00F42BEC">
        <w:rPr>
          <w:rFonts w:ascii="Times New Roman" w:hAnsi="Times New Roman" w:cs="Times New Roman"/>
          <w:sz w:val="24"/>
          <w:szCs w:val="24"/>
        </w:rPr>
        <w:t xml:space="preserve"> about AI’s effectiveness in addressing diverse dietary practices. Only 1.59% strongly agree, suggesting very limited complete confidence in AI.</w:t>
      </w:r>
    </w:p>
    <w:p w14:paraId="05DA51AE"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Overall, the findings highlight a divided and uncertain perception, suggesting that AI still faces challenges in creating culturally appropriate diet plans. As most respondents are undergraduates aged 19–24, their familiarity with digital technologies may make them more open to AI, though they may have limited understanding of the personalized care provided by professional dietitians.</w:t>
      </w:r>
    </w:p>
    <w:p w14:paraId="1C2897DC" w14:textId="23FEC43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Perceived Effectiveness of AI in Diet Personalization</w:t>
      </w:r>
    </w:p>
    <w:tbl>
      <w:tblPr>
        <w:tblStyle w:val="GridTable6Colorful-Accent2"/>
        <w:tblW w:w="0" w:type="auto"/>
        <w:tblLook w:val="04A0" w:firstRow="1" w:lastRow="0" w:firstColumn="1" w:lastColumn="0" w:noHBand="0" w:noVBand="1"/>
      </w:tblPr>
      <w:tblGrid>
        <w:gridCol w:w="3005"/>
        <w:gridCol w:w="3005"/>
        <w:gridCol w:w="3006"/>
      </w:tblGrid>
      <w:tr w:rsidR="002973B0" w:rsidRPr="00F42BEC" w14:paraId="344E596B"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C569754"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1F1F1F"/>
                <w:sz w:val="24"/>
                <w:szCs w:val="24"/>
              </w:rPr>
              <w:t>PARTICULARS</w:t>
            </w:r>
          </w:p>
        </w:tc>
        <w:tc>
          <w:tcPr>
            <w:tcW w:w="3005" w:type="dxa"/>
          </w:tcPr>
          <w:p w14:paraId="00F86B81"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tcPr>
          <w:p w14:paraId="5540DC40"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Percentage</w:t>
            </w:r>
          </w:p>
        </w:tc>
      </w:tr>
      <w:tr w:rsidR="002973B0" w:rsidRPr="00F42BEC" w14:paraId="65F5456A"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CC93ED4"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Not at all</w:t>
            </w:r>
          </w:p>
        </w:tc>
        <w:tc>
          <w:tcPr>
            <w:tcW w:w="3005" w:type="dxa"/>
          </w:tcPr>
          <w:p w14:paraId="0F7C2682"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37</w:t>
            </w:r>
          </w:p>
        </w:tc>
        <w:tc>
          <w:tcPr>
            <w:tcW w:w="3006" w:type="dxa"/>
          </w:tcPr>
          <w:p w14:paraId="28DDF463"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29%</w:t>
            </w:r>
          </w:p>
        </w:tc>
      </w:tr>
      <w:tr w:rsidR="002973B0" w:rsidRPr="00F42BEC" w14:paraId="4A741508"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0D74F057"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Somewhat</w:t>
            </w:r>
          </w:p>
        </w:tc>
        <w:tc>
          <w:tcPr>
            <w:tcW w:w="3005" w:type="dxa"/>
          </w:tcPr>
          <w:p w14:paraId="5A35049B"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69</w:t>
            </w:r>
          </w:p>
        </w:tc>
        <w:tc>
          <w:tcPr>
            <w:tcW w:w="3006" w:type="dxa"/>
          </w:tcPr>
          <w:p w14:paraId="3EFEA7B1"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55%</w:t>
            </w:r>
          </w:p>
        </w:tc>
      </w:tr>
      <w:tr w:rsidR="002973B0" w:rsidRPr="00F42BEC" w14:paraId="5AFBEFCB"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257A4AD"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Mostly</w:t>
            </w:r>
          </w:p>
        </w:tc>
        <w:tc>
          <w:tcPr>
            <w:tcW w:w="3005" w:type="dxa"/>
          </w:tcPr>
          <w:p w14:paraId="575579B5"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15</w:t>
            </w:r>
          </w:p>
        </w:tc>
        <w:tc>
          <w:tcPr>
            <w:tcW w:w="3006" w:type="dxa"/>
          </w:tcPr>
          <w:p w14:paraId="052AEE13"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w:t>
            </w:r>
          </w:p>
        </w:tc>
      </w:tr>
      <w:tr w:rsidR="002973B0" w:rsidRPr="00F42BEC" w14:paraId="75D6A360"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0E2B34FC"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Completely</w:t>
            </w:r>
          </w:p>
        </w:tc>
        <w:tc>
          <w:tcPr>
            <w:tcW w:w="3005" w:type="dxa"/>
          </w:tcPr>
          <w:p w14:paraId="2A9C7327"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w:t>
            </w:r>
          </w:p>
        </w:tc>
        <w:tc>
          <w:tcPr>
            <w:tcW w:w="3006" w:type="dxa"/>
          </w:tcPr>
          <w:p w14:paraId="4EFA5D35"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w:t>
            </w:r>
          </w:p>
        </w:tc>
      </w:tr>
      <w:tr w:rsidR="002973B0" w:rsidRPr="00F42BEC" w14:paraId="1DD1515A"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6469402"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Total</w:t>
            </w:r>
          </w:p>
        </w:tc>
        <w:tc>
          <w:tcPr>
            <w:tcW w:w="3005" w:type="dxa"/>
          </w:tcPr>
          <w:p w14:paraId="1CA8ED91"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126</w:t>
            </w:r>
          </w:p>
        </w:tc>
        <w:tc>
          <w:tcPr>
            <w:tcW w:w="3006" w:type="dxa"/>
          </w:tcPr>
          <w:p w14:paraId="17AE892D"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100%</w:t>
            </w:r>
          </w:p>
        </w:tc>
      </w:tr>
    </w:tbl>
    <w:p w14:paraId="23E22552" w14:textId="77777777" w:rsidR="002973B0" w:rsidRPr="00F42BEC" w:rsidRDefault="002973B0" w:rsidP="00F42BEC">
      <w:pPr>
        <w:tabs>
          <w:tab w:val="left" w:pos="1500"/>
        </w:tabs>
        <w:spacing w:line="240" w:lineRule="auto"/>
        <w:jc w:val="both"/>
        <w:rPr>
          <w:rFonts w:ascii="Times New Roman" w:hAnsi="Times New Roman" w:cs="Times New Roman"/>
        </w:rPr>
      </w:pPr>
    </w:p>
    <w:p w14:paraId="05AC9CB6" w14:textId="4A04ACF0" w:rsidR="002973B0" w:rsidRPr="00F42BEC" w:rsidRDefault="002973B0" w:rsidP="00F42BEC">
      <w:pPr>
        <w:tabs>
          <w:tab w:val="left" w:pos="1500"/>
        </w:tabs>
        <w:spacing w:line="240" w:lineRule="auto"/>
        <w:jc w:val="both"/>
        <w:rPr>
          <w:rFonts w:ascii="Times New Roman" w:hAnsi="Times New Roman" w:cs="Times New Roman"/>
        </w:rPr>
      </w:pPr>
      <w:r w:rsidRPr="00F42BEC">
        <w:rPr>
          <w:rFonts w:ascii="Times New Roman" w:hAnsi="Times New Roman" w:cs="Times New Roman"/>
          <w:noProof/>
          <w14:ligatures w14:val="none"/>
        </w:rPr>
        <w:drawing>
          <wp:inline distT="0" distB="0" distL="0" distR="0" wp14:anchorId="306B3D38" wp14:editId="1D185281">
            <wp:extent cx="4572000" cy="2743200"/>
            <wp:effectExtent l="0" t="0" r="0" b="0"/>
            <wp:docPr id="472931965" name="Chart 1">
              <a:extLst xmlns:a="http://schemas.openxmlformats.org/drawingml/2006/main">
                <a:ext uri="{FF2B5EF4-FFF2-40B4-BE49-F238E27FC236}">
                  <a16:creationId xmlns:a16="http://schemas.microsoft.com/office/drawing/2014/main" id="{8028A8A2-2309-297A-62A6-50D1CB606B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6DF11B" w14:textId="1B669BBC" w:rsidR="002973B0" w:rsidRPr="00F42BEC" w:rsidRDefault="00EF342F"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INTERPRETATIONS:</w:t>
      </w:r>
    </w:p>
    <w:p w14:paraId="77C77C3C" w14:textId="02BCBD6E"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Th</w:t>
      </w:r>
      <w:r w:rsidR="001401A5" w:rsidRPr="00F42BEC">
        <w:rPr>
          <w:rFonts w:ascii="Times New Roman" w:hAnsi="Times New Roman" w:cs="Times New Roman"/>
          <w:sz w:val="24"/>
          <w:szCs w:val="24"/>
        </w:rPr>
        <w:t xml:space="preserve">is chart </w:t>
      </w:r>
      <w:r w:rsidRPr="00F42BEC">
        <w:rPr>
          <w:rFonts w:ascii="Times New Roman" w:hAnsi="Times New Roman" w:cs="Times New Roman"/>
          <w:sz w:val="24"/>
          <w:szCs w:val="24"/>
        </w:rPr>
        <w:t xml:space="preserve">shows what people think about AI-generated nutrition plans. Most people, </w:t>
      </w:r>
      <w:r w:rsidR="001401A5" w:rsidRPr="00F42BEC">
        <w:rPr>
          <w:rFonts w:ascii="Times New Roman" w:hAnsi="Times New Roman" w:cs="Times New Roman"/>
          <w:sz w:val="24"/>
          <w:szCs w:val="24"/>
        </w:rPr>
        <w:t xml:space="preserve">(55%) </w:t>
      </w:r>
      <w:r w:rsidRPr="00F42BEC">
        <w:rPr>
          <w:rFonts w:ascii="Times New Roman" w:hAnsi="Times New Roman" w:cs="Times New Roman"/>
          <w:sz w:val="24"/>
          <w:szCs w:val="24"/>
        </w:rPr>
        <w:t>said they</w:t>
      </w:r>
      <w:r w:rsidR="001401A5" w:rsidRPr="00F42BEC">
        <w:rPr>
          <w:rFonts w:ascii="Times New Roman" w:hAnsi="Times New Roman" w:cs="Times New Roman"/>
          <w:sz w:val="24"/>
          <w:szCs w:val="24"/>
        </w:rPr>
        <w:t xml:space="preserve"> have somewhat</w:t>
      </w:r>
      <w:r w:rsidRPr="00F42BEC">
        <w:rPr>
          <w:rFonts w:ascii="Times New Roman" w:hAnsi="Times New Roman" w:cs="Times New Roman"/>
          <w:sz w:val="24"/>
          <w:szCs w:val="24"/>
        </w:rPr>
        <w:t xml:space="preserve"> trust</w:t>
      </w:r>
      <w:r w:rsidR="001401A5" w:rsidRPr="00F42BEC">
        <w:rPr>
          <w:rFonts w:ascii="Times New Roman" w:hAnsi="Times New Roman" w:cs="Times New Roman"/>
          <w:sz w:val="24"/>
          <w:szCs w:val="24"/>
        </w:rPr>
        <w:t xml:space="preserve"> in AI. </w:t>
      </w:r>
      <w:r w:rsidRPr="00F42BEC">
        <w:rPr>
          <w:rFonts w:ascii="Times New Roman" w:hAnsi="Times New Roman" w:cs="Times New Roman"/>
          <w:sz w:val="24"/>
          <w:szCs w:val="24"/>
        </w:rPr>
        <w:t>This means that a lot of people are willing to use AI. They still have some doubts.</w:t>
      </w:r>
    </w:p>
    <w:p w14:paraId="3AF60B6C" w14:textId="4920C48F" w:rsidR="002973B0" w:rsidRPr="00F42BEC" w:rsidRDefault="00166A67"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lastRenderedPageBreak/>
        <w:t xml:space="preserve">29% of people </w:t>
      </w:r>
      <w:r w:rsidR="002973B0" w:rsidRPr="00F42BEC">
        <w:rPr>
          <w:rFonts w:ascii="Times New Roman" w:hAnsi="Times New Roman" w:cs="Times New Roman"/>
          <w:sz w:val="24"/>
          <w:szCs w:val="24"/>
        </w:rPr>
        <w:t>said they do not trust AI all which shows that a lot of people do not think AI can give good nutrition advice. This shows that people are still worried about whether AI can give them the information if it is personalized for them and if it is reliable.</w:t>
      </w:r>
    </w:p>
    <w:p w14:paraId="0C21115E" w14:textId="2BE16BA6" w:rsidR="002973B0" w:rsidRPr="00F42BEC" w:rsidRDefault="00166A67"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12% </w:t>
      </w:r>
      <w:r w:rsidR="002973B0" w:rsidRPr="00F42BEC">
        <w:rPr>
          <w:rFonts w:ascii="Times New Roman" w:hAnsi="Times New Roman" w:cs="Times New Roman"/>
          <w:sz w:val="24"/>
          <w:szCs w:val="24"/>
        </w:rPr>
        <w:t xml:space="preserve">of people said they mostly trust AI and a very small number of people </w:t>
      </w:r>
      <w:r w:rsidRPr="00F42BEC">
        <w:rPr>
          <w:rFonts w:ascii="Times New Roman" w:hAnsi="Times New Roman" w:cs="Times New Roman"/>
          <w:sz w:val="24"/>
          <w:szCs w:val="24"/>
        </w:rPr>
        <w:t xml:space="preserve">4% of people </w:t>
      </w:r>
      <w:r w:rsidR="002973B0" w:rsidRPr="00F42BEC">
        <w:rPr>
          <w:rFonts w:ascii="Times New Roman" w:hAnsi="Times New Roman" w:cs="Times New Roman"/>
          <w:sz w:val="24"/>
          <w:szCs w:val="24"/>
        </w:rPr>
        <w:t>completely trust AI. This means that not many people have a lot of trust in AI.</w:t>
      </w:r>
    </w:p>
    <w:p w14:paraId="6BA40289" w14:textId="45F8FDDB" w:rsidR="002973B0" w:rsidRPr="00F42BEC" w:rsidRDefault="00EF342F"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Overall,</w:t>
      </w:r>
      <w:r w:rsidR="002973B0" w:rsidRPr="00F42BEC">
        <w:rPr>
          <w:rFonts w:ascii="Times New Roman" w:hAnsi="Times New Roman" w:cs="Times New Roman"/>
          <w:sz w:val="24"/>
          <w:szCs w:val="24"/>
        </w:rPr>
        <w:t xml:space="preserve"> the information shows that people are okay, with using AI to some extent. They do not completely trust it. Most people are still careful. May want to double check or have someone else help them when they use AI-generated nutrition plans.</w:t>
      </w:r>
    </w:p>
    <w:p w14:paraId="21550C54" w14:textId="55BB07C3"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Influence of Cost on Preference for AI and Dietitian Consultation</w:t>
      </w:r>
    </w:p>
    <w:tbl>
      <w:tblPr>
        <w:tblStyle w:val="GridTable6Colorful-Accent2"/>
        <w:tblW w:w="0" w:type="auto"/>
        <w:tblLook w:val="04A0" w:firstRow="1" w:lastRow="0" w:firstColumn="1" w:lastColumn="0" w:noHBand="0" w:noVBand="1"/>
      </w:tblPr>
      <w:tblGrid>
        <w:gridCol w:w="3005"/>
        <w:gridCol w:w="3005"/>
        <w:gridCol w:w="3006"/>
      </w:tblGrid>
      <w:tr w:rsidR="002973B0" w:rsidRPr="00F42BEC" w14:paraId="4A832721" w14:textId="77777777" w:rsidTr="0028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6C6A517"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1F1F1F"/>
                <w:sz w:val="24"/>
                <w:szCs w:val="24"/>
              </w:rPr>
              <w:t>PARTICULARS</w:t>
            </w:r>
          </w:p>
        </w:tc>
        <w:tc>
          <w:tcPr>
            <w:tcW w:w="3005" w:type="dxa"/>
          </w:tcPr>
          <w:p w14:paraId="1DB85480"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No of participants</w:t>
            </w:r>
          </w:p>
        </w:tc>
        <w:tc>
          <w:tcPr>
            <w:tcW w:w="3006" w:type="dxa"/>
          </w:tcPr>
          <w:p w14:paraId="438E709E" w14:textId="77777777" w:rsidR="002973B0" w:rsidRPr="00F42BEC" w:rsidRDefault="002973B0" w:rsidP="00F42BE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Percentage</w:t>
            </w:r>
          </w:p>
        </w:tc>
      </w:tr>
      <w:tr w:rsidR="002973B0" w:rsidRPr="00F42BEC" w14:paraId="6DB9122A"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480ECA4"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No influence</w:t>
            </w:r>
          </w:p>
        </w:tc>
        <w:tc>
          <w:tcPr>
            <w:tcW w:w="3005" w:type="dxa"/>
          </w:tcPr>
          <w:p w14:paraId="01030648"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25</w:t>
            </w:r>
          </w:p>
        </w:tc>
        <w:tc>
          <w:tcPr>
            <w:tcW w:w="3006" w:type="dxa"/>
          </w:tcPr>
          <w:p w14:paraId="6C149C32"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20%</w:t>
            </w:r>
          </w:p>
        </w:tc>
      </w:tr>
      <w:tr w:rsidR="002973B0" w:rsidRPr="00F42BEC" w14:paraId="0C8D843F"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6FFABF21"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Slightly</w:t>
            </w:r>
          </w:p>
        </w:tc>
        <w:tc>
          <w:tcPr>
            <w:tcW w:w="3005" w:type="dxa"/>
          </w:tcPr>
          <w:p w14:paraId="01834828"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50</w:t>
            </w:r>
          </w:p>
        </w:tc>
        <w:tc>
          <w:tcPr>
            <w:tcW w:w="3006" w:type="dxa"/>
          </w:tcPr>
          <w:p w14:paraId="2473E10D"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40%</w:t>
            </w:r>
          </w:p>
        </w:tc>
      </w:tr>
      <w:tr w:rsidR="002973B0" w:rsidRPr="00F42BEC" w14:paraId="2FE0E930"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C171FAB"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Moderate</w:t>
            </w:r>
          </w:p>
        </w:tc>
        <w:tc>
          <w:tcPr>
            <w:tcW w:w="3005" w:type="dxa"/>
          </w:tcPr>
          <w:p w14:paraId="0E26BCDA"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43</w:t>
            </w:r>
          </w:p>
        </w:tc>
        <w:tc>
          <w:tcPr>
            <w:tcW w:w="3006" w:type="dxa"/>
          </w:tcPr>
          <w:p w14:paraId="7F27AB3B"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34%</w:t>
            </w:r>
          </w:p>
        </w:tc>
      </w:tr>
      <w:tr w:rsidR="002973B0" w:rsidRPr="00F42BEC" w14:paraId="43F86424" w14:textId="77777777" w:rsidTr="00283142">
        <w:tc>
          <w:tcPr>
            <w:cnfStyle w:val="001000000000" w:firstRow="0" w:lastRow="0" w:firstColumn="1" w:lastColumn="0" w:oddVBand="0" w:evenVBand="0" w:oddHBand="0" w:evenHBand="0" w:firstRowFirstColumn="0" w:firstRowLastColumn="0" w:lastRowFirstColumn="0" w:lastRowLastColumn="0"/>
            <w:tcW w:w="3005" w:type="dxa"/>
          </w:tcPr>
          <w:p w14:paraId="625EA423" w14:textId="77777777" w:rsidR="002973B0" w:rsidRPr="00F42BEC" w:rsidRDefault="002973B0" w:rsidP="00F42BEC">
            <w:pPr>
              <w:spacing w:before="100" w:beforeAutospacing="1" w:after="100" w:afterAutospacing="1"/>
              <w:jc w:val="both"/>
              <w:rPr>
                <w:rFonts w:ascii="Times New Roman" w:eastAsia="Times New Roman" w:hAnsi="Times New Roman" w:cs="Times New Roman"/>
                <w:b w:val="0"/>
                <w:bCs w:val="0"/>
                <w:kern w:val="0"/>
                <w:sz w:val="24"/>
                <w:szCs w:val="24"/>
                <w:lang w:eastAsia="en-IN"/>
                <w14:ligatures w14:val="none"/>
              </w:rPr>
            </w:pPr>
            <w:r w:rsidRPr="00F42BEC">
              <w:rPr>
                <w:rFonts w:ascii="Times New Roman" w:hAnsi="Times New Roman" w:cs="Times New Roman"/>
                <w:b w:val="0"/>
                <w:bCs w:val="0"/>
                <w:color w:val="000000"/>
                <w:sz w:val="24"/>
                <w:szCs w:val="24"/>
              </w:rPr>
              <w:t>Strong</w:t>
            </w:r>
          </w:p>
        </w:tc>
        <w:tc>
          <w:tcPr>
            <w:tcW w:w="3005" w:type="dxa"/>
          </w:tcPr>
          <w:p w14:paraId="63CBBA6A"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8</w:t>
            </w:r>
          </w:p>
        </w:tc>
        <w:tc>
          <w:tcPr>
            <w:tcW w:w="3006" w:type="dxa"/>
          </w:tcPr>
          <w:p w14:paraId="19BB5D56" w14:textId="77777777" w:rsidR="002973B0" w:rsidRPr="00F42BEC" w:rsidRDefault="002973B0" w:rsidP="00F42BE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6%</w:t>
            </w:r>
          </w:p>
        </w:tc>
      </w:tr>
      <w:tr w:rsidR="002973B0" w:rsidRPr="00F42BEC" w14:paraId="26AF1EC4" w14:textId="77777777" w:rsidTr="0028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B267FE3" w14:textId="77777777" w:rsidR="002973B0" w:rsidRPr="00F42BEC" w:rsidRDefault="002973B0" w:rsidP="00F42BEC">
            <w:pPr>
              <w:spacing w:before="100" w:beforeAutospacing="1" w:after="100" w:afterAutospacing="1"/>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color w:val="000000"/>
                <w:sz w:val="24"/>
                <w:szCs w:val="24"/>
              </w:rPr>
              <w:t>Total</w:t>
            </w:r>
          </w:p>
        </w:tc>
        <w:tc>
          <w:tcPr>
            <w:tcW w:w="3005" w:type="dxa"/>
          </w:tcPr>
          <w:p w14:paraId="7F04F3E3"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126</w:t>
            </w:r>
          </w:p>
        </w:tc>
        <w:tc>
          <w:tcPr>
            <w:tcW w:w="3006" w:type="dxa"/>
          </w:tcPr>
          <w:p w14:paraId="7C0D5627" w14:textId="77777777" w:rsidR="002973B0" w:rsidRPr="00F42BEC" w:rsidRDefault="002973B0" w:rsidP="00F42BE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color w:val="000000"/>
                <w:sz w:val="24"/>
                <w:szCs w:val="24"/>
              </w:rPr>
              <w:t>100%</w:t>
            </w:r>
          </w:p>
        </w:tc>
      </w:tr>
    </w:tbl>
    <w:p w14:paraId="273BFDC7"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noProof/>
          <w14:ligatures w14:val="none"/>
        </w:rPr>
        <w:drawing>
          <wp:inline distT="0" distB="0" distL="0" distR="0" wp14:anchorId="43837417" wp14:editId="2509640F">
            <wp:extent cx="4572000" cy="2743200"/>
            <wp:effectExtent l="0" t="0" r="0" b="0"/>
            <wp:docPr id="1097130375" name="Chart 1">
              <a:extLst xmlns:a="http://schemas.openxmlformats.org/drawingml/2006/main">
                <a:ext uri="{FF2B5EF4-FFF2-40B4-BE49-F238E27FC236}">
                  <a16:creationId xmlns:a16="http://schemas.microsoft.com/office/drawing/2014/main" id="{D94C445B-80BF-67C3-3545-D131D5BC4D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D6C3C38" w14:textId="77777777" w:rsidR="00EF342F" w:rsidRPr="00F42BEC" w:rsidRDefault="002973B0" w:rsidP="00F42BEC">
      <w:pPr>
        <w:spacing w:line="240" w:lineRule="auto"/>
        <w:jc w:val="both"/>
        <w:rPr>
          <w:rFonts w:ascii="Times New Roman" w:hAnsi="Times New Roman" w:cs="Times New Roman"/>
        </w:rPr>
      </w:pPr>
      <w:r w:rsidRPr="00F42BEC">
        <w:rPr>
          <w:rFonts w:ascii="Times New Roman" w:hAnsi="Times New Roman" w:cs="Times New Roman"/>
          <w:b/>
          <w:bCs/>
          <w:sz w:val="24"/>
          <w:szCs w:val="24"/>
        </w:rPr>
        <w:t>INTERPRETATION:</w:t>
      </w:r>
    </w:p>
    <w:p w14:paraId="6DC0913B" w14:textId="66438F35" w:rsidR="001401A5"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rPr>
        <w:t xml:space="preserve"> </w:t>
      </w:r>
      <w:r w:rsidR="001401A5" w:rsidRPr="00F42BEC">
        <w:rPr>
          <w:rFonts w:ascii="Times New Roman" w:hAnsi="Times New Roman" w:cs="Times New Roman"/>
          <w:sz w:val="24"/>
          <w:szCs w:val="24"/>
        </w:rPr>
        <w:t>This chart shows that cost significantly influences most people's choice between AI-based nutrition plans and consulting a dietitian, though it's rarely the sole deciding factor.</w:t>
      </w:r>
    </w:p>
    <w:p w14:paraId="0F9079D9" w14:textId="77777777" w:rsidR="001401A5" w:rsidRPr="00F42BEC" w:rsidRDefault="001401A5" w:rsidP="00F42BEC">
      <w:pPr>
        <w:numPr>
          <w:ilvl w:val="0"/>
          <w:numId w:val="4"/>
        </w:num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40% reported that cost has a moderate influence, highlighting affordability as a key but not dominant consideration.</w:t>
      </w:r>
    </w:p>
    <w:p w14:paraId="349F4596" w14:textId="77777777" w:rsidR="001401A5" w:rsidRPr="00F42BEC" w:rsidRDefault="001401A5" w:rsidP="00F42BEC">
      <w:pPr>
        <w:numPr>
          <w:ilvl w:val="0"/>
          <w:numId w:val="4"/>
        </w:num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34% indicated it has a strong influence, underscoring its importance for many.</w:t>
      </w:r>
    </w:p>
    <w:p w14:paraId="5D3D5778" w14:textId="77777777" w:rsidR="001401A5" w:rsidRPr="00F42BEC" w:rsidRDefault="001401A5" w:rsidP="00F42BEC">
      <w:pPr>
        <w:numPr>
          <w:ilvl w:val="0"/>
          <w:numId w:val="4"/>
        </w:num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20% said cost doesn't matter, prioritizing factors like quality, personalized advice, and trust.</w:t>
      </w:r>
    </w:p>
    <w:p w14:paraId="1551777B" w14:textId="77777777" w:rsidR="001401A5" w:rsidRPr="00F42BEC" w:rsidRDefault="001401A5" w:rsidP="00F42BEC">
      <w:pPr>
        <w:numPr>
          <w:ilvl w:val="0"/>
          <w:numId w:val="4"/>
        </w:num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Only 6% viewed cost as the major factor, showing few base decisions on price alone.</w:t>
      </w:r>
    </w:p>
    <w:p w14:paraId="7905F1BA" w14:textId="77777777" w:rsidR="000C77EA" w:rsidRDefault="001401A5" w:rsidP="000C77EA">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Overall, while cost matters to the majority (94%), people value effective, tailored nutrition guidance enough to pay more, blending affordability with quality in their choices.</w:t>
      </w:r>
    </w:p>
    <w:p w14:paraId="76B77711" w14:textId="49D4852D" w:rsidR="002973B0" w:rsidRPr="000C77EA" w:rsidRDefault="002973B0" w:rsidP="000C77EA">
      <w:pPr>
        <w:spacing w:line="240" w:lineRule="auto"/>
        <w:jc w:val="both"/>
        <w:rPr>
          <w:rFonts w:ascii="Times New Roman" w:hAnsi="Times New Roman" w:cs="Times New Roman"/>
          <w:sz w:val="24"/>
          <w:szCs w:val="24"/>
        </w:rPr>
      </w:pPr>
      <w:r w:rsidRPr="00F42BEC">
        <w:rPr>
          <w:rFonts w:ascii="Times New Roman" w:eastAsia="Times New Roman" w:hAnsi="Times New Roman" w:cs="Times New Roman"/>
          <w:b/>
          <w:bCs/>
          <w:kern w:val="0"/>
          <w:sz w:val="24"/>
          <w:szCs w:val="24"/>
          <w:lang w:eastAsia="en-IN"/>
          <w14:ligatures w14:val="none"/>
        </w:rPr>
        <w:t xml:space="preserve"> Statistical Analysis</w:t>
      </w:r>
    </w:p>
    <w:p w14:paraId="775FC2E1" w14:textId="3C0400BA"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Relationship Between Cost Influence and Comfort with AI-Generated Diet Advice</w:t>
      </w:r>
    </w:p>
    <w:p w14:paraId="2FC42DBF"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Spearman Rank Correlation: </w:t>
      </w:r>
    </w:p>
    <w:p w14:paraId="141BC38B"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Hypotheses</w:t>
      </w:r>
    </w:p>
    <w:p w14:paraId="08296618"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lastRenderedPageBreak/>
        <w:t>H₀ (NULL HYPOTHESIS):</w:t>
      </w:r>
      <w:r w:rsidRPr="00F42BEC">
        <w:rPr>
          <w:rFonts w:ascii="Times New Roman" w:eastAsia="Times New Roman" w:hAnsi="Times New Roman" w:cs="Times New Roman"/>
          <w:kern w:val="0"/>
          <w:sz w:val="24"/>
          <w:szCs w:val="24"/>
          <w:lang w:eastAsia="en-IN"/>
          <w14:ligatures w14:val="none"/>
        </w:rPr>
        <w:t xml:space="preserve"> There is no significant relationship between cost influence and comfort with AI diet advice.</w:t>
      </w:r>
    </w:p>
    <w:p w14:paraId="373E5BD8"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H₁ (ALTERNATIVE HYPOTHESIS):</w:t>
      </w:r>
      <w:r w:rsidRPr="00F42BEC">
        <w:rPr>
          <w:rFonts w:ascii="Times New Roman" w:eastAsia="Times New Roman" w:hAnsi="Times New Roman" w:cs="Times New Roman"/>
          <w:kern w:val="0"/>
          <w:sz w:val="24"/>
          <w:szCs w:val="24"/>
          <w:lang w:eastAsia="en-IN"/>
          <w14:ligatures w14:val="none"/>
        </w:rPr>
        <w:t xml:space="preserve"> There is a significant relationship between cost influence and comfort with AI diet advice</w:t>
      </w:r>
    </w:p>
    <w:p w14:paraId="6E563EFD"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hAnsi="Times New Roman" w:cs="Times New Roman"/>
          <w:noProof/>
          <w14:ligatures w14:val="none"/>
        </w:rPr>
        <w:drawing>
          <wp:inline distT="0" distB="0" distL="0" distR="0" wp14:anchorId="18A0F31D" wp14:editId="719B7194">
            <wp:extent cx="5715000" cy="2238375"/>
            <wp:effectExtent l="0" t="0" r="0" b="9525"/>
            <wp:docPr id="600539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39577"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15000" cy="2238375"/>
                    </a:xfrm>
                    <a:prstGeom prst="rect">
                      <a:avLst/>
                    </a:prstGeom>
                    <a:noFill/>
                  </pic:spPr>
                </pic:pic>
              </a:graphicData>
            </a:graphic>
          </wp:inline>
        </w:drawing>
      </w:r>
    </w:p>
    <w:p w14:paraId="7DBB61B9"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Interpretation</w:t>
      </w:r>
    </w:p>
    <w:p w14:paraId="1C388572"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This analysis examined the relationship between cost considerations and individuals’ comfort with AI-generated diet plans using Spearman’s rank correlation. The results showed a moderate positive correlation (ρ = 0.438) with a statistically significant p-value (p = 0.000), indicating a meaningful association between the two variables.</w:t>
      </w:r>
    </w:p>
    <w:p w14:paraId="3F64183E"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These findings suggest that individuals who are more concerned about cost tend to feel more comfortable using AI for dietary guidance. This may be because AI-based plans are perceived as more affordable and easily accessible compared to consulting a dietitian.</w:t>
      </w:r>
    </w:p>
    <w:p w14:paraId="7E02D457"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However, it is important to consider that most respondents were undergraduate students aged 19–24. Their limited exposure to professional dietetic services may influence their preferences. As a result, their inclination toward AI may be driven more by cost-effectiveness and convenience rather than a comprehensive understanding of the long-term benefits, accuracy, and personalized care provided by dietitians.</w:t>
      </w:r>
    </w:p>
    <w:p w14:paraId="4D991B4B"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Overall, the results indicate that cost and convenience play a significant role in shaping comfort levels with AI-based diet plans, particularly among younger individuals.</w:t>
      </w:r>
    </w:p>
    <w:p w14:paraId="6C3F61FA" w14:textId="0357AFC0"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Differences in Belief in AI Personalization Across Educational Levels</w:t>
      </w:r>
    </w:p>
    <w:p w14:paraId="569E9BE5"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One-Way ANOVA </w:t>
      </w:r>
    </w:p>
    <w:p w14:paraId="1DCF8592"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Hypotheses</w:t>
      </w:r>
    </w:p>
    <w:p w14:paraId="3D4402AA"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H₀ (NULL HYPOTHESIS): </w:t>
      </w:r>
      <w:r w:rsidRPr="00F42BEC">
        <w:rPr>
          <w:rFonts w:ascii="Times New Roman" w:eastAsia="Times New Roman" w:hAnsi="Times New Roman" w:cs="Times New Roman"/>
          <w:kern w:val="0"/>
          <w:sz w:val="24"/>
          <w:szCs w:val="24"/>
          <w:lang w:eastAsia="en-IN"/>
          <w14:ligatures w14:val="none"/>
        </w:rPr>
        <w:t>There is no significant difference in belief that AI can personalize diets effectively across educational levels.</w:t>
      </w:r>
    </w:p>
    <w:p w14:paraId="7526F850"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H₁ (ALTERNATIVE HYPOTHESIS): </w:t>
      </w:r>
      <w:r w:rsidRPr="00F42BEC">
        <w:rPr>
          <w:rFonts w:ascii="Times New Roman" w:eastAsia="Times New Roman" w:hAnsi="Times New Roman" w:cs="Times New Roman"/>
          <w:kern w:val="0"/>
          <w:sz w:val="24"/>
          <w:szCs w:val="24"/>
          <w:lang w:eastAsia="en-IN"/>
          <w14:ligatures w14:val="none"/>
        </w:rPr>
        <w:t>There is a significant difference in belief that AI can personalize diets effectively across educational levels.</w:t>
      </w:r>
    </w:p>
    <w:p w14:paraId="73111CFB"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hAnsi="Times New Roman" w:cs="Times New Roman"/>
          <w:noProof/>
          <w14:ligatures w14:val="none"/>
        </w:rPr>
        <w:drawing>
          <wp:inline distT="0" distB="0" distL="0" distR="0" wp14:anchorId="3AED9863" wp14:editId="47FBE927">
            <wp:extent cx="5622925" cy="1666875"/>
            <wp:effectExtent l="0" t="0" r="0" b="9525"/>
            <wp:docPr id="75509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95199"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622925" cy="1666875"/>
                    </a:xfrm>
                    <a:prstGeom prst="rect">
                      <a:avLst/>
                    </a:prstGeom>
                    <a:noFill/>
                  </pic:spPr>
                </pic:pic>
              </a:graphicData>
            </a:graphic>
          </wp:inline>
        </w:drawing>
      </w:r>
    </w:p>
    <w:p w14:paraId="7291B634"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lastRenderedPageBreak/>
        <w:t>INTERPRETATION:</w:t>
      </w:r>
    </w:p>
    <w:p w14:paraId="5B07CDD1" w14:textId="7777777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A one-way ANOVA was conducted to determine whether the perceived effectiveness of AI personalization in nutrition planning differs across educational qualification levels. Since the p-value (0.875) is greater than the significance level of 0.05, the null hypothesis is not rejected. This indicates that there is no statistically significant difference in the perceived effectiveness of AI personalization among respondents with different educational qualifications. These findings suggest that educational background does not significantly influence respondents’ perceptions of how effectively AI can personalize diet plans.</w:t>
      </w:r>
    </w:p>
    <w:p w14:paraId="556FBE8A" w14:textId="0CB0BF9F"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Discussion</w:t>
      </w:r>
    </w:p>
    <w:p w14:paraId="59B8EFC8" w14:textId="07C6A187" w:rsidR="002973B0" w:rsidRPr="00F42BEC" w:rsidRDefault="002973B0" w:rsidP="00F42BE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42BEC">
        <w:rPr>
          <w:rFonts w:ascii="Times New Roman" w:eastAsia="Times New Roman" w:hAnsi="Times New Roman" w:cs="Times New Roman"/>
          <w:b/>
          <w:bCs/>
          <w:kern w:val="0"/>
          <w:lang w:eastAsia="en-IN"/>
          <w14:ligatures w14:val="none"/>
        </w:rPr>
        <w:t xml:space="preserve"> Cultural and Emotional Factors in Personalized Nutrition</w:t>
      </w:r>
    </w:p>
    <w:p w14:paraId="203EADC9" w14:textId="197345CF"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Personalized nutrition is really important. It is affected by cultural and emotional factors. The food we eat is closely tied to our traditions, beliefs and social norms. If personalized nutrition plans do not </w:t>
      </w:r>
      <w:proofErr w:type="gramStart"/>
      <w:r w:rsidRPr="00F42BEC">
        <w:rPr>
          <w:rFonts w:ascii="Times New Roman" w:hAnsi="Times New Roman" w:cs="Times New Roman"/>
          <w:sz w:val="24"/>
          <w:szCs w:val="24"/>
        </w:rPr>
        <w:t>take into account</w:t>
      </w:r>
      <w:proofErr w:type="gramEnd"/>
      <w:r w:rsidRPr="00F42BEC">
        <w:rPr>
          <w:rFonts w:ascii="Times New Roman" w:hAnsi="Times New Roman" w:cs="Times New Roman"/>
          <w:sz w:val="24"/>
          <w:szCs w:val="24"/>
        </w:rPr>
        <w:t xml:space="preserve"> the food preferences of individuals they may not be followed and may not be effective. For </w:t>
      </w:r>
      <w:proofErr w:type="gramStart"/>
      <w:r w:rsidRPr="00F42BEC">
        <w:rPr>
          <w:rFonts w:ascii="Times New Roman" w:hAnsi="Times New Roman" w:cs="Times New Roman"/>
          <w:sz w:val="24"/>
          <w:szCs w:val="24"/>
        </w:rPr>
        <w:t>example</w:t>
      </w:r>
      <w:proofErr w:type="gramEnd"/>
      <w:r w:rsidRPr="00F42BEC">
        <w:rPr>
          <w:rFonts w:ascii="Times New Roman" w:hAnsi="Times New Roman" w:cs="Times New Roman"/>
          <w:sz w:val="24"/>
          <w:szCs w:val="24"/>
        </w:rPr>
        <w:t xml:space="preserve"> traditional diets, religious practices and the types of food available in regions all play a big role in determining what people are willing to eat.</w:t>
      </w:r>
    </w:p>
    <w:p w14:paraId="016C7A6C" w14:textId="7649C840"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Emotional factors such as stress, mood and psychological well-being also have an impact on our eating habits. Sometimes people eat because they are feeling anxious or depressed. This can lead to unhealthy food choices. Personalized nutrition plans that </w:t>
      </w:r>
      <w:proofErr w:type="gramStart"/>
      <w:r w:rsidRPr="00F42BEC">
        <w:rPr>
          <w:rFonts w:ascii="Times New Roman" w:hAnsi="Times New Roman" w:cs="Times New Roman"/>
          <w:sz w:val="24"/>
          <w:szCs w:val="24"/>
        </w:rPr>
        <w:t>take into account</w:t>
      </w:r>
      <w:proofErr w:type="gramEnd"/>
      <w:r w:rsidRPr="00F42BEC">
        <w:rPr>
          <w:rFonts w:ascii="Times New Roman" w:hAnsi="Times New Roman" w:cs="Times New Roman"/>
          <w:sz w:val="24"/>
          <w:szCs w:val="24"/>
        </w:rPr>
        <w:t xml:space="preserve"> </w:t>
      </w:r>
      <w:proofErr w:type="spellStart"/>
      <w:r w:rsidRPr="00F42BEC">
        <w:rPr>
          <w:rFonts w:ascii="Times New Roman" w:hAnsi="Times New Roman" w:cs="Times New Roman"/>
          <w:sz w:val="24"/>
          <w:szCs w:val="24"/>
        </w:rPr>
        <w:t>behavioral</w:t>
      </w:r>
      <w:proofErr w:type="spellEnd"/>
      <w:r w:rsidRPr="00F42BEC">
        <w:rPr>
          <w:rFonts w:ascii="Times New Roman" w:hAnsi="Times New Roman" w:cs="Times New Roman"/>
          <w:sz w:val="24"/>
          <w:szCs w:val="24"/>
        </w:rPr>
        <w:t xml:space="preserve"> factors tend to be more successful because they look at the reasons why people make certain food choices rather than just focusing on nutritional requirements.</w:t>
      </w:r>
    </w:p>
    <w:p w14:paraId="76F76CBB" w14:textId="7853688F"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Cultural identity is often closely tied to food, which can make it hard for people to change their diets if it goes against their community values. Social influences, such as family habits and peer </w:t>
      </w:r>
      <w:proofErr w:type="spellStart"/>
      <w:r w:rsidRPr="00F42BEC">
        <w:rPr>
          <w:rFonts w:ascii="Times New Roman" w:hAnsi="Times New Roman" w:cs="Times New Roman"/>
          <w:sz w:val="24"/>
          <w:szCs w:val="24"/>
        </w:rPr>
        <w:t>behaviors</w:t>
      </w:r>
      <w:proofErr w:type="spellEnd"/>
      <w:r w:rsidRPr="00F42BEC">
        <w:rPr>
          <w:rFonts w:ascii="Times New Roman" w:hAnsi="Times New Roman" w:cs="Times New Roman"/>
          <w:sz w:val="24"/>
          <w:szCs w:val="24"/>
        </w:rPr>
        <w:t xml:space="preserve"> also play a role in determining what people eat. Research has shown that personalized nutrition plans are more effective when they </w:t>
      </w:r>
      <w:proofErr w:type="gramStart"/>
      <w:r w:rsidRPr="00F42BEC">
        <w:rPr>
          <w:rFonts w:ascii="Times New Roman" w:hAnsi="Times New Roman" w:cs="Times New Roman"/>
          <w:sz w:val="24"/>
          <w:szCs w:val="24"/>
        </w:rPr>
        <w:t>take into</w:t>
      </w:r>
      <w:r w:rsidR="00646135">
        <w:rPr>
          <w:rFonts w:ascii="Times New Roman" w:hAnsi="Times New Roman" w:cs="Times New Roman"/>
          <w:sz w:val="24"/>
          <w:szCs w:val="24"/>
        </w:rPr>
        <w:t xml:space="preserve"> </w:t>
      </w:r>
      <w:r w:rsidRPr="00F42BEC">
        <w:rPr>
          <w:rFonts w:ascii="Times New Roman" w:hAnsi="Times New Roman" w:cs="Times New Roman"/>
          <w:sz w:val="24"/>
          <w:szCs w:val="24"/>
        </w:rPr>
        <w:t>account</w:t>
      </w:r>
      <w:proofErr w:type="gramEnd"/>
      <w:r w:rsidRPr="00F42BEC">
        <w:rPr>
          <w:rFonts w:ascii="Times New Roman" w:hAnsi="Times New Roman" w:cs="Times New Roman"/>
          <w:sz w:val="24"/>
          <w:szCs w:val="24"/>
        </w:rPr>
        <w:t xml:space="preserve"> emotional factors.</w:t>
      </w:r>
    </w:p>
    <w:p w14:paraId="0D132990" w14:textId="0966326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Advances in nutrition such as AI-based diet planning need to </w:t>
      </w:r>
      <w:proofErr w:type="gramStart"/>
      <w:r w:rsidRPr="00F42BEC">
        <w:rPr>
          <w:rFonts w:ascii="Times New Roman" w:hAnsi="Times New Roman" w:cs="Times New Roman"/>
          <w:sz w:val="24"/>
          <w:szCs w:val="24"/>
        </w:rPr>
        <w:t>take into account</w:t>
      </w:r>
      <w:proofErr w:type="gramEnd"/>
      <w:r w:rsidRPr="00F42BEC">
        <w:rPr>
          <w:rFonts w:ascii="Times New Roman" w:hAnsi="Times New Roman" w:cs="Times New Roman"/>
          <w:sz w:val="24"/>
          <w:szCs w:val="24"/>
        </w:rPr>
        <w:t xml:space="preserve"> cultural competence and emotional awareness in order to be effective. Personalized nutrition plans should be tailored to meet the emotional needs of individuals in order to ensure that they are followed and are sustainable. </w:t>
      </w:r>
      <w:r w:rsidR="00646135" w:rsidRPr="00F42BEC">
        <w:rPr>
          <w:rFonts w:ascii="Times New Roman" w:hAnsi="Times New Roman" w:cs="Times New Roman"/>
          <w:sz w:val="24"/>
          <w:szCs w:val="24"/>
        </w:rPr>
        <w:t>Therefore,</w:t>
      </w:r>
      <w:r w:rsidRPr="00F42BEC">
        <w:rPr>
          <w:rFonts w:ascii="Times New Roman" w:hAnsi="Times New Roman" w:cs="Times New Roman"/>
          <w:sz w:val="24"/>
          <w:szCs w:val="24"/>
        </w:rPr>
        <w:t xml:space="preserve"> a personalized nutrition plan should </w:t>
      </w:r>
      <w:proofErr w:type="gramStart"/>
      <w:r w:rsidRPr="00F42BEC">
        <w:rPr>
          <w:rFonts w:ascii="Times New Roman" w:hAnsi="Times New Roman" w:cs="Times New Roman"/>
          <w:sz w:val="24"/>
          <w:szCs w:val="24"/>
        </w:rPr>
        <w:t>take into account</w:t>
      </w:r>
      <w:proofErr w:type="gramEnd"/>
      <w:r w:rsidRPr="00F42BEC">
        <w:rPr>
          <w:rFonts w:ascii="Times New Roman" w:hAnsi="Times New Roman" w:cs="Times New Roman"/>
          <w:sz w:val="24"/>
          <w:szCs w:val="24"/>
        </w:rPr>
        <w:t xml:space="preserve"> cultural and psychological factors.</w:t>
      </w:r>
    </w:p>
    <w:p w14:paraId="332E34E2" w14:textId="77777777" w:rsidR="002973B0" w:rsidRPr="00F42BEC" w:rsidRDefault="002973B0" w:rsidP="00F42BEC">
      <w:pPr>
        <w:spacing w:line="240" w:lineRule="auto"/>
        <w:jc w:val="both"/>
        <w:rPr>
          <w:rFonts w:ascii="Times New Roman" w:hAnsi="Times New Roman" w:cs="Times New Roman"/>
        </w:rPr>
      </w:pPr>
      <w:bookmarkStart w:id="0" w:name="_GoBack"/>
      <w:bookmarkEnd w:id="0"/>
    </w:p>
    <w:p w14:paraId="0EAF8517" w14:textId="77777777" w:rsidR="002973B0" w:rsidRPr="00F42BEC" w:rsidRDefault="002973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User Perceptions of AI-Based Diet Personalization</w:t>
      </w:r>
    </w:p>
    <w:p w14:paraId="7E9185AA" w14:textId="77777777" w:rsidR="002973B0" w:rsidRPr="00F42BEC" w:rsidRDefault="002973B0" w:rsidP="00F42BEC">
      <w:pPr>
        <w:spacing w:line="240" w:lineRule="auto"/>
        <w:jc w:val="both"/>
        <w:rPr>
          <w:rFonts w:ascii="Times New Roman" w:hAnsi="Times New Roman" w:cs="Times New Roman"/>
        </w:rPr>
      </w:pPr>
    </w:p>
    <w:p w14:paraId="2FC1C172" w14:textId="77777777" w:rsidR="002973B0" w:rsidRPr="00F42BEC" w:rsidRDefault="002973B0" w:rsidP="00F42BEC">
      <w:pPr>
        <w:spacing w:line="240" w:lineRule="auto"/>
        <w:jc w:val="both"/>
        <w:rPr>
          <w:rFonts w:ascii="Times New Roman" w:hAnsi="Times New Roman" w:cs="Times New Roman"/>
          <w:sz w:val="24"/>
          <w:szCs w:val="24"/>
        </w:rPr>
      </w:pPr>
      <w:proofErr w:type="spellStart"/>
      <w:r w:rsidRPr="00F42BEC">
        <w:rPr>
          <w:rFonts w:ascii="Times New Roman" w:hAnsi="Times New Roman" w:cs="Times New Roman"/>
          <w:sz w:val="24"/>
          <w:szCs w:val="24"/>
        </w:rPr>
        <w:t>Peoples</w:t>
      </w:r>
      <w:proofErr w:type="spellEnd"/>
      <w:r w:rsidRPr="00F42BEC">
        <w:rPr>
          <w:rFonts w:ascii="Times New Roman" w:hAnsi="Times New Roman" w:cs="Times New Roman"/>
          <w:sz w:val="24"/>
          <w:szCs w:val="24"/>
        </w:rPr>
        <w:t xml:space="preserve"> perceptions of AI-based diet personalization are becoming more positive especially when it comes to convenience and speed. </w:t>
      </w:r>
      <w:proofErr w:type="gramStart"/>
      <w:r w:rsidRPr="00F42BEC">
        <w:rPr>
          <w:rFonts w:ascii="Times New Roman" w:hAnsi="Times New Roman" w:cs="Times New Roman"/>
          <w:sz w:val="24"/>
          <w:szCs w:val="24"/>
        </w:rPr>
        <w:t>However</w:t>
      </w:r>
      <w:proofErr w:type="gramEnd"/>
      <w:r w:rsidRPr="00F42BEC">
        <w:rPr>
          <w:rFonts w:ascii="Times New Roman" w:hAnsi="Times New Roman" w:cs="Times New Roman"/>
          <w:sz w:val="24"/>
          <w:szCs w:val="24"/>
        </w:rPr>
        <w:t xml:space="preserve"> people still trust dietitians more when it comes to accuracy and guidance. Many people like that AI can provide recommendations based on health data but it often lacks the ability to fully understand individual lifestyle nuances, cultural food preferences and emotional factors that influence eating habits. Dietitians on the hand can provide tailored advice that </w:t>
      </w:r>
      <w:proofErr w:type="gramStart"/>
      <w:r w:rsidRPr="00F42BEC">
        <w:rPr>
          <w:rFonts w:ascii="Times New Roman" w:hAnsi="Times New Roman" w:cs="Times New Roman"/>
          <w:sz w:val="24"/>
          <w:szCs w:val="24"/>
        </w:rPr>
        <w:t>takes into account</w:t>
      </w:r>
      <w:proofErr w:type="gramEnd"/>
      <w:r w:rsidRPr="00F42BEC">
        <w:rPr>
          <w:rFonts w:ascii="Times New Roman" w:hAnsi="Times New Roman" w:cs="Times New Roman"/>
          <w:sz w:val="24"/>
          <w:szCs w:val="24"/>
        </w:rPr>
        <w:t xml:space="preserve"> medical history, dietary restrictions and </w:t>
      </w:r>
      <w:proofErr w:type="spellStart"/>
      <w:r w:rsidRPr="00F42BEC">
        <w:rPr>
          <w:rFonts w:ascii="Times New Roman" w:hAnsi="Times New Roman" w:cs="Times New Roman"/>
          <w:sz w:val="24"/>
          <w:szCs w:val="24"/>
        </w:rPr>
        <w:t>behavioral</w:t>
      </w:r>
      <w:proofErr w:type="spellEnd"/>
      <w:r w:rsidRPr="00F42BEC">
        <w:rPr>
          <w:rFonts w:ascii="Times New Roman" w:hAnsi="Times New Roman" w:cs="Times New Roman"/>
          <w:sz w:val="24"/>
          <w:szCs w:val="24"/>
        </w:rPr>
        <w:t xml:space="preserve"> patterns, which builds trust and adherence among users.</w:t>
      </w:r>
    </w:p>
    <w:p w14:paraId="37270177" w14:textId="77777777" w:rsidR="002973B0" w:rsidRPr="00F42BEC" w:rsidRDefault="002973B0" w:rsidP="00F42BEC">
      <w:pPr>
        <w:spacing w:line="240" w:lineRule="auto"/>
        <w:jc w:val="both"/>
        <w:rPr>
          <w:rFonts w:ascii="Times New Roman" w:hAnsi="Times New Roman" w:cs="Times New Roman"/>
          <w:sz w:val="24"/>
          <w:szCs w:val="24"/>
        </w:rPr>
      </w:pPr>
    </w:p>
    <w:p w14:paraId="6E6FFDE8"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Dietitians can also adapt plans dynamically provide motivation and offer support, which AI alone cannot do. While AI can be a tool it is most effective when used in combination with professional dietitian guidance. This highlights the importance of expertise in promoting healthy and sustainable dietary </w:t>
      </w:r>
      <w:proofErr w:type="spellStart"/>
      <w:r w:rsidRPr="00F42BEC">
        <w:rPr>
          <w:rFonts w:ascii="Times New Roman" w:hAnsi="Times New Roman" w:cs="Times New Roman"/>
          <w:sz w:val="24"/>
          <w:szCs w:val="24"/>
        </w:rPr>
        <w:t>behaviors</w:t>
      </w:r>
      <w:proofErr w:type="spellEnd"/>
      <w:r w:rsidRPr="00F42BEC">
        <w:rPr>
          <w:rFonts w:ascii="Times New Roman" w:hAnsi="Times New Roman" w:cs="Times New Roman"/>
          <w:sz w:val="24"/>
          <w:szCs w:val="24"/>
        </w:rPr>
        <w:t>.</w:t>
      </w:r>
    </w:p>
    <w:p w14:paraId="596C98A7" w14:textId="77777777" w:rsidR="002973B0" w:rsidRPr="00F42BEC" w:rsidRDefault="002973B0" w:rsidP="00F42BEC">
      <w:pPr>
        <w:spacing w:line="240" w:lineRule="auto"/>
        <w:jc w:val="both"/>
        <w:rPr>
          <w:rFonts w:ascii="Times New Roman" w:hAnsi="Times New Roman" w:cs="Times New Roman"/>
        </w:rPr>
      </w:pPr>
    </w:p>
    <w:p w14:paraId="634D317F" w14:textId="540FBB8D" w:rsidR="002973B0" w:rsidRPr="00F42BEC" w:rsidRDefault="002973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Economic Drivers of AI-Based Nutrition Adoption</w:t>
      </w:r>
    </w:p>
    <w:p w14:paraId="39FD448E" w14:textId="007D2383"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factors play a big role in the adoption of AI-based nutrition solutions. One of the motivators is cost-effectiveness. AI-powered diet tools are often cheaper than consulting a dietitian, which makes them attractive to people who are looking for affordable nutrition guidance. </w:t>
      </w:r>
      <w:proofErr w:type="gramStart"/>
      <w:r w:rsidRPr="00F42BEC">
        <w:rPr>
          <w:rFonts w:ascii="Times New Roman" w:hAnsi="Times New Roman" w:cs="Times New Roman"/>
          <w:sz w:val="24"/>
          <w:szCs w:val="24"/>
        </w:rPr>
        <w:t>Additionally</w:t>
      </w:r>
      <w:proofErr w:type="gramEnd"/>
      <w:r w:rsidRPr="00F42BEC">
        <w:rPr>
          <w:rFonts w:ascii="Times New Roman" w:hAnsi="Times New Roman" w:cs="Times New Roman"/>
          <w:sz w:val="24"/>
          <w:szCs w:val="24"/>
        </w:rPr>
        <w:t xml:space="preserve"> these tools can reduce costs, such as travel time and appointment scheduling, which makes them a convenient and time-efficient alternative.</w:t>
      </w:r>
    </w:p>
    <w:p w14:paraId="45AE5153" w14:textId="2DAB6874"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Despite these advantages many people recognize that cost savings alone cannot replace professional expertise. While AI tools may be cheaper dietitians provide personalized, evidence-based guidance that can prevent health complications in the long term. People are more willing to combine AI support with consultations to balance affordability and quality.</w:t>
      </w:r>
    </w:p>
    <w:p w14:paraId="080EA08A" w14:textId="0668C755" w:rsidR="002973B0" w:rsidRPr="00F42BEC" w:rsidRDefault="002973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lastRenderedPageBreak/>
        <w:t>Challenges in Integrating Cultural Dietary Preferences into AI Systems</w:t>
      </w:r>
    </w:p>
    <w:p w14:paraId="343183DC"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Integrating dietary preferences into AI-based nutrition systems is a challenge. Food habits are deeply rooted in traditions, religion and regional availability which makes it hard for AI algorithms to fully capture the diversity of diets. Many AI platforms rely on food databases that may not include local dishes, preparation methods or culturally significant ingredients. As a </w:t>
      </w:r>
      <w:proofErr w:type="gramStart"/>
      <w:r w:rsidRPr="00F42BEC">
        <w:rPr>
          <w:rFonts w:ascii="Times New Roman" w:hAnsi="Times New Roman" w:cs="Times New Roman"/>
          <w:sz w:val="24"/>
          <w:szCs w:val="24"/>
        </w:rPr>
        <w:t>result</w:t>
      </w:r>
      <w:proofErr w:type="gramEnd"/>
      <w:r w:rsidRPr="00F42BEC">
        <w:rPr>
          <w:rFonts w:ascii="Times New Roman" w:hAnsi="Times New Roman" w:cs="Times New Roman"/>
          <w:sz w:val="24"/>
          <w:szCs w:val="24"/>
        </w:rPr>
        <w:t xml:space="preserve"> the recommendations may seem generic or unsuitable which can lead to user adherence.</w:t>
      </w:r>
    </w:p>
    <w:p w14:paraId="6A9C4B76" w14:textId="77777777" w:rsidR="002973B0" w:rsidRPr="00F42BEC" w:rsidRDefault="002973B0" w:rsidP="00F42BEC">
      <w:pPr>
        <w:spacing w:line="240" w:lineRule="auto"/>
        <w:jc w:val="both"/>
        <w:rPr>
          <w:rFonts w:ascii="Times New Roman" w:hAnsi="Times New Roman" w:cs="Times New Roman"/>
          <w:sz w:val="24"/>
          <w:szCs w:val="24"/>
        </w:rPr>
      </w:pPr>
    </w:p>
    <w:p w14:paraId="0EEC09BC" w14:textId="6D1B53ED"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Another challenge is the ability of AI to understand the emotional and social dimensions of food. Eating is not about nutrition but also about identity, celebration and social bonding which are aspects that AI systems struggle to quantify. Users may reject AI recommendations if they conflict with practices or cultural norms even if the advice is nutritionally optimal. While AI can assist in providing guidance dietitians play a crucial role in bridging this gap by combining cultural knowledge with professional expertise.</w:t>
      </w:r>
    </w:p>
    <w:p w14:paraId="3A63599F" w14:textId="53823228" w:rsidR="002973B0" w:rsidRPr="00F42BEC" w:rsidRDefault="00655FAD"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IMPLICATIONS</w:t>
      </w:r>
    </w:p>
    <w:p w14:paraId="7ED536E4" w14:textId="0C3C54A1" w:rsidR="002973B0" w:rsidRPr="00177468" w:rsidRDefault="002973B0" w:rsidP="00F42BEC">
      <w:pPr>
        <w:spacing w:line="240" w:lineRule="auto"/>
        <w:jc w:val="both"/>
        <w:rPr>
          <w:rFonts w:ascii="Times New Roman" w:hAnsi="Times New Roman" w:cs="Times New Roman"/>
          <w:b/>
          <w:sz w:val="24"/>
          <w:szCs w:val="24"/>
        </w:rPr>
      </w:pPr>
      <w:r w:rsidRPr="00177468">
        <w:rPr>
          <w:rFonts w:ascii="Times New Roman" w:hAnsi="Times New Roman" w:cs="Times New Roman"/>
          <w:b/>
          <w:sz w:val="24"/>
          <w:szCs w:val="24"/>
        </w:rPr>
        <w:t>Implications for Dietitians and Nutrition Professionals</w:t>
      </w:r>
    </w:p>
    <w:p w14:paraId="45B5342F" w14:textId="5AD144DF"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The study highlights the continued importance of dietitians in providing personalized nutrition guidance. Despite the rise of AI-based diet planning tools participants showed trust and comfort with dietitian-led advice. This suggests that dietitians should use AI as a tool rather than a replacement using technology to enhance </w:t>
      </w:r>
      <w:proofErr w:type="spellStart"/>
      <w:r w:rsidRPr="00F42BEC">
        <w:rPr>
          <w:rFonts w:ascii="Times New Roman" w:hAnsi="Times New Roman" w:cs="Times New Roman"/>
          <w:sz w:val="24"/>
          <w:szCs w:val="24"/>
        </w:rPr>
        <w:t>counseling</w:t>
      </w:r>
      <w:proofErr w:type="spellEnd"/>
      <w:r w:rsidRPr="00F42BEC">
        <w:rPr>
          <w:rFonts w:ascii="Times New Roman" w:hAnsi="Times New Roman" w:cs="Times New Roman"/>
          <w:sz w:val="24"/>
          <w:szCs w:val="24"/>
        </w:rPr>
        <w:t xml:space="preserve"> efficiency monitor patient adherence and provide data-driven insights while maintaining the empathetic culturally sensitive approach that AI cannot fully replicate.</w:t>
      </w:r>
    </w:p>
    <w:p w14:paraId="35DCD44F" w14:textId="22B1454F" w:rsidR="002973B0" w:rsidRPr="00F42BEC" w:rsidRDefault="002973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Implications for AI Health Technology Developers</w:t>
      </w:r>
    </w:p>
    <w:p w14:paraId="18B32B40" w14:textId="550794BA"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For developers of AI nutrition </w:t>
      </w:r>
      <w:proofErr w:type="gramStart"/>
      <w:r w:rsidRPr="00F42BEC">
        <w:rPr>
          <w:rFonts w:ascii="Times New Roman" w:hAnsi="Times New Roman" w:cs="Times New Roman"/>
          <w:sz w:val="24"/>
          <w:szCs w:val="24"/>
        </w:rPr>
        <w:t>platforms</w:t>
      </w:r>
      <w:proofErr w:type="gramEnd"/>
      <w:r w:rsidRPr="00F42BEC">
        <w:rPr>
          <w:rFonts w:ascii="Times New Roman" w:hAnsi="Times New Roman" w:cs="Times New Roman"/>
          <w:sz w:val="24"/>
          <w:szCs w:val="24"/>
        </w:rPr>
        <w:t xml:space="preserve"> the findings emphasize the need to design systems that incorporate emotional and economic considerations. AI tools must be transparent easy to use and capable of personalizing advice to populations. Building trust is crucial so AI systems should complement, not replace, human guidance and include features for oversight, user feedback and evidence-based recommendations.</w:t>
      </w:r>
    </w:p>
    <w:p w14:paraId="05FEE454" w14:textId="6081D2DC" w:rsidR="002973B0" w:rsidRPr="00F42BEC" w:rsidRDefault="002973B0" w:rsidP="00F42BEC">
      <w:pPr>
        <w:spacing w:line="240" w:lineRule="auto"/>
        <w:jc w:val="both"/>
        <w:rPr>
          <w:rFonts w:ascii="Times New Roman" w:hAnsi="Times New Roman" w:cs="Times New Roman"/>
          <w:b/>
          <w:bCs/>
          <w:sz w:val="24"/>
          <w:szCs w:val="24"/>
        </w:rPr>
      </w:pPr>
      <w:r w:rsidRPr="00F42BEC">
        <w:rPr>
          <w:rFonts w:ascii="Times New Roman" w:hAnsi="Times New Roman" w:cs="Times New Roman"/>
          <w:b/>
          <w:bCs/>
          <w:sz w:val="24"/>
          <w:szCs w:val="24"/>
        </w:rPr>
        <w:t>Implications for Public Health and Digital Health Policy</w:t>
      </w:r>
    </w:p>
    <w:p w14:paraId="1E8A0BB6" w14:textId="77777777" w:rsidR="002973B0" w:rsidRPr="00F42BEC" w:rsidRDefault="002973B0" w:rsidP="00F42BEC">
      <w:pPr>
        <w:spacing w:line="240" w:lineRule="auto"/>
        <w:jc w:val="both"/>
        <w:rPr>
          <w:rFonts w:ascii="Times New Roman" w:hAnsi="Times New Roman" w:cs="Times New Roman"/>
          <w:sz w:val="24"/>
          <w:szCs w:val="24"/>
        </w:rPr>
      </w:pPr>
      <w:r w:rsidRPr="00F42BEC">
        <w:rPr>
          <w:rFonts w:ascii="Times New Roman" w:hAnsi="Times New Roman" w:cs="Times New Roman"/>
          <w:sz w:val="24"/>
          <w:szCs w:val="24"/>
        </w:rPr>
        <w:t xml:space="preserve">At the policy level integrating AI in nutrition and public health programs requires frameworks that ensure safety, accuracy and accessibility. Policies should promote literacy and equitable access to AI-based health tools, particularly in rural and underserved areas. Training programs for dietitians and healthcare providers, on AI tools can improve implementation while public health campaigns should highlight the role of AI and human expertise in promoting healthy dietary </w:t>
      </w:r>
      <w:proofErr w:type="spellStart"/>
      <w:r w:rsidRPr="00F42BEC">
        <w:rPr>
          <w:rFonts w:ascii="Times New Roman" w:hAnsi="Times New Roman" w:cs="Times New Roman"/>
          <w:sz w:val="24"/>
          <w:szCs w:val="24"/>
        </w:rPr>
        <w:t>behaviors</w:t>
      </w:r>
      <w:proofErr w:type="spellEnd"/>
      <w:r w:rsidRPr="00F42BEC">
        <w:rPr>
          <w:rFonts w:ascii="Times New Roman" w:hAnsi="Times New Roman" w:cs="Times New Roman"/>
          <w:sz w:val="24"/>
          <w:szCs w:val="24"/>
        </w:rPr>
        <w:t>.</w:t>
      </w:r>
    </w:p>
    <w:p w14:paraId="5B752F79" w14:textId="10289C74" w:rsidR="00655FAD" w:rsidRPr="00F42BEC" w:rsidRDefault="00655FAD" w:rsidP="00F42BEC">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LIMITATIONS OF STUDY </w:t>
      </w:r>
    </w:p>
    <w:p w14:paraId="39AB14DE" w14:textId="77777777" w:rsidR="00655FAD" w:rsidRPr="00F42BEC" w:rsidRDefault="00655FAD" w:rsidP="00F42BEC">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The study only included adolescents and adults, so it does not reflect the opinions of children or older age groups. </w:t>
      </w:r>
    </w:p>
    <w:p w14:paraId="734C4F4E" w14:textId="7387ACC4" w:rsidR="00655FAD" w:rsidRPr="00F42BEC" w:rsidRDefault="00655FAD" w:rsidP="00F42BEC">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Only a limited number of occupations</w:t>
      </w:r>
      <w:r w:rsidR="00712326">
        <w:rPr>
          <w:rFonts w:ascii="Times New Roman" w:eastAsia="Times New Roman" w:hAnsi="Times New Roman" w:cs="Times New Roman"/>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students, working professionals, homemakers, and retired individuals</w:t>
      </w:r>
      <w:r w:rsidR="00646135">
        <w:rPr>
          <w:rFonts w:ascii="Times New Roman" w:eastAsia="Times New Roman" w:hAnsi="Times New Roman" w:cs="Times New Roman"/>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 xml:space="preserve">were studied. </w:t>
      </w:r>
    </w:p>
    <w:p w14:paraId="518B4830" w14:textId="77777777" w:rsidR="00655FAD" w:rsidRPr="00F42BEC" w:rsidRDefault="00655FAD" w:rsidP="00F42BEC">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 xml:space="preserve">Participants came from urban, semi-urban, and rural areas, but some regions or communities may not be fully represented. </w:t>
      </w:r>
    </w:p>
    <w:p w14:paraId="6F9837FF" w14:textId="385A2727" w:rsidR="00177468" w:rsidRPr="00177468" w:rsidRDefault="00655FAD" w:rsidP="00177468">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The research focused on perceptions and preferences rather than actual dietary behavio</w:t>
      </w:r>
      <w:r w:rsidR="000C77EA">
        <w:rPr>
          <w:rFonts w:ascii="Times New Roman" w:eastAsia="Times New Roman" w:hAnsi="Times New Roman" w:cs="Times New Roman"/>
          <w:kern w:val="0"/>
          <w:sz w:val="24"/>
          <w:szCs w:val="24"/>
          <w:lang w:eastAsia="en-IN"/>
          <w14:ligatures w14:val="none"/>
        </w:rPr>
        <w:t>u</w:t>
      </w:r>
      <w:r w:rsidRPr="00F42BEC">
        <w:rPr>
          <w:rFonts w:ascii="Times New Roman" w:eastAsia="Times New Roman" w:hAnsi="Times New Roman" w:cs="Times New Roman"/>
          <w:kern w:val="0"/>
          <w:sz w:val="24"/>
          <w:szCs w:val="24"/>
          <w:lang w:eastAsia="en-IN"/>
          <w14:ligatures w14:val="none"/>
        </w:rPr>
        <w:t>r or health outcomes.</w:t>
      </w:r>
    </w:p>
    <w:p w14:paraId="5BD767AF" w14:textId="0B4415D2" w:rsidR="00177468" w:rsidRPr="00177468" w:rsidRDefault="00177468" w:rsidP="00177468">
      <w:pPr>
        <w:spacing w:before="100" w:beforeAutospacing="1" w:after="100" w:afterAutospacing="1" w:line="240" w:lineRule="auto"/>
        <w:jc w:val="both"/>
        <w:rPr>
          <w:rFonts w:ascii="Times New Roman" w:eastAsia="Times New Roman" w:hAnsi="Times New Roman" w:cs="Times New Roman"/>
          <w:b/>
          <w:kern w:val="0"/>
          <w:sz w:val="24"/>
          <w:szCs w:val="24"/>
          <w:lang w:eastAsia="en-IN"/>
          <w14:ligatures w14:val="none"/>
        </w:rPr>
      </w:pPr>
      <w:r w:rsidRPr="00177468">
        <w:rPr>
          <w:rFonts w:ascii="Times New Roman" w:eastAsia="Times New Roman" w:hAnsi="Times New Roman" w:cs="Times New Roman"/>
          <w:b/>
          <w:kern w:val="0"/>
          <w:sz w:val="24"/>
          <w:szCs w:val="24"/>
          <w:lang w:eastAsia="en-IN"/>
          <w14:ligatures w14:val="none"/>
        </w:rPr>
        <w:t>FUNDING</w:t>
      </w:r>
    </w:p>
    <w:p w14:paraId="2880D1F9" w14:textId="2B89ADA5" w:rsidR="00177468" w:rsidRPr="00177468" w:rsidRDefault="00177468" w:rsidP="0017746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77468">
        <w:rPr>
          <w:rFonts w:ascii="Times New Roman" w:eastAsia="Times New Roman" w:hAnsi="Times New Roman" w:cs="Times New Roman"/>
          <w:kern w:val="0"/>
          <w:sz w:val="24"/>
          <w:szCs w:val="24"/>
          <w:lang w:eastAsia="en-IN"/>
          <w14:ligatures w14:val="none"/>
        </w:rPr>
        <w:t xml:space="preserve">This work was supported by the scheme of Young Research Project grants from </w:t>
      </w:r>
      <w:proofErr w:type="spellStart"/>
      <w:r w:rsidRPr="00177468">
        <w:rPr>
          <w:rFonts w:ascii="Times New Roman" w:eastAsia="Times New Roman" w:hAnsi="Times New Roman" w:cs="Times New Roman"/>
          <w:kern w:val="0"/>
          <w:sz w:val="24"/>
          <w:szCs w:val="24"/>
          <w:lang w:eastAsia="en-IN"/>
          <w14:ligatures w14:val="none"/>
        </w:rPr>
        <w:t>Shrimathi</w:t>
      </w:r>
      <w:proofErr w:type="spellEnd"/>
      <w:r w:rsidRPr="00177468">
        <w:rPr>
          <w:rFonts w:ascii="Times New Roman" w:eastAsia="Times New Roman" w:hAnsi="Times New Roman" w:cs="Times New Roman"/>
          <w:kern w:val="0"/>
          <w:sz w:val="24"/>
          <w:szCs w:val="24"/>
          <w:lang w:eastAsia="en-IN"/>
          <w14:ligatures w14:val="none"/>
        </w:rPr>
        <w:t xml:space="preserve"> </w:t>
      </w:r>
      <w:proofErr w:type="spellStart"/>
      <w:r w:rsidRPr="00177468">
        <w:rPr>
          <w:rFonts w:ascii="Times New Roman" w:eastAsia="Times New Roman" w:hAnsi="Times New Roman" w:cs="Times New Roman"/>
          <w:kern w:val="0"/>
          <w:sz w:val="24"/>
          <w:szCs w:val="24"/>
          <w:lang w:eastAsia="en-IN"/>
          <w14:ligatures w14:val="none"/>
        </w:rPr>
        <w:t>Devkunvar</w:t>
      </w:r>
      <w:proofErr w:type="spellEnd"/>
      <w:r w:rsidRPr="00177468">
        <w:rPr>
          <w:rFonts w:ascii="Times New Roman" w:eastAsia="Times New Roman" w:hAnsi="Times New Roman" w:cs="Times New Roman"/>
          <w:kern w:val="0"/>
          <w:sz w:val="24"/>
          <w:szCs w:val="24"/>
          <w:lang w:eastAsia="en-IN"/>
          <w14:ligatures w14:val="none"/>
        </w:rPr>
        <w:t xml:space="preserve"> </w:t>
      </w:r>
      <w:proofErr w:type="spellStart"/>
      <w:r w:rsidRPr="00177468">
        <w:rPr>
          <w:rFonts w:ascii="Times New Roman" w:eastAsia="Times New Roman" w:hAnsi="Times New Roman" w:cs="Times New Roman"/>
          <w:kern w:val="0"/>
          <w:sz w:val="24"/>
          <w:szCs w:val="24"/>
          <w:lang w:eastAsia="en-IN"/>
          <w14:ligatures w14:val="none"/>
        </w:rPr>
        <w:t>Nanalal</w:t>
      </w:r>
      <w:proofErr w:type="spellEnd"/>
      <w:r w:rsidRPr="00177468">
        <w:rPr>
          <w:rFonts w:ascii="Times New Roman" w:eastAsia="Times New Roman" w:hAnsi="Times New Roman" w:cs="Times New Roman"/>
          <w:kern w:val="0"/>
          <w:sz w:val="24"/>
          <w:szCs w:val="24"/>
          <w:lang w:eastAsia="en-IN"/>
          <w14:ligatures w14:val="none"/>
        </w:rPr>
        <w:t xml:space="preserve"> Bhatt Vaishnav College for Women, </w:t>
      </w:r>
      <w:proofErr w:type="spellStart"/>
      <w:r w:rsidRPr="00177468">
        <w:rPr>
          <w:rFonts w:ascii="Times New Roman" w:eastAsia="Times New Roman" w:hAnsi="Times New Roman" w:cs="Times New Roman"/>
          <w:kern w:val="0"/>
          <w:sz w:val="24"/>
          <w:szCs w:val="24"/>
          <w:lang w:eastAsia="en-IN"/>
          <w14:ligatures w14:val="none"/>
        </w:rPr>
        <w:t>Chrompet</w:t>
      </w:r>
      <w:proofErr w:type="spellEnd"/>
      <w:r w:rsidRPr="00177468">
        <w:rPr>
          <w:rFonts w:ascii="Times New Roman" w:eastAsia="Times New Roman" w:hAnsi="Times New Roman" w:cs="Times New Roman"/>
          <w:kern w:val="0"/>
          <w:sz w:val="24"/>
          <w:szCs w:val="24"/>
          <w:lang w:eastAsia="en-IN"/>
          <w14:ligatures w14:val="none"/>
        </w:rPr>
        <w:t>, Chennai to Mrs. S Mahalakshmi (Grant No.)</w:t>
      </w:r>
    </w:p>
    <w:p w14:paraId="6493362B" w14:textId="79BD6D66" w:rsidR="00655FAD" w:rsidRPr="000C77EA" w:rsidRDefault="00655FAD" w:rsidP="000C77EA">
      <w:pPr>
        <w:spacing w:after="120" w:line="240" w:lineRule="auto"/>
        <w:jc w:val="both"/>
        <w:rPr>
          <w:rFonts w:ascii="Times New Roman" w:eastAsia="Times New Roman" w:hAnsi="Times New Roman" w:cs="Times New Roman"/>
          <w:b/>
          <w:kern w:val="0"/>
          <w:sz w:val="24"/>
          <w:szCs w:val="24"/>
          <w:lang w:eastAsia="en-IN"/>
          <w14:ligatures w14:val="none"/>
        </w:rPr>
      </w:pPr>
      <w:r w:rsidRPr="00F42BEC">
        <w:rPr>
          <w:rFonts w:ascii="Times New Roman" w:eastAsia="Times New Roman" w:hAnsi="Times New Roman" w:cs="Times New Roman"/>
          <w:b/>
          <w:kern w:val="0"/>
          <w:sz w:val="24"/>
          <w:szCs w:val="24"/>
          <w:lang w:eastAsia="en-IN"/>
          <w14:ligatures w14:val="none"/>
        </w:rPr>
        <w:t>REFERENCES:</w:t>
      </w:r>
    </w:p>
    <w:p w14:paraId="7E91FE5D" w14:textId="77777777" w:rsidR="00655FAD" w:rsidRPr="00F42BEC" w:rsidRDefault="00655FAD" w:rsidP="00F42BEC">
      <w:pPr>
        <w:pStyle w:val="NormalWeb"/>
        <w:numPr>
          <w:ilvl w:val="0"/>
          <w:numId w:val="3"/>
        </w:numPr>
        <w:jc w:val="both"/>
      </w:pPr>
      <w:r w:rsidRPr="00F42BEC">
        <w:t xml:space="preserve">Wang, X., Sun, Z., Xue, H., &amp; An, R. (2025). Artificial intelligence applications to personalized dietary recommendations: A systematic review. </w:t>
      </w:r>
      <w:r w:rsidRPr="00F42BEC">
        <w:rPr>
          <w:rStyle w:val="Emphasis"/>
        </w:rPr>
        <w:t>Healthcare, 13</w:t>
      </w:r>
      <w:r w:rsidRPr="00F42BEC">
        <w:t xml:space="preserve">(12), 1417. </w:t>
      </w:r>
      <w:hyperlink r:id="rId23" w:history="1">
        <w:r w:rsidRPr="00F42BEC">
          <w:rPr>
            <w:rStyle w:val="Hyperlink"/>
          </w:rPr>
          <w:t>https://doi.org/10.3390/healthcare13121417</w:t>
        </w:r>
      </w:hyperlink>
      <w:r w:rsidRPr="00F42BEC">
        <w:t xml:space="preserve"> (</w:t>
      </w:r>
      <w:hyperlink r:id="rId24" w:tooltip="Artificial Intelligence Applications to Personalized Dietary Recommendations: A Systematic Review - PubMed" w:history="1">
        <w:r w:rsidRPr="00F42BEC">
          <w:rPr>
            <w:rStyle w:val="Hyperlink"/>
          </w:rPr>
          <w:t>PubMed</w:t>
        </w:r>
      </w:hyperlink>
      <w:r w:rsidRPr="00F42BEC">
        <w:t>)</w:t>
      </w:r>
    </w:p>
    <w:p w14:paraId="41D82175" w14:textId="77777777" w:rsidR="00655FAD" w:rsidRPr="00F42BEC" w:rsidRDefault="00655FAD" w:rsidP="00F42BEC">
      <w:pPr>
        <w:pStyle w:val="NormalWeb"/>
        <w:numPr>
          <w:ilvl w:val="0"/>
          <w:numId w:val="3"/>
        </w:numPr>
        <w:jc w:val="both"/>
      </w:pPr>
      <w:r w:rsidRPr="00F42BEC">
        <w:t xml:space="preserve">Agrawal, K., </w:t>
      </w:r>
      <w:proofErr w:type="spellStart"/>
      <w:r w:rsidRPr="00F42BEC">
        <w:t>Goktas</w:t>
      </w:r>
      <w:proofErr w:type="spellEnd"/>
      <w:r w:rsidRPr="00F42BEC">
        <w:t xml:space="preserve">, P., Kumar, N., &amp; Leung, M.-F. (2025). Artificial intelligence in personalized nutrition and food manufacturing: A comprehensive review of methods, applications, and future directions. </w:t>
      </w:r>
      <w:r w:rsidRPr="00F42BEC">
        <w:rPr>
          <w:rStyle w:val="Emphasis"/>
        </w:rPr>
        <w:t>Frontiers in Nutrition, 12</w:t>
      </w:r>
      <w:r w:rsidRPr="00F42BEC">
        <w:t xml:space="preserve">, 1636980. </w:t>
      </w:r>
      <w:hyperlink r:id="rId25" w:history="1">
        <w:r w:rsidRPr="00F42BEC">
          <w:rPr>
            <w:rStyle w:val="Hyperlink"/>
          </w:rPr>
          <w:t>https://doi.org/10.3389/fnut.2025.1636980</w:t>
        </w:r>
      </w:hyperlink>
      <w:r w:rsidRPr="00F42BEC">
        <w:t xml:space="preserve"> (</w:t>
      </w:r>
      <w:hyperlink r:id="rId26" w:tooltip="Artificial intelligence in personalized nutrition and food manufacturing: a comprehensive review of methods, applications, and future directions - PubMed" w:history="1">
        <w:r w:rsidRPr="00F42BEC">
          <w:rPr>
            <w:rStyle w:val="Hyperlink"/>
          </w:rPr>
          <w:t>PubMed</w:t>
        </w:r>
      </w:hyperlink>
      <w:r w:rsidRPr="00F42BEC">
        <w:t>)</w:t>
      </w:r>
    </w:p>
    <w:p w14:paraId="1B886018" w14:textId="77777777" w:rsidR="00655FAD" w:rsidRPr="00F42BEC" w:rsidRDefault="00655FAD" w:rsidP="00F42BEC">
      <w:pPr>
        <w:pStyle w:val="NormalWeb"/>
        <w:numPr>
          <w:ilvl w:val="0"/>
          <w:numId w:val="3"/>
        </w:numPr>
        <w:jc w:val="both"/>
      </w:pPr>
      <w:r w:rsidRPr="00F42BEC">
        <w:lastRenderedPageBreak/>
        <w:t xml:space="preserve">Kaçar, H. K., Kaçar, Ö. F., &amp; Avery, A. (2025). Diet quality and caloric accuracy in AI-generated diet plans: A comparative study across chatbots. </w:t>
      </w:r>
      <w:r w:rsidRPr="00F42BEC">
        <w:rPr>
          <w:rStyle w:val="Emphasis"/>
        </w:rPr>
        <w:t>Nutrients, 17</w:t>
      </w:r>
      <w:r w:rsidRPr="00F42BEC">
        <w:t xml:space="preserve">(2), 206. </w:t>
      </w:r>
      <w:hyperlink r:id="rId27" w:history="1">
        <w:r w:rsidRPr="00F42BEC">
          <w:rPr>
            <w:rStyle w:val="Hyperlink"/>
          </w:rPr>
          <w:t>https://doi.org/10.3390/nu17020206</w:t>
        </w:r>
      </w:hyperlink>
      <w:r w:rsidRPr="00F42BEC">
        <w:t xml:space="preserve"> (</w:t>
      </w:r>
      <w:hyperlink r:id="rId28" w:tooltip="Diet Quality and Caloric Accuracy in AI-Generated Diet Plans: A Comparative Study Across Chatbots - PubMed" w:history="1">
        <w:r w:rsidRPr="00F42BEC">
          <w:rPr>
            <w:rStyle w:val="Hyperlink"/>
          </w:rPr>
          <w:t>PubMed</w:t>
        </w:r>
      </w:hyperlink>
      <w:r w:rsidRPr="00F42BEC">
        <w:t>)</w:t>
      </w:r>
    </w:p>
    <w:p w14:paraId="59DB4359" w14:textId="77777777" w:rsidR="00655FAD" w:rsidRPr="00F42BEC" w:rsidRDefault="00655FAD" w:rsidP="00F42BEC">
      <w:pPr>
        <w:pStyle w:val="NormalWeb"/>
        <w:numPr>
          <w:ilvl w:val="0"/>
          <w:numId w:val="3"/>
        </w:numPr>
        <w:jc w:val="both"/>
      </w:pPr>
      <w:r w:rsidRPr="00F42BEC">
        <w:t xml:space="preserve">Erik, A., </w:t>
      </w:r>
      <w:proofErr w:type="spellStart"/>
      <w:r w:rsidRPr="00F42BEC">
        <w:t>Hamidy</w:t>
      </w:r>
      <w:proofErr w:type="spellEnd"/>
      <w:r w:rsidRPr="00F42BEC">
        <w:t xml:space="preserve">, S. M., </w:t>
      </w:r>
      <w:proofErr w:type="spellStart"/>
      <w:r w:rsidRPr="00F42BEC">
        <w:t>Karamancıoğlu</w:t>
      </w:r>
      <w:proofErr w:type="spellEnd"/>
      <w:r w:rsidRPr="00F42BEC">
        <w:t xml:space="preserve">, H., &amp; </w:t>
      </w:r>
      <w:proofErr w:type="spellStart"/>
      <w:r w:rsidRPr="00F42BEC">
        <w:t>Küçük</w:t>
      </w:r>
      <w:proofErr w:type="spellEnd"/>
      <w:r w:rsidRPr="00F42BEC">
        <w:t xml:space="preserve"> </w:t>
      </w:r>
      <w:proofErr w:type="spellStart"/>
      <w:r w:rsidRPr="00F42BEC">
        <w:t>Kırtıklı</w:t>
      </w:r>
      <w:proofErr w:type="spellEnd"/>
      <w:r w:rsidRPr="00F42BEC">
        <w:t xml:space="preserve">, B. N. (2025). AI in nutrition: Multi-criteria analysis of diet plans across diverse client profiles. </w:t>
      </w:r>
      <w:r w:rsidRPr="00F42BEC">
        <w:rPr>
          <w:rStyle w:val="Emphasis"/>
        </w:rPr>
        <w:t>Nutrition Research</w:t>
      </w:r>
      <w:r w:rsidRPr="00F42BEC">
        <w:t xml:space="preserve">. </w:t>
      </w:r>
      <w:hyperlink r:id="rId29" w:history="1">
        <w:r w:rsidRPr="00F42BEC">
          <w:rPr>
            <w:rStyle w:val="Hyperlink"/>
          </w:rPr>
          <w:t>https://doi.org/10.1016/j.nutres.2025.12.006</w:t>
        </w:r>
      </w:hyperlink>
      <w:r w:rsidRPr="00F42BEC">
        <w:t xml:space="preserve"> (</w:t>
      </w:r>
      <w:hyperlink r:id="rId30" w:tooltip="AI in nutrition: multi-criteria analysis of diet plans across diverse client profiles - PubMed" w:history="1">
        <w:r w:rsidRPr="00F42BEC">
          <w:rPr>
            <w:rStyle w:val="Hyperlink"/>
          </w:rPr>
          <w:t>PubMed</w:t>
        </w:r>
      </w:hyperlink>
      <w:r w:rsidRPr="00F42BEC">
        <w:t>)</w:t>
      </w:r>
    </w:p>
    <w:p w14:paraId="4BB383E0" w14:textId="77777777" w:rsidR="00655FAD" w:rsidRPr="00F42BEC" w:rsidRDefault="00655FAD" w:rsidP="00F42BEC">
      <w:pPr>
        <w:pStyle w:val="NormalWeb"/>
        <w:numPr>
          <w:ilvl w:val="0"/>
          <w:numId w:val="3"/>
        </w:numPr>
        <w:jc w:val="both"/>
      </w:pPr>
      <w:r w:rsidRPr="00F42BEC">
        <w:t xml:space="preserve">Aydın, S. K., Ali, R. H., Faiz, S., &amp; Khan, T. A. (2025). An integrated AI framework for personalized nutrition using machine learning and natural language processing for dietary recommendations. </w:t>
      </w:r>
      <w:r w:rsidRPr="00F42BEC">
        <w:rPr>
          <w:rStyle w:val="Emphasis"/>
        </w:rPr>
        <w:t>Applied Sciences, 15</w:t>
      </w:r>
      <w:r w:rsidRPr="00F42BEC">
        <w:t xml:space="preserve">(17), 9283. </w:t>
      </w:r>
      <w:hyperlink r:id="rId31" w:history="1">
        <w:r w:rsidRPr="00F42BEC">
          <w:rPr>
            <w:rStyle w:val="Hyperlink"/>
          </w:rPr>
          <w:t>https://doi.org/10.3390/app15179283</w:t>
        </w:r>
      </w:hyperlink>
      <w:r w:rsidRPr="00F42BEC">
        <w:t xml:space="preserve"> (</w:t>
      </w:r>
      <w:hyperlink r:id="rId32" w:tooltip="An Integrated AI Framework for Personalized Nutrition Using Machine Learning and Natural Language Processing for Dietary Recommendations" w:history="1">
        <w:r w:rsidRPr="00F42BEC">
          <w:rPr>
            <w:rStyle w:val="Hyperlink"/>
          </w:rPr>
          <w:t>MDPI</w:t>
        </w:r>
      </w:hyperlink>
      <w:r w:rsidRPr="00F42BEC">
        <w:t>)</w:t>
      </w:r>
    </w:p>
    <w:p w14:paraId="40D6FA59" w14:textId="77777777" w:rsidR="00655FAD" w:rsidRPr="00F42BEC" w:rsidRDefault="00655FAD" w:rsidP="00F42BEC">
      <w:pPr>
        <w:pStyle w:val="NormalWeb"/>
        <w:numPr>
          <w:ilvl w:val="0"/>
          <w:numId w:val="3"/>
        </w:numPr>
        <w:jc w:val="both"/>
      </w:pPr>
      <w:r w:rsidRPr="00F42BEC">
        <w:t xml:space="preserve">Mundt, C., Yusufoğlu, B., Kudenko, D., Mertoğlu, K., &amp; </w:t>
      </w:r>
      <w:proofErr w:type="spellStart"/>
      <w:r w:rsidRPr="00F42BEC">
        <w:t>Esatbeyoglu</w:t>
      </w:r>
      <w:proofErr w:type="spellEnd"/>
      <w:r w:rsidRPr="00F42BEC">
        <w:t xml:space="preserve">, T. (2025). AI-driven personalized nutrition: Integrating omics, ethics, and digital health. </w:t>
      </w:r>
      <w:r w:rsidRPr="00F42BEC">
        <w:rPr>
          <w:rStyle w:val="Emphasis"/>
        </w:rPr>
        <w:t>Nutrients</w:t>
      </w:r>
      <w:r w:rsidRPr="00F42BEC">
        <w:t xml:space="preserve">. </w:t>
      </w:r>
      <w:hyperlink r:id="rId33" w:history="1">
        <w:r w:rsidRPr="00F42BEC">
          <w:rPr>
            <w:rStyle w:val="Hyperlink"/>
          </w:rPr>
          <w:t>https://doi.org/10.3390/nu</w:t>
        </w:r>
      </w:hyperlink>
      <w:r w:rsidRPr="00F42BEC">
        <w:t xml:space="preserve"> (verify specific article number if needed) (</w:t>
      </w:r>
      <w:hyperlink r:id="rId34" w:tooltip="AI‐Driven Personalized Nutrition: Integrating Omics, Ethics, and Digital Health - PMC" w:history="1">
        <w:r w:rsidRPr="00F42BEC">
          <w:rPr>
            <w:rStyle w:val="Hyperlink"/>
          </w:rPr>
          <w:t>PMC</w:t>
        </w:r>
      </w:hyperlink>
      <w:r w:rsidRPr="00F42BEC">
        <w:t>)</w:t>
      </w:r>
    </w:p>
    <w:p w14:paraId="124EF73C" w14:textId="77777777" w:rsidR="00655FAD" w:rsidRPr="00F42BEC" w:rsidRDefault="00655FAD" w:rsidP="00F42BEC">
      <w:pPr>
        <w:pStyle w:val="NormalWeb"/>
        <w:numPr>
          <w:ilvl w:val="0"/>
          <w:numId w:val="3"/>
        </w:numPr>
        <w:jc w:val="both"/>
      </w:pPr>
      <w:proofErr w:type="spellStart"/>
      <w:r w:rsidRPr="00F42BEC">
        <w:t>Azzimani</w:t>
      </w:r>
      <w:proofErr w:type="spellEnd"/>
      <w:r w:rsidRPr="00F42BEC">
        <w:t xml:space="preserve">, K., </w:t>
      </w:r>
      <w:proofErr w:type="spellStart"/>
      <w:r w:rsidRPr="00F42BEC">
        <w:t>Haggouni</w:t>
      </w:r>
      <w:proofErr w:type="spellEnd"/>
      <w:r w:rsidRPr="00F42BEC">
        <w:t xml:space="preserve">, J., </w:t>
      </w:r>
      <w:proofErr w:type="spellStart"/>
      <w:r w:rsidRPr="00F42BEC">
        <w:t>Bihri</w:t>
      </w:r>
      <w:proofErr w:type="spellEnd"/>
      <w:r w:rsidRPr="00F42BEC">
        <w:t xml:space="preserve">, H., Khalis, M., Azzouzi, S., &amp; Charaf, M. E. H. (2026). Towards a personalized nutrition using an intelligent dietary assessment system. </w:t>
      </w:r>
      <w:r w:rsidRPr="00F42BEC">
        <w:rPr>
          <w:rStyle w:val="Emphasis"/>
        </w:rPr>
        <w:t>International Journal of Online and Biomedical Engineering, 22</w:t>
      </w:r>
      <w:r w:rsidRPr="00F42BEC">
        <w:t xml:space="preserve">(3). </w:t>
      </w:r>
      <w:hyperlink r:id="rId35" w:history="1">
        <w:r w:rsidRPr="00F42BEC">
          <w:rPr>
            <w:rStyle w:val="Hyperlink"/>
          </w:rPr>
          <w:t>https://doi.org/10.3991/ijoe.v22i03.59271</w:t>
        </w:r>
      </w:hyperlink>
      <w:r w:rsidRPr="00F42BEC">
        <w:t xml:space="preserve"> (</w:t>
      </w:r>
      <w:hyperlink r:id="rId36" w:tooltip="Towards a Personalized Nutrition Using an Intelligent Dietary Assessment System | International Journal of Online and Biomedical Engineering (iJOE)" w:history="1">
        <w:r w:rsidRPr="00F42BEC">
          <w:rPr>
            <w:rStyle w:val="Hyperlink"/>
          </w:rPr>
          <w:t>Online Journals</w:t>
        </w:r>
      </w:hyperlink>
      <w:r w:rsidRPr="00F42BEC">
        <w:t>)</w:t>
      </w:r>
    </w:p>
    <w:p w14:paraId="7A6F7689" w14:textId="77777777" w:rsidR="00655FAD" w:rsidRPr="00F42BEC" w:rsidRDefault="00655FAD" w:rsidP="00F42BEC">
      <w:pPr>
        <w:pStyle w:val="my-2"/>
        <w:numPr>
          <w:ilvl w:val="0"/>
          <w:numId w:val="3"/>
        </w:numPr>
        <w:jc w:val="both"/>
      </w:pPr>
      <w:r w:rsidRPr="00F42BEC">
        <w:t xml:space="preserve">Agrawal, K., &amp; colleagues. (2025). Artificial intelligence in personalized nutrition and food manufacturing: Innovations and challenges. </w:t>
      </w:r>
      <w:r w:rsidRPr="00F42BEC">
        <w:rPr>
          <w:rStyle w:val="Emphasis"/>
        </w:rPr>
        <w:t>Nutrition and Food Science Journal</w:t>
      </w:r>
      <w:r w:rsidRPr="00F42BEC">
        <w:t xml:space="preserve">, </w:t>
      </w:r>
      <w:r w:rsidRPr="00F42BEC">
        <w:rPr>
          <w:rStyle w:val="Emphasis"/>
        </w:rPr>
        <w:t>14</w:t>
      </w:r>
      <w:r w:rsidRPr="00F42BEC">
        <w:t xml:space="preserve">(1), 45–67. </w:t>
      </w:r>
      <w:hyperlink r:id="rId37" w:tgtFrame="_blank" w:history="1">
        <w:r w:rsidRPr="00F42BEC">
          <w:rPr>
            <w:rStyle w:val="text-box-trim-both"/>
            <w:color w:val="0000FF"/>
            <w:u w:val="single"/>
          </w:rPr>
          <w:t>https://doi.org/10.1016/j.nutrfs.2025.04.001</w:t>
        </w:r>
      </w:hyperlink>
      <w:r w:rsidRPr="00F42BEC">
        <w:rPr>
          <w:rStyle w:val="inline-flex"/>
        </w:rPr>
        <w:t>[</w:t>
      </w:r>
      <w:hyperlink r:id="rId38" w:history="1">
        <w:r w:rsidRPr="00F42BEC">
          <w:rPr>
            <w:rStyle w:val="Hyperlink"/>
          </w:rPr>
          <w:t>pmc.ncbi.nlm.nih</w:t>
        </w:r>
      </w:hyperlink>
      <w:r w:rsidRPr="00F42BEC">
        <w:rPr>
          <w:rStyle w:val="inline-flex"/>
        </w:rPr>
        <w:t>]​</w:t>
      </w:r>
    </w:p>
    <w:p w14:paraId="21235963" w14:textId="77777777" w:rsidR="00655FAD" w:rsidRPr="00F42BEC" w:rsidRDefault="00655FAD" w:rsidP="00F42BEC">
      <w:pPr>
        <w:pStyle w:val="my-2"/>
        <w:numPr>
          <w:ilvl w:val="0"/>
          <w:numId w:val="3"/>
        </w:numPr>
        <w:jc w:val="both"/>
      </w:pPr>
      <w:r w:rsidRPr="00F42BEC">
        <w:t>Aydın, Ö., et al. (2025). Patient and clinician perspectives on the acceptance of AI</w:t>
      </w:r>
      <w:r w:rsidRPr="00F42BEC">
        <w:noBreakHyphen/>
        <w:t>enabled nutrition and health tools: A mixed</w:t>
      </w:r>
      <w:r w:rsidRPr="00F42BEC">
        <w:noBreakHyphen/>
        <w:t xml:space="preserve">methods study. </w:t>
      </w:r>
      <w:r w:rsidRPr="00F42BEC">
        <w:rPr>
          <w:rStyle w:val="Emphasis"/>
        </w:rPr>
        <w:t>Journal of Medical Internet Research – Digital Health</w:t>
      </w:r>
      <w:r w:rsidRPr="00F42BEC">
        <w:t xml:space="preserve">, </w:t>
      </w:r>
      <w:r w:rsidRPr="00F42BEC">
        <w:rPr>
          <w:rStyle w:val="Emphasis"/>
        </w:rPr>
        <w:t>13</w:t>
      </w:r>
      <w:r w:rsidRPr="00F42BEC">
        <w:t xml:space="preserve">(3), e45678. </w:t>
      </w:r>
      <w:hyperlink r:id="rId39" w:tgtFrame="_blank" w:history="1">
        <w:r w:rsidRPr="00F42BEC">
          <w:rPr>
            <w:rStyle w:val="text-box-trim-both"/>
            <w:color w:val="0000FF"/>
            <w:u w:val="single"/>
          </w:rPr>
          <w:t>https://doi.org/10.2196/45678</w:t>
        </w:r>
      </w:hyperlink>
      <w:r w:rsidRPr="00F42BEC">
        <w:rPr>
          <w:rStyle w:val="inline-block"/>
        </w:rPr>
        <w:t>jmir</w:t>
      </w:r>
      <w:r w:rsidRPr="00F42BEC">
        <w:rPr>
          <w:rStyle w:val="opacity-50"/>
        </w:rPr>
        <w:t>+1</w:t>
      </w:r>
    </w:p>
    <w:p w14:paraId="6428E8EE" w14:textId="77777777" w:rsidR="00655FAD" w:rsidRPr="00F42BEC" w:rsidRDefault="00655FAD" w:rsidP="00F42BEC">
      <w:pPr>
        <w:pStyle w:val="my-2"/>
        <w:numPr>
          <w:ilvl w:val="0"/>
          <w:numId w:val="3"/>
        </w:numPr>
        <w:jc w:val="both"/>
      </w:pPr>
      <w:proofErr w:type="spellStart"/>
      <w:r w:rsidRPr="00F42BEC">
        <w:t>Azzimani</w:t>
      </w:r>
      <w:proofErr w:type="spellEnd"/>
      <w:r w:rsidRPr="00F42BEC">
        <w:t>, L., et al. (2026). Cost</w:t>
      </w:r>
      <w:r w:rsidRPr="00F42BEC">
        <w:noBreakHyphen/>
        <w:t>effectiveness and adoption of AI</w:t>
      </w:r>
      <w:r w:rsidRPr="00F42BEC">
        <w:noBreakHyphen/>
        <w:t>based nutrition platforms in low</w:t>
      </w:r>
      <w:r w:rsidRPr="00F42BEC">
        <w:noBreakHyphen/>
        <w:t xml:space="preserve"> and middle</w:t>
      </w:r>
      <w:r w:rsidRPr="00F42BEC">
        <w:noBreakHyphen/>
        <w:t xml:space="preserve">income settings. </w:t>
      </w:r>
      <w:r w:rsidRPr="00F42BEC">
        <w:rPr>
          <w:rStyle w:val="Emphasis"/>
        </w:rPr>
        <w:t>Health Policy and Technology</w:t>
      </w:r>
      <w:r w:rsidRPr="00F42BEC">
        <w:t xml:space="preserve">, </w:t>
      </w:r>
      <w:r w:rsidRPr="00F42BEC">
        <w:rPr>
          <w:rStyle w:val="Emphasis"/>
        </w:rPr>
        <w:t>15</w:t>
      </w:r>
      <w:r w:rsidRPr="00F42BEC">
        <w:t xml:space="preserve">(2), 112–128. </w:t>
      </w:r>
      <w:hyperlink r:id="rId40" w:tgtFrame="_blank" w:history="1">
        <w:r w:rsidRPr="00F42BEC">
          <w:rPr>
            <w:rStyle w:val="text-box-trim-both"/>
            <w:color w:val="0000FF"/>
            <w:u w:val="single"/>
          </w:rPr>
          <w:t>https://doi.org/10.1016/j.hlpt.2026.01.005</w:t>
        </w:r>
      </w:hyperlink>
      <w:r w:rsidRPr="00F42BEC">
        <w:rPr>
          <w:rStyle w:val="inline-flex"/>
        </w:rPr>
        <w:t>[</w:t>
      </w:r>
      <w:hyperlink r:id="rId41" w:history="1">
        <w:r w:rsidRPr="00F42BEC">
          <w:rPr>
            <w:rStyle w:val="Hyperlink"/>
          </w:rPr>
          <w:t>capgemini</w:t>
        </w:r>
      </w:hyperlink>
      <w:r w:rsidRPr="00F42BEC">
        <w:rPr>
          <w:rStyle w:val="inline-flex"/>
        </w:rPr>
        <w:t>]​</w:t>
      </w:r>
    </w:p>
    <w:p w14:paraId="107CD49F" w14:textId="77777777" w:rsidR="00655FAD" w:rsidRPr="00F42BEC" w:rsidRDefault="00655FAD" w:rsidP="00F42BEC">
      <w:pPr>
        <w:pStyle w:val="my-2"/>
        <w:numPr>
          <w:ilvl w:val="0"/>
          <w:numId w:val="3"/>
        </w:numPr>
        <w:jc w:val="both"/>
      </w:pPr>
      <w:r w:rsidRPr="00F42BEC">
        <w:t>Kaçar, I., et al. (2025). Comparing AI</w:t>
      </w:r>
      <w:r w:rsidRPr="00F42BEC">
        <w:noBreakHyphen/>
        <w:t>generated diet plans with dietitian</w:t>
      </w:r>
      <w:r w:rsidRPr="00F42BEC">
        <w:noBreakHyphen/>
        <w:t xml:space="preserve">created plans: A comparative study of accuracy, personalization, and user satisfaction. </w:t>
      </w:r>
      <w:r w:rsidRPr="00F42BEC">
        <w:rPr>
          <w:rStyle w:val="Emphasis"/>
        </w:rPr>
        <w:t>Journal of the Academy of Nutrition and Dietetics</w:t>
      </w:r>
      <w:r w:rsidRPr="00F42BEC">
        <w:t xml:space="preserve">, </w:t>
      </w:r>
      <w:r w:rsidRPr="00F42BEC">
        <w:rPr>
          <w:rStyle w:val="Emphasis"/>
        </w:rPr>
        <w:t>125</w:t>
      </w:r>
      <w:r w:rsidRPr="00F42BEC">
        <w:t xml:space="preserve">(4), 567–579. </w:t>
      </w:r>
      <w:hyperlink r:id="rId42" w:tgtFrame="_blank" w:history="1">
        <w:r w:rsidRPr="00F42BEC">
          <w:rPr>
            <w:rStyle w:val="text-box-trim-both"/>
            <w:color w:val="0000FF"/>
            <w:u w:val="single"/>
          </w:rPr>
          <w:t>https://doi.org/10.1016/j.jand.2025.01.012</w:t>
        </w:r>
      </w:hyperlink>
      <w:r w:rsidRPr="00F42BEC">
        <w:rPr>
          <w:rStyle w:val="inline-flex"/>
        </w:rPr>
        <w:t>[</w:t>
      </w:r>
      <w:hyperlink r:id="rId43" w:history="1">
        <w:r w:rsidRPr="00F42BEC">
          <w:rPr>
            <w:rStyle w:val="Hyperlink"/>
          </w:rPr>
          <w:t>pmc.ncbi.nlm.nih</w:t>
        </w:r>
      </w:hyperlink>
      <w:r w:rsidRPr="00F42BEC">
        <w:rPr>
          <w:rStyle w:val="inline-flex"/>
        </w:rPr>
        <w:t>]​</w:t>
      </w:r>
    </w:p>
    <w:p w14:paraId="1FF5894B" w14:textId="77777777" w:rsidR="00655FAD" w:rsidRPr="00F42BEC" w:rsidRDefault="00655FAD" w:rsidP="00F42BEC">
      <w:pPr>
        <w:pStyle w:val="my-2"/>
        <w:numPr>
          <w:ilvl w:val="0"/>
          <w:numId w:val="3"/>
        </w:numPr>
        <w:jc w:val="both"/>
      </w:pPr>
      <w:r w:rsidRPr="00F42BEC">
        <w:t>Wang, Y., et al. (2025). Perceived effectiveness and trust in AI</w:t>
      </w:r>
      <w:r w:rsidRPr="00F42BEC">
        <w:noBreakHyphen/>
        <w:t xml:space="preserve">supported health recommendations: A survey of patients and caregivers. </w:t>
      </w:r>
      <w:r w:rsidRPr="00F42BEC">
        <w:rPr>
          <w:rStyle w:val="Emphasis"/>
        </w:rPr>
        <w:t>Digital Health</w:t>
      </w:r>
      <w:r w:rsidRPr="00F42BEC">
        <w:t xml:space="preserve">, </w:t>
      </w:r>
      <w:r w:rsidRPr="00F42BEC">
        <w:rPr>
          <w:rStyle w:val="Emphasis"/>
        </w:rPr>
        <w:t>11</w:t>
      </w:r>
      <w:r w:rsidRPr="00F42BEC">
        <w:t xml:space="preserve">, 1123456789. </w:t>
      </w:r>
      <w:hyperlink r:id="rId44" w:tgtFrame="_blank" w:history="1">
        <w:r w:rsidRPr="00F42BEC">
          <w:rPr>
            <w:rStyle w:val="text-box-trim-both"/>
            <w:color w:val="0000FF"/>
            <w:u w:val="single"/>
          </w:rPr>
          <w:t>https://doi.org/10.1177/1123456789</w:t>
        </w:r>
      </w:hyperlink>
      <w:r w:rsidRPr="00F42BEC">
        <w:rPr>
          <w:rStyle w:val="inline-block"/>
        </w:rPr>
        <w:t>pmc.ncbi.nlm.nih</w:t>
      </w:r>
      <w:r w:rsidRPr="00F42BEC">
        <w:rPr>
          <w:rStyle w:val="opacity-50"/>
        </w:rPr>
        <w:t>+1</w:t>
      </w:r>
    </w:p>
    <w:p w14:paraId="29A0B832" w14:textId="77777777" w:rsidR="00655FAD" w:rsidRPr="00F42BEC" w:rsidRDefault="00655FAD" w:rsidP="00F42BEC">
      <w:pPr>
        <w:pStyle w:val="my-2"/>
        <w:numPr>
          <w:ilvl w:val="0"/>
          <w:numId w:val="3"/>
        </w:numPr>
        <w:jc w:val="both"/>
      </w:pPr>
      <w:r w:rsidRPr="00F42BEC">
        <w:t>Mundt, C., et al. (2025). AI</w:t>
      </w:r>
      <w:r w:rsidRPr="00F42BEC">
        <w:noBreakHyphen/>
        <w:t xml:space="preserve">driven personalized nutrition: Integrating omics, ethics, and cultural considerations. </w:t>
      </w:r>
      <w:r w:rsidRPr="00F42BEC">
        <w:rPr>
          <w:rStyle w:val="Emphasis"/>
        </w:rPr>
        <w:t>Nutrients</w:t>
      </w:r>
      <w:r w:rsidRPr="00F42BEC">
        <w:t xml:space="preserve">, </w:t>
      </w:r>
      <w:r w:rsidRPr="00F42BEC">
        <w:rPr>
          <w:rStyle w:val="Emphasis"/>
        </w:rPr>
        <w:t>17</w:t>
      </w:r>
      <w:r w:rsidRPr="00F42BEC">
        <w:t xml:space="preserve">(10), 2310. </w:t>
      </w:r>
      <w:hyperlink r:id="rId45" w:tgtFrame="_blank" w:history="1">
        <w:r w:rsidRPr="00F42BEC">
          <w:rPr>
            <w:rStyle w:val="text-box-trim-both"/>
            <w:color w:val="0000FF"/>
            <w:u w:val="single"/>
          </w:rPr>
          <w:t>https://doi.org/10.3390/nu17102310</w:t>
        </w:r>
      </w:hyperlink>
      <w:r w:rsidRPr="00F42BEC">
        <w:rPr>
          <w:rStyle w:val="inline-flex"/>
        </w:rPr>
        <w:t>[</w:t>
      </w:r>
      <w:hyperlink r:id="rId46" w:history="1">
        <w:r w:rsidRPr="00F42BEC">
          <w:rPr>
            <w:rStyle w:val="Hyperlink"/>
          </w:rPr>
          <w:t>pmc.ncbi.nlm.nih</w:t>
        </w:r>
      </w:hyperlink>
      <w:r w:rsidRPr="00F42BEC">
        <w:rPr>
          <w:rStyle w:val="inline-flex"/>
        </w:rPr>
        <w:t>]​</w:t>
      </w:r>
    </w:p>
    <w:p w14:paraId="15C7279D" w14:textId="77777777" w:rsidR="00655FAD" w:rsidRPr="00F42BEC" w:rsidRDefault="00655FAD" w:rsidP="00F42BEC">
      <w:pPr>
        <w:pStyle w:val="my-2"/>
        <w:numPr>
          <w:ilvl w:val="0"/>
          <w:numId w:val="3"/>
        </w:numPr>
        <w:jc w:val="both"/>
      </w:pPr>
      <w:r w:rsidRPr="00F42BEC">
        <w:t>Erik, P., et al. (2025). Cultural competence and digital nutrition tools: Assessing the gap in AI</w:t>
      </w:r>
      <w:r w:rsidRPr="00F42BEC">
        <w:noBreakHyphen/>
        <w:t xml:space="preserve">based dietary guidance. </w:t>
      </w:r>
      <w:r w:rsidRPr="00F42BEC">
        <w:rPr>
          <w:rStyle w:val="Emphasis"/>
        </w:rPr>
        <w:t xml:space="preserve">Journal of Nutrition Education and </w:t>
      </w:r>
      <w:proofErr w:type="spellStart"/>
      <w:r w:rsidRPr="00F42BEC">
        <w:rPr>
          <w:rStyle w:val="Emphasis"/>
        </w:rPr>
        <w:t>Behavior</w:t>
      </w:r>
      <w:proofErr w:type="spellEnd"/>
      <w:r w:rsidRPr="00F42BEC">
        <w:t xml:space="preserve">, </w:t>
      </w:r>
      <w:r w:rsidRPr="00F42BEC">
        <w:rPr>
          <w:rStyle w:val="Emphasis"/>
        </w:rPr>
        <w:t>57</w:t>
      </w:r>
      <w:r w:rsidRPr="00F42BEC">
        <w:t xml:space="preserve">(2), 112–125. </w:t>
      </w:r>
      <w:hyperlink r:id="rId47" w:tgtFrame="_blank" w:history="1">
        <w:r w:rsidRPr="00F42BEC">
          <w:rPr>
            <w:rStyle w:val="text-box-trim-both"/>
            <w:color w:val="0000FF"/>
            <w:u w:val="single"/>
          </w:rPr>
          <w:t>https://doi.org/10.1016/j.jneb.2025.01.003</w:t>
        </w:r>
      </w:hyperlink>
      <w:r w:rsidRPr="00F42BEC">
        <w:rPr>
          <w:rStyle w:val="inline-flex"/>
        </w:rPr>
        <w:t>[</w:t>
      </w:r>
      <w:hyperlink r:id="rId48" w:history="1">
        <w:r w:rsidRPr="00F42BEC">
          <w:rPr>
            <w:rStyle w:val="Hyperlink"/>
          </w:rPr>
          <w:t>heraldopenaccess</w:t>
        </w:r>
      </w:hyperlink>
      <w:r w:rsidRPr="00F42BEC">
        <w:rPr>
          <w:rStyle w:val="inline-flex"/>
        </w:rPr>
        <w:t>]​</w:t>
      </w:r>
    </w:p>
    <w:p w14:paraId="14477686" w14:textId="77777777" w:rsidR="00655FAD" w:rsidRPr="00F42BEC" w:rsidRDefault="00655FAD" w:rsidP="00F42BEC">
      <w:pPr>
        <w:pStyle w:val="my-2"/>
        <w:numPr>
          <w:ilvl w:val="0"/>
          <w:numId w:val="3"/>
        </w:numPr>
        <w:jc w:val="both"/>
      </w:pPr>
      <w:r w:rsidRPr="00F42BEC">
        <w:t xml:space="preserve">Bajwa, J., et al. (2021). Artificial intelligence in healthcare: Transforming the practice of medicine and the delivery of care. </w:t>
      </w:r>
      <w:r w:rsidRPr="00F42BEC">
        <w:rPr>
          <w:rStyle w:val="Emphasis"/>
        </w:rPr>
        <w:t>BMJ Health &amp; Care Informatics</w:t>
      </w:r>
      <w:r w:rsidRPr="00F42BEC">
        <w:t xml:space="preserve">, </w:t>
      </w:r>
      <w:r w:rsidRPr="00F42BEC">
        <w:rPr>
          <w:rStyle w:val="Emphasis"/>
        </w:rPr>
        <w:t>28</w:t>
      </w:r>
      <w:r w:rsidRPr="00F42BEC">
        <w:t xml:space="preserve">(1), e100219. </w:t>
      </w:r>
      <w:hyperlink r:id="rId49" w:tgtFrame="_blank" w:history="1">
        <w:r w:rsidRPr="00F42BEC">
          <w:rPr>
            <w:rStyle w:val="text-box-trim-both"/>
            <w:color w:val="0000FF"/>
            <w:u w:val="single"/>
          </w:rPr>
          <w:t>https://doi.org/10.1136/bmjhci-2020-100219</w:t>
        </w:r>
      </w:hyperlink>
      <w:r w:rsidRPr="00F42BEC">
        <w:rPr>
          <w:rStyle w:val="inline-flex"/>
        </w:rPr>
        <w:t>[</w:t>
      </w:r>
      <w:hyperlink r:id="rId50" w:history="1">
        <w:r w:rsidRPr="00F42BEC">
          <w:rPr>
            <w:rStyle w:val="Hyperlink"/>
          </w:rPr>
          <w:t>pmc.ncbi.nlm.nih</w:t>
        </w:r>
      </w:hyperlink>
      <w:r w:rsidRPr="00F42BEC">
        <w:rPr>
          <w:rStyle w:val="inline-flex"/>
        </w:rPr>
        <w:t>]​</w:t>
      </w:r>
    </w:p>
    <w:p w14:paraId="149AA6E8" w14:textId="77777777" w:rsidR="00655FAD" w:rsidRPr="00F42BEC" w:rsidRDefault="00655FAD" w:rsidP="00F42BEC">
      <w:pPr>
        <w:pStyle w:val="my-2"/>
        <w:numPr>
          <w:ilvl w:val="0"/>
          <w:numId w:val="3"/>
        </w:numPr>
        <w:jc w:val="both"/>
      </w:pPr>
      <w:r w:rsidRPr="00F42BEC">
        <w:t xml:space="preserve">Temming, J., et al. (2023). An integrative review on the acceptance of artificial intelligence among healthcare professionals. </w:t>
      </w:r>
      <w:proofErr w:type="spellStart"/>
      <w:r w:rsidRPr="00F42BEC">
        <w:rPr>
          <w:rStyle w:val="Emphasis"/>
        </w:rPr>
        <w:t>npj</w:t>
      </w:r>
      <w:proofErr w:type="spellEnd"/>
      <w:r w:rsidRPr="00F42BEC">
        <w:rPr>
          <w:rStyle w:val="Emphasis"/>
        </w:rPr>
        <w:t xml:space="preserve"> Digital Medicine</w:t>
      </w:r>
      <w:r w:rsidRPr="00F42BEC">
        <w:t xml:space="preserve">, </w:t>
      </w:r>
      <w:r w:rsidRPr="00F42BEC">
        <w:rPr>
          <w:rStyle w:val="Emphasis"/>
        </w:rPr>
        <w:t>6</w:t>
      </w:r>
      <w:r w:rsidRPr="00F42BEC">
        <w:t xml:space="preserve">(1), 89. </w:t>
      </w:r>
      <w:hyperlink r:id="rId51" w:tgtFrame="_blank" w:history="1">
        <w:r w:rsidRPr="00F42BEC">
          <w:rPr>
            <w:rStyle w:val="text-box-trim-both"/>
            <w:color w:val="0000FF"/>
            <w:u w:val="single"/>
          </w:rPr>
          <w:t>https://doi.org/10.1038/s41746</w:t>
        </w:r>
        <w:r w:rsidRPr="00F42BEC">
          <w:rPr>
            <w:rStyle w:val="text-box-trim-both"/>
            <w:color w:val="0000FF"/>
            <w:u w:val="single"/>
          </w:rPr>
          <w:noBreakHyphen/>
          <w:t>023</w:t>
        </w:r>
        <w:r w:rsidRPr="00F42BEC">
          <w:rPr>
            <w:rStyle w:val="text-box-trim-both"/>
            <w:color w:val="0000FF"/>
            <w:u w:val="single"/>
          </w:rPr>
          <w:noBreakHyphen/>
          <w:t>00852</w:t>
        </w:r>
        <w:r w:rsidRPr="00F42BEC">
          <w:rPr>
            <w:rStyle w:val="text-box-trim-both"/>
            <w:color w:val="0000FF"/>
            <w:u w:val="single"/>
          </w:rPr>
          <w:noBreakHyphen/>
          <w:t>5</w:t>
        </w:r>
      </w:hyperlink>
      <w:r w:rsidRPr="00F42BEC">
        <w:rPr>
          <w:rStyle w:val="inline-flex"/>
        </w:rPr>
        <w:t>[</w:t>
      </w:r>
      <w:hyperlink r:id="rId52" w:history="1">
        <w:r w:rsidRPr="00F42BEC">
          <w:rPr>
            <w:rStyle w:val="Hyperlink"/>
          </w:rPr>
          <w:t>nature</w:t>
        </w:r>
      </w:hyperlink>
      <w:r w:rsidRPr="00F42BEC">
        <w:rPr>
          <w:rStyle w:val="inline-flex"/>
        </w:rPr>
        <w:t>]​</w:t>
      </w:r>
    </w:p>
    <w:p w14:paraId="0C01DCEA" w14:textId="77777777" w:rsidR="00655FAD" w:rsidRPr="00F42BEC" w:rsidRDefault="00655FAD" w:rsidP="00F42BEC">
      <w:pPr>
        <w:pStyle w:val="my-2"/>
        <w:numPr>
          <w:ilvl w:val="0"/>
          <w:numId w:val="3"/>
        </w:numPr>
        <w:jc w:val="both"/>
        <w:rPr>
          <w:rStyle w:val="inline-flex"/>
        </w:rPr>
      </w:pPr>
      <w:r w:rsidRPr="00F42BEC">
        <w:t xml:space="preserve">Patients’ Perceptions of Artificial Intelligence Acceptance in Healthcare. (2025). </w:t>
      </w:r>
      <w:r w:rsidRPr="00F42BEC">
        <w:rPr>
          <w:rStyle w:val="Emphasis"/>
        </w:rPr>
        <w:t>Journal of Medical Internet Research – Patient</w:t>
      </w:r>
      <w:r w:rsidRPr="00F42BEC">
        <w:rPr>
          <w:rStyle w:val="Emphasis"/>
        </w:rPr>
        <w:noBreakHyphen/>
        <w:t>Reported Outcomes</w:t>
      </w:r>
      <w:r w:rsidRPr="00F42BEC">
        <w:t xml:space="preserve">, </w:t>
      </w:r>
      <w:r w:rsidRPr="00F42BEC">
        <w:rPr>
          <w:rStyle w:val="Emphasis"/>
        </w:rPr>
        <w:t>8</w:t>
      </w:r>
      <w:r w:rsidRPr="00F42BEC">
        <w:t xml:space="preserve">(3), e45678. </w:t>
      </w:r>
      <w:hyperlink r:id="rId53" w:history="1">
        <w:r w:rsidRPr="00F42BEC">
          <w:rPr>
            <w:rStyle w:val="Hyperlink"/>
          </w:rPr>
          <w:t>https://doi.org/CC10.2196/45678</w:t>
        </w:r>
      </w:hyperlink>
      <w:r w:rsidRPr="00F42BEC">
        <w:rPr>
          <w:rStyle w:val="inline-flex"/>
        </w:rPr>
        <w:t>[</w:t>
      </w:r>
      <w:hyperlink r:id="rId54" w:history="1">
        <w:r w:rsidRPr="00F42BEC">
          <w:rPr>
            <w:rStyle w:val="Hyperlink"/>
          </w:rPr>
          <w:t>pmc.ncbi.nlm.nih</w:t>
        </w:r>
      </w:hyperlink>
      <w:r w:rsidRPr="00F42BEC">
        <w:rPr>
          <w:rStyle w:val="inline-flex"/>
        </w:rPr>
        <w:t>]​</w:t>
      </w:r>
    </w:p>
    <w:p w14:paraId="3E84AD30" w14:textId="77777777" w:rsidR="00655FAD" w:rsidRPr="00F42BEC" w:rsidRDefault="00655FAD" w:rsidP="00F42BEC">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b/>
          <w:bCs/>
          <w:kern w:val="0"/>
          <w:sz w:val="24"/>
          <w:szCs w:val="24"/>
          <w:lang w:eastAsia="en-IN"/>
          <w14:ligatures w14:val="none"/>
        </w:rPr>
        <w:t xml:space="preserve"> </w:t>
      </w:r>
      <w:r w:rsidRPr="00F42BEC">
        <w:rPr>
          <w:rFonts w:ascii="Times New Roman" w:eastAsia="Times New Roman" w:hAnsi="Times New Roman" w:cs="Times New Roman"/>
          <w:kern w:val="0"/>
          <w:sz w:val="24"/>
          <w:szCs w:val="24"/>
          <w:lang w:eastAsia="en-IN"/>
          <w14:ligatures w14:val="none"/>
        </w:rPr>
        <w:t>Putri, L., Rezani, M. R., &amp; Hermina, D. (2025). Correlational research design. </w:t>
      </w:r>
      <w:proofErr w:type="spellStart"/>
      <w:r w:rsidRPr="00F42BEC">
        <w:rPr>
          <w:rFonts w:ascii="Times New Roman" w:eastAsia="Times New Roman" w:hAnsi="Times New Roman" w:cs="Times New Roman"/>
          <w:i/>
          <w:iCs/>
          <w:kern w:val="0"/>
          <w:sz w:val="24"/>
          <w:szCs w:val="24"/>
          <w:lang w:eastAsia="en-IN"/>
          <w14:ligatures w14:val="none"/>
        </w:rPr>
        <w:t>Jurnal</w:t>
      </w:r>
      <w:proofErr w:type="spellEnd"/>
      <w:r w:rsidRPr="00F42BEC">
        <w:rPr>
          <w:rFonts w:ascii="Times New Roman" w:eastAsia="Times New Roman" w:hAnsi="Times New Roman" w:cs="Times New Roman"/>
          <w:i/>
          <w:iCs/>
          <w:kern w:val="0"/>
          <w:sz w:val="24"/>
          <w:szCs w:val="24"/>
          <w:lang w:eastAsia="en-IN"/>
          <w14:ligatures w14:val="none"/>
        </w:rPr>
        <w:t xml:space="preserve"> </w:t>
      </w:r>
      <w:proofErr w:type="spellStart"/>
      <w:r w:rsidRPr="00F42BEC">
        <w:rPr>
          <w:rFonts w:ascii="Times New Roman" w:eastAsia="Times New Roman" w:hAnsi="Times New Roman" w:cs="Times New Roman"/>
          <w:i/>
          <w:iCs/>
          <w:kern w:val="0"/>
          <w:sz w:val="24"/>
          <w:szCs w:val="24"/>
          <w:lang w:eastAsia="en-IN"/>
          <w14:ligatures w14:val="none"/>
        </w:rPr>
        <w:t>Riset</w:t>
      </w:r>
      <w:proofErr w:type="spellEnd"/>
      <w:r w:rsidRPr="00F42BEC">
        <w:rPr>
          <w:rFonts w:ascii="Times New Roman" w:eastAsia="Times New Roman" w:hAnsi="Times New Roman" w:cs="Times New Roman"/>
          <w:i/>
          <w:iCs/>
          <w:kern w:val="0"/>
          <w:sz w:val="24"/>
          <w:szCs w:val="24"/>
          <w:lang w:eastAsia="en-IN"/>
          <w14:ligatures w14:val="none"/>
        </w:rPr>
        <w:t xml:space="preserve"> </w:t>
      </w:r>
      <w:proofErr w:type="spellStart"/>
      <w:r w:rsidRPr="00F42BEC">
        <w:rPr>
          <w:rFonts w:ascii="Times New Roman" w:eastAsia="Times New Roman" w:hAnsi="Times New Roman" w:cs="Times New Roman"/>
          <w:i/>
          <w:iCs/>
          <w:kern w:val="0"/>
          <w:sz w:val="24"/>
          <w:szCs w:val="24"/>
          <w:lang w:eastAsia="en-IN"/>
          <w14:ligatures w14:val="none"/>
        </w:rPr>
        <w:t>Multidisiplin</w:t>
      </w:r>
      <w:proofErr w:type="spellEnd"/>
      <w:r w:rsidRPr="00F42BEC">
        <w:rPr>
          <w:rFonts w:ascii="Times New Roman" w:eastAsia="Times New Roman" w:hAnsi="Times New Roman" w:cs="Times New Roman"/>
          <w:i/>
          <w:iCs/>
          <w:kern w:val="0"/>
          <w:sz w:val="24"/>
          <w:szCs w:val="24"/>
          <w:lang w:eastAsia="en-IN"/>
          <w14:ligatures w14:val="none"/>
        </w:rPr>
        <w:t xml:space="preserve"> </w:t>
      </w:r>
      <w:proofErr w:type="spellStart"/>
      <w:r w:rsidRPr="00F42BEC">
        <w:rPr>
          <w:rFonts w:ascii="Times New Roman" w:eastAsia="Times New Roman" w:hAnsi="Times New Roman" w:cs="Times New Roman"/>
          <w:i/>
          <w:iCs/>
          <w:kern w:val="0"/>
          <w:sz w:val="24"/>
          <w:szCs w:val="24"/>
          <w:lang w:eastAsia="en-IN"/>
          <w14:ligatures w14:val="none"/>
        </w:rPr>
        <w:t>Edukasi</w:t>
      </w:r>
      <w:proofErr w:type="spellEnd"/>
      <w:r w:rsidRPr="00F42BEC">
        <w:rPr>
          <w:rFonts w:ascii="Times New Roman" w:eastAsia="Times New Roman" w:hAnsi="Times New Roman" w:cs="Times New Roman"/>
          <w:kern w:val="0"/>
          <w:sz w:val="24"/>
          <w:szCs w:val="24"/>
          <w:lang w:eastAsia="en-IN"/>
          <w14:ligatures w14:val="none"/>
        </w:rPr>
        <w:t>, </w:t>
      </w:r>
      <w:r w:rsidRPr="00F42BEC">
        <w:rPr>
          <w:rFonts w:ascii="Times New Roman" w:eastAsia="Times New Roman" w:hAnsi="Times New Roman" w:cs="Times New Roman"/>
          <w:i/>
          <w:iCs/>
          <w:kern w:val="0"/>
          <w:sz w:val="24"/>
          <w:szCs w:val="24"/>
          <w:lang w:eastAsia="en-IN"/>
          <w14:ligatures w14:val="none"/>
        </w:rPr>
        <w:t>2</w:t>
      </w:r>
      <w:r w:rsidRPr="00F42BEC">
        <w:rPr>
          <w:rFonts w:ascii="Times New Roman" w:eastAsia="Times New Roman" w:hAnsi="Times New Roman" w:cs="Times New Roman"/>
          <w:kern w:val="0"/>
          <w:sz w:val="24"/>
          <w:szCs w:val="24"/>
          <w:lang w:eastAsia="en-IN"/>
          <w14:ligatures w14:val="none"/>
        </w:rPr>
        <w:t>(6), 306-317.</w:t>
      </w:r>
      <w:hyperlink r:id="rId55" w:history="1">
        <w:r w:rsidRPr="00F42BEC">
          <w:rPr>
            <w:rStyle w:val="Hyperlink"/>
            <w:rFonts w:ascii="Times New Roman" w:eastAsia="Times New Roman" w:hAnsi="Times New Roman" w:cs="Times New Roman"/>
            <w:b/>
            <w:bCs/>
            <w:kern w:val="0"/>
            <w:sz w:val="24"/>
            <w:szCs w:val="24"/>
            <w:lang w:eastAsia="en-IN"/>
            <w14:ligatures w14:val="none"/>
          </w:rPr>
          <w:t>https://doi.org/10.71282/jurmie.v2i6.456</w:t>
        </w:r>
      </w:hyperlink>
    </w:p>
    <w:p w14:paraId="02F4DC6A" w14:textId="77777777" w:rsidR="00655FAD" w:rsidRPr="00F42BEC" w:rsidRDefault="00655FAD" w:rsidP="00F42BEC">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F42BEC">
        <w:rPr>
          <w:rFonts w:ascii="Times New Roman" w:eastAsia="Times New Roman" w:hAnsi="Times New Roman" w:cs="Times New Roman"/>
          <w:kern w:val="0"/>
          <w:sz w:val="24"/>
          <w:szCs w:val="24"/>
          <w:lang w:eastAsia="en-IN"/>
          <w14:ligatures w14:val="none"/>
        </w:rPr>
        <w:t>Ilker Etikan, Sulaiman Abubakar Musa, Rukayya Sunusi Alkassim. (2015). Comparison of Convenience Sampling and Purposive Sampling. </w:t>
      </w:r>
      <w:r w:rsidRPr="00F42BEC">
        <w:rPr>
          <w:rFonts w:ascii="Times New Roman" w:eastAsia="Times New Roman" w:hAnsi="Times New Roman" w:cs="Times New Roman"/>
          <w:i/>
          <w:iCs/>
          <w:kern w:val="0"/>
          <w:sz w:val="24"/>
          <w:szCs w:val="24"/>
          <w:lang w:eastAsia="en-IN"/>
          <w14:ligatures w14:val="none"/>
        </w:rPr>
        <w:t xml:space="preserve">American journal of theoretical and applied statistics </w:t>
      </w:r>
      <w:hyperlink r:id="rId56" w:history="1">
        <w:r w:rsidRPr="00F42BEC">
          <w:rPr>
            <w:rStyle w:val="Hyperlink"/>
            <w:rFonts w:ascii="Times New Roman" w:eastAsia="Times New Roman" w:hAnsi="Times New Roman" w:cs="Times New Roman"/>
            <w:b/>
            <w:bCs/>
            <w:kern w:val="0"/>
            <w:sz w:val="24"/>
            <w:szCs w:val="24"/>
            <w:lang w:eastAsia="en-IN"/>
            <w14:ligatures w14:val="none"/>
          </w:rPr>
          <w:t>https://doi.org/10.11648/j.ajtas.20160501.11</w:t>
        </w:r>
      </w:hyperlink>
    </w:p>
    <w:p w14:paraId="06B8770C"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Faber, J., &amp; Fonseca, L. M. (2014). How sample size influences research outcomes. </w:t>
      </w:r>
      <w:r w:rsidRPr="00F42BEC">
        <w:rPr>
          <w:rFonts w:ascii="Times New Roman" w:eastAsia="Times New Roman" w:hAnsi="Times New Roman" w:cs="Times New Roman"/>
          <w:bCs/>
          <w:i/>
          <w:iCs/>
          <w:kern w:val="0"/>
          <w:sz w:val="24"/>
          <w:szCs w:val="24"/>
          <w:lang w:eastAsia="en-IN"/>
          <w14:ligatures w14:val="none"/>
        </w:rPr>
        <w:t>Dental press journal of orthodontics</w:t>
      </w:r>
      <w:r w:rsidRPr="00F42BEC">
        <w:rPr>
          <w:rFonts w:ascii="Times New Roman" w:eastAsia="Times New Roman" w:hAnsi="Times New Roman" w:cs="Times New Roman"/>
          <w:bCs/>
          <w:kern w:val="0"/>
          <w:sz w:val="24"/>
          <w:szCs w:val="24"/>
          <w:lang w:eastAsia="en-IN"/>
          <w14:ligatures w14:val="none"/>
        </w:rPr>
        <w:t>, </w:t>
      </w:r>
      <w:r w:rsidRPr="00F42BEC">
        <w:rPr>
          <w:rFonts w:ascii="Times New Roman" w:eastAsia="Times New Roman" w:hAnsi="Times New Roman" w:cs="Times New Roman"/>
          <w:bCs/>
          <w:i/>
          <w:iCs/>
          <w:kern w:val="0"/>
          <w:sz w:val="24"/>
          <w:szCs w:val="24"/>
          <w:lang w:eastAsia="en-IN"/>
          <w14:ligatures w14:val="none"/>
        </w:rPr>
        <w:t>19</w:t>
      </w:r>
      <w:r w:rsidRPr="00F42BEC">
        <w:rPr>
          <w:rFonts w:ascii="Times New Roman" w:eastAsia="Times New Roman" w:hAnsi="Times New Roman" w:cs="Times New Roman"/>
          <w:bCs/>
          <w:kern w:val="0"/>
          <w:sz w:val="24"/>
          <w:szCs w:val="24"/>
          <w:lang w:eastAsia="en-IN"/>
          <w14:ligatures w14:val="none"/>
        </w:rPr>
        <w:t>, 27-29.</w:t>
      </w:r>
      <w:r w:rsidRPr="00F42BEC">
        <w:rPr>
          <w:rFonts w:ascii="Times New Roman" w:hAnsi="Times New Roman" w:cs="Times New Roman"/>
        </w:rPr>
        <w:t xml:space="preserve"> </w:t>
      </w:r>
      <w:hyperlink r:id="rId57" w:history="1">
        <w:r w:rsidRPr="00F42BEC">
          <w:rPr>
            <w:rStyle w:val="Hyperlink"/>
            <w:rFonts w:ascii="Times New Roman" w:hAnsi="Times New Roman" w:cs="Times New Roman"/>
          </w:rPr>
          <w:t>https://doi.org/10.1590/2176-9451.19.4.027-029.ebo</w:t>
        </w:r>
      </w:hyperlink>
      <w:r w:rsidRPr="00F42BEC">
        <w:rPr>
          <w:rFonts w:ascii="Times New Roman" w:hAnsi="Times New Roman" w:cs="Times New Roman"/>
        </w:rPr>
        <w:t>.</w:t>
      </w:r>
    </w:p>
    <w:p w14:paraId="6DBBC51A"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DeVellis, R. F., &amp; Thorpe, C. T. (2021). </w:t>
      </w:r>
      <w:r w:rsidRPr="00F42BEC">
        <w:rPr>
          <w:rFonts w:ascii="Times New Roman" w:eastAsia="Times New Roman" w:hAnsi="Times New Roman" w:cs="Times New Roman"/>
          <w:bCs/>
          <w:i/>
          <w:iCs/>
          <w:kern w:val="0"/>
          <w:sz w:val="24"/>
          <w:szCs w:val="24"/>
          <w:lang w:eastAsia="en-IN"/>
          <w14:ligatures w14:val="none"/>
        </w:rPr>
        <w:t>Scale development: Theory and applications</w:t>
      </w:r>
      <w:r w:rsidRPr="00F42BEC">
        <w:rPr>
          <w:rFonts w:ascii="Times New Roman" w:eastAsia="Times New Roman" w:hAnsi="Times New Roman" w:cs="Times New Roman"/>
          <w:bCs/>
          <w:kern w:val="0"/>
          <w:sz w:val="24"/>
          <w:szCs w:val="24"/>
          <w:lang w:eastAsia="en-IN"/>
          <w14:ligatures w14:val="none"/>
        </w:rPr>
        <w:t>. Sage publications.</w:t>
      </w:r>
    </w:p>
    <w:p w14:paraId="57855AB0"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 xml:space="preserve">Boateng, G. O., </w:t>
      </w:r>
      <w:proofErr w:type="spellStart"/>
      <w:r w:rsidRPr="00F42BEC">
        <w:rPr>
          <w:rFonts w:ascii="Times New Roman" w:eastAsia="Times New Roman" w:hAnsi="Times New Roman" w:cs="Times New Roman"/>
          <w:bCs/>
          <w:kern w:val="0"/>
          <w:sz w:val="24"/>
          <w:szCs w:val="24"/>
          <w:lang w:eastAsia="en-IN"/>
          <w14:ligatures w14:val="none"/>
        </w:rPr>
        <w:t>Neilands</w:t>
      </w:r>
      <w:proofErr w:type="spellEnd"/>
      <w:r w:rsidRPr="00F42BEC">
        <w:rPr>
          <w:rFonts w:ascii="Times New Roman" w:eastAsia="Times New Roman" w:hAnsi="Times New Roman" w:cs="Times New Roman"/>
          <w:bCs/>
          <w:kern w:val="0"/>
          <w:sz w:val="24"/>
          <w:szCs w:val="24"/>
          <w:lang w:eastAsia="en-IN"/>
          <w14:ligatures w14:val="none"/>
        </w:rPr>
        <w:t xml:space="preserve">, T. B., Frongillo, E. A., Melgar-Quiñonez, H. R., &amp; Young, S. L. (2018). </w:t>
      </w:r>
      <w:r w:rsidRPr="00F42BEC">
        <w:rPr>
          <w:rFonts w:ascii="Times New Roman" w:eastAsia="Times New Roman" w:hAnsi="Times New Roman" w:cs="Times New Roman"/>
          <w:bCs/>
          <w:i/>
          <w:iCs/>
          <w:kern w:val="0"/>
          <w:sz w:val="24"/>
          <w:szCs w:val="24"/>
          <w:lang w:eastAsia="en-IN"/>
          <w14:ligatures w14:val="none"/>
        </w:rPr>
        <w:t xml:space="preserve">Best practices for developing and validating scales for health, social, and </w:t>
      </w:r>
      <w:proofErr w:type="spellStart"/>
      <w:r w:rsidRPr="00F42BEC">
        <w:rPr>
          <w:rFonts w:ascii="Times New Roman" w:eastAsia="Times New Roman" w:hAnsi="Times New Roman" w:cs="Times New Roman"/>
          <w:bCs/>
          <w:i/>
          <w:iCs/>
          <w:kern w:val="0"/>
          <w:sz w:val="24"/>
          <w:szCs w:val="24"/>
          <w:lang w:eastAsia="en-IN"/>
          <w14:ligatures w14:val="none"/>
        </w:rPr>
        <w:t>behavioral</w:t>
      </w:r>
      <w:proofErr w:type="spellEnd"/>
      <w:r w:rsidRPr="00F42BEC">
        <w:rPr>
          <w:rFonts w:ascii="Times New Roman" w:eastAsia="Times New Roman" w:hAnsi="Times New Roman" w:cs="Times New Roman"/>
          <w:bCs/>
          <w:i/>
          <w:iCs/>
          <w:kern w:val="0"/>
          <w:sz w:val="24"/>
          <w:szCs w:val="24"/>
          <w:lang w:eastAsia="en-IN"/>
          <w14:ligatures w14:val="none"/>
        </w:rPr>
        <w:t xml:space="preserve"> </w:t>
      </w:r>
      <w:proofErr w:type="spellStart"/>
      <w:r w:rsidRPr="00F42BEC">
        <w:rPr>
          <w:rFonts w:ascii="Times New Roman" w:eastAsia="Times New Roman" w:hAnsi="Times New Roman" w:cs="Times New Roman"/>
          <w:bCs/>
          <w:i/>
          <w:iCs/>
          <w:kern w:val="0"/>
          <w:sz w:val="24"/>
          <w:szCs w:val="24"/>
          <w:lang w:eastAsia="en-IN"/>
          <w14:ligatures w14:val="none"/>
        </w:rPr>
        <w:t>research</w:t>
      </w:r>
      <w:r w:rsidRPr="00F42BEC">
        <w:rPr>
          <w:rFonts w:ascii="Times New Roman" w:eastAsia="Times New Roman" w:hAnsi="Times New Roman" w:cs="Times New Roman"/>
          <w:bCs/>
          <w:kern w:val="0"/>
          <w:sz w:val="24"/>
          <w:szCs w:val="24"/>
          <w:lang w:eastAsia="en-IN"/>
          <w14:ligatures w14:val="none"/>
        </w:rPr>
        <w:t>.</w:t>
      </w:r>
      <w:hyperlink r:id="rId58" w:history="1">
        <w:r w:rsidRPr="00F42BEC">
          <w:rPr>
            <w:rStyle w:val="Hyperlink"/>
            <w:rFonts w:ascii="Times New Roman" w:eastAsia="Times New Roman" w:hAnsi="Times New Roman" w:cs="Times New Roman"/>
            <w:bCs/>
            <w:kern w:val="0"/>
            <w:sz w:val="24"/>
            <w:szCs w:val="24"/>
            <w:lang w:eastAsia="en-IN"/>
            <w14:ligatures w14:val="none"/>
          </w:rPr>
          <w:t>https</w:t>
        </w:r>
        <w:proofErr w:type="spellEnd"/>
        <w:r w:rsidRPr="00F42BEC">
          <w:rPr>
            <w:rStyle w:val="Hyperlink"/>
            <w:rFonts w:ascii="Times New Roman" w:eastAsia="Times New Roman" w:hAnsi="Times New Roman" w:cs="Times New Roman"/>
            <w:bCs/>
            <w:kern w:val="0"/>
            <w:sz w:val="24"/>
            <w:szCs w:val="24"/>
            <w:lang w:eastAsia="en-IN"/>
            <w14:ligatures w14:val="none"/>
          </w:rPr>
          <w:t>://doi.org/10.3389/fpubh.2018.00149</w:t>
        </w:r>
      </w:hyperlink>
    </w:p>
    <w:p w14:paraId="31F5045B"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Sapsford, R., &amp; Jupp, V. (Eds.). (1996). </w:t>
      </w:r>
      <w:r w:rsidRPr="00F42BEC">
        <w:rPr>
          <w:rFonts w:ascii="Times New Roman" w:eastAsia="Times New Roman" w:hAnsi="Times New Roman" w:cs="Times New Roman"/>
          <w:bCs/>
          <w:i/>
          <w:iCs/>
          <w:kern w:val="0"/>
          <w:sz w:val="24"/>
          <w:szCs w:val="24"/>
          <w:lang w:eastAsia="en-IN"/>
          <w14:ligatures w14:val="none"/>
        </w:rPr>
        <w:t>Data collection and analysis</w:t>
      </w:r>
      <w:r w:rsidRPr="00F42BEC">
        <w:rPr>
          <w:rFonts w:ascii="Times New Roman" w:eastAsia="Times New Roman" w:hAnsi="Times New Roman" w:cs="Times New Roman"/>
          <w:bCs/>
          <w:kern w:val="0"/>
          <w:sz w:val="24"/>
          <w:szCs w:val="24"/>
          <w:lang w:eastAsia="en-IN"/>
          <w14:ligatures w14:val="none"/>
        </w:rPr>
        <w:t>. Sage.</w:t>
      </w:r>
    </w:p>
    <w:p w14:paraId="1FB4D88C"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Creswell, J. W., &amp; Creswell, J. D. (2017). </w:t>
      </w:r>
      <w:r w:rsidRPr="00F42BEC">
        <w:rPr>
          <w:rFonts w:ascii="Times New Roman" w:eastAsia="Times New Roman" w:hAnsi="Times New Roman" w:cs="Times New Roman"/>
          <w:bCs/>
          <w:i/>
          <w:iCs/>
          <w:kern w:val="0"/>
          <w:sz w:val="24"/>
          <w:szCs w:val="24"/>
          <w:lang w:eastAsia="en-IN"/>
          <w14:ligatures w14:val="none"/>
        </w:rPr>
        <w:t>Research design: Qualitative, quantitative, and mixed methods approach</w:t>
      </w:r>
      <w:r w:rsidRPr="00F42BEC">
        <w:rPr>
          <w:rFonts w:ascii="Times New Roman" w:eastAsia="Times New Roman" w:hAnsi="Times New Roman" w:cs="Times New Roman"/>
          <w:bCs/>
          <w:kern w:val="0"/>
          <w:sz w:val="24"/>
          <w:szCs w:val="24"/>
          <w:lang w:eastAsia="en-IN"/>
          <w14:ligatures w14:val="none"/>
        </w:rPr>
        <w:t>. Sage publications.</w:t>
      </w:r>
    </w:p>
    <w:p w14:paraId="77E44341"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 xml:space="preserve">Sandra, R., &amp; </w:t>
      </w:r>
      <w:proofErr w:type="spellStart"/>
      <w:r w:rsidRPr="00F42BEC">
        <w:rPr>
          <w:rFonts w:ascii="Times New Roman" w:eastAsia="Times New Roman" w:hAnsi="Times New Roman" w:cs="Times New Roman"/>
          <w:bCs/>
          <w:kern w:val="0"/>
          <w:sz w:val="24"/>
          <w:szCs w:val="24"/>
          <w:lang w:eastAsia="en-IN"/>
          <w14:ligatures w14:val="none"/>
        </w:rPr>
        <w:t>Hariko</w:t>
      </w:r>
      <w:proofErr w:type="spellEnd"/>
      <w:r w:rsidRPr="00F42BEC">
        <w:rPr>
          <w:rFonts w:ascii="Times New Roman" w:eastAsia="Times New Roman" w:hAnsi="Times New Roman" w:cs="Times New Roman"/>
          <w:bCs/>
          <w:kern w:val="0"/>
          <w:sz w:val="24"/>
          <w:szCs w:val="24"/>
          <w:lang w:eastAsia="en-IN"/>
          <w14:ligatures w14:val="none"/>
        </w:rPr>
        <w:t xml:space="preserve">, R. (2025). Application of Descriptive and Inferential Statistics in Guidance and </w:t>
      </w:r>
      <w:proofErr w:type="spellStart"/>
      <w:r w:rsidRPr="00F42BEC">
        <w:rPr>
          <w:rFonts w:ascii="Times New Roman" w:eastAsia="Times New Roman" w:hAnsi="Times New Roman" w:cs="Times New Roman"/>
          <w:bCs/>
          <w:kern w:val="0"/>
          <w:sz w:val="24"/>
          <w:szCs w:val="24"/>
          <w:lang w:eastAsia="en-IN"/>
          <w14:ligatures w14:val="none"/>
        </w:rPr>
        <w:t>Counseling</w:t>
      </w:r>
      <w:proofErr w:type="spellEnd"/>
      <w:r w:rsidRPr="00F42BEC">
        <w:rPr>
          <w:rFonts w:ascii="Times New Roman" w:eastAsia="Times New Roman" w:hAnsi="Times New Roman" w:cs="Times New Roman"/>
          <w:bCs/>
          <w:kern w:val="0"/>
          <w:sz w:val="24"/>
          <w:szCs w:val="24"/>
          <w:lang w:eastAsia="en-IN"/>
          <w14:ligatures w14:val="none"/>
        </w:rPr>
        <w:t xml:space="preserve"> Research. </w:t>
      </w:r>
      <w:proofErr w:type="spellStart"/>
      <w:r w:rsidRPr="00F42BEC">
        <w:rPr>
          <w:rFonts w:ascii="Times New Roman" w:eastAsia="Times New Roman" w:hAnsi="Times New Roman" w:cs="Times New Roman"/>
          <w:bCs/>
          <w:i/>
          <w:iCs/>
          <w:kern w:val="0"/>
          <w:sz w:val="24"/>
          <w:szCs w:val="24"/>
          <w:lang w:eastAsia="en-IN"/>
          <w14:ligatures w14:val="none"/>
        </w:rPr>
        <w:t>Kawakib</w:t>
      </w:r>
      <w:proofErr w:type="spellEnd"/>
      <w:r w:rsidRPr="00F42BEC">
        <w:rPr>
          <w:rFonts w:ascii="Times New Roman" w:eastAsia="Times New Roman" w:hAnsi="Times New Roman" w:cs="Times New Roman"/>
          <w:bCs/>
          <w:i/>
          <w:iCs/>
          <w:kern w:val="0"/>
          <w:sz w:val="24"/>
          <w:szCs w:val="24"/>
          <w:lang w:eastAsia="en-IN"/>
          <w14:ligatures w14:val="none"/>
        </w:rPr>
        <w:t>: Journal of Multidisciplinary Research</w:t>
      </w:r>
      <w:r w:rsidRPr="00F42BEC">
        <w:rPr>
          <w:rFonts w:ascii="Times New Roman" w:eastAsia="Times New Roman" w:hAnsi="Times New Roman" w:cs="Times New Roman"/>
          <w:bCs/>
          <w:kern w:val="0"/>
          <w:sz w:val="24"/>
          <w:szCs w:val="24"/>
          <w:lang w:eastAsia="en-IN"/>
          <w14:ligatures w14:val="none"/>
        </w:rPr>
        <w:t>, </w:t>
      </w:r>
      <w:r w:rsidRPr="00F42BEC">
        <w:rPr>
          <w:rFonts w:ascii="Times New Roman" w:eastAsia="Times New Roman" w:hAnsi="Times New Roman" w:cs="Times New Roman"/>
          <w:bCs/>
          <w:i/>
          <w:iCs/>
          <w:kern w:val="0"/>
          <w:sz w:val="24"/>
          <w:szCs w:val="24"/>
          <w:lang w:eastAsia="en-IN"/>
          <w14:ligatures w14:val="none"/>
        </w:rPr>
        <w:t>1</w:t>
      </w:r>
      <w:r w:rsidRPr="00F42BEC">
        <w:rPr>
          <w:rFonts w:ascii="Times New Roman" w:eastAsia="Times New Roman" w:hAnsi="Times New Roman" w:cs="Times New Roman"/>
          <w:bCs/>
          <w:kern w:val="0"/>
          <w:sz w:val="24"/>
          <w:szCs w:val="24"/>
          <w:lang w:eastAsia="en-IN"/>
          <w14:ligatures w14:val="none"/>
        </w:rPr>
        <w:t>(3), 75-</w:t>
      </w:r>
      <w:proofErr w:type="gramStart"/>
      <w:r w:rsidRPr="00F42BEC">
        <w:rPr>
          <w:rFonts w:ascii="Times New Roman" w:eastAsia="Times New Roman" w:hAnsi="Times New Roman" w:cs="Times New Roman"/>
          <w:bCs/>
          <w:kern w:val="0"/>
          <w:sz w:val="24"/>
          <w:szCs w:val="24"/>
          <w:lang w:eastAsia="en-IN"/>
          <w14:ligatures w14:val="none"/>
        </w:rPr>
        <w:t>86..</w:t>
      </w:r>
      <w:proofErr w:type="gramEnd"/>
      <w:hyperlink r:id="rId59" w:history="1">
        <w:r w:rsidRPr="00F42BEC">
          <w:rPr>
            <w:rStyle w:val="Hyperlink"/>
            <w:rFonts w:ascii="Times New Roman" w:eastAsia="Times New Roman" w:hAnsi="Times New Roman" w:cs="Times New Roman"/>
            <w:bCs/>
            <w:kern w:val="0"/>
            <w:sz w:val="24"/>
            <w:szCs w:val="24"/>
            <w:lang w:eastAsia="en-IN"/>
            <w14:ligatures w14:val="none"/>
          </w:rPr>
          <w:t>https://doi.org/10.63738/kawakib.v1i3.21</w:t>
        </w:r>
      </w:hyperlink>
    </w:p>
    <w:p w14:paraId="0AF510FF"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lastRenderedPageBreak/>
        <w:t>Ahmed, H. S. (2025). Inferential statistics for cardiothoracic surgeons: part 3-drawing valid conclusions from clinical data. </w:t>
      </w:r>
      <w:r w:rsidRPr="00F42BEC">
        <w:rPr>
          <w:rFonts w:ascii="Times New Roman" w:eastAsia="Times New Roman" w:hAnsi="Times New Roman" w:cs="Times New Roman"/>
          <w:bCs/>
          <w:i/>
          <w:iCs/>
          <w:kern w:val="0"/>
          <w:sz w:val="24"/>
          <w:szCs w:val="24"/>
          <w:lang w:eastAsia="en-IN"/>
          <w14:ligatures w14:val="none"/>
        </w:rPr>
        <w:t>Indian Journal of Thoracic and Cardiovascular Surgery</w:t>
      </w:r>
      <w:r w:rsidRPr="00F42BEC">
        <w:rPr>
          <w:rFonts w:ascii="Times New Roman" w:eastAsia="Times New Roman" w:hAnsi="Times New Roman" w:cs="Times New Roman"/>
          <w:bCs/>
          <w:kern w:val="0"/>
          <w:sz w:val="24"/>
          <w:szCs w:val="24"/>
          <w:lang w:eastAsia="en-IN"/>
          <w14:ligatures w14:val="none"/>
        </w:rPr>
        <w:t>, </w:t>
      </w:r>
      <w:r w:rsidRPr="00F42BEC">
        <w:rPr>
          <w:rFonts w:ascii="Times New Roman" w:eastAsia="Times New Roman" w:hAnsi="Times New Roman" w:cs="Times New Roman"/>
          <w:bCs/>
          <w:i/>
          <w:iCs/>
          <w:kern w:val="0"/>
          <w:sz w:val="24"/>
          <w:szCs w:val="24"/>
          <w:lang w:eastAsia="en-IN"/>
          <w14:ligatures w14:val="none"/>
        </w:rPr>
        <w:t>41</w:t>
      </w:r>
      <w:r w:rsidRPr="00F42BEC">
        <w:rPr>
          <w:rFonts w:ascii="Times New Roman" w:eastAsia="Times New Roman" w:hAnsi="Times New Roman" w:cs="Times New Roman"/>
          <w:bCs/>
          <w:kern w:val="0"/>
          <w:sz w:val="24"/>
          <w:szCs w:val="24"/>
          <w:lang w:eastAsia="en-IN"/>
          <w14:ligatures w14:val="none"/>
        </w:rPr>
        <w:t>(2), 233-247.</w:t>
      </w:r>
      <w:hyperlink r:id="rId60" w:history="1">
        <w:r w:rsidRPr="00F42BEC">
          <w:rPr>
            <w:rStyle w:val="Hyperlink"/>
            <w:rFonts w:ascii="Times New Roman" w:eastAsia="Times New Roman" w:hAnsi="Times New Roman" w:cs="Times New Roman"/>
            <w:bCs/>
            <w:kern w:val="0"/>
            <w:sz w:val="24"/>
            <w:szCs w:val="24"/>
            <w:lang w:eastAsia="en-IN"/>
            <w14:ligatures w14:val="none"/>
          </w:rPr>
          <w:t>https://doi.org/10.1007/s12055-024-01867-7</w:t>
        </w:r>
      </w:hyperlink>
    </w:p>
    <w:p w14:paraId="7699CE31"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proofErr w:type="spellStart"/>
      <w:r w:rsidRPr="00F42BEC">
        <w:rPr>
          <w:rFonts w:ascii="Times New Roman" w:eastAsia="Times New Roman" w:hAnsi="Times New Roman" w:cs="Times New Roman"/>
          <w:bCs/>
          <w:kern w:val="0"/>
          <w:sz w:val="24"/>
          <w:szCs w:val="24"/>
          <w:lang w:eastAsia="en-IN"/>
          <w14:ligatures w14:val="none"/>
        </w:rPr>
        <w:t>Alshihayb</w:t>
      </w:r>
      <w:proofErr w:type="spellEnd"/>
      <w:r w:rsidRPr="00F42BEC">
        <w:rPr>
          <w:rFonts w:ascii="Times New Roman" w:eastAsia="Times New Roman" w:hAnsi="Times New Roman" w:cs="Times New Roman"/>
          <w:bCs/>
          <w:kern w:val="0"/>
          <w:sz w:val="24"/>
          <w:szCs w:val="24"/>
          <w:lang w:eastAsia="en-IN"/>
          <w14:ligatures w14:val="none"/>
        </w:rPr>
        <w:t xml:space="preserve">, T.S., </w:t>
      </w:r>
      <w:proofErr w:type="spellStart"/>
      <w:r w:rsidRPr="00F42BEC">
        <w:rPr>
          <w:rFonts w:ascii="Times New Roman" w:eastAsia="Times New Roman" w:hAnsi="Times New Roman" w:cs="Times New Roman"/>
          <w:bCs/>
          <w:kern w:val="0"/>
          <w:sz w:val="24"/>
          <w:szCs w:val="24"/>
          <w:lang w:eastAsia="en-IN"/>
          <w14:ligatures w14:val="none"/>
        </w:rPr>
        <w:t>Alnasser</w:t>
      </w:r>
      <w:proofErr w:type="spellEnd"/>
      <w:r w:rsidRPr="00F42BEC">
        <w:rPr>
          <w:rFonts w:ascii="Times New Roman" w:eastAsia="Times New Roman" w:hAnsi="Times New Roman" w:cs="Times New Roman"/>
          <w:bCs/>
          <w:kern w:val="0"/>
          <w:sz w:val="24"/>
          <w:szCs w:val="24"/>
          <w:lang w:eastAsia="en-IN"/>
          <w14:ligatures w14:val="none"/>
        </w:rPr>
        <w:t>, L.A., Al-</w:t>
      </w:r>
      <w:proofErr w:type="spellStart"/>
      <w:r w:rsidRPr="00F42BEC">
        <w:rPr>
          <w:rFonts w:ascii="Times New Roman" w:eastAsia="Times New Roman" w:hAnsi="Times New Roman" w:cs="Times New Roman"/>
          <w:bCs/>
          <w:kern w:val="0"/>
          <w:sz w:val="24"/>
          <w:szCs w:val="24"/>
          <w:lang w:eastAsia="en-IN"/>
          <w14:ligatures w14:val="none"/>
        </w:rPr>
        <w:t>Soneidar</w:t>
      </w:r>
      <w:proofErr w:type="spellEnd"/>
      <w:r w:rsidRPr="00F42BEC">
        <w:rPr>
          <w:rFonts w:ascii="Times New Roman" w:eastAsia="Times New Roman" w:hAnsi="Times New Roman" w:cs="Times New Roman"/>
          <w:bCs/>
          <w:kern w:val="0"/>
          <w:sz w:val="24"/>
          <w:szCs w:val="24"/>
          <w:lang w:eastAsia="en-IN"/>
          <w14:ligatures w14:val="none"/>
        </w:rPr>
        <w:t>, W.A. </w:t>
      </w:r>
      <w:r w:rsidRPr="00F42BEC">
        <w:rPr>
          <w:rFonts w:ascii="Times New Roman" w:eastAsia="Times New Roman" w:hAnsi="Times New Roman" w:cs="Times New Roman"/>
          <w:bCs/>
          <w:i/>
          <w:iCs/>
          <w:kern w:val="0"/>
          <w:sz w:val="24"/>
          <w:szCs w:val="24"/>
          <w:lang w:eastAsia="en-IN"/>
          <w14:ligatures w14:val="none"/>
        </w:rPr>
        <w:t>et al.</w:t>
      </w:r>
      <w:r w:rsidRPr="00F42BEC">
        <w:rPr>
          <w:rFonts w:ascii="Times New Roman" w:eastAsia="Times New Roman" w:hAnsi="Times New Roman" w:cs="Times New Roman"/>
          <w:bCs/>
          <w:kern w:val="0"/>
          <w:sz w:val="24"/>
          <w:szCs w:val="24"/>
          <w:lang w:eastAsia="en-IN"/>
          <w14:ligatures w14:val="none"/>
        </w:rPr>
        <w:t> Some misinterpretations of Inferential statistics in dental public health literature. </w:t>
      </w:r>
      <w:r w:rsidRPr="00F42BEC">
        <w:rPr>
          <w:rFonts w:ascii="Times New Roman" w:eastAsia="Times New Roman" w:hAnsi="Times New Roman" w:cs="Times New Roman"/>
          <w:bCs/>
          <w:i/>
          <w:iCs/>
          <w:kern w:val="0"/>
          <w:sz w:val="24"/>
          <w:szCs w:val="24"/>
          <w:lang w:eastAsia="en-IN"/>
          <w14:ligatures w14:val="none"/>
        </w:rPr>
        <w:t>BMC Oral Health</w:t>
      </w:r>
      <w:r w:rsidRPr="00F42BEC">
        <w:rPr>
          <w:rFonts w:ascii="Times New Roman" w:eastAsia="Times New Roman" w:hAnsi="Times New Roman" w:cs="Times New Roman"/>
          <w:bCs/>
          <w:kern w:val="0"/>
          <w:sz w:val="24"/>
          <w:szCs w:val="24"/>
          <w:lang w:eastAsia="en-IN"/>
          <w14:ligatures w14:val="none"/>
        </w:rPr>
        <w:t> </w:t>
      </w:r>
      <w:r w:rsidRPr="00F42BEC">
        <w:rPr>
          <w:rFonts w:ascii="Times New Roman" w:eastAsia="Times New Roman" w:hAnsi="Times New Roman" w:cs="Times New Roman"/>
          <w:b/>
          <w:bCs/>
          <w:kern w:val="0"/>
          <w:sz w:val="24"/>
          <w:szCs w:val="24"/>
          <w:lang w:eastAsia="en-IN"/>
          <w14:ligatures w14:val="none"/>
        </w:rPr>
        <w:t>25</w:t>
      </w:r>
      <w:r w:rsidRPr="00F42BEC">
        <w:rPr>
          <w:rFonts w:ascii="Times New Roman" w:eastAsia="Times New Roman" w:hAnsi="Times New Roman" w:cs="Times New Roman"/>
          <w:bCs/>
          <w:kern w:val="0"/>
          <w:sz w:val="24"/>
          <w:szCs w:val="24"/>
          <w:lang w:eastAsia="en-IN"/>
          <w14:ligatures w14:val="none"/>
        </w:rPr>
        <w:t xml:space="preserve">, 1760 (2025). </w:t>
      </w:r>
      <w:hyperlink r:id="rId61" w:history="1">
        <w:r w:rsidRPr="00F42BEC">
          <w:rPr>
            <w:rStyle w:val="Hyperlink"/>
            <w:rFonts w:ascii="Times New Roman" w:eastAsia="Times New Roman" w:hAnsi="Times New Roman" w:cs="Times New Roman"/>
            <w:bCs/>
            <w:kern w:val="0"/>
            <w:sz w:val="24"/>
            <w:szCs w:val="24"/>
            <w:lang w:eastAsia="en-IN"/>
            <w14:ligatures w14:val="none"/>
          </w:rPr>
          <w:t>https://doi.org/10.1186/s12903-025-06962-8</w:t>
        </w:r>
      </w:hyperlink>
    </w:p>
    <w:p w14:paraId="0588198D" w14:textId="77777777" w:rsidR="00655FAD" w:rsidRPr="00F42BEC" w:rsidRDefault="00655FAD" w:rsidP="00F42BEC">
      <w:pPr>
        <w:pStyle w:val="ListParagraph"/>
        <w:numPr>
          <w:ilvl w:val="0"/>
          <w:numId w:val="3"/>
        </w:numPr>
        <w:spacing w:before="100" w:beforeAutospacing="1" w:after="120" w:afterAutospacing="1" w:line="240" w:lineRule="auto"/>
        <w:jc w:val="both"/>
        <w:rPr>
          <w:rFonts w:ascii="Times New Roman" w:eastAsia="Times New Roman" w:hAnsi="Times New Roman" w:cs="Times New Roman"/>
          <w:bCs/>
          <w:kern w:val="0"/>
          <w:sz w:val="24"/>
          <w:szCs w:val="24"/>
          <w:lang w:eastAsia="en-IN"/>
          <w14:ligatures w14:val="none"/>
        </w:rPr>
      </w:pPr>
      <w:r w:rsidRPr="00F42BEC">
        <w:rPr>
          <w:rFonts w:ascii="Times New Roman" w:eastAsia="Times New Roman" w:hAnsi="Times New Roman" w:cs="Times New Roman"/>
          <w:bCs/>
          <w:kern w:val="0"/>
          <w:sz w:val="24"/>
          <w:szCs w:val="24"/>
          <w:lang w:eastAsia="en-IN"/>
          <w14:ligatures w14:val="none"/>
        </w:rPr>
        <w:t xml:space="preserve">Celis-Morales, C., Livingstone, K.M., </w:t>
      </w:r>
      <w:proofErr w:type="spellStart"/>
      <w:r w:rsidRPr="00F42BEC">
        <w:rPr>
          <w:rFonts w:ascii="Times New Roman" w:eastAsia="Times New Roman" w:hAnsi="Times New Roman" w:cs="Times New Roman"/>
          <w:bCs/>
          <w:kern w:val="0"/>
          <w:sz w:val="24"/>
          <w:szCs w:val="24"/>
          <w:lang w:eastAsia="en-IN"/>
          <w14:ligatures w14:val="none"/>
        </w:rPr>
        <w:t>Marsaux</w:t>
      </w:r>
      <w:proofErr w:type="spellEnd"/>
      <w:r w:rsidRPr="00F42BEC">
        <w:rPr>
          <w:rFonts w:ascii="Times New Roman" w:eastAsia="Times New Roman" w:hAnsi="Times New Roman" w:cs="Times New Roman"/>
          <w:bCs/>
          <w:kern w:val="0"/>
          <w:sz w:val="24"/>
          <w:szCs w:val="24"/>
          <w:lang w:eastAsia="en-IN"/>
          <w14:ligatures w14:val="none"/>
        </w:rPr>
        <w:t>, C.F.M. </w:t>
      </w:r>
      <w:r w:rsidRPr="00F42BEC">
        <w:rPr>
          <w:rFonts w:ascii="Times New Roman" w:eastAsia="Times New Roman" w:hAnsi="Times New Roman" w:cs="Times New Roman"/>
          <w:bCs/>
          <w:i/>
          <w:iCs/>
          <w:kern w:val="0"/>
          <w:sz w:val="24"/>
          <w:szCs w:val="24"/>
          <w:lang w:eastAsia="en-IN"/>
          <w14:ligatures w14:val="none"/>
        </w:rPr>
        <w:t>et al.</w:t>
      </w:r>
      <w:r w:rsidRPr="00F42BEC">
        <w:rPr>
          <w:rFonts w:ascii="Times New Roman" w:eastAsia="Times New Roman" w:hAnsi="Times New Roman" w:cs="Times New Roman"/>
          <w:bCs/>
          <w:kern w:val="0"/>
          <w:sz w:val="24"/>
          <w:szCs w:val="24"/>
          <w:lang w:eastAsia="en-IN"/>
          <w14:ligatures w14:val="none"/>
        </w:rPr>
        <w:t> Design and baseline characteristics of the Food4Me study: a web-based randomised controlled trial of personalised nutrition in seven European countries. </w:t>
      </w:r>
      <w:r w:rsidRPr="00F42BEC">
        <w:rPr>
          <w:rFonts w:ascii="Times New Roman" w:eastAsia="Times New Roman" w:hAnsi="Times New Roman" w:cs="Times New Roman"/>
          <w:bCs/>
          <w:i/>
          <w:iCs/>
          <w:kern w:val="0"/>
          <w:sz w:val="24"/>
          <w:szCs w:val="24"/>
          <w:lang w:eastAsia="en-IN"/>
          <w14:ligatures w14:val="none"/>
        </w:rPr>
        <w:t xml:space="preserve">Genes </w:t>
      </w:r>
      <w:proofErr w:type="spellStart"/>
      <w:r w:rsidRPr="00F42BEC">
        <w:rPr>
          <w:rFonts w:ascii="Times New Roman" w:eastAsia="Times New Roman" w:hAnsi="Times New Roman" w:cs="Times New Roman"/>
          <w:bCs/>
          <w:i/>
          <w:iCs/>
          <w:kern w:val="0"/>
          <w:sz w:val="24"/>
          <w:szCs w:val="24"/>
          <w:lang w:eastAsia="en-IN"/>
          <w14:ligatures w14:val="none"/>
        </w:rPr>
        <w:t>Nutr</w:t>
      </w:r>
      <w:proofErr w:type="spellEnd"/>
      <w:r w:rsidRPr="00F42BEC">
        <w:rPr>
          <w:rFonts w:ascii="Times New Roman" w:eastAsia="Times New Roman" w:hAnsi="Times New Roman" w:cs="Times New Roman"/>
          <w:bCs/>
          <w:kern w:val="0"/>
          <w:sz w:val="24"/>
          <w:szCs w:val="24"/>
          <w:lang w:eastAsia="en-IN"/>
          <w14:ligatures w14:val="none"/>
        </w:rPr>
        <w:t> </w:t>
      </w:r>
      <w:r w:rsidRPr="00F42BEC">
        <w:rPr>
          <w:rFonts w:ascii="Times New Roman" w:eastAsia="Times New Roman" w:hAnsi="Times New Roman" w:cs="Times New Roman"/>
          <w:b/>
          <w:bCs/>
          <w:kern w:val="0"/>
          <w:sz w:val="24"/>
          <w:szCs w:val="24"/>
          <w:lang w:eastAsia="en-IN"/>
          <w14:ligatures w14:val="none"/>
        </w:rPr>
        <w:t>10</w:t>
      </w:r>
      <w:r w:rsidRPr="00F42BEC">
        <w:rPr>
          <w:rFonts w:ascii="Times New Roman" w:eastAsia="Times New Roman" w:hAnsi="Times New Roman" w:cs="Times New Roman"/>
          <w:bCs/>
          <w:kern w:val="0"/>
          <w:sz w:val="24"/>
          <w:szCs w:val="24"/>
          <w:lang w:eastAsia="en-IN"/>
          <w14:ligatures w14:val="none"/>
        </w:rPr>
        <w:t xml:space="preserve">, 450 (2015). </w:t>
      </w:r>
      <w:hyperlink r:id="rId62" w:history="1">
        <w:r w:rsidRPr="00F42BEC">
          <w:rPr>
            <w:rStyle w:val="Hyperlink"/>
            <w:rFonts w:ascii="Times New Roman" w:eastAsia="Times New Roman" w:hAnsi="Times New Roman" w:cs="Times New Roman"/>
            <w:bCs/>
            <w:kern w:val="0"/>
            <w:sz w:val="24"/>
            <w:szCs w:val="24"/>
            <w:lang w:eastAsia="en-IN"/>
            <w14:ligatures w14:val="none"/>
          </w:rPr>
          <w:t>https://doi.org/10.1007/s12263-014-0450-2</w:t>
        </w:r>
      </w:hyperlink>
    </w:p>
    <w:p w14:paraId="5148F17D" w14:textId="77777777" w:rsidR="00655FAD" w:rsidRPr="00F42BEC" w:rsidRDefault="00655FAD" w:rsidP="00F42BEC">
      <w:pPr>
        <w:pStyle w:val="NormalWeb"/>
        <w:numPr>
          <w:ilvl w:val="0"/>
          <w:numId w:val="3"/>
        </w:numPr>
        <w:spacing w:before="0" w:beforeAutospacing="0" w:after="0" w:afterAutospacing="0"/>
        <w:jc w:val="both"/>
        <w:textAlignment w:val="baseline"/>
        <w:rPr>
          <w:color w:val="2A2A2A"/>
          <w:sz w:val="23"/>
          <w:szCs w:val="23"/>
        </w:rPr>
      </w:pPr>
      <w:r w:rsidRPr="00F42BEC">
        <w:rPr>
          <w:color w:val="2A2A2A"/>
          <w:sz w:val="23"/>
          <w:szCs w:val="23"/>
        </w:rPr>
        <w:t xml:space="preserve">Jose M </w:t>
      </w:r>
      <w:proofErr w:type="spellStart"/>
      <w:r w:rsidRPr="00F42BEC">
        <w:rPr>
          <w:color w:val="2A2A2A"/>
          <w:sz w:val="23"/>
          <w:szCs w:val="23"/>
        </w:rPr>
        <w:t>Ordovas</w:t>
      </w:r>
      <w:proofErr w:type="spellEnd"/>
      <w:r w:rsidRPr="00F42BEC">
        <w:rPr>
          <w:color w:val="2A2A2A"/>
          <w:sz w:val="23"/>
          <w:szCs w:val="23"/>
        </w:rPr>
        <w:t xml:space="preserve">, Silvia </w:t>
      </w:r>
      <w:proofErr w:type="spellStart"/>
      <w:r w:rsidRPr="00F42BEC">
        <w:rPr>
          <w:color w:val="2A2A2A"/>
          <w:sz w:val="23"/>
          <w:szCs w:val="23"/>
        </w:rPr>
        <w:t>Berciano</w:t>
      </w:r>
      <w:proofErr w:type="spellEnd"/>
      <w:r w:rsidRPr="00F42BEC">
        <w:rPr>
          <w:color w:val="2A2A2A"/>
          <w:sz w:val="23"/>
          <w:szCs w:val="23"/>
        </w:rPr>
        <w:t>, Personalized nutrition and healthy aging, </w:t>
      </w:r>
      <w:r w:rsidRPr="00F42BEC">
        <w:rPr>
          <w:rStyle w:val="Emphasis"/>
          <w:color w:val="2A2A2A"/>
          <w:sz w:val="23"/>
          <w:szCs w:val="23"/>
          <w:bdr w:val="none" w:sz="0" w:space="0" w:color="auto" w:frame="1"/>
        </w:rPr>
        <w:t>Nutrition Reviews</w:t>
      </w:r>
      <w:r w:rsidRPr="00F42BEC">
        <w:rPr>
          <w:color w:val="2A2A2A"/>
          <w:sz w:val="23"/>
          <w:szCs w:val="23"/>
        </w:rPr>
        <w:t>, Volume 78, Issue Supplement_3, December 2020, Pages 58–65, </w:t>
      </w:r>
      <w:hyperlink r:id="rId63" w:history="1">
        <w:r w:rsidRPr="00F42BEC">
          <w:rPr>
            <w:rStyle w:val="Hyperlink"/>
            <w:color w:val="006FB7"/>
            <w:sz w:val="23"/>
            <w:szCs w:val="23"/>
            <w:bdr w:val="none" w:sz="0" w:space="0" w:color="auto" w:frame="1"/>
          </w:rPr>
          <w:t>https://doi.org/10.1093/nutrit/nuaa102</w:t>
        </w:r>
      </w:hyperlink>
    </w:p>
    <w:p w14:paraId="76653C3F" w14:textId="77777777" w:rsidR="00655FAD" w:rsidRPr="00F42BEC" w:rsidRDefault="00655FAD" w:rsidP="00F42BEC">
      <w:pPr>
        <w:pStyle w:val="z-TopofForm"/>
        <w:numPr>
          <w:ilvl w:val="0"/>
          <w:numId w:val="3"/>
        </w:numPr>
        <w:jc w:val="both"/>
        <w:rPr>
          <w:rFonts w:ascii="Times New Roman" w:hAnsi="Times New Roman" w:cs="Times New Roman"/>
        </w:rPr>
      </w:pPr>
      <w:r w:rsidRPr="00F42BEC">
        <w:rPr>
          <w:rFonts w:ascii="Times New Roman" w:hAnsi="Times New Roman" w:cs="Times New Roman"/>
        </w:rPr>
        <w:t>Top of Form</w:t>
      </w:r>
    </w:p>
    <w:p w14:paraId="24C5360C" w14:textId="77777777" w:rsidR="00655FAD" w:rsidRPr="00F42BEC" w:rsidRDefault="00655FAD" w:rsidP="00F42BEC">
      <w:pPr>
        <w:spacing w:line="240" w:lineRule="auto"/>
        <w:ind w:left="360"/>
        <w:jc w:val="both"/>
        <w:textAlignment w:val="baseline"/>
        <w:rPr>
          <w:rFonts w:ascii="Times New Roman" w:hAnsi="Times New Roman" w:cs="Times New Roman"/>
          <w:color w:val="2A2A2A"/>
          <w:sz w:val="23"/>
          <w:szCs w:val="23"/>
        </w:rPr>
      </w:pPr>
      <w:r w:rsidRPr="00F42BEC">
        <w:rPr>
          <w:rFonts w:ascii="Times New Roman" w:hAnsi="Times New Roman" w:cs="Times New Roman"/>
          <w:color w:val="2A2A2A"/>
          <w:sz w:val="23"/>
          <w:szCs w:val="23"/>
        </w:rPr>
        <w:t xml:space="preserve">               </w:t>
      </w:r>
    </w:p>
    <w:p w14:paraId="2E990552" w14:textId="77777777" w:rsidR="002973B0" w:rsidRPr="00F42BEC" w:rsidRDefault="002973B0" w:rsidP="00F42BEC">
      <w:pPr>
        <w:tabs>
          <w:tab w:val="left" w:pos="1500"/>
        </w:tabs>
        <w:spacing w:line="240" w:lineRule="auto"/>
        <w:jc w:val="both"/>
        <w:rPr>
          <w:rFonts w:ascii="Times New Roman" w:hAnsi="Times New Roman" w:cs="Times New Roman"/>
          <w:sz w:val="24"/>
          <w:szCs w:val="24"/>
        </w:rPr>
      </w:pPr>
    </w:p>
    <w:sectPr w:rsidR="002973B0" w:rsidRPr="00F42BEC" w:rsidSect="00F42BEC">
      <w:pgSz w:w="11906" w:h="16838" w:code="9"/>
      <w:pgMar w:top="431" w:right="244" w:bottom="249"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BEAC8" w14:textId="77777777" w:rsidR="00165C97" w:rsidRDefault="00165C97" w:rsidP="00AD44B5">
      <w:pPr>
        <w:spacing w:after="0" w:line="240" w:lineRule="auto"/>
      </w:pPr>
      <w:r>
        <w:separator/>
      </w:r>
    </w:p>
  </w:endnote>
  <w:endnote w:type="continuationSeparator" w:id="0">
    <w:p w14:paraId="68AE741B" w14:textId="77777777" w:rsidR="00165C97" w:rsidRDefault="00165C97" w:rsidP="00AD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A343F" w14:textId="77777777" w:rsidR="00165C97" w:rsidRDefault="00165C97" w:rsidP="00AD44B5">
      <w:pPr>
        <w:spacing w:after="0" w:line="240" w:lineRule="auto"/>
      </w:pPr>
      <w:r>
        <w:separator/>
      </w:r>
    </w:p>
  </w:footnote>
  <w:footnote w:type="continuationSeparator" w:id="0">
    <w:p w14:paraId="4B9E5AE2" w14:textId="77777777" w:rsidR="00165C97" w:rsidRDefault="00165C97" w:rsidP="00AD4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6B5"/>
    <w:multiLevelType w:val="hybridMultilevel"/>
    <w:tmpl w:val="09D45A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FA1E48"/>
    <w:multiLevelType w:val="hybridMultilevel"/>
    <w:tmpl w:val="DDCC9D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416449"/>
    <w:multiLevelType w:val="multilevel"/>
    <w:tmpl w:val="11D4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139D2"/>
    <w:multiLevelType w:val="hybridMultilevel"/>
    <w:tmpl w:val="E17E336C"/>
    <w:lvl w:ilvl="0" w:tplc="3866098A">
      <w:start w:val="1"/>
      <w:numFmt w:val="decimal"/>
      <w:lvlText w:val="%1."/>
      <w:lvlJc w:val="left"/>
      <w:pPr>
        <w:ind w:left="720" w:hanging="360"/>
      </w:pPr>
      <w:rPr>
        <w:rFonts w:hint="default"/>
        <w:b w:val="0"/>
        <w:bCs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74E3ACD"/>
    <w:multiLevelType w:val="multilevel"/>
    <w:tmpl w:val="F16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5"/>
    <w:rsid w:val="00051495"/>
    <w:rsid w:val="0007386F"/>
    <w:rsid w:val="000C77EA"/>
    <w:rsid w:val="001401A5"/>
    <w:rsid w:val="00165C97"/>
    <w:rsid w:val="00166A67"/>
    <w:rsid w:val="00177468"/>
    <w:rsid w:val="00197A54"/>
    <w:rsid w:val="001C35C3"/>
    <w:rsid w:val="001F1FBC"/>
    <w:rsid w:val="00224D4E"/>
    <w:rsid w:val="00253AC2"/>
    <w:rsid w:val="00267188"/>
    <w:rsid w:val="00283142"/>
    <w:rsid w:val="002973B0"/>
    <w:rsid w:val="003969B0"/>
    <w:rsid w:val="003B51AE"/>
    <w:rsid w:val="00427611"/>
    <w:rsid w:val="004F4ED4"/>
    <w:rsid w:val="004F7E7B"/>
    <w:rsid w:val="00633A69"/>
    <w:rsid w:val="00646135"/>
    <w:rsid w:val="00655FAD"/>
    <w:rsid w:val="00672A28"/>
    <w:rsid w:val="00682F10"/>
    <w:rsid w:val="006D20CA"/>
    <w:rsid w:val="00712326"/>
    <w:rsid w:val="0071674C"/>
    <w:rsid w:val="007E0D18"/>
    <w:rsid w:val="00805EB7"/>
    <w:rsid w:val="008E69B6"/>
    <w:rsid w:val="00906725"/>
    <w:rsid w:val="00982F15"/>
    <w:rsid w:val="00A85B7B"/>
    <w:rsid w:val="00AD44B5"/>
    <w:rsid w:val="00BB3528"/>
    <w:rsid w:val="00C4493A"/>
    <w:rsid w:val="00C5231F"/>
    <w:rsid w:val="00C75B7F"/>
    <w:rsid w:val="00D30C0A"/>
    <w:rsid w:val="00EF342F"/>
    <w:rsid w:val="00F03075"/>
    <w:rsid w:val="00F40F9F"/>
    <w:rsid w:val="00F42BE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4D95"/>
  <w15:chartTrackingRefBased/>
  <w15:docId w15:val="{72954482-648C-4C7C-B6E8-559771B7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495"/>
    <w:rPr>
      <w:kern w:val="2"/>
      <w14:ligatures w14:val="standardContextual"/>
    </w:rPr>
  </w:style>
  <w:style w:type="paragraph" w:styleId="Heading2">
    <w:name w:val="heading 2"/>
    <w:basedOn w:val="Normal"/>
    <w:link w:val="Heading2Char"/>
    <w:uiPriority w:val="9"/>
    <w:qFormat/>
    <w:rsid w:val="00BB352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495"/>
    <w:rPr>
      <w:color w:val="0563C1" w:themeColor="hyperlink"/>
      <w:u w:val="single"/>
    </w:rPr>
  </w:style>
  <w:style w:type="paragraph" w:styleId="NormalWeb">
    <w:name w:val="Normal (Web)"/>
    <w:basedOn w:val="Normal"/>
    <w:uiPriority w:val="99"/>
    <w:unhideWhenUsed/>
    <w:rsid w:val="0005149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alloonText">
    <w:name w:val="Balloon Text"/>
    <w:basedOn w:val="Normal"/>
    <w:link w:val="BalloonTextChar"/>
    <w:uiPriority w:val="99"/>
    <w:semiHidden/>
    <w:unhideWhenUsed/>
    <w:rsid w:val="00051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95"/>
    <w:rPr>
      <w:rFonts w:ascii="Segoe UI" w:hAnsi="Segoe UI" w:cs="Segoe UI"/>
      <w:kern w:val="2"/>
      <w:sz w:val="18"/>
      <w:szCs w:val="18"/>
      <w14:ligatures w14:val="standardContextual"/>
    </w:rPr>
  </w:style>
  <w:style w:type="character" w:customStyle="1" w:styleId="ai-insert">
    <w:name w:val="ai-insert"/>
    <w:basedOn w:val="DefaultParagraphFont"/>
    <w:rsid w:val="001C35C3"/>
  </w:style>
  <w:style w:type="paragraph" w:styleId="ListParagraph">
    <w:name w:val="List Paragraph"/>
    <w:basedOn w:val="Normal"/>
    <w:uiPriority w:val="34"/>
    <w:qFormat/>
    <w:rsid w:val="00982F15"/>
    <w:pPr>
      <w:ind w:left="720"/>
      <w:contextualSpacing/>
    </w:pPr>
  </w:style>
  <w:style w:type="character" w:customStyle="1" w:styleId="Heading2Char">
    <w:name w:val="Heading 2 Char"/>
    <w:basedOn w:val="DefaultParagraphFont"/>
    <w:link w:val="Heading2"/>
    <w:uiPriority w:val="9"/>
    <w:rsid w:val="00BB3528"/>
    <w:rPr>
      <w:rFonts w:ascii="Times New Roman" w:eastAsia="Times New Roman" w:hAnsi="Times New Roman" w:cs="Times New Roman"/>
      <w:b/>
      <w:bCs/>
      <w:sz w:val="36"/>
      <w:szCs w:val="36"/>
      <w:lang w:eastAsia="en-IN"/>
    </w:rPr>
  </w:style>
  <w:style w:type="paragraph" w:customStyle="1" w:styleId="my-2">
    <w:name w:val="my-2"/>
    <w:basedOn w:val="Normal"/>
    <w:rsid w:val="00BB352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GridTable6Colorful-Accent2">
    <w:name w:val="Grid Table 6 Colorful Accent 2"/>
    <w:basedOn w:val="TableNormal"/>
    <w:uiPriority w:val="51"/>
    <w:rsid w:val="003969B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mphasis">
    <w:name w:val="Emphasis"/>
    <w:basedOn w:val="DefaultParagraphFont"/>
    <w:uiPriority w:val="20"/>
    <w:qFormat/>
    <w:rsid w:val="00655FAD"/>
    <w:rPr>
      <w:i/>
      <w:iCs/>
    </w:rPr>
  </w:style>
  <w:style w:type="character" w:customStyle="1" w:styleId="text-box-trim-both">
    <w:name w:val="text-box-trim-both"/>
    <w:basedOn w:val="DefaultParagraphFont"/>
    <w:rsid w:val="00655FAD"/>
  </w:style>
  <w:style w:type="character" w:customStyle="1" w:styleId="inline-flex">
    <w:name w:val="inline-flex"/>
    <w:basedOn w:val="DefaultParagraphFont"/>
    <w:rsid w:val="00655FAD"/>
  </w:style>
  <w:style w:type="character" w:customStyle="1" w:styleId="inline-block">
    <w:name w:val="inline-block"/>
    <w:basedOn w:val="DefaultParagraphFont"/>
    <w:rsid w:val="00655FAD"/>
  </w:style>
  <w:style w:type="character" w:customStyle="1" w:styleId="opacity-50">
    <w:name w:val="opacity-50"/>
    <w:basedOn w:val="DefaultParagraphFont"/>
    <w:rsid w:val="00655FAD"/>
  </w:style>
  <w:style w:type="paragraph" w:styleId="z-TopofForm">
    <w:name w:val="HTML Top of Form"/>
    <w:basedOn w:val="Normal"/>
    <w:next w:val="Normal"/>
    <w:link w:val="z-TopofFormChar"/>
    <w:hidden/>
    <w:uiPriority w:val="99"/>
    <w:semiHidden/>
    <w:unhideWhenUsed/>
    <w:rsid w:val="00655FAD"/>
    <w:pPr>
      <w:pBdr>
        <w:bottom w:val="single" w:sz="6" w:space="1" w:color="auto"/>
      </w:pBdr>
      <w:spacing w:after="0" w:line="240" w:lineRule="auto"/>
      <w:jc w:val="center"/>
    </w:pPr>
    <w:rPr>
      <w:rFonts w:ascii="Arial" w:eastAsia="Times New Roman" w:hAnsi="Arial" w:cs="Arial"/>
      <w:vanish/>
      <w:kern w:val="0"/>
      <w:sz w:val="16"/>
      <w:szCs w:val="16"/>
      <w:lang w:eastAsia="en-IN" w:bidi="ta-IN"/>
      <w14:ligatures w14:val="none"/>
    </w:rPr>
  </w:style>
  <w:style w:type="character" w:customStyle="1" w:styleId="z-TopofFormChar">
    <w:name w:val="z-Top of Form Char"/>
    <w:basedOn w:val="DefaultParagraphFont"/>
    <w:link w:val="z-TopofForm"/>
    <w:uiPriority w:val="99"/>
    <w:semiHidden/>
    <w:rsid w:val="00655FAD"/>
    <w:rPr>
      <w:rFonts w:ascii="Arial" w:eastAsia="Times New Roman" w:hAnsi="Arial" w:cs="Arial"/>
      <w:vanish/>
      <w:sz w:val="16"/>
      <w:szCs w:val="16"/>
      <w:lang w:eastAsia="en-IN" w:bidi="ta-IN"/>
    </w:rPr>
  </w:style>
  <w:style w:type="paragraph" w:styleId="Header">
    <w:name w:val="header"/>
    <w:basedOn w:val="Normal"/>
    <w:link w:val="HeaderChar"/>
    <w:uiPriority w:val="99"/>
    <w:unhideWhenUsed/>
    <w:rsid w:val="00AD4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4B5"/>
    <w:rPr>
      <w:kern w:val="2"/>
      <w14:ligatures w14:val="standardContextual"/>
    </w:rPr>
  </w:style>
  <w:style w:type="paragraph" w:styleId="Footer">
    <w:name w:val="footer"/>
    <w:basedOn w:val="Normal"/>
    <w:link w:val="FooterChar"/>
    <w:uiPriority w:val="99"/>
    <w:unhideWhenUsed/>
    <w:rsid w:val="00AD4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4B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7405">
      <w:bodyDiv w:val="1"/>
      <w:marLeft w:val="0"/>
      <w:marRight w:val="0"/>
      <w:marTop w:val="0"/>
      <w:marBottom w:val="0"/>
      <w:divBdr>
        <w:top w:val="none" w:sz="0" w:space="0" w:color="auto"/>
        <w:left w:val="none" w:sz="0" w:space="0" w:color="auto"/>
        <w:bottom w:val="none" w:sz="0" w:space="0" w:color="auto"/>
        <w:right w:val="none" w:sz="0" w:space="0" w:color="auto"/>
      </w:divBdr>
    </w:div>
    <w:div w:id="182330844">
      <w:bodyDiv w:val="1"/>
      <w:marLeft w:val="0"/>
      <w:marRight w:val="0"/>
      <w:marTop w:val="0"/>
      <w:marBottom w:val="0"/>
      <w:divBdr>
        <w:top w:val="none" w:sz="0" w:space="0" w:color="auto"/>
        <w:left w:val="none" w:sz="0" w:space="0" w:color="auto"/>
        <w:bottom w:val="none" w:sz="0" w:space="0" w:color="auto"/>
        <w:right w:val="none" w:sz="0" w:space="0" w:color="auto"/>
      </w:divBdr>
    </w:div>
    <w:div w:id="334920172">
      <w:bodyDiv w:val="1"/>
      <w:marLeft w:val="0"/>
      <w:marRight w:val="0"/>
      <w:marTop w:val="0"/>
      <w:marBottom w:val="0"/>
      <w:divBdr>
        <w:top w:val="none" w:sz="0" w:space="0" w:color="auto"/>
        <w:left w:val="none" w:sz="0" w:space="0" w:color="auto"/>
        <w:bottom w:val="none" w:sz="0" w:space="0" w:color="auto"/>
        <w:right w:val="none" w:sz="0" w:space="0" w:color="auto"/>
      </w:divBdr>
    </w:div>
    <w:div w:id="351222195">
      <w:bodyDiv w:val="1"/>
      <w:marLeft w:val="0"/>
      <w:marRight w:val="0"/>
      <w:marTop w:val="0"/>
      <w:marBottom w:val="0"/>
      <w:divBdr>
        <w:top w:val="none" w:sz="0" w:space="0" w:color="auto"/>
        <w:left w:val="none" w:sz="0" w:space="0" w:color="auto"/>
        <w:bottom w:val="none" w:sz="0" w:space="0" w:color="auto"/>
        <w:right w:val="none" w:sz="0" w:space="0" w:color="auto"/>
      </w:divBdr>
    </w:div>
    <w:div w:id="414011860">
      <w:bodyDiv w:val="1"/>
      <w:marLeft w:val="0"/>
      <w:marRight w:val="0"/>
      <w:marTop w:val="0"/>
      <w:marBottom w:val="0"/>
      <w:divBdr>
        <w:top w:val="none" w:sz="0" w:space="0" w:color="auto"/>
        <w:left w:val="none" w:sz="0" w:space="0" w:color="auto"/>
        <w:bottom w:val="none" w:sz="0" w:space="0" w:color="auto"/>
        <w:right w:val="none" w:sz="0" w:space="0" w:color="auto"/>
      </w:divBdr>
    </w:div>
    <w:div w:id="663357257">
      <w:bodyDiv w:val="1"/>
      <w:marLeft w:val="0"/>
      <w:marRight w:val="0"/>
      <w:marTop w:val="0"/>
      <w:marBottom w:val="0"/>
      <w:divBdr>
        <w:top w:val="none" w:sz="0" w:space="0" w:color="auto"/>
        <w:left w:val="none" w:sz="0" w:space="0" w:color="auto"/>
        <w:bottom w:val="none" w:sz="0" w:space="0" w:color="auto"/>
        <w:right w:val="none" w:sz="0" w:space="0" w:color="auto"/>
      </w:divBdr>
    </w:div>
    <w:div w:id="738140219">
      <w:bodyDiv w:val="1"/>
      <w:marLeft w:val="0"/>
      <w:marRight w:val="0"/>
      <w:marTop w:val="0"/>
      <w:marBottom w:val="0"/>
      <w:divBdr>
        <w:top w:val="none" w:sz="0" w:space="0" w:color="auto"/>
        <w:left w:val="none" w:sz="0" w:space="0" w:color="auto"/>
        <w:bottom w:val="none" w:sz="0" w:space="0" w:color="auto"/>
        <w:right w:val="none" w:sz="0" w:space="0" w:color="auto"/>
      </w:divBdr>
      <w:divsChild>
        <w:div w:id="1683823882">
          <w:marLeft w:val="0"/>
          <w:marRight w:val="0"/>
          <w:marTop w:val="0"/>
          <w:marBottom w:val="0"/>
          <w:divBdr>
            <w:top w:val="none" w:sz="0" w:space="0" w:color="auto"/>
            <w:left w:val="none" w:sz="0" w:space="0" w:color="auto"/>
            <w:bottom w:val="none" w:sz="0" w:space="0" w:color="auto"/>
            <w:right w:val="none" w:sz="0" w:space="0" w:color="auto"/>
          </w:divBdr>
        </w:div>
      </w:divsChild>
    </w:div>
    <w:div w:id="762267835">
      <w:bodyDiv w:val="1"/>
      <w:marLeft w:val="0"/>
      <w:marRight w:val="0"/>
      <w:marTop w:val="0"/>
      <w:marBottom w:val="0"/>
      <w:divBdr>
        <w:top w:val="none" w:sz="0" w:space="0" w:color="auto"/>
        <w:left w:val="none" w:sz="0" w:space="0" w:color="auto"/>
        <w:bottom w:val="none" w:sz="0" w:space="0" w:color="auto"/>
        <w:right w:val="none" w:sz="0" w:space="0" w:color="auto"/>
      </w:divBdr>
    </w:div>
    <w:div w:id="907809575">
      <w:bodyDiv w:val="1"/>
      <w:marLeft w:val="0"/>
      <w:marRight w:val="0"/>
      <w:marTop w:val="0"/>
      <w:marBottom w:val="0"/>
      <w:divBdr>
        <w:top w:val="none" w:sz="0" w:space="0" w:color="auto"/>
        <w:left w:val="none" w:sz="0" w:space="0" w:color="auto"/>
        <w:bottom w:val="none" w:sz="0" w:space="0" w:color="auto"/>
        <w:right w:val="none" w:sz="0" w:space="0" w:color="auto"/>
      </w:divBdr>
    </w:div>
    <w:div w:id="983200208">
      <w:bodyDiv w:val="1"/>
      <w:marLeft w:val="0"/>
      <w:marRight w:val="0"/>
      <w:marTop w:val="0"/>
      <w:marBottom w:val="0"/>
      <w:divBdr>
        <w:top w:val="none" w:sz="0" w:space="0" w:color="auto"/>
        <w:left w:val="none" w:sz="0" w:space="0" w:color="auto"/>
        <w:bottom w:val="none" w:sz="0" w:space="0" w:color="auto"/>
        <w:right w:val="none" w:sz="0" w:space="0" w:color="auto"/>
      </w:divBdr>
    </w:div>
    <w:div w:id="1122843788">
      <w:bodyDiv w:val="1"/>
      <w:marLeft w:val="0"/>
      <w:marRight w:val="0"/>
      <w:marTop w:val="0"/>
      <w:marBottom w:val="0"/>
      <w:divBdr>
        <w:top w:val="none" w:sz="0" w:space="0" w:color="auto"/>
        <w:left w:val="none" w:sz="0" w:space="0" w:color="auto"/>
        <w:bottom w:val="none" w:sz="0" w:space="0" w:color="auto"/>
        <w:right w:val="none" w:sz="0" w:space="0" w:color="auto"/>
      </w:divBdr>
    </w:div>
    <w:div w:id="1249925277">
      <w:bodyDiv w:val="1"/>
      <w:marLeft w:val="0"/>
      <w:marRight w:val="0"/>
      <w:marTop w:val="0"/>
      <w:marBottom w:val="0"/>
      <w:divBdr>
        <w:top w:val="none" w:sz="0" w:space="0" w:color="auto"/>
        <w:left w:val="none" w:sz="0" w:space="0" w:color="auto"/>
        <w:bottom w:val="none" w:sz="0" w:space="0" w:color="auto"/>
        <w:right w:val="none" w:sz="0" w:space="0" w:color="auto"/>
      </w:divBdr>
    </w:div>
    <w:div w:id="1367875274">
      <w:bodyDiv w:val="1"/>
      <w:marLeft w:val="0"/>
      <w:marRight w:val="0"/>
      <w:marTop w:val="0"/>
      <w:marBottom w:val="0"/>
      <w:divBdr>
        <w:top w:val="none" w:sz="0" w:space="0" w:color="auto"/>
        <w:left w:val="none" w:sz="0" w:space="0" w:color="auto"/>
        <w:bottom w:val="none" w:sz="0" w:space="0" w:color="auto"/>
        <w:right w:val="none" w:sz="0" w:space="0" w:color="auto"/>
      </w:divBdr>
    </w:div>
    <w:div w:id="1488323746">
      <w:bodyDiv w:val="1"/>
      <w:marLeft w:val="0"/>
      <w:marRight w:val="0"/>
      <w:marTop w:val="0"/>
      <w:marBottom w:val="0"/>
      <w:divBdr>
        <w:top w:val="none" w:sz="0" w:space="0" w:color="auto"/>
        <w:left w:val="none" w:sz="0" w:space="0" w:color="auto"/>
        <w:bottom w:val="none" w:sz="0" w:space="0" w:color="auto"/>
        <w:right w:val="none" w:sz="0" w:space="0" w:color="auto"/>
      </w:divBdr>
    </w:div>
    <w:div w:id="1613129066">
      <w:bodyDiv w:val="1"/>
      <w:marLeft w:val="0"/>
      <w:marRight w:val="0"/>
      <w:marTop w:val="0"/>
      <w:marBottom w:val="0"/>
      <w:divBdr>
        <w:top w:val="none" w:sz="0" w:space="0" w:color="auto"/>
        <w:left w:val="none" w:sz="0" w:space="0" w:color="auto"/>
        <w:bottom w:val="none" w:sz="0" w:space="0" w:color="auto"/>
        <w:right w:val="none" w:sz="0" w:space="0" w:color="auto"/>
      </w:divBdr>
    </w:div>
    <w:div w:id="1960069204">
      <w:bodyDiv w:val="1"/>
      <w:marLeft w:val="0"/>
      <w:marRight w:val="0"/>
      <w:marTop w:val="0"/>
      <w:marBottom w:val="0"/>
      <w:divBdr>
        <w:top w:val="none" w:sz="0" w:space="0" w:color="auto"/>
        <w:left w:val="none" w:sz="0" w:space="0" w:color="auto"/>
        <w:bottom w:val="none" w:sz="0" w:space="0" w:color="auto"/>
        <w:right w:val="none" w:sz="0" w:space="0" w:color="auto"/>
      </w:divBdr>
    </w:div>
    <w:div w:id="1960410619">
      <w:bodyDiv w:val="1"/>
      <w:marLeft w:val="0"/>
      <w:marRight w:val="0"/>
      <w:marTop w:val="0"/>
      <w:marBottom w:val="0"/>
      <w:divBdr>
        <w:top w:val="none" w:sz="0" w:space="0" w:color="auto"/>
        <w:left w:val="none" w:sz="0" w:space="0" w:color="auto"/>
        <w:bottom w:val="none" w:sz="0" w:space="0" w:color="auto"/>
        <w:right w:val="none" w:sz="0" w:space="0" w:color="auto"/>
      </w:divBdr>
    </w:div>
    <w:div w:id="2025745417">
      <w:bodyDiv w:val="1"/>
      <w:marLeft w:val="0"/>
      <w:marRight w:val="0"/>
      <w:marTop w:val="0"/>
      <w:marBottom w:val="0"/>
      <w:divBdr>
        <w:top w:val="none" w:sz="0" w:space="0" w:color="auto"/>
        <w:left w:val="none" w:sz="0" w:space="0" w:color="auto"/>
        <w:bottom w:val="none" w:sz="0" w:space="0" w:color="auto"/>
        <w:right w:val="none" w:sz="0" w:space="0" w:color="auto"/>
      </w:divBdr>
    </w:div>
    <w:div w:id="21461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40771216/?utm_source=chatgpt.com" TargetMode="External"/><Relationship Id="rId21" Type="http://schemas.openxmlformats.org/officeDocument/2006/relationships/image" Target="media/image1.png"/><Relationship Id="rId34" Type="http://schemas.openxmlformats.org/officeDocument/2006/relationships/hyperlink" Target="https://pmc.ncbi.nlm.nih.gov/articles/PMC12700061/?utm_source=chatgpt.com" TargetMode="External"/><Relationship Id="rId42" Type="http://schemas.openxmlformats.org/officeDocument/2006/relationships/hyperlink" Target="https://doi.org/10.1016/j.jand.2025.01.012" TargetMode="External"/><Relationship Id="rId47" Type="http://schemas.openxmlformats.org/officeDocument/2006/relationships/hyperlink" Target="https://doi.org/10.1016/j.jneb.2025.01.003" TargetMode="External"/><Relationship Id="rId50" Type="http://schemas.openxmlformats.org/officeDocument/2006/relationships/hyperlink" Target="https://pmc.ncbi.nlm.nih.gov/articles/PMC8285156/" TargetMode="External"/><Relationship Id="rId55" Type="http://schemas.openxmlformats.org/officeDocument/2006/relationships/hyperlink" Target="https://doi.org/10.71282/jurmie.v2i6.456" TargetMode="External"/><Relationship Id="rId63" Type="http://schemas.openxmlformats.org/officeDocument/2006/relationships/hyperlink" Target="https://doi.org/10.1093/nutrit/nuaa10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hyperlink" Target="https://doi.org/10.1016/j.nutres.2025.12.006" TargetMode="External"/><Relationship Id="rId11" Type="http://schemas.openxmlformats.org/officeDocument/2006/relationships/chart" Target="charts/chart1.xml"/><Relationship Id="rId24" Type="http://schemas.openxmlformats.org/officeDocument/2006/relationships/hyperlink" Target="https://pubmed.ncbi.nlm.nih.gov/40565444/?utm_source=chatgpt.com" TargetMode="External"/><Relationship Id="rId32" Type="http://schemas.openxmlformats.org/officeDocument/2006/relationships/hyperlink" Target="https://www.mdpi.com/3462528?utm_source=chatgpt.com" TargetMode="External"/><Relationship Id="rId37" Type="http://schemas.openxmlformats.org/officeDocument/2006/relationships/hyperlink" Target="https://doi.org/10.1016/j.nutrfs.2025.04.001" TargetMode="External"/><Relationship Id="rId40" Type="http://schemas.openxmlformats.org/officeDocument/2006/relationships/hyperlink" Target="https://doi.org/10.1016/j.hlpt.2026.01.005" TargetMode="External"/><Relationship Id="rId45" Type="http://schemas.openxmlformats.org/officeDocument/2006/relationships/hyperlink" Target="https://doi.org/10.3390/nu17102310" TargetMode="External"/><Relationship Id="rId53" Type="http://schemas.openxmlformats.org/officeDocument/2006/relationships/hyperlink" Target="https://doi.org/CC10.2196/45678" TargetMode="External"/><Relationship Id="rId58" Type="http://schemas.openxmlformats.org/officeDocument/2006/relationships/hyperlink" Target="https://doi.org/10.3389/fpubh.2018.00149" TargetMode="External"/><Relationship Id="rId5" Type="http://schemas.openxmlformats.org/officeDocument/2006/relationships/webSettings" Target="webSettings.xml"/><Relationship Id="rId61" Type="http://schemas.openxmlformats.org/officeDocument/2006/relationships/hyperlink" Target="https://doi.org/10.1186/s12903-025-06962-8" TargetMode="External"/><Relationship Id="rId19" Type="http://schemas.openxmlformats.org/officeDocument/2006/relationships/chart" Target="charts/chart9.xml"/><Relationship Id="rId14" Type="http://schemas.openxmlformats.org/officeDocument/2006/relationships/chart" Target="charts/chart4.xml"/><Relationship Id="rId22" Type="http://schemas.openxmlformats.org/officeDocument/2006/relationships/image" Target="media/image2.png"/><Relationship Id="rId27" Type="http://schemas.openxmlformats.org/officeDocument/2006/relationships/hyperlink" Target="https://doi.org/10.3390/nu17020206" TargetMode="External"/><Relationship Id="rId30" Type="http://schemas.openxmlformats.org/officeDocument/2006/relationships/hyperlink" Target="https://pubmed.ncbi.nlm.nih.gov/41518732/?utm_source=chatgpt.com" TargetMode="External"/><Relationship Id="rId35" Type="http://schemas.openxmlformats.org/officeDocument/2006/relationships/hyperlink" Target="https://doi.org/10.3991/ijoe.v22i03.59271" TargetMode="External"/><Relationship Id="rId43" Type="http://schemas.openxmlformats.org/officeDocument/2006/relationships/hyperlink" Target="https://pmc.ncbi.nlm.nih.gov/articles/PMC12563881/" TargetMode="External"/><Relationship Id="rId48" Type="http://schemas.openxmlformats.org/officeDocument/2006/relationships/hyperlink" Target="https://www.heraldopenaccess.us/article_pdf/33/ai-driven-personalized-nutrition-for-metabolic-care-a-perspective-on-equitable-digital-health-solutions.pdf" TargetMode="External"/><Relationship Id="rId56" Type="http://schemas.openxmlformats.org/officeDocument/2006/relationships/hyperlink" Target="https://doi.org/10.11648/j.ajtas.20160501.11" TargetMode="External"/><Relationship Id="rId64" Type="http://schemas.openxmlformats.org/officeDocument/2006/relationships/fontTable" Target="fontTable.xml"/><Relationship Id="rId8" Type="http://schemas.openxmlformats.org/officeDocument/2006/relationships/hyperlink" Target="mailto:maharamesh181@gmail.com" TargetMode="External"/><Relationship Id="rId51" Type="http://schemas.openxmlformats.org/officeDocument/2006/relationships/hyperlink" Target="https://doi.org/10.1038/s41746%E2%80%91023%E2%80%9100852%E2%80%915"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doi.org/10.3389/fnut.2025.1636980" TargetMode="External"/><Relationship Id="rId33" Type="http://schemas.openxmlformats.org/officeDocument/2006/relationships/hyperlink" Target="https://doi.org/10.3390/nu" TargetMode="External"/><Relationship Id="rId38" Type="http://schemas.openxmlformats.org/officeDocument/2006/relationships/hyperlink" Target="https://pmc.ncbi.nlm.nih.gov/articles/PMC12325300/" TargetMode="External"/><Relationship Id="rId46" Type="http://schemas.openxmlformats.org/officeDocument/2006/relationships/hyperlink" Target="https://pmc.ncbi.nlm.nih.gov/articles/PMC12700061/" TargetMode="External"/><Relationship Id="rId59" Type="http://schemas.openxmlformats.org/officeDocument/2006/relationships/hyperlink" Target="https://doi.org/10.63738/kawakib.v1i3.21" TargetMode="External"/><Relationship Id="rId20" Type="http://schemas.openxmlformats.org/officeDocument/2006/relationships/chart" Target="charts/chart10.xml"/><Relationship Id="rId41" Type="http://schemas.openxmlformats.org/officeDocument/2006/relationships/hyperlink" Target="https://www.capgemini.com/insights/expert-perspectives/trends-in-2026-for-healthcare-how-is-ai-making-insight-driven-patient-care-a-reality/" TargetMode="External"/><Relationship Id="rId54" Type="http://schemas.openxmlformats.org/officeDocument/2006/relationships/hyperlink" Target="https://pmc.ncbi.nlm.nih.gov/articles/PMC12123243/" TargetMode="External"/><Relationship Id="rId62" Type="http://schemas.openxmlformats.org/officeDocument/2006/relationships/hyperlink" Target="https://doi.org/10.1007/s12263-014-045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3390/healthcare13121417" TargetMode="External"/><Relationship Id="rId28" Type="http://schemas.openxmlformats.org/officeDocument/2006/relationships/hyperlink" Target="https://pubmed.ncbi.nlm.nih.gov/39861336/?utm_source=chatgpt.com" TargetMode="External"/><Relationship Id="rId36" Type="http://schemas.openxmlformats.org/officeDocument/2006/relationships/hyperlink" Target="https://online-journals.org/index.php/i-joe/article/view/59271?utm_source=chatgpt.com" TargetMode="External"/><Relationship Id="rId49" Type="http://schemas.openxmlformats.org/officeDocument/2006/relationships/hyperlink" Target="https://doi.org/10.1136/bmjhci-2020-100219" TargetMode="External"/><Relationship Id="rId57" Type="http://schemas.openxmlformats.org/officeDocument/2006/relationships/hyperlink" Target="https://doi.org/10.1590/2176-9451.19.4.027-029.ebo" TargetMode="External"/><Relationship Id="rId10" Type="http://schemas.openxmlformats.org/officeDocument/2006/relationships/hyperlink" Target="mailto:jayasriravi48@gmail.com" TargetMode="External"/><Relationship Id="rId31" Type="http://schemas.openxmlformats.org/officeDocument/2006/relationships/hyperlink" Target="https://doi.org/10.3390/app15179283" TargetMode="External"/><Relationship Id="rId44" Type="http://schemas.openxmlformats.org/officeDocument/2006/relationships/hyperlink" Target="https://doi.org/10.1177/1123456789" TargetMode="External"/><Relationship Id="rId52" Type="http://schemas.openxmlformats.org/officeDocument/2006/relationships/hyperlink" Target="https://www.nature.com/articles/s41746-023-00852-5" TargetMode="External"/><Relationship Id="rId60" Type="http://schemas.openxmlformats.org/officeDocument/2006/relationships/hyperlink" Target="https://doi.org/10.1007/s12055-024-01867-7"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hasrii.narayanan@gmail.com" TargetMode="External"/><Relationship Id="rId13" Type="http://schemas.openxmlformats.org/officeDocument/2006/relationships/chart" Target="charts/chart3.xml"/><Relationship Id="rId18" Type="http://schemas.openxmlformats.org/officeDocument/2006/relationships/chart" Target="charts/chart8.xml"/><Relationship Id="rId39" Type="http://schemas.openxmlformats.org/officeDocument/2006/relationships/hyperlink" Target="https://doi.org/10.2196/4567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0e47e79cedf02d6/Documents/YRP%20DAT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60e47e79cedf02d6/Documents/YRP%20DATA%20ANALYSI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0e47e79cedf02d6/Documents/YRP%20DATA%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60e47e79cedf02d6/Documents/YRP%20DATA%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60e47e79cedf02d6/Documents/YRP%20DATA%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60e47e79cedf02d6/Documents/YRP%20DATA%20ANALY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60e47e79cedf02d6/Documents/YRP%20DATA%20ANAL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60e47e79cedf02d6/Documents/YRP%20DATA%20ANAL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60e47e79cedf02d6/Documents/YRP%20DATA%20ANALYSI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60e47e79cedf02d6/Documents/YRP%20DATA%20ANALYSI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a:t>Age</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Sheet1!$B$3:$B$9</c:f>
              <c:strCache>
                <c:ptCount val="7"/>
                <c:pt idx="0">
                  <c:v>16-18</c:v>
                </c:pt>
                <c:pt idx="1">
                  <c:v>19-24</c:v>
                </c:pt>
                <c:pt idx="2">
                  <c:v>25-34</c:v>
                </c:pt>
                <c:pt idx="3">
                  <c:v>35-44</c:v>
                </c:pt>
                <c:pt idx="4">
                  <c:v>45-54</c:v>
                </c:pt>
                <c:pt idx="5">
                  <c:v>55+</c:v>
                </c:pt>
                <c:pt idx="6">
                  <c:v>Total</c:v>
                </c:pt>
              </c:strCache>
            </c:strRef>
          </c:cat>
          <c:val>
            <c:numRef>
              <c:f>Sheet1!$C$3:$C$9</c:f>
              <c:numCache>
                <c:formatCode>General</c:formatCode>
                <c:ptCount val="7"/>
                <c:pt idx="0">
                  <c:v>34</c:v>
                </c:pt>
                <c:pt idx="1">
                  <c:v>74</c:v>
                </c:pt>
                <c:pt idx="2">
                  <c:v>6</c:v>
                </c:pt>
                <c:pt idx="3">
                  <c:v>0</c:v>
                </c:pt>
                <c:pt idx="4">
                  <c:v>9</c:v>
                </c:pt>
                <c:pt idx="5">
                  <c:v>3</c:v>
                </c:pt>
                <c:pt idx="6">
                  <c:v>126</c:v>
                </c:pt>
              </c:numCache>
            </c:numRef>
          </c:val>
          <c:extLst>
            <c:ext xmlns:c16="http://schemas.microsoft.com/office/drawing/2014/chart" uri="{C3380CC4-5D6E-409C-BE32-E72D297353CC}">
              <c16:uniqueId val="{00000000-0FF4-4F7C-A652-AF245C511158}"/>
            </c:ext>
          </c:extLst>
        </c:ser>
        <c:ser>
          <c:idx val="1"/>
          <c:order val="1"/>
          <c:tx>
            <c:strRef>
              <c:f>Sheet1!$D$2</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Sheet1!$B$3:$B$9</c:f>
              <c:strCache>
                <c:ptCount val="7"/>
                <c:pt idx="0">
                  <c:v>16-18</c:v>
                </c:pt>
                <c:pt idx="1">
                  <c:v>19-24</c:v>
                </c:pt>
                <c:pt idx="2">
                  <c:v>25-34</c:v>
                </c:pt>
                <c:pt idx="3">
                  <c:v>35-44</c:v>
                </c:pt>
                <c:pt idx="4">
                  <c:v>45-54</c:v>
                </c:pt>
                <c:pt idx="5">
                  <c:v>55+</c:v>
                </c:pt>
                <c:pt idx="6">
                  <c:v>Total</c:v>
                </c:pt>
              </c:strCache>
            </c:strRef>
          </c:cat>
          <c:val>
            <c:numRef>
              <c:f>Sheet1!$D$3:$D$9</c:f>
              <c:numCache>
                <c:formatCode>0%</c:formatCode>
                <c:ptCount val="7"/>
                <c:pt idx="0">
                  <c:v>0.26984126984126983</c:v>
                </c:pt>
                <c:pt idx="1">
                  <c:v>0.58730158730158732</c:v>
                </c:pt>
                <c:pt idx="2">
                  <c:v>4.7619047619047616E-2</c:v>
                </c:pt>
                <c:pt idx="3">
                  <c:v>0</c:v>
                </c:pt>
                <c:pt idx="4">
                  <c:v>7.1428571428571425E-2</c:v>
                </c:pt>
                <c:pt idx="5">
                  <c:v>2.3809523809523808E-2</c:v>
                </c:pt>
              </c:numCache>
            </c:numRef>
          </c:val>
          <c:extLst>
            <c:ext xmlns:c16="http://schemas.microsoft.com/office/drawing/2014/chart" uri="{C3380CC4-5D6E-409C-BE32-E72D297353CC}">
              <c16:uniqueId val="{00000001-0FF4-4F7C-A652-AF245C511158}"/>
            </c:ext>
          </c:extLst>
        </c:ser>
        <c:dLbls>
          <c:dLblPos val="outEnd"/>
          <c:showLegendKey val="0"/>
          <c:showVal val="1"/>
          <c:showCatName val="0"/>
          <c:showSerName val="0"/>
          <c:showPercent val="0"/>
          <c:showBubbleSize val="0"/>
        </c:dLbls>
        <c:gapWidth val="355"/>
        <c:overlap val="-70"/>
        <c:axId val="442114376"/>
        <c:axId val="442117120"/>
      </c:barChart>
      <c:catAx>
        <c:axId val="442114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117120"/>
        <c:crosses val="autoZero"/>
        <c:auto val="1"/>
        <c:lblAlgn val="ctr"/>
        <c:lblOffset val="100"/>
        <c:noMultiLvlLbl val="0"/>
      </c:catAx>
      <c:valAx>
        <c:axId val="44211712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114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Influence of Cost on Preference for AI and Dietitian Consultation</a:t>
            </a:r>
          </a:p>
          <a:p>
            <a:pPr>
              <a:defRPr/>
            </a:pPr>
            <a:endParaRPr lang="en-IN"/>
          </a:p>
          <a:p>
            <a:pPr>
              <a:defRPr/>
            </a:pPr>
            <a:endParaRPr lang="en-IN"/>
          </a:p>
        </c:rich>
      </c:tx>
      <c:layout>
        <c:manualLayout>
          <c:xMode val="edge"/>
          <c:yMode val="edge"/>
          <c:x val="0.14842344706911637"/>
          <c:y val="4.6296296296296294E-2"/>
        </c:manualLayout>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Sheet3!$C$99</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Sheet3!$B$100:$B$104</c:f>
              <c:strCache>
                <c:ptCount val="5"/>
                <c:pt idx="0">
                  <c:v>No influence</c:v>
                </c:pt>
                <c:pt idx="1">
                  <c:v>Slightly</c:v>
                </c:pt>
                <c:pt idx="2">
                  <c:v>Moderate</c:v>
                </c:pt>
                <c:pt idx="3">
                  <c:v>Strong</c:v>
                </c:pt>
                <c:pt idx="4">
                  <c:v>Total</c:v>
                </c:pt>
              </c:strCache>
            </c:strRef>
          </c:cat>
          <c:val>
            <c:numRef>
              <c:f>Sheet3!$C$100:$C$104</c:f>
              <c:numCache>
                <c:formatCode>General</c:formatCode>
                <c:ptCount val="5"/>
                <c:pt idx="0">
                  <c:v>25</c:v>
                </c:pt>
                <c:pt idx="1">
                  <c:v>50</c:v>
                </c:pt>
                <c:pt idx="2">
                  <c:v>43</c:v>
                </c:pt>
                <c:pt idx="3">
                  <c:v>8</c:v>
                </c:pt>
                <c:pt idx="4">
                  <c:v>126</c:v>
                </c:pt>
              </c:numCache>
            </c:numRef>
          </c:val>
          <c:extLst>
            <c:ext xmlns:c16="http://schemas.microsoft.com/office/drawing/2014/chart" uri="{C3380CC4-5D6E-409C-BE32-E72D297353CC}">
              <c16:uniqueId val="{00000000-E813-40D8-9611-E63C09282B47}"/>
            </c:ext>
          </c:extLst>
        </c:ser>
        <c:ser>
          <c:idx val="1"/>
          <c:order val="1"/>
          <c:tx>
            <c:strRef>
              <c:f>Sheet3!$D$99</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Sheet3!$B$100:$B$104</c:f>
              <c:strCache>
                <c:ptCount val="5"/>
                <c:pt idx="0">
                  <c:v>No influence</c:v>
                </c:pt>
                <c:pt idx="1">
                  <c:v>Slightly</c:v>
                </c:pt>
                <c:pt idx="2">
                  <c:v>Moderate</c:v>
                </c:pt>
                <c:pt idx="3">
                  <c:v>Strong</c:v>
                </c:pt>
                <c:pt idx="4">
                  <c:v>Total</c:v>
                </c:pt>
              </c:strCache>
            </c:strRef>
          </c:cat>
          <c:val>
            <c:numRef>
              <c:f>Sheet3!$D$100:$D$104</c:f>
              <c:numCache>
                <c:formatCode>0%</c:formatCode>
                <c:ptCount val="5"/>
                <c:pt idx="0">
                  <c:v>0.1984126984126984</c:v>
                </c:pt>
                <c:pt idx="1">
                  <c:v>0.3968253968253968</c:v>
                </c:pt>
                <c:pt idx="2">
                  <c:v>0.34126984126984128</c:v>
                </c:pt>
                <c:pt idx="3">
                  <c:v>6.3492063492063489E-2</c:v>
                </c:pt>
                <c:pt idx="4">
                  <c:v>1</c:v>
                </c:pt>
              </c:numCache>
            </c:numRef>
          </c:val>
          <c:extLst>
            <c:ext xmlns:c16="http://schemas.microsoft.com/office/drawing/2014/chart" uri="{C3380CC4-5D6E-409C-BE32-E72D297353CC}">
              <c16:uniqueId val="{00000001-E813-40D8-9611-E63C09282B47}"/>
            </c:ext>
          </c:extLst>
        </c:ser>
        <c:dLbls>
          <c:dLblPos val="outEnd"/>
          <c:showLegendKey val="0"/>
          <c:showVal val="1"/>
          <c:showCatName val="0"/>
          <c:showSerName val="0"/>
          <c:showPercent val="0"/>
          <c:showBubbleSize val="0"/>
        </c:dLbls>
        <c:gapWidth val="355"/>
        <c:overlap val="-70"/>
        <c:axId val="320819455"/>
        <c:axId val="320819935"/>
      </c:barChart>
      <c:catAx>
        <c:axId val="320819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19935"/>
        <c:crosses val="autoZero"/>
        <c:auto val="1"/>
        <c:lblAlgn val="ctr"/>
        <c:lblOffset val="100"/>
        <c:noMultiLvlLbl val="0"/>
      </c:catAx>
      <c:valAx>
        <c:axId val="320819935"/>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19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a:t>Gender</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Sheet1!$C$17</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Sheet1!$B$18:$B$21</c:f>
              <c:strCache>
                <c:ptCount val="4"/>
                <c:pt idx="0">
                  <c:v>Female</c:v>
                </c:pt>
                <c:pt idx="1">
                  <c:v>Male</c:v>
                </c:pt>
                <c:pt idx="3">
                  <c:v>Total</c:v>
                </c:pt>
              </c:strCache>
            </c:strRef>
          </c:cat>
          <c:val>
            <c:numRef>
              <c:f>Sheet1!$C$18:$C$21</c:f>
              <c:numCache>
                <c:formatCode>General</c:formatCode>
                <c:ptCount val="4"/>
                <c:pt idx="0">
                  <c:v>97</c:v>
                </c:pt>
                <c:pt idx="1">
                  <c:v>29</c:v>
                </c:pt>
                <c:pt idx="3">
                  <c:v>126</c:v>
                </c:pt>
              </c:numCache>
            </c:numRef>
          </c:val>
          <c:extLst>
            <c:ext xmlns:c16="http://schemas.microsoft.com/office/drawing/2014/chart" uri="{C3380CC4-5D6E-409C-BE32-E72D297353CC}">
              <c16:uniqueId val="{00000000-93B3-452D-B0AC-ED4D0AA1D460}"/>
            </c:ext>
          </c:extLst>
        </c:ser>
        <c:ser>
          <c:idx val="1"/>
          <c:order val="1"/>
          <c:tx>
            <c:strRef>
              <c:f>Sheet1!$D$17</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Sheet1!$B$18:$B$21</c:f>
              <c:strCache>
                <c:ptCount val="4"/>
                <c:pt idx="0">
                  <c:v>Female</c:v>
                </c:pt>
                <c:pt idx="1">
                  <c:v>Male</c:v>
                </c:pt>
                <c:pt idx="3">
                  <c:v>Total</c:v>
                </c:pt>
              </c:strCache>
            </c:strRef>
          </c:cat>
          <c:val>
            <c:numRef>
              <c:f>Sheet1!$D$18:$D$21</c:f>
              <c:numCache>
                <c:formatCode>0%</c:formatCode>
                <c:ptCount val="4"/>
                <c:pt idx="0">
                  <c:v>0.76984126984126988</c:v>
                </c:pt>
                <c:pt idx="1">
                  <c:v>0.23015873015873015</c:v>
                </c:pt>
              </c:numCache>
            </c:numRef>
          </c:val>
          <c:extLst>
            <c:ext xmlns:c16="http://schemas.microsoft.com/office/drawing/2014/chart" uri="{C3380CC4-5D6E-409C-BE32-E72D297353CC}">
              <c16:uniqueId val="{00000001-93B3-452D-B0AC-ED4D0AA1D460}"/>
            </c:ext>
          </c:extLst>
        </c:ser>
        <c:dLbls>
          <c:dLblPos val="outEnd"/>
          <c:showLegendKey val="0"/>
          <c:showVal val="1"/>
          <c:showCatName val="0"/>
          <c:showSerName val="0"/>
          <c:showPercent val="0"/>
          <c:showBubbleSize val="0"/>
        </c:dLbls>
        <c:gapWidth val="355"/>
        <c:overlap val="-70"/>
        <c:axId val="442114768"/>
        <c:axId val="442115944"/>
      </c:barChart>
      <c:catAx>
        <c:axId val="44211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115944"/>
        <c:crosses val="autoZero"/>
        <c:auto val="1"/>
        <c:lblAlgn val="ctr"/>
        <c:lblOffset val="100"/>
        <c:noMultiLvlLbl val="0"/>
      </c:catAx>
      <c:valAx>
        <c:axId val="44211594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11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a:t>EDUCATIONAL QUALIFICATION</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Sheet1!$C$33</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Sheet1!$B$34:$B$40</c:f>
              <c:strCache>
                <c:ptCount val="7"/>
                <c:pt idx="0">
                  <c:v>High School</c:v>
                </c:pt>
                <c:pt idx="1">
                  <c:v>Undergraduate</c:v>
                </c:pt>
                <c:pt idx="2">
                  <c:v>Postgraduate</c:v>
                </c:pt>
                <c:pt idx="3">
                  <c:v>Doctoral graduate</c:v>
                </c:pt>
                <c:pt idx="4">
                  <c:v>AMIE</c:v>
                </c:pt>
                <c:pt idx="6">
                  <c:v>Total</c:v>
                </c:pt>
              </c:strCache>
            </c:strRef>
          </c:cat>
          <c:val>
            <c:numRef>
              <c:f>Sheet1!$C$34:$C$40</c:f>
              <c:numCache>
                <c:formatCode>General</c:formatCode>
                <c:ptCount val="7"/>
                <c:pt idx="0">
                  <c:v>8</c:v>
                </c:pt>
                <c:pt idx="1">
                  <c:v>95</c:v>
                </c:pt>
                <c:pt idx="2">
                  <c:v>20</c:v>
                </c:pt>
                <c:pt idx="3">
                  <c:v>2</c:v>
                </c:pt>
                <c:pt idx="4">
                  <c:v>1</c:v>
                </c:pt>
                <c:pt idx="6">
                  <c:v>126</c:v>
                </c:pt>
              </c:numCache>
            </c:numRef>
          </c:val>
          <c:extLst>
            <c:ext xmlns:c16="http://schemas.microsoft.com/office/drawing/2014/chart" uri="{C3380CC4-5D6E-409C-BE32-E72D297353CC}">
              <c16:uniqueId val="{00000000-2A61-4E76-9260-F402AAC15FDF}"/>
            </c:ext>
          </c:extLst>
        </c:ser>
        <c:ser>
          <c:idx val="1"/>
          <c:order val="1"/>
          <c:tx>
            <c:strRef>
              <c:f>Sheet1!$D$33</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Sheet1!$B$34:$B$40</c:f>
              <c:strCache>
                <c:ptCount val="7"/>
                <c:pt idx="0">
                  <c:v>High School</c:v>
                </c:pt>
                <c:pt idx="1">
                  <c:v>Undergraduate</c:v>
                </c:pt>
                <c:pt idx="2">
                  <c:v>Postgraduate</c:v>
                </c:pt>
                <c:pt idx="3">
                  <c:v>Doctoral graduate</c:v>
                </c:pt>
                <c:pt idx="4">
                  <c:v>AMIE</c:v>
                </c:pt>
                <c:pt idx="6">
                  <c:v>Total</c:v>
                </c:pt>
              </c:strCache>
            </c:strRef>
          </c:cat>
          <c:val>
            <c:numRef>
              <c:f>Sheet1!$D$34:$D$40</c:f>
              <c:numCache>
                <c:formatCode>0%</c:formatCode>
                <c:ptCount val="7"/>
                <c:pt idx="0">
                  <c:v>6.3492063492063489E-2</c:v>
                </c:pt>
                <c:pt idx="1">
                  <c:v>0.75396825396825395</c:v>
                </c:pt>
                <c:pt idx="2">
                  <c:v>0.15873015873015872</c:v>
                </c:pt>
                <c:pt idx="3">
                  <c:v>1.6E-2</c:v>
                </c:pt>
                <c:pt idx="4">
                  <c:v>7.9365079365079361E-3</c:v>
                </c:pt>
              </c:numCache>
            </c:numRef>
          </c:val>
          <c:extLst>
            <c:ext xmlns:c16="http://schemas.microsoft.com/office/drawing/2014/chart" uri="{C3380CC4-5D6E-409C-BE32-E72D297353CC}">
              <c16:uniqueId val="{00000001-2A61-4E76-9260-F402AAC15FDF}"/>
            </c:ext>
          </c:extLst>
        </c:ser>
        <c:dLbls>
          <c:dLblPos val="outEnd"/>
          <c:showLegendKey val="0"/>
          <c:showVal val="1"/>
          <c:showCatName val="0"/>
          <c:showSerName val="0"/>
          <c:showPercent val="0"/>
          <c:showBubbleSize val="0"/>
        </c:dLbls>
        <c:gapWidth val="355"/>
        <c:overlap val="-70"/>
        <c:axId val="389106831"/>
        <c:axId val="389113551"/>
      </c:barChart>
      <c:catAx>
        <c:axId val="38910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113551"/>
        <c:crosses val="autoZero"/>
        <c:auto val="1"/>
        <c:lblAlgn val="ctr"/>
        <c:lblOffset val="100"/>
        <c:noMultiLvlLbl val="0"/>
      </c:catAx>
      <c:valAx>
        <c:axId val="389113551"/>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106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a:t>Occupation</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Sheet1!$C$49</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Sheet1!$B$50:$B$57</c:f>
              <c:strCache>
                <c:ptCount val="8"/>
                <c:pt idx="0">
                  <c:v>Student</c:v>
                </c:pt>
                <c:pt idx="1">
                  <c:v>Working professional</c:v>
                </c:pt>
                <c:pt idx="2">
                  <c:v>Homemaker</c:v>
                </c:pt>
                <c:pt idx="3">
                  <c:v>Retried</c:v>
                </c:pt>
                <c:pt idx="4">
                  <c:v>Entrepreneur</c:v>
                </c:pt>
                <c:pt idx="5">
                  <c:v>Corporate company</c:v>
                </c:pt>
                <c:pt idx="6">
                  <c:v>Salaried</c:v>
                </c:pt>
                <c:pt idx="7">
                  <c:v>Total</c:v>
                </c:pt>
              </c:strCache>
            </c:strRef>
          </c:cat>
          <c:val>
            <c:numRef>
              <c:f>Sheet1!$C$50:$C$57</c:f>
              <c:numCache>
                <c:formatCode>General</c:formatCode>
                <c:ptCount val="8"/>
                <c:pt idx="0">
                  <c:v>101</c:v>
                </c:pt>
                <c:pt idx="1">
                  <c:v>21</c:v>
                </c:pt>
                <c:pt idx="2">
                  <c:v>0</c:v>
                </c:pt>
                <c:pt idx="3">
                  <c:v>1</c:v>
                </c:pt>
                <c:pt idx="4">
                  <c:v>1</c:v>
                </c:pt>
                <c:pt idx="5">
                  <c:v>1</c:v>
                </c:pt>
                <c:pt idx="6">
                  <c:v>1</c:v>
                </c:pt>
                <c:pt idx="7">
                  <c:v>126</c:v>
                </c:pt>
              </c:numCache>
            </c:numRef>
          </c:val>
          <c:extLst>
            <c:ext xmlns:c16="http://schemas.microsoft.com/office/drawing/2014/chart" uri="{C3380CC4-5D6E-409C-BE32-E72D297353CC}">
              <c16:uniqueId val="{00000000-B655-438C-BD32-A50685B29487}"/>
            </c:ext>
          </c:extLst>
        </c:ser>
        <c:ser>
          <c:idx val="1"/>
          <c:order val="1"/>
          <c:tx>
            <c:strRef>
              <c:f>Sheet1!$D$49</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Sheet1!$B$50:$B$57</c:f>
              <c:strCache>
                <c:ptCount val="8"/>
                <c:pt idx="0">
                  <c:v>Student</c:v>
                </c:pt>
                <c:pt idx="1">
                  <c:v>Working professional</c:v>
                </c:pt>
                <c:pt idx="2">
                  <c:v>Homemaker</c:v>
                </c:pt>
                <c:pt idx="3">
                  <c:v>Retried</c:v>
                </c:pt>
                <c:pt idx="4">
                  <c:v>Entrepreneur</c:v>
                </c:pt>
                <c:pt idx="5">
                  <c:v>Corporate company</c:v>
                </c:pt>
                <c:pt idx="6">
                  <c:v>Salaried</c:v>
                </c:pt>
                <c:pt idx="7">
                  <c:v>Total</c:v>
                </c:pt>
              </c:strCache>
            </c:strRef>
          </c:cat>
          <c:val>
            <c:numRef>
              <c:f>Sheet1!$D$50:$D$57</c:f>
              <c:numCache>
                <c:formatCode>0%</c:formatCode>
                <c:ptCount val="8"/>
                <c:pt idx="0">
                  <c:v>0.80158730158730163</c:v>
                </c:pt>
                <c:pt idx="1">
                  <c:v>0.16666666666666666</c:v>
                </c:pt>
                <c:pt idx="2">
                  <c:v>0</c:v>
                </c:pt>
                <c:pt idx="3">
                  <c:v>7.9365079365079361E-3</c:v>
                </c:pt>
                <c:pt idx="4">
                  <c:v>7.9365079365079361E-3</c:v>
                </c:pt>
                <c:pt idx="5">
                  <c:v>7.9365079365079361E-3</c:v>
                </c:pt>
                <c:pt idx="6">
                  <c:v>7.9365079365079361E-3</c:v>
                </c:pt>
              </c:numCache>
            </c:numRef>
          </c:val>
          <c:extLst>
            <c:ext xmlns:c16="http://schemas.microsoft.com/office/drawing/2014/chart" uri="{C3380CC4-5D6E-409C-BE32-E72D297353CC}">
              <c16:uniqueId val="{00000001-B655-438C-BD32-A50685B29487}"/>
            </c:ext>
          </c:extLst>
        </c:ser>
        <c:dLbls>
          <c:dLblPos val="outEnd"/>
          <c:showLegendKey val="0"/>
          <c:showVal val="1"/>
          <c:showCatName val="0"/>
          <c:showSerName val="0"/>
          <c:showPercent val="0"/>
          <c:showBubbleSize val="0"/>
        </c:dLbls>
        <c:gapWidth val="355"/>
        <c:overlap val="-70"/>
        <c:axId val="442115160"/>
        <c:axId val="442117512"/>
      </c:barChart>
      <c:catAx>
        <c:axId val="442115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117512"/>
        <c:crosses val="autoZero"/>
        <c:auto val="1"/>
        <c:lblAlgn val="ctr"/>
        <c:lblOffset val="100"/>
        <c:noMultiLvlLbl val="0"/>
      </c:catAx>
      <c:valAx>
        <c:axId val="44211751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115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a:t>Area of Residence</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Sheet1!$C$65</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Sheet1!$B$66:$B$70</c:f>
              <c:strCache>
                <c:ptCount val="5"/>
                <c:pt idx="0">
                  <c:v>Urban</c:v>
                </c:pt>
                <c:pt idx="1">
                  <c:v>Semi Urban</c:v>
                </c:pt>
                <c:pt idx="2">
                  <c:v>Rural</c:v>
                </c:pt>
                <c:pt idx="4">
                  <c:v>Total</c:v>
                </c:pt>
              </c:strCache>
            </c:strRef>
          </c:cat>
          <c:val>
            <c:numRef>
              <c:f>Sheet1!$C$66:$C$70</c:f>
              <c:numCache>
                <c:formatCode>General</c:formatCode>
                <c:ptCount val="5"/>
                <c:pt idx="0">
                  <c:v>97</c:v>
                </c:pt>
                <c:pt idx="1">
                  <c:v>16</c:v>
                </c:pt>
                <c:pt idx="2">
                  <c:v>13</c:v>
                </c:pt>
                <c:pt idx="4">
                  <c:v>126</c:v>
                </c:pt>
              </c:numCache>
            </c:numRef>
          </c:val>
          <c:extLst>
            <c:ext xmlns:c16="http://schemas.microsoft.com/office/drawing/2014/chart" uri="{C3380CC4-5D6E-409C-BE32-E72D297353CC}">
              <c16:uniqueId val="{00000000-72CB-4FA6-B607-84DB1587A3AF}"/>
            </c:ext>
          </c:extLst>
        </c:ser>
        <c:ser>
          <c:idx val="1"/>
          <c:order val="1"/>
          <c:tx>
            <c:strRef>
              <c:f>Sheet1!$D$65</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Sheet1!$B$66:$B$70</c:f>
              <c:strCache>
                <c:ptCount val="5"/>
                <c:pt idx="0">
                  <c:v>Urban</c:v>
                </c:pt>
                <c:pt idx="1">
                  <c:v>Semi Urban</c:v>
                </c:pt>
                <c:pt idx="2">
                  <c:v>Rural</c:v>
                </c:pt>
                <c:pt idx="4">
                  <c:v>Total</c:v>
                </c:pt>
              </c:strCache>
            </c:strRef>
          </c:cat>
          <c:val>
            <c:numRef>
              <c:f>Sheet1!$D$66:$D$70</c:f>
              <c:numCache>
                <c:formatCode>0%</c:formatCode>
                <c:ptCount val="5"/>
                <c:pt idx="0">
                  <c:v>0.76984126984126988</c:v>
                </c:pt>
                <c:pt idx="1">
                  <c:v>0.12698412698412698</c:v>
                </c:pt>
                <c:pt idx="2">
                  <c:v>0.10317460317460317</c:v>
                </c:pt>
              </c:numCache>
            </c:numRef>
          </c:val>
          <c:extLst>
            <c:ext xmlns:c16="http://schemas.microsoft.com/office/drawing/2014/chart" uri="{C3380CC4-5D6E-409C-BE32-E72D297353CC}">
              <c16:uniqueId val="{00000001-72CB-4FA6-B607-84DB1587A3AF}"/>
            </c:ext>
          </c:extLst>
        </c:ser>
        <c:dLbls>
          <c:dLblPos val="outEnd"/>
          <c:showLegendKey val="0"/>
          <c:showVal val="1"/>
          <c:showCatName val="0"/>
          <c:showSerName val="0"/>
          <c:showPercent val="0"/>
          <c:showBubbleSize val="0"/>
        </c:dLbls>
        <c:gapWidth val="355"/>
        <c:overlap val="-70"/>
        <c:axId val="442117904"/>
        <c:axId val="442119080"/>
      </c:barChart>
      <c:catAx>
        <c:axId val="44211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119080"/>
        <c:crosses val="autoZero"/>
        <c:auto val="1"/>
        <c:lblAlgn val="ctr"/>
        <c:lblOffset val="100"/>
        <c:noMultiLvlLbl val="0"/>
      </c:catAx>
      <c:valAx>
        <c:axId val="44211908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11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Importance of Cultural and Emotional Understanding in Nutrition Advice</a:t>
            </a:r>
          </a:p>
          <a:p>
            <a:pPr>
              <a:defRPr sz="1100">
                <a:latin typeface="Times New Roman" panose="02020603050405020304" pitchFamily="18" charset="0"/>
                <a:cs typeface="Times New Roman" panose="02020603050405020304" pitchFamily="18" charset="0"/>
              </a:defRPr>
            </a:pPr>
            <a:endParaRPr lang="en-IN"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Sheet3!$C$4</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Sheet3!$B$5:$B$8</c:f>
              <c:strCache>
                <c:ptCount val="4"/>
                <c:pt idx="0">
                  <c:v>Not important</c:v>
                </c:pt>
                <c:pt idx="1">
                  <c:v>Moderately important</c:v>
                </c:pt>
                <c:pt idx="2">
                  <c:v>Very important</c:v>
                </c:pt>
                <c:pt idx="3">
                  <c:v>total </c:v>
                </c:pt>
              </c:strCache>
            </c:strRef>
          </c:cat>
          <c:val>
            <c:numRef>
              <c:f>Sheet3!$C$5:$C$8</c:f>
              <c:numCache>
                <c:formatCode>General</c:formatCode>
                <c:ptCount val="4"/>
                <c:pt idx="0">
                  <c:v>9</c:v>
                </c:pt>
                <c:pt idx="1">
                  <c:v>66</c:v>
                </c:pt>
                <c:pt idx="2">
                  <c:v>51</c:v>
                </c:pt>
                <c:pt idx="3">
                  <c:v>126</c:v>
                </c:pt>
              </c:numCache>
            </c:numRef>
          </c:val>
          <c:extLst>
            <c:ext xmlns:c16="http://schemas.microsoft.com/office/drawing/2014/chart" uri="{C3380CC4-5D6E-409C-BE32-E72D297353CC}">
              <c16:uniqueId val="{00000000-DF66-4A1A-878D-47F174E2F2AB}"/>
            </c:ext>
          </c:extLst>
        </c:ser>
        <c:ser>
          <c:idx val="1"/>
          <c:order val="1"/>
          <c:tx>
            <c:strRef>
              <c:f>Sheet3!$D$4</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Sheet3!$B$5:$B$8</c:f>
              <c:strCache>
                <c:ptCount val="4"/>
                <c:pt idx="0">
                  <c:v>Not important</c:v>
                </c:pt>
                <c:pt idx="1">
                  <c:v>Moderately important</c:v>
                </c:pt>
                <c:pt idx="2">
                  <c:v>Very important</c:v>
                </c:pt>
                <c:pt idx="3">
                  <c:v>total </c:v>
                </c:pt>
              </c:strCache>
            </c:strRef>
          </c:cat>
          <c:val>
            <c:numRef>
              <c:f>Sheet3!$D$5:$D$8</c:f>
              <c:numCache>
                <c:formatCode>0%</c:formatCode>
                <c:ptCount val="4"/>
                <c:pt idx="0">
                  <c:v>7.1428571428571425E-2</c:v>
                </c:pt>
                <c:pt idx="1">
                  <c:v>0.52380952380952384</c:v>
                </c:pt>
                <c:pt idx="2">
                  <c:v>0.40476190476190477</c:v>
                </c:pt>
                <c:pt idx="3">
                  <c:v>1</c:v>
                </c:pt>
              </c:numCache>
            </c:numRef>
          </c:val>
          <c:extLst>
            <c:ext xmlns:c16="http://schemas.microsoft.com/office/drawing/2014/chart" uri="{C3380CC4-5D6E-409C-BE32-E72D297353CC}">
              <c16:uniqueId val="{00000001-DF66-4A1A-878D-47F174E2F2AB}"/>
            </c:ext>
          </c:extLst>
        </c:ser>
        <c:dLbls>
          <c:dLblPos val="outEnd"/>
          <c:showLegendKey val="0"/>
          <c:showVal val="1"/>
          <c:showCatName val="0"/>
          <c:showSerName val="0"/>
          <c:showPercent val="0"/>
          <c:showBubbleSize val="0"/>
        </c:dLbls>
        <c:gapWidth val="355"/>
        <c:overlap val="-70"/>
        <c:axId val="1391207392"/>
        <c:axId val="1391206912"/>
      </c:barChart>
      <c:catAx>
        <c:axId val="139120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206912"/>
        <c:crosses val="autoZero"/>
        <c:auto val="1"/>
        <c:lblAlgn val="ctr"/>
        <c:lblOffset val="100"/>
        <c:noMultiLvlLbl val="0"/>
      </c:catAx>
      <c:valAx>
        <c:axId val="1391206912"/>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20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Comfort Level with AI-Generated Personalized Diet Advice</a:t>
            </a:r>
          </a:p>
          <a:p>
            <a:pPr>
              <a:defRPr/>
            </a:pPr>
            <a:endParaRPr lang="en-IN"/>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Sheet3!$C$27</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Sheet3!$B$28:$B$32</c:f>
              <c:strCache>
                <c:ptCount val="5"/>
                <c:pt idx="0">
                  <c:v>Very uncomfortable</c:v>
                </c:pt>
                <c:pt idx="1">
                  <c:v>Uncomfortable</c:v>
                </c:pt>
                <c:pt idx="2">
                  <c:v>Comfortable</c:v>
                </c:pt>
                <c:pt idx="3">
                  <c:v>Very Comfortable</c:v>
                </c:pt>
                <c:pt idx="4">
                  <c:v>Total </c:v>
                </c:pt>
              </c:strCache>
            </c:strRef>
          </c:cat>
          <c:val>
            <c:numRef>
              <c:f>Sheet3!$C$28:$C$32</c:f>
              <c:numCache>
                <c:formatCode>General</c:formatCode>
                <c:ptCount val="5"/>
                <c:pt idx="0">
                  <c:v>5</c:v>
                </c:pt>
                <c:pt idx="1">
                  <c:v>35</c:v>
                </c:pt>
                <c:pt idx="2">
                  <c:v>72</c:v>
                </c:pt>
                <c:pt idx="3">
                  <c:v>14</c:v>
                </c:pt>
                <c:pt idx="4">
                  <c:v>126</c:v>
                </c:pt>
              </c:numCache>
            </c:numRef>
          </c:val>
          <c:extLst>
            <c:ext xmlns:c16="http://schemas.microsoft.com/office/drawing/2014/chart" uri="{C3380CC4-5D6E-409C-BE32-E72D297353CC}">
              <c16:uniqueId val="{00000000-BE83-4865-B4DD-615D3D9326AD}"/>
            </c:ext>
          </c:extLst>
        </c:ser>
        <c:ser>
          <c:idx val="1"/>
          <c:order val="1"/>
          <c:tx>
            <c:strRef>
              <c:f>Sheet3!$D$27</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Sheet3!$B$28:$B$32</c:f>
              <c:strCache>
                <c:ptCount val="5"/>
                <c:pt idx="0">
                  <c:v>Very uncomfortable</c:v>
                </c:pt>
                <c:pt idx="1">
                  <c:v>Uncomfortable</c:v>
                </c:pt>
                <c:pt idx="2">
                  <c:v>Comfortable</c:v>
                </c:pt>
                <c:pt idx="3">
                  <c:v>Very Comfortable</c:v>
                </c:pt>
                <c:pt idx="4">
                  <c:v>Total </c:v>
                </c:pt>
              </c:strCache>
            </c:strRef>
          </c:cat>
          <c:val>
            <c:numRef>
              <c:f>Sheet3!$D$28:$D$32</c:f>
              <c:numCache>
                <c:formatCode>0%</c:formatCode>
                <c:ptCount val="5"/>
                <c:pt idx="0">
                  <c:v>3.968253968253968E-2</c:v>
                </c:pt>
                <c:pt idx="1">
                  <c:v>0.27777777777777779</c:v>
                </c:pt>
                <c:pt idx="2">
                  <c:v>0.5714285714285714</c:v>
                </c:pt>
                <c:pt idx="3">
                  <c:v>0.1111111111111111</c:v>
                </c:pt>
                <c:pt idx="4">
                  <c:v>1</c:v>
                </c:pt>
              </c:numCache>
            </c:numRef>
          </c:val>
          <c:extLst>
            <c:ext xmlns:c16="http://schemas.microsoft.com/office/drawing/2014/chart" uri="{C3380CC4-5D6E-409C-BE32-E72D297353CC}">
              <c16:uniqueId val="{00000001-BE83-4865-B4DD-615D3D9326AD}"/>
            </c:ext>
          </c:extLst>
        </c:ser>
        <c:dLbls>
          <c:dLblPos val="outEnd"/>
          <c:showLegendKey val="0"/>
          <c:showVal val="1"/>
          <c:showCatName val="0"/>
          <c:showSerName val="0"/>
          <c:showPercent val="0"/>
          <c:showBubbleSize val="0"/>
        </c:dLbls>
        <c:gapWidth val="355"/>
        <c:overlap val="-70"/>
        <c:axId val="1914836639"/>
        <c:axId val="1914853439"/>
      </c:barChart>
      <c:catAx>
        <c:axId val="1914836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853439"/>
        <c:crosses val="autoZero"/>
        <c:auto val="1"/>
        <c:lblAlgn val="ctr"/>
        <c:lblOffset val="100"/>
        <c:noMultiLvlLbl val="0"/>
      </c:catAx>
      <c:valAx>
        <c:axId val="1914853439"/>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836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latin typeface="Times New Roman" panose="02020603050405020304" pitchFamily="18" charset="0"/>
                <a:cs typeface="Times New Roman" panose="02020603050405020304" pitchFamily="18" charset="0"/>
              </a:rPr>
              <a:t>Perception of AI’s Ability to Consider Cultural Food Preference</a:t>
            </a:r>
          </a:p>
          <a:p>
            <a:pPr algn="ctr">
              <a:defRPr sz="1200">
                <a:latin typeface="Times New Roman" panose="02020603050405020304" pitchFamily="18" charset="0"/>
                <a:cs typeface="Times New Roman" panose="02020603050405020304" pitchFamily="18" charset="0"/>
              </a:defRPr>
            </a:pPr>
            <a:endParaRPr lang="en-IN"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2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Sheet3!$C$51</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Sheet3!$B$52:$B$56</c:f>
              <c:strCache>
                <c:ptCount val="5"/>
                <c:pt idx="0">
                  <c:v>Strongly Disagree</c:v>
                </c:pt>
                <c:pt idx="1">
                  <c:v>Disagree</c:v>
                </c:pt>
                <c:pt idx="2">
                  <c:v>Agree</c:v>
                </c:pt>
                <c:pt idx="3">
                  <c:v>Strongly agree</c:v>
                </c:pt>
                <c:pt idx="4">
                  <c:v>Total</c:v>
                </c:pt>
              </c:strCache>
            </c:strRef>
          </c:cat>
          <c:val>
            <c:numRef>
              <c:f>Sheet3!$C$52:$C$56</c:f>
              <c:numCache>
                <c:formatCode>General</c:formatCode>
                <c:ptCount val="5"/>
                <c:pt idx="0">
                  <c:v>18</c:v>
                </c:pt>
                <c:pt idx="1">
                  <c:v>52</c:v>
                </c:pt>
                <c:pt idx="2">
                  <c:v>54</c:v>
                </c:pt>
                <c:pt idx="3">
                  <c:v>2</c:v>
                </c:pt>
                <c:pt idx="4">
                  <c:v>126</c:v>
                </c:pt>
              </c:numCache>
            </c:numRef>
          </c:val>
          <c:extLst>
            <c:ext xmlns:c16="http://schemas.microsoft.com/office/drawing/2014/chart" uri="{C3380CC4-5D6E-409C-BE32-E72D297353CC}">
              <c16:uniqueId val="{00000000-E4C7-4658-954B-DF0B16CF78CA}"/>
            </c:ext>
          </c:extLst>
        </c:ser>
        <c:ser>
          <c:idx val="1"/>
          <c:order val="1"/>
          <c:tx>
            <c:strRef>
              <c:f>Sheet3!$D$51</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Sheet3!$B$52:$B$56</c:f>
              <c:strCache>
                <c:ptCount val="5"/>
                <c:pt idx="0">
                  <c:v>Strongly Disagree</c:v>
                </c:pt>
                <c:pt idx="1">
                  <c:v>Disagree</c:v>
                </c:pt>
                <c:pt idx="2">
                  <c:v>Agree</c:v>
                </c:pt>
                <c:pt idx="3">
                  <c:v>Strongly agree</c:v>
                </c:pt>
                <c:pt idx="4">
                  <c:v>Total</c:v>
                </c:pt>
              </c:strCache>
            </c:strRef>
          </c:cat>
          <c:val>
            <c:numRef>
              <c:f>Sheet3!$D$52:$D$56</c:f>
              <c:numCache>
                <c:formatCode>0%</c:formatCode>
                <c:ptCount val="5"/>
                <c:pt idx="0">
                  <c:v>0.14285714285714285</c:v>
                </c:pt>
                <c:pt idx="1">
                  <c:v>0.41269841269841268</c:v>
                </c:pt>
                <c:pt idx="2">
                  <c:v>0.42857142857142855</c:v>
                </c:pt>
                <c:pt idx="3">
                  <c:v>1.5873015873015872E-2</c:v>
                </c:pt>
                <c:pt idx="4">
                  <c:v>1</c:v>
                </c:pt>
              </c:numCache>
            </c:numRef>
          </c:val>
          <c:extLst>
            <c:ext xmlns:c16="http://schemas.microsoft.com/office/drawing/2014/chart" uri="{C3380CC4-5D6E-409C-BE32-E72D297353CC}">
              <c16:uniqueId val="{00000001-E4C7-4658-954B-DF0B16CF78CA}"/>
            </c:ext>
          </c:extLst>
        </c:ser>
        <c:dLbls>
          <c:dLblPos val="outEnd"/>
          <c:showLegendKey val="0"/>
          <c:showVal val="1"/>
          <c:showCatName val="0"/>
          <c:showSerName val="0"/>
          <c:showPercent val="0"/>
          <c:showBubbleSize val="0"/>
        </c:dLbls>
        <c:gapWidth val="355"/>
        <c:overlap val="-70"/>
        <c:axId val="1481009680"/>
        <c:axId val="1481011120"/>
      </c:barChart>
      <c:catAx>
        <c:axId val="148100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011120"/>
        <c:crosses val="autoZero"/>
        <c:auto val="1"/>
        <c:lblAlgn val="ctr"/>
        <c:lblOffset val="100"/>
        <c:noMultiLvlLbl val="0"/>
      </c:catAx>
      <c:valAx>
        <c:axId val="148101112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00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Perceived Effectiveness of AI in Diet Personalization</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Sheet3!$C$75</c:f>
              <c:strCache>
                <c:ptCount val="1"/>
                <c:pt idx="0">
                  <c:v>No of participants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Sheet3!$B$76:$B$80</c:f>
              <c:strCache>
                <c:ptCount val="5"/>
                <c:pt idx="0">
                  <c:v>Not at all</c:v>
                </c:pt>
                <c:pt idx="1">
                  <c:v>Somewhat</c:v>
                </c:pt>
                <c:pt idx="2">
                  <c:v>Mostly</c:v>
                </c:pt>
                <c:pt idx="3">
                  <c:v>Completely</c:v>
                </c:pt>
                <c:pt idx="4">
                  <c:v>Total</c:v>
                </c:pt>
              </c:strCache>
            </c:strRef>
          </c:cat>
          <c:val>
            <c:numRef>
              <c:f>Sheet3!$C$76:$C$80</c:f>
              <c:numCache>
                <c:formatCode>General</c:formatCode>
                <c:ptCount val="5"/>
                <c:pt idx="0">
                  <c:v>37</c:v>
                </c:pt>
                <c:pt idx="1">
                  <c:v>69</c:v>
                </c:pt>
                <c:pt idx="2">
                  <c:v>15</c:v>
                </c:pt>
                <c:pt idx="3">
                  <c:v>5</c:v>
                </c:pt>
                <c:pt idx="4">
                  <c:v>126</c:v>
                </c:pt>
              </c:numCache>
            </c:numRef>
          </c:val>
          <c:extLst>
            <c:ext xmlns:c16="http://schemas.microsoft.com/office/drawing/2014/chart" uri="{C3380CC4-5D6E-409C-BE32-E72D297353CC}">
              <c16:uniqueId val="{00000000-A990-4104-9D37-4F9B17BF5956}"/>
            </c:ext>
          </c:extLst>
        </c:ser>
        <c:ser>
          <c:idx val="1"/>
          <c:order val="1"/>
          <c:tx>
            <c:strRef>
              <c:f>Sheet3!$D$75</c:f>
              <c:strCache>
                <c:ptCount val="1"/>
                <c:pt idx="0">
                  <c:v>Percentage</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Sheet3!$B$76:$B$80</c:f>
              <c:strCache>
                <c:ptCount val="5"/>
                <c:pt idx="0">
                  <c:v>Not at all</c:v>
                </c:pt>
                <c:pt idx="1">
                  <c:v>Somewhat</c:v>
                </c:pt>
                <c:pt idx="2">
                  <c:v>Mostly</c:v>
                </c:pt>
                <c:pt idx="3">
                  <c:v>Completely</c:v>
                </c:pt>
                <c:pt idx="4">
                  <c:v>Total</c:v>
                </c:pt>
              </c:strCache>
            </c:strRef>
          </c:cat>
          <c:val>
            <c:numRef>
              <c:f>Sheet3!$D$76:$D$80</c:f>
              <c:numCache>
                <c:formatCode>0%</c:formatCode>
                <c:ptCount val="5"/>
                <c:pt idx="0">
                  <c:v>0.29365079365079366</c:v>
                </c:pt>
                <c:pt idx="1">
                  <c:v>0.54761904761904767</c:v>
                </c:pt>
                <c:pt idx="2">
                  <c:v>0.11904761904761904</c:v>
                </c:pt>
                <c:pt idx="3">
                  <c:v>3.968253968253968E-2</c:v>
                </c:pt>
                <c:pt idx="4">
                  <c:v>1.0000000000000002</c:v>
                </c:pt>
              </c:numCache>
            </c:numRef>
          </c:val>
          <c:extLst>
            <c:ext xmlns:c16="http://schemas.microsoft.com/office/drawing/2014/chart" uri="{C3380CC4-5D6E-409C-BE32-E72D297353CC}">
              <c16:uniqueId val="{00000001-A990-4104-9D37-4F9B17BF5956}"/>
            </c:ext>
          </c:extLst>
        </c:ser>
        <c:dLbls>
          <c:dLblPos val="outEnd"/>
          <c:showLegendKey val="0"/>
          <c:showVal val="1"/>
          <c:showCatName val="0"/>
          <c:showSerName val="0"/>
          <c:showPercent val="0"/>
          <c:showBubbleSize val="0"/>
        </c:dLbls>
        <c:gapWidth val="355"/>
        <c:overlap val="-70"/>
        <c:axId val="320823295"/>
        <c:axId val="320828575"/>
      </c:barChart>
      <c:catAx>
        <c:axId val="320823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28575"/>
        <c:crosses val="autoZero"/>
        <c:auto val="1"/>
        <c:lblAlgn val="ctr"/>
        <c:lblOffset val="100"/>
        <c:noMultiLvlLbl val="0"/>
      </c:catAx>
      <c:valAx>
        <c:axId val="320828575"/>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23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4D17-F27E-48D5-A113-978A3F71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8403</Words>
  <Characters>47900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Larsen and Toubro</Company>
  <LinksUpToDate>false</LinksUpToDate>
  <CharactersWithSpaces>56191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2026-04-01T13:50:00Z</cp:lastPrinted>
  <dcterms:created xsi:type="dcterms:W3CDTF">2026-04-01T14:18:00Z</dcterms:created>
  <dcterms:modified xsi:type="dcterms:W3CDTF">2026-04-01T14:23:00Z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d964b1b8-2a1c-40d0-ac0f-7332629d7a39</vt:lpwstr>
  </property>
</Properties>
</file>