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D3364" w14:textId="1B3BBF97" w:rsidR="00112593" w:rsidRDefault="00112593" w:rsidP="00112593">
      <w:pPr>
        <w:pStyle w:val="Heading2"/>
        <w:rPr>
          <w:sz w:val="24"/>
          <w:szCs w:val="24"/>
          <w:lang w:val="en-US"/>
        </w:rPr>
      </w:pPr>
      <w:r w:rsidRPr="00112593">
        <w:rPr>
          <w:sz w:val="24"/>
          <w:szCs w:val="24"/>
        </w:rPr>
        <w:t>Effects of Spacing and Post-Pinching Regrowth on Biomass Allocation, Root–Shoot Ratio, and Canopy Development of Moringa Species in Semi-Arid Northern Nigeri</w:t>
      </w:r>
      <w:r w:rsidRPr="00112593">
        <w:rPr>
          <w:sz w:val="24"/>
          <w:szCs w:val="24"/>
          <w:lang w:val="en-US"/>
        </w:rPr>
        <w:t>a</w:t>
      </w:r>
    </w:p>
    <w:p w14:paraId="3901B39F" w14:textId="07DED09B" w:rsidR="00866F05" w:rsidRDefault="00866F05" w:rsidP="00866F05">
      <w:pPr>
        <w:spacing w:beforeAutospacing="1" w:after="0" w:afterAutospacing="1" w:line="240" w:lineRule="auto"/>
        <w:rPr>
          <w:rFonts w:ascii="Times New Roman" w:eastAsia="Times New Roman" w:hAnsi="Times New Roman" w:cs="Times New Roman"/>
          <w:sz w:val="24"/>
          <w:szCs w:val="24"/>
          <w:lang w:eastAsia="en-NG"/>
        </w:rPr>
      </w:pPr>
      <w:r w:rsidRPr="00CE593A">
        <w:rPr>
          <w:rFonts w:ascii="Times New Roman" w:eastAsia="Times New Roman" w:hAnsi="Times New Roman" w:cs="Times New Roman"/>
          <w:b/>
          <w:bCs/>
          <w:sz w:val="24"/>
          <w:szCs w:val="24"/>
          <w:lang w:eastAsia="en-NG"/>
        </w:rPr>
        <w:t>Samaila Abdullahi*</w:t>
      </w:r>
      <w:r w:rsidRPr="00CE593A">
        <w:rPr>
          <w:rFonts w:ascii="Times New Roman" w:eastAsia="Times New Roman" w:hAnsi="Times New Roman" w:cs="Times New Roman"/>
          <w:sz w:val="24"/>
          <w:szCs w:val="24"/>
          <w:lang w:eastAsia="en-NG"/>
        </w:rPr>
        <w:t xml:space="preserve"> </w:t>
      </w:r>
      <w:r w:rsidRPr="00CE593A">
        <w:rPr>
          <w:rFonts w:ascii="Times New Roman" w:eastAsia="Times New Roman" w:hAnsi="Times New Roman" w:cs="Times New Roman"/>
          <w:sz w:val="24"/>
          <w:szCs w:val="24"/>
          <w:lang w:eastAsia="en-NG"/>
        </w:rPr>
        <w:br/>
      </w:r>
      <w:r>
        <w:rPr>
          <w:rFonts w:ascii="Times New Roman" w:eastAsia="Times New Roman" w:hAnsi="Times New Roman" w:cs="Times New Roman"/>
          <w:b/>
          <w:bCs/>
          <w:sz w:val="24"/>
          <w:szCs w:val="24"/>
          <w:lang w:val="en-US" w:eastAsia="en-NG"/>
        </w:rPr>
        <w:t>Mustapha Sani Bunza</w:t>
      </w:r>
    </w:p>
    <w:p w14:paraId="1154BC06" w14:textId="77777777" w:rsidR="00866F05" w:rsidRPr="00CE593A" w:rsidRDefault="00866F05" w:rsidP="00866F05">
      <w:pPr>
        <w:spacing w:beforeAutospacing="1" w:after="0" w:afterAutospacing="1" w:line="240" w:lineRule="auto"/>
        <w:rPr>
          <w:rFonts w:ascii="Times New Roman" w:eastAsia="Times New Roman" w:hAnsi="Times New Roman" w:cs="Times New Roman"/>
          <w:sz w:val="24"/>
          <w:szCs w:val="24"/>
          <w:lang w:eastAsia="en-NG"/>
        </w:rPr>
      </w:pPr>
      <w:r w:rsidRPr="00CE593A">
        <w:rPr>
          <w:rFonts w:ascii="Times New Roman" w:eastAsia="Times New Roman" w:hAnsi="Times New Roman" w:cs="Times New Roman"/>
          <w:sz w:val="24"/>
          <w:szCs w:val="24"/>
          <w:lang w:eastAsia="en-NG"/>
        </w:rPr>
        <w:t>Department of Forestry and Environment, Faculty of Agriculture,</w:t>
      </w:r>
      <w:r w:rsidRPr="00CE593A">
        <w:rPr>
          <w:rFonts w:ascii="Times New Roman" w:eastAsia="Times New Roman" w:hAnsi="Times New Roman" w:cs="Times New Roman"/>
          <w:sz w:val="24"/>
          <w:szCs w:val="24"/>
          <w:lang w:eastAsia="en-NG"/>
        </w:rPr>
        <w:br/>
        <w:t>Usmanu Danfodiyo University, Sokoto, Nigeria</w:t>
      </w:r>
    </w:p>
    <w:p w14:paraId="7ABDDCD0" w14:textId="77777777" w:rsidR="00866F05" w:rsidRPr="00294EB2" w:rsidRDefault="00866F05" w:rsidP="00866F05">
      <w:pPr>
        <w:spacing w:beforeAutospacing="1" w:after="0" w:afterAutospacing="1" w:line="240" w:lineRule="auto"/>
        <w:rPr>
          <w:rFonts w:ascii="Times New Roman" w:eastAsia="Times New Roman" w:hAnsi="Times New Roman" w:cs="Times New Roman"/>
          <w:sz w:val="24"/>
          <w:szCs w:val="24"/>
          <w:lang w:eastAsia="en-NG"/>
        </w:rPr>
      </w:pPr>
      <w:r w:rsidRPr="00CE593A">
        <w:rPr>
          <w:rFonts w:ascii="Times New Roman" w:eastAsia="Times New Roman" w:hAnsi="Times New Roman" w:cs="Times New Roman"/>
          <w:sz w:val="24"/>
          <w:szCs w:val="24"/>
          <w:lang w:eastAsia="en-NG"/>
        </w:rPr>
        <w:t xml:space="preserve">*Corresponding author: </w:t>
      </w:r>
      <w:hyperlink r:id="rId7" w:history="1">
        <w:r w:rsidRPr="00CE593A">
          <w:rPr>
            <w:rFonts w:ascii="Times New Roman" w:eastAsia="Times New Roman" w:hAnsi="Times New Roman" w:cs="Times New Roman"/>
            <w:color w:val="0000FF"/>
            <w:sz w:val="24"/>
            <w:szCs w:val="24"/>
            <w:u w:val="single"/>
            <w:lang w:eastAsia="en-NG"/>
          </w:rPr>
          <w:t>samaila.abdullahi@udusok.edu.ng</w:t>
        </w:r>
      </w:hyperlink>
    </w:p>
    <w:p w14:paraId="5E31D693" w14:textId="77777777" w:rsidR="00866F05" w:rsidRPr="00112593" w:rsidRDefault="00866F05" w:rsidP="00112593">
      <w:pPr>
        <w:pStyle w:val="Heading2"/>
        <w:rPr>
          <w:rStyle w:val="Strong"/>
          <w:sz w:val="24"/>
          <w:szCs w:val="24"/>
          <w:lang w:val="en-US"/>
        </w:rPr>
      </w:pPr>
    </w:p>
    <w:p w14:paraId="12296DF4" w14:textId="74872CD9" w:rsidR="00112593" w:rsidRPr="0047180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eastAsia="en-NG"/>
        </w:rPr>
      </w:pPr>
      <w:r w:rsidRPr="0047180C">
        <w:rPr>
          <w:rFonts w:ascii="Times New Roman" w:eastAsia="Times New Roman" w:hAnsi="Times New Roman" w:cs="Times New Roman"/>
          <w:b/>
          <w:bCs/>
          <w:sz w:val="24"/>
          <w:szCs w:val="24"/>
          <w:lang w:eastAsia="en-NG"/>
        </w:rPr>
        <w:t>Abstract</w:t>
      </w:r>
      <w:r w:rsidRPr="0047180C">
        <w:rPr>
          <w:rFonts w:ascii="Times New Roman" w:eastAsia="Times New Roman" w:hAnsi="Times New Roman" w:cs="Times New Roman"/>
          <w:sz w:val="24"/>
          <w:szCs w:val="24"/>
          <w:lang w:eastAsia="en-NG"/>
        </w:rPr>
        <w:br/>
        <w:t xml:space="preserve">Post-pinching regrowth and plant spacing are key determinants of vegetative performance, biomass allocation, and canopy development in Moringa species under semi-arid conditions. A factorial experiment was conducted in a Randomized Complete Block Design with three replicates to evaluate the effects of four spacing treatments (15×15, 15×20, 20×20, 20×30 cm) on the growth performance, root–shoot ratio, and leaf area index (LAI) of </w:t>
      </w:r>
      <w:r w:rsidRPr="0047180C">
        <w:rPr>
          <w:rFonts w:ascii="Times New Roman" w:eastAsia="Times New Roman" w:hAnsi="Times New Roman" w:cs="Times New Roman"/>
          <w:i/>
          <w:iCs/>
          <w:sz w:val="24"/>
          <w:szCs w:val="24"/>
          <w:lang w:eastAsia="en-NG"/>
        </w:rPr>
        <w:t>Moringa peregrina</w:t>
      </w:r>
      <w:r w:rsidRPr="0047180C">
        <w:rPr>
          <w:rFonts w:ascii="Times New Roman" w:eastAsia="Times New Roman" w:hAnsi="Times New Roman" w:cs="Times New Roman"/>
          <w:sz w:val="24"/>
          <w:szCs w:val="24"/>
          <w:lang w:eastAsia="en-NG"/>
        </w:rPr>
        <w:t xml:space="preserve">, </w:t>
      </w:r>
      <w:r w:rsidRPr="0047180C">
        <w:rPr>
          <w:rFonts w:ascii="Times New Roman" w:eastAsia="Times New Roman" w:hAnsi="Times New Roman" w:cs="Times New Roman"/>
          <w:i/>
          <w:iCs/>
          <w:sz w:val="24"/>
          <w:szCs w:val="24"/>
          <w:lang w:eastAsia="en-NG"/>
        </w:rPr>
        <w:t>M. oleifera</w:t>
      </w:r>
      <w:r w:rsidRPr="0047180C">
        <w:rPr>
          <w:rFonts w:ascii="Times New Roman" w:eastAsia="Times New Roman" w:hAnsi="Times New Roman" w:cs="Times New Roman"/>
          <w:sz w:val="24"/>
          <w:szCs w:val="24"/>
          <w:lang w:eastAsia="en-NG"/>
        </w:rPr>
        <w:t xml:space="preserve">, </w:t>
      </w:r>
      <w:r w:rsidRPr="0047180C">
        <w:rPr>
          <w:rFonts w:ascii="Times New Roman" w:eastAsia="Times New Roman" w:hAnsi="Times New Roman" w:cs="Times New Roman"/>
          <w:i/>
          <w:iCs/>
          <w:sz w:val="24"/>
          <w:szCs w:val="24"/>
          <w:lang w:eastAsia="en-NG"/>
        </w:rPr>
        <w:t>M. stenopetala</w:t>
      </w:r>
      <w:r w:rsidRPr="0047180C">
        <w:rPr>
          <w:rFonts w:ascii="Times New Roman" w:eastAsia="Times New Roman" w:hAnsi="Times New Roman" w:cs="Times New Roman"/>
          <w:sz w:val="24"/>
          <w:szCs w:val="24"/>
          <w:lang w:eastAsia="en-NG"/>
        </w:rPr>
        <w:t xml:space="preserve">, and </w:t>
      </w:r>
      <w:r w:rsidR="00866F05" w:rsidRPr="00866F05">
        <w:rPr>
          <w:rFonts w:ascii="Times New Roman" w:eastAsia="Times New Roman" w:hAnsi="Times New Roman" w:cs="Times New Roman"/>
          <w:i/>
          <w:iCs/>
          <w:sz w:val="24"/>
          <w:szCs w:val="24"/>
          <w:lang w:eastAsia="en-NG"/>
        </w:rPr>
        <w:t xml:space="preserve">PKM 1 </w:t>
      </w:r>
      <w:r w:rsidRPr="0047180C">
        <w:rPr>
          <w:rFonts w:ascii="Times New Roman" w:eastAsia="Times New Roman" w:hAnsi="Times New Roman" w:cs="Times New Roman"/>
          <w:sz w:val="24"/>
          <w:szCs w:val="24"/>
          <w:lang w:eastAsia="en-NG"/>
        </w:rPr>
        <w:t xml:space="preserve">. Seedlings were pinched at 4 weeks after emergence to stimulate branching, and growth parameters were measured over 8 weeks. Post-pinching regrowth significantly influenced the number of leaves (NL) and branches (NB), with </w:t>
      </w:r>
      <w:r w:rsidR="00866F05" w:rsidRPr="00866F05">
        <w:rPr>
          <w:rFonts w:ascii="Times New Roman" w:eastAsia="Times New Roman" w:hAnsi="Times New Roman" w:cs="Times New Roman"/>
          <w:i/>
          <w:iCs/>
          <w:sz w:val="24"/>
          <w:szCs w:val="24"/>
          <w:lang w:eastAsia="en-NG"/>
        </w:rPr>
        <w:t xml:space="preserve">PKM 1 </w:t>
      </w:r>
      <w:r w:rsidRPr="0047180C">
        <w:rPr>
          <w:rFonts w:ascii="Times New Roman" w:eastAsia="Times New Roman" w:hAnsi="Times New Roman" w:cs="Times New Roman"/>
          <w:sz w:val="24"/>
          <w:szCs w:val="24"/>
          <w:lang w:eastAsia="en-NG"/>
        </w:rPr>
        <w:t>showing superior performance (NL = 261 ± 10.5; NB = 18 ± 1.5). Closer spacing enhanced NL, NB, and plant height, whereas wider spacing promoted root allocation and structural development. Root–shoot ratio decreased with increasing spacing, indicating adaptive biomass partitioning to optimize resource acquisition, while LAI varied among species, reflecting differences in canopy architecture and light interception efficiency. Regression analyses revealed strong positive relationships between root and shoot biomass (R² = 0.85–0.94) and negative correlations between R/S ratio and spacing (R² = 0.80–0.89), demonstrating species-specific plasticity in growth strategies. These findings highlight the importance of optimizing spacing and post-pinching management to enhance leaf yield, biomass allocation, and productivity in Moringa agroforestry systems, providing actionable insights for sustainable and resilient cultivation in semi-arid environments.</w:t>
      </w:r>
    </w:p>
    <w:p w14:paraId="79C91A24" w14:textId="09F58116" w:rsidR="00112593" w:rsidRPr="004537DC" w:rsidRDefault="00112593" w:rsidP="00866F05">
      <w:pPr>
        <w:pStyle w:val="NormalWeb"/>
        <w:jc w:val="both"/>
      </w:pPr>
      <w:r w:rsidRPr="004537DC">
        <w:rPr>
          <w:rStyle w:val="Strong"/>
        </w:rPr>
        <w:t>Keywords:</w:t>
      </w:r>
      <w:r w:rsidRPr="004537DC">
        <w:t xml:space="preserve"> </w:t>
      </w:r>
      <w:r w:rsidRPr="004537DC">
        <w:rPr>
          <w:rStyle w:val="Emphasis"/>
        </w:rPr>
        <w:t>Moringa</w:t>
      </w:r>
      <w:r w:rsidRPr="004537DC">
        <w:t xml:space="preserve"> species, post-pinching regrowth, spacing, biomass allocation, root–shoot ratio, leaf area index, semi-arid agroforestry</w:t>
      </w:r>
    </w:p>
    <w:p w14:paraId="32FCD2DC" w14:textId="77777777" w:rsidR="00112593" w:rsidRPr="00866F05" w:rsidRDefault="00112593" w:rsidP="00112593">
      <w:pPr>
        <w:pStyle w:val="Heading2"/>
        <w:rPr>
          <w:b w:val="0"/>
          <w:bCs w:val="0"/>
          <w:sz w:val="24"/>
          <w:szCs w:val="24"/>
        </w:rPr>
      </w:pPr>
      <w:r w:rsidRPr="00866F05">
        <w:rPr>
          <w:rStyle w:val="Strong"/>
          <w:b/>
          <w:bCs/>
          <w:sz w:val="24"/>
          <w:szCs w:val="24"/>
        </w:rPr>
        <w:t>1. Introduction</w:t>
      </w:r>
    </w:p>
    <w:p w14:paraId="28321E76" w14:textId="77777777" w:rsidR="00112593" w:rsidRPr="004537DC" w:rsidRDefault="00112593" w:rsidP="00112593">
      <w:pPr>
        <w:pStyle w:val="NormalWeb"/>
        <w:jc w:val="both"/>
      </w:pPr>
      <w:r w:rsidRPr="004537DC">
        <w:rPr>
          <w:rStyle w:val="Emphasis"/>
        </w:rPr>
        <w:t>Moringa</w:t>
      </w:r>
      <w:r w:rsidRPr="004537DC">
        <w:t xml:space="preserve"> species are widely recognized as multipurpose tree crops because of their nutritional value, rapid growth, and adaptability to diverse environments. They are cultivated in tropical and semi</w:t>
      </w:r>
      <w:r w:rsidRPr="004537DC">
        <w:noBreakHyphen/>
        <w:t xml:space="preserve">arid regions for food, fodder, medicine, and industrial uses, and their leaves are a valuable source of protein, vitamins, and minerals that contribute to food security and nutritional health (Eshete </w:t>
      </w:r>
      <w:r w:rsidRPr="0047180C">
        <w:rPr>
          <w:i/>
          <w:iCs/>
        </w:rPr>
        <w:t>et al</w:t>
      </w:r>
      <w:r w:rsidRPr="004537DC">
        <w:t xml:space="preserve">., 2022; Patricio </w:t>
      </w:r>
      <w:r w:rsidRPr="0047180C">
        <w:rPr>
          <w:i/>
          <w:iCs/>
        </w:rPr>
        <w:t>et al</w:t>
      </w:r>
      <w:r w:rsidRPr="004537DC">
        <w:t>., 2017).</w:t>
      </w:r>
    </w:p>
    <w:p w14:paraId="25C754DC" w14:textId="77777777" w:rsidR="00112593" w:rsidRPr="004537DC" w:rsidRDefault="00112593" w:rsidP="00112593">
      <w:pPr>
        <w:pStyle w:val="NormalWeb"/>
        <w:jc w:val="both"/>
      </w:pPr>
      <w:r w:rsidRPr="004537DC">
        <w:t>In semi</w:t>
      </w:r>
      <w:r w:rsidRPr="004537DC">
        <w:noBreakHyphen/>
        <w:t xml:space="preserve">arid regions, </w:t>
      </w:r>
      <w:r w:rsidRPr="004537DC">
        <w:rPr>
          <w:rStyle w:val="Emphasis"/>
        </w:rPr>
        <w:t>Moringa</w:t>
      </w:r>
      <w:r w:rsidRPr="004537DC">
        <w:t xml:space="preserve"> demonstrates adaptive traits such as efficient root systems and flexible biomass allocation patterns that enhance water and nutrient uptake under moisture</w:t>
      </w:r>
      <w:r w:rsidRPr="004537DC">
        <w:noBreakHyphen/>
        <w:t>limited conditions, making it suitable for climate</w:t>
      </w:r>
      <w:r w:rsidRPr="004537DC">
        <w:noBreakHyphen/>
        <w:t xml:space="preserve">resilient farming systems (Eshete </w:t>
      </w:r>
      <w:r w:rsidRPr="0047180C">
        <w:rPr>
          <w:i/>
          <w:iCs/>
        </w:rPr>
        <w:t>et al</w:t>
      </w:r>
      <w:r w:rsidRPr="004537DC">
        <w:t xml:space="preserve">., 2022). Biomass production and yield in </w:t>
      </w:r>
      <w:r w:rsidRPr="004537DC">
        <w:rPr>
          <w:rStyle w:val="Emphasis"/>
        </w:rPr>
        <w:t>Moringa</w:t>
      </w:r>
      <w:r w:rsidRPr="004537DC">
        <w:t xml:space="preserve"> are influenced by plant density and </w:t>
      </w:r>
      <w:r w:rsidRPr="004537DC">
        <w:lastRenderedPageBreak/>
        <w:t xml:space="preserve">harvest frequency, suggesting strong interactions between planting design and plant physiology under dryland conditions (Patricio </w:t>
      </w:r>
      <w:r w:rsidRPr="0047180C">
        <w:rPr>
          <w:i/>
          <w:iCs/>
        </w:rPr>
        <w:t>et al</w:t>
      </w:r>
      <w:r w:rsidRPr="004537DC">
        <w:t>., 2017).</w:t>
      </w:r>
    </w:p>
    <w:p w14:paraId="6B0F340A" w14:textId="7A1D2E93" w:rsidR="00112593" w:rsidRPr="004537DC" w:rsidRDefault="00112593" w:rsidP="00112593">
      <w:pPr>
        <w:pStyle w:val="NormalWeb"/>
        <w:jc w:val="both"/>
      </w:pPr>
      <w:r w:rsidRPr="004537DC">
        <w:t xml:space="preserve">Plant spacing is a key silvicultural factor influencing growth performance, canopy architecture, resource competition, and leaf yield in </w:t>
      </w:r>
      <w:r w:rsidRPr="004537DC">
        <w:rPr>
          <w:rStyle w:val="Emphasis"/>
        </w:rPr>
        <w:t>Moringa</w:t>
      </w:r>
      <w:r w:rsidRPr="004537DC">
        <w:t xml:space="preserve"> plantations. Studies on </w:t>
      </w:r>
      <w:r w:rsidRPr="004537DC">
        <w:rPr>
          <w:rStyle w:val="Emphasis"/>
        </w:rPr>
        <w:t>Moringa stenopetala</w:t>
      </w:r>
      <w:r w:rsidRPr="004537DC">
        <w:t xml:space="preserve"> and </w:t>
      </w:r>
      <w:r w:rsidRPr="004537DC">
        <w:rPr>
          <w:rStyle w:val="Emphasis"/>
        </w:rPr>
        <w:t>Moringa oleifera</w:t>
      </w:r>
      <w:r w:rsidRPr="004537DC">
        <w:t xml:space="preserve"> show that spacing affects growth variables, with closer spacing often enhancing total biomass per unit area, while wider spacing improves individual plant development (Eshete </w:t>
      </w:r>
      <w:r w:rsidRPr="0047180C">
        <w:rPr>
          <w:i/>
          <w:iCs/>
        </w:rPr>
        <w:t>et al</w:t>
      </w:r>
      <w:r w:rsidRPr="004537DC">
        <w:t xml:space="preserve">., 2022; Santos </w:t>
      </w:r>
      <w:r w:rsidRPr="0047180C">
        <w:rPr>
          <w:i/>
          <w:iCs/>
        </w:rPr>
        <w:t>et al</w:t>
      </w:r>
      <w:r w:rsidRPr="004537DC">
        <w:t xml:space="preserve">., 2021). Evidence from research on spacing and leaf yield supports the importance of optimizing planting density to balance light interception, competition, and biomass accumulation (Sutarno </w:t>
      </w:r>
      <w:r w:rsidR="00866F05">
        <w:t>and</w:t>
      </w:r>
      <w:r w:rsidRPr="004537DC">
        <w:t xml:space="preserve"> Rosyida, 2020; Soomro </w:t>
      </w:r>
      <w:r w:rsidRPr="0047180C">
        <w:rPr>
          <w:i/>
          <w:iCs/>
        </w:rPr>
        <w:t>et al</w:t>
      </w:r>
      <w:r w:rsidRPr="004537DC">
        <w:t>., 2024).</w:t>
      </w:r>
    </w:p>
    <w:p w14:paraId="414C65B5" w14:textId="77777777" w:rsidR="00112593" w:rsidRPr="004537DC" w:rsidRDefault="00112593" w:rsidP="00112593">
      <w:pPr>
        <w:pStyle w:val="NormalWeb"/>
        <w:jc w:val="both"/>
      </w:pPr>
      <w:r w:rsidRPr="004537DC">
        <w:t xml:space="preserve">Pruning and harvest management also play significant roles in regulating vegetative regrowth and leaf yield. Experimental work on </w:t>
      </w:r>
      <w:r w:rsidRPr="004537DC">
        <w:rPr>
          <w:rStyle w:val="Emphasis"/>
        </w:rPr>
        <w:t>Moringa oleifera</w:t>
      </w:r>
      <w:r w:rsidRPr="004537DC">
        <w:t xml:space="preserve"> demonstrates that harvesting at regular intervals (e.g., every 4–8 weeks) under different spacing regimes influences leaf biomass, indicating that both temporal and spatial management practices should be considered together to optimize productivity (Patricio </w:t>
      </w:r>
      <w:r w:rsidRPr="0047180C">
        <w:rPr>
          <w:i/>
          <w:iCs/>
        </w:rPr>
        <w:t>et al</w:t>
      </w:r>
      <w:r w:rsidRPr="004537DC">
        <w:t>., 2017).</w:t>
      </w:r>
    </w:p>
    <w:p w14:paraId="2AE6B72F" w14:textId="77777777" w:rsidR="00112593" w:rsidRPr="004537DC" w:rsidRDefault="00112593" w:rsidP="00112593">
      <w:pPr>
        <w:pStyle w:val="NormalWeb"/>
        <w:jc w:val="both"/>
      </w:pPr>
      <w:r w:rsidRPr="004537DC">
        <w:t>Despite these advances, there remains limited integration of spacing and post</w:t>
      </w:r>
      <w:r w:rsidRPr="004537DC">
        <w:noBreakHyphen/>
        <w:t xml:space="preserve">pruning regrowth effects on biomass allocation patterns such as root–shoot relationships and canopy development (leaf area index) across diverse </w:t>
      </w:r>
      <w:r w:rsidRPr="004537DC">
        <w:rPr>
          <w:rStyle w:val="Emphasis"/>
        </w:rPr>
        <w:t>Moringa</w:t>
      </w:r>
      <w:r w:rsidRPr="004537DC">
        <w:t xml:space="preserve"> species. Most research has examined either spacing or harvest frequency independently, with fewer studies focusing on how regrowth dynamics interact with plant density to influence resource allocation and productivity in semi</w:t>
      </w:r>
      <w:r w:rsidRPr="004537DC">
        <w:noBreakHyphen/>
        <w:t>arid agroforestry systems. Understanding such interactions is essential for designing sustainable management practices that maximize leaf and biomass production.</w:t>
      </w:r>
    </w:p>
    <w:p w14:paraId="700E4529" w14:textId="4CCC50CC" w:rsidR="00112593" w:rsidRDefault="00112593" w:rsidP="00112593">
      <w:pPr>
        <w:pStyle w:val="NormalWeb"/>
        <w:jc w:val="both"/>
      </w:pPr>
      <w:r w:rsidRPr="004537DC">
        <w:t>Therefore, this study evaluates the effects of plant spacing on post</w:t>
      </w:r>
      <w:r w:rsidRPr="004537DC">
        <w:noBreakHyphen/>
        <w:t xml:space="preserve">pinching regrowth, growth performance, biomass allocation (root–shoot ratio), and canopy development (leaf area index) of four </w:t>
      </w:r>
      <w:r w:rsidRPr="004537DC">
        <w:rPr>
          <w:rStyle w:val="Emphasis"/>
        </w:rPr>
        <w:t>Moringa</w:t>
      </w:r>
      <w:r w:rsidRPr="004537DC">
        <w:t xml:space="preserve"> species under semi</w:t>
      </w:r>
      <w:r w:rsidRPr="004537DC">
        <w:noBreakHyphen/>
        <w:t>arid conditions. The findings aim to provide empirical insights into how silvicultural practices can be optimized to improve productivity, resource</w:t>
      </w:r>
      <w:r w:rsidRPr="004537DC">
        <w:noBreakHyphen/>
        <w:t xml:space="preserve">use efficiency, and sustainability in </w:t>
      </w:r>
      <w:r w:rsidRPr="004537DC">
        <w:rPr>
          <w:rStyle w:val="Emphasis"/>
        </w:rPr>
        <w:t>Moringa</w:t>
      </w:r>
      <w:r w:rsidRPr="004537DC">
        <w:noBreakHyphen/>
        <w:t>based agroforestry systems.</w:t>
      </w:r>
    </w:p>
    <w:p w14:paraId="31A86A52" w14:textId="4480D221" w:rsidR="001218C4" w:rsidRPr="001218C4" w:rsidRDefault="001218C4" w:rsidP="001218C4">
      <w:pPr>
        <w:pStyle w:val="Heading2"/>
        <w:rPr>
          <w:sz w:val="24"/>
          <w:szCs w:val="24"/>
        </w:rPr>
      </w:pPr>
      <w:r w:rsidRPr="001218C4">
        <w:rPr>
          <w:rStyle w:val="Strong"/>
          <w:b/>
          <w:bCs/>
          <w:sz w:val="24"/>
          <w:szCs w:val="24"/>
        </w:rPr>
        <w:t xml:space="preserve">2. Theoretical Framework </w:t>
      </w:r>
    </w:p>
    <w:p w14:paraId="1652360B" w14:textId="5A47F783" w:rsidR="001218C4" w:rsidRDefault="001218C4" w:rsidP="001218C4">
      <w:pPr>
        <w:pStyle w:val="NormalWeb"/>
        <w:jc w:val="both"/>
      </w:pPr>
      <w:r>
        <w:t xml:space="preserve">This study is anchored on the </w:t>
      </w:r>
      <w:r w:rsidRPr="001218C4">
        <w:rPr>
          <w:rStyle w:val="Strong"/>
          <w:b w:val="0"/>
          <w:bCs w:val="0"/>
        </w:rPr>
        <w:t>Optimal Partitioning Theory</w:t>
      </w:r>
      <w:r>
        <w:t xml:space="preserve"> and </w:t>
      </w:r>
      <w:r w:rsidRPr="001218C4">
        <w:rPr>
          <w:rStyle w:val="Strong"/>
          <w:b w:val="0"/>
          <w:bCs w:val="0"/>
        </w:rPr>
        <w:t>Plant Competition Theory</w:t>
      </w:r>
      <w:r>
        <w:t>.</w:t>
      </w:r>
      <w:r>
        <w:rPr>
          <w:lang w:val="en-US"/>
        </w:rPr>
        <w:t xml:space="preserve"> </w:t>
      </w:r>
      <w:r>
        <w:t>Optimal partitioning theory posits that plants allocate biomass to organs that capture the most limiting resource. Under high competition, greater biomass is allocated to roots for water and nutrient uptake, while under low competition, allocation shifts toward shoots to maximize light interception (Zhang et al., 2021).</w:t>
      </w:r>
    </w:p>
    <w:p w14:paraId="6AF0113F" w14:textId="77777777" w:rsidR="001218C4" w:rsidRDefault="001218C4" w:rsidP="001218C4">
      <w:pPr>
        <w:pStyle w:val="NormalWeb"/>
        <w:jc w:val="both"/>
      </w:pPr>
      <w:r>
        <w:t>Plant competition theory further explains that spacing influences resource availability and inter-plant interactions. High-density planting intensifies competition, promoting rapid canopy closure and biomass accumulation per unit area, whereas wider spacing reduces competition and enhances individual plant growth.</w:t>
      </w:r>
    </w:p>
    <w:p w14:paraId="16D28225" w14:textId="77777777" w:rsidR="001218C4" w:rsidRDefault="001218C4" w:rsidP="001218C4">
      <w:pPr>
        <w:pStyle w:val="NormalWeb"/>
        <w:jc w:val="both"/>
      </w:pPr>
      <w:r>
        <w:t xml:space="preserve">Post-pinching regrowth is linked to </w:t>
      </w:r>
      <w:r w:rsidRPr="001218C4">
        <w:rPr>
          <w:rStyle w:val="Strong"/>
          <w:b w:val="0"/>
          <w:bCs w:val="0"/>
        </w:rPr>
        <w:t>coppicing physiology</w:t>
      </w:r>
      <w:r>
        <w:t>, where removal of apical dominance stimulates lateral bud activation, increasing branching and leaf production. This process enhances photosynthetic recovery and biomass accumulation.</w:t>
      </w:r>
    </w:p>
    <w:p w14:paraId="55448E14" w14:textId="055846CF" w:rsidR="001218C4" w:rsidRPr="004537DC" w:rsidRDefault="001218C4" w:rsidP="001218C4">
      <w:pPr>
        <w:pStyle w:val="NormalWeb"/>
      </w:pPr>
      <w:r>
        <w:t>Together, these frameworks explain how spacing and pinching interact to regulate growth dynamics, biomass allocation, and canopy architecture in Moringa species.</w:t>
      </w:r>
    </w:p>
    <w:p w14:paraId="6E8033D9" w14:textId="28F100CC" w:rsidR="00112593" w:rsidRPr="004537DC" w:rsidRDefault="001218C4" w:rsidP="00112593">
      <w:pPr>
        <w:pStyle w:val="Heading3"/>
        <w:jc w:val="both"/>
        <w:rPr>
          <w:sz w:val="24"/>
          <w:szCs w:val="24"/>
        </w:rPr>
      </w:pPr>
      <w:r>
        <w:rPr>
          <w:sz w:val="24"/>
          <w:szCs w:val="24"/>
          <w:lang w:val="en-US"/>
        </w:rPr>
        <w:t>3</w:t>
      </w:r>
      <w:r w:rsidR="00112593" w:rsidRPr="004537DC">
        <w:rPr>
          <w:sz w:val="24"/>
          <w:szCs w:val="24"/>
        </w:rPr>
        <w:t>.1 Study Area</w:t>
      </w:r>
    </w:p>
    <w:p w14:paraId="4751F2B5" w14:textId="61143A5D" w:rsidR="00112593" w:rsidRPr="004537DC" w:rsidRDefault="00112593" w:rsidP="00112593">
      <w:pPr>
        <w:pStyle w:val="NormalWeb"/>
        <w:jc w:val="both"/>
      </w:pPr>
      <w:r w:rsidRPr="004537DC">
        <w:t xml:space="preserve">The experiment was conducted at the Faculty of Agriculture Research Farm, </w:t>
      </w:r>
      <w:r w:rsidRPr="004537DC">
        <w:rPr>
          <w:rStyle w:val="Strong"/>
          <w:b w:val="0"/>
          <w:bCs w:val="0"/>
        </w:rPr>
        <w:t>Usmanu Danfodiyo University, Sokoto, Nigeria</w:t>
      </w:r>
      <w:r w:rsidRPr="004537DC">
        <w:t xml:space="preserve"> (11°06′–13°09′ N, 3°07′–6°09′ E), situated in the </w:t>
      </w:r>
      <w:r w:rsidRPr="004537DC">
        <w:rPr>
          <w:rStyle w:val="Strong"/>
          <w:b w:val="0"/>
          <w:bCs w:val="0"/>
        </w:rPr>
        <w:t>Sudano–Sahelian zone</w:t>
      </w:r>
      <w:r w:rsidRPr="004537DC">
        <w:t>. The region is semi</w:t>
      </w:r>
      <w:r w:rsidRPr="004537DC">
        <w:noBreakHyphen/>
        <w:t xml:space="preserve">arid, characterized by </w:t>
      </w:r>
      <w:r w:rsidRPr="004537DC">
        <w:rPr>
          <w:rStyle w:val="Strong"/>
          <w:b w:val="0"/>
          <w:bCs w:val="0"/>
        </w:rPr>
        <w:t>short and erratic rainfall of 450–750 mm</w:t>
      </w:r>
      <w:r w:rsidRPr="004537DC">
        <w:t xml:space="preserve"> occurring mainly between June and September, high temperatures (35–37 °C), and a prolonged dry season from October to May dominated by hot, dry Harmattan winds (Aliyu </w:t>
      </w:r>
      <w:r w:rsidR="00866F05">
        <w:t>and</w:t>
      </w:r>
      <w:r w:rsidRPr="004537DC">
        <w:t xml:space="preserve"> Odulaja, 2020; Ejidike </w:t>
      </w:r>
      <w:r w:rsidRPr="0047180C">
        <w:rPr>
          <w:i/>
          <w:iCs/>
        </w:rPr>
        <w:t>et al</w:t>
      </w:r>
      <w:r w:rsidRPr="004537DC">
        <w:t>., 2021). Vegetation is sparse, with scattered trees, shrubs, and grasses. Soils are sandy</w:t>
      </w:r>
      <w:r w:rsidRPr="004537DC">
        <w:noBreakHyphen/>
        <w:t xml:space="preserve">loam, low in organic matter and nutrient content, friable, and highly susceptible to erosion (Garba </w:t>
      </w:r>
      <w:r w:rsidRPr="0047180C">
        <w:rPr>
          <w:i/>
          <w:iCs/>
        </w:rPr>
        <w:t>et al</w:t>
      </w:r>
      <w:r w:rsidRPr="004537DC">
        <w:t xml:space="preserve">., 2022; Muhammad </w:t>
      </w:r>
      <w:r w:rsidR="00866F05">
        <w:t>and</w:t>
      </w:r>
      <w:r w:rsidRPr="004537DC">
        <w:t xml:space="preserve"> Bello, 2024), making water and nutrient management critical for plant growth.</w:t>
      </w:r>
    </w:p>
    <w:p w14:paraId="2DD8F2BB" w14:textId="7DECBCA1" w:rsidR="00112593" w:rsidRPr="004537DC" w:rsidRDefault="001218C4" w:rsidP="00112593">
      <w:pPr>
        <w:pStyle w:val="Heading3"/>
        <w:rPr>
          <w:sz w:val="24"/>
          <w:szCs w:val="24"/>
        </w:rPr>
      </w:pPr>
      <w:r>
        <w:rPr>
          <w:sz w:val="24"/>
          <w:szCs w:val="24"/>
          <w:lang w:val="en-US"/>
        </w:rPr>
        <w:t>3</w:t>
      </w:r>
      <w:r w:rsidR="00112593" w:rsidRPr="004537DC">
        <w:rPr>
          <w:sz w:val="24"/>
          <w:szCs w:val="24"/>
        </w:rPr>
        <w:t>.2 Experimental Design</w:t>
      </w:r>
    </w:p>
    <w:p w14:paraId="76E4B5C4" w14:textId="7E0D5516" w:rsidR="00112593" w:rsidRPr="004537DC" w:rsidRDefault="00112593" w:rsidP="00112593">
      <w:pPr>
        <w:pStyle w:val="NormalWeb"/>
        <w:jc w:val="both"/>
      </w:pPr>
      <w:r w:rsidRPr="004537DC">
        <w:t xml:space="preserve">A factorial experiment was established in a </w:t>
      </w:r>
      <w:r w:rsidRPr="004537DC">
        <w:rPr>
          <w:rStyle w:val="Strong"/>
          <w:b w:val="0"/>
          <w:bCs w:val="0"/>
        </w:rPr>
        <w:t>Randomized Complete Block Design (RCBD)</w:t>
      </w:r>
      <w:r w:rsidRPr="004537DC">
        <w:t xml:space="preserve"> with three replicates. Four Moringa species (M. peregrina, M. oleifera, M. stenopetala, and </w:t>
      </w:r>
      <w:r w:rsidR="00866F05" w:rsidRPr="00866F05">
        <w:rPr>
          <w:i/>
          <w:iCs/>
        </w:rPr>
        <w:t>PKM 1</w:t>
      </w:r>
      <w:r w:rsidRPr="004537DC">
        <w:t>) were planted at four spacing levels (15×15 cm, 15×20 cm, 20×20 cm, 20×30 cm) and subjected to four harvesting intervals (2, 4, 6, and 8 weeks). Each block measured 8.7 m × 8.7 m, containing sixteen main plots of 1.8 m × 1.8 m, separated by 0.5 m. Plant spacing and harvesting interval were randomly assigned within each plot.</w:t>
      </w:r>
    </w:p>
    <w:p w14:paraId="3F1E0522" w14:textId="1408455E" w:rsidR="00112593" w:rsidRPr="004537DC" w:rsidRDefault="001218C4" w:rsidP="00112593">
      <w:pPr>
        <w:pStyle w:val="Heading3"/>
        <w:rPr>
          <w:sz w:val="24"/>
          <w:szCs w:val="24"/>
        </w:rPr>
      </w:pPr>
      <w:r>
        <w:rPr>
          <w:sz w:val="24"/>
          <w:szCs w:val="24"/>
          <w:lang w:val="en-US"/>
        </w:rPr>
        <w:t>3</w:t>
      </w:r>
      <w:r w:rsidR="00112593" w:rsidRPr="004537DC">
        <w:rPr>
          <w:sz w:val="24"/>
          <w:szCs w:val="24"/>
        </w:rPr>
        <w:t>.3 Land Preparation and Silvicultural Practices</w:t>
      </w:r>
    </w:p>
    <w:p w14:paraId="7DB7B699" w14:textId="77777777" w:rsidR="00112593" w:rsidRPr="004537D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eastAsia="en-NG"/>
        </w:rPr>
      </w:pPr>
      <w:r w:rsidRPr="004537DC">
        <w:rPr>
          <w:rFonts w:ascii="Times New Roman" w:hAnsi="Times New Roman" w:cs="Times New Roman"/>
          <w:sz w:val="24"/>
          <w:szCs w:val="24"/>
        </w:rPr>
        <w:t xml:space="preserve">Land was manually dug to 20 cm depth, harrowed, and leveled. Planting stations were pegged according to the specified spacing, and seeds were obtained from </w:t>
      </w:r>
      <w:r w:rsidRPr="004537DC">
        <w:rPr>
          <w:rStyle w:val="Strong"/>
          <w:rFonts w:ascii="Times New Roman" w:hAnsi="Times New Roman" w:cs="Times New Roman"/>
          <w:b w:val="0"/>
          <w:bCs w:val="0"/>
          <w:sz w:val="24"/>
          <w:szCs w:val="24"/>
        </w:rPr>
        <w:t>ICRISAT, Niger Republic</w:t>
      </w:r>
      <w:r w:rsidRPr="004537DC">
        <w:rPr>
          <w:rFonts w:ascii="Times New Roman" w:hAnsi="Times New Roman" w:cs="Times New Roman"/>
          <w:sz w:val="24"/>
          <w:szCs w:val="24"/>
        </w:rPr>
        <w:t xml:space="preserve">. Irrigation was applied once daily throughout the trial. Fertilizer (NPK 45:15:30 kg ha⁻¹) was applied at planting (Namesi </w:t>
      </w:r>
      <w:r w:rsidRPr="0047180C">
        <w:rPr>
          <w:rFonts w:ascii="Times New Roman" w:hAnsi="Times New Roman" w:cs="Times New Roman"/>
          <w:i/>
          <w:iCs/>
          <w:sz w:val="24"/>
          <w:szCs w:val="24"/>
        </w:rPr>
        <w:t>et al</w:t>
      </w:r>
      <w:r w:rsidRPr="004537DC">
        <w:rPr>
          <w:rFonts w:ascii="Times New Roman" w:hAnsi="Times New Roman" w:cs="Times New Roman"/>
          <w:sz w:val="24"/>
          <w:szCs w:val="24"/>
        </w:rPr>
        <w:t xml:space="preserve">., 2010). </w:t>
      </w:r>
      <w:r w:rsidRPr="004537DC">
        <w:rPr>
          <w:rFonts w:ascii="Times New Roman" w:eastAsia="Times New Roman" w:hAnsi="Times New Roman" w:cs="Times New Roman"/>
          <w:sz w:val="24"/>
          <w:szCs w:val="24"/>
          <w:lang w:eastAsia="en-NG"/>
        </w:rPr>
        <w:t xml:space="preserve">Two weeks after germination, seedlings were thinned to </w:t>
      </w:r>
      <w:r w:rsidRPr="0047180C">
        <w:rPr>
          <w:rFonts w:ascii="Times New Roman" w:eastAsia="Times New Roman" w:hAnsi="Times New Roman" w:cs="Times New Roman"/>
          <w:sz w:val="24"/>
          <w:szCs w:val="24"/>
          <w:lang w:eastAsia="en-NG"/>
        </w:rPr>
        <w:t>one per station,</w:t>
      </w:r>
      <w:r w:rsidRPr="004537DC">
        <w:rPr>
          <w:rFonts w:ascii="Times New Roman" w:eastAsia="Times New Roman" w:hAnsi="Times New Roman" w:cs="Times New Roman"/>
          <w:sz w:val="24"/>
          <w:szCs w:val="24"/>
          <w:lang w:eastAsia="en-NG"/>
        </w:rPr>
        <w:t xml:space="preserve"> and manual weeding was performed as required. Four weeks after germination, seedlings were </w:t>
      </w:r>
      <w:r w:rsidRPr="0047180C">
        <w:rPr>
          <w:rFonts w:ascii="Times New Roman" w:eastAsia="Times New Roman" w:hAnsi="Times New Roman" w:cs="Times New Roman"/>
          <w:sz w:val="24"/>
          <w:szCs w:val="24"/>
          <w:lang w:eastAsia="en-NG"/>
        </w:rPr>
        <w:t>uniformly pinched back</w:t>
      </w:r>
      <w:r w:rsidRPr="004537DC">
        <w:rPr>
          <w:rFonts w:ascii="Times New Roman" w:eastAsia="Times New Roman" w:hAnsi="Times New Roman" w:cs="Times New Roman"/>
          <w:sz w:val="24"/>
          <w:szCs w:val="24"/>
          <w:lang w:eastAsia="en-NG"/>
        </w:rPr>
        <w:t xml:space="preserve"> to standardize growth. Regrowth was allowed to develop for </w:t>
      </w:r>
      <w:r w:rsidRPr="0047180C">
        <w:rPr>
          <w:rFonts w:ascii="Times New Roman" w:eastAsia="Times New Roman" w:hAnsi="Times New Roman" w:cs="Times New Roman"/>
          <w:sz w:val="24"/>
          <w:szCs w:val="24"/>
          <w:lang w:eastAsia="en-NG"/>
        </w:rPr>
        <w:t>another 8 weeks</w:t>
      </w:r>
      <w:r w:rsidRPr="004537DC">
        <w:rPr>
          <w:rFonts w:ascii="Times New Roman" w:eastAsia="Times New Roman" w:hAnsi="Times New Roman" w:cs="Times New Roman"/>
          <w:sz w:val="24"/>
          <w:szCs w:val="24"/>
          <w:lang w:eastAsia="en-NG"/>
        </w:rPr>
        <w:t xml:space="preserve"> after pinch back, at which point growth measurements were taken.</w:t>
      </w:r>
    </w:p>
    <w:p w14:paraId="0BE51634" w14:textId="3D02AADC" w:rsidR="00112593" w:rsidRPr="004537DC" w:rsidRDefault="001218C4" w:rsidP="00112593">
      <w:pPr>
        <w:rPr>
          <w:rFonts w:ascii="Times New Roman" w:eastAsia="Times New Roman" w:hAnsi="Times New Roman" w:cs="Times New Roman"/>
          <w:b/>
          <w:bCs/>
          <w:sz w:val="24"/>
          <w:szCs w:val="24"/>
          <w:lang w:eastAsia="en-NG"/>
        </w:rPr>
      </w:pPr>
      <w:r>
        <w:rPr>
          <w:rFonts w:ascii="Times New Roman" w:eastAsia="Times New Roman" w:hAnsi="Times New Roman" w:cs="Times New Roman"/>
          <w:b/>
          <w:bCs/>
          <w:sz w:val="24"/>
          <w:szCs w:val="24"/>
          <w:lang w:val="en-US" w:eastAsia="en-NG"/>
        </w:rPr>
        <w:t>3</w:t>
      </w:r>
      <w:r w:rsidR="00112593" w:rsidRPr="004537DC">
        <w:rPr>
          <w:rFonts w:ascii="Times New Roman" w:eastAsia="Times New Roman" w:hAnsi="Times New Roman" w:cs="Times New Roman"/>
          <w:b/>
          <w:bCs/>
          <w:sz w:val="24"/>
          <w:szCs w:val="24"/>
          <w:lang w:eastAsia="en-NG"/>
        </w:rPr>
        <w:t>.4 Data Collection</w:t>
      </w:r>
    </w:p>
    <w:p w14:paraId="6E917DDD" w14:textId="77777777" w:rsidR="00112593" w:rsidRPr="004537DC" w:rsidRDefault="00112593" w:rsidP="00112593">
      <w:pPr>
        <w:spacing w:before="100" w:beforeAutospacing="1" w:after="100" w:afterAutospacing="1" w:line="240" w:lineRule="auto"/>
        <w:rPr>
          <w:rFonts w:ascii="Times New Roman" w:eastAsia="Times New Roman" w:hAnsi="Times New Roman" w:cs="Times New Roman"/>
          <w:sz w:val="24"/>
          <w:szCs w:val="24"/>
          <w:lang w:eastAsia="en-NG"/>
        </w:rPr>
      </w:pPr>
      <w:r w:rsidRPr="004537DC">
        <w:rPr>
          <w:rFonts w:ascii="Times New Roman" w:eastAsia="Times New Roman" w:hAnsi="Times New Roman" w:cs="Times New Roman"/>
          <w:b/>
          <w:bCs/>
          <w:sz w:val="24"/>
          <w:szCs w:val="24"/>
          <w:lang w:eastAsia="en-NG"/>
        </w:rPr>
        <w:t>Growth Measurements and Biomass Determination</w:t>
      </w:r>
    </w:p>
    <w:p w14:paraId="5E96713B" w14:textId="77777777" w:rsidR="00112593" w:rsidRPr="004537D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eastAsia="en-NG"/>
        </w:rPr>
      </w:pPr>
      <w:r w:rsidRPr="004537DC">
        <w:rPr>
          <w:rFonts w:ascii="Times New Roman" w:eastAsia="Times New Roman" w:hAnsi="Times New Roman" w:cs="Times New Roman"/>
          <w:sz w:val="24"/>
          <w:szCs w:val="24"/>
          <w:lang w:eastAsia="en-NG"/>
        </w:rPr>
        <w:t xml:space="preserve">At the 8th week after pinch back (i.e., 12 weeks after germination), the following growth parameters were measured: number of leaves (NL), number of branches (NB), plant height (PH), and collar diameter (CD). </w:t>
      </w:r>
    </w:p>
    <w:p w14:paraId="4C82DEA4" w14:textId="77777777" w:rsidR="00112593" w:rsidRPr="004537D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eastAsia="en-NG"/>
        </w:rPr>
      </w:pPr>
      <w:r w:rsidRPr="004537DC">
        <w:rPr>
          <w:rFonts w:ascii="Times New Roman" w:eastAsia="Times New Roman" w:hAnsi="Times New Roman" w:cs="Times New Roman"/>
          <w:sz w:val="24"/>
          <w:szCs w:val="24"/>
          <w:lang w:eastAsia="en-NG"/>
        </w:rPr>
        <w:t>Leaf area index (LAI) was measured using a portable leaf area meter (LI-COR LI-3000)</w:t>
      </w:r>
      <w:r w:rsidRPr="004537DC">
        <w:rPr>
          <w:rFonts w:ascii="Times New Roman" w:eastAsia="Times New Roman" w:hAnsi="Times New Roman" w:cs="Times New Roman"/>
          <w:sz w:val="24"/>
          <w:szCs w:val="24"/>
          <w:lang w:val="en-US" w:eastAsia="en-NG"/>
        </w:rPr>
        <w:t xml:space="preserve">, </w:t>
      </w:r>
      <w:r w:rsidRPr="004537DC">
        <w:rPr>
          <w:rFonts w:ascii="Times New Roman" w:eastAsia="Times New Roman" w:hAnsi="Times New Roman" w:cs="Times New Roman"/>
          <w:sz w:val="24"/>
          <w:szCs w:val="24"/>
          <w:lang w:eastAsia="en-NG"/>
        </w:rPr>
        <w:t xml:space="preserve">which provides rapid and non-destructive measurement of leaf area. The instrument operates based on optical scanning technology with high accuracy (±2%) and resolution suitable for small leaves, and is commonly used in plant physiological and agronomic studies. </w:t>
      </w:r>
    </w:p>
    <w:p w14:paraId="7B7FDC3E" w14:textId="77777777" w:rsidR="001218C4" w:rsidRDefault="001218C4">
      <w:pPr>
        <w:rPr>
          <w:rFonts w:ascii="Times New Roman" w:eastAsia="Times New Roman" w:hAnsi="Times New Roman" w:cs="Times New Roman"/>
          <w:sz w:val="24"/>
          <w:szCs w:val="24"/>
          <w:lang w:eastAsia="en-NG"/>
        </w:rPr>
      </w:pPr>
      <w:r>
        <w:rPr>
          <w:rFonts w:ascii="Times New Roman" w:eastAsia="Times New Roman" w:hAnsi="Times New Roman" w:cs="Times New Roman"/>
          <w:sz w:val="24"/>
          <w:szCs w:val="24"/>
          <w:lang w:eastAsia="en-NG"/>
        </w:rPr>
        <w:br w:type="page"/>
      </w:r>
    </w:p>
    <w:p w14:paraId="53A41D3B" w14:textId="2A618D8B" w:rsidR="00112593" w:rsidRPr="004537D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val="en-US" w:eastAsia="en-NG"/>
        </w:rPr>
      </w:pPr>
      <w:r w:rsidRPr="004537DC">
        <w:rPr>
          <w:rFonts w:ascii="Times New Roman" w:eastAsia="Times New Roman" w:hAnsi="Times New Roman" w:cs="Times New Roman"/>
          <w:sz w:val="24"/>
          <w:szCs w:val="24"/>
          <w:lang w:eastAsia="en-NG"/>
        </w:rPr>
        <w:t>For biomass determination, ten plants per net plot were destructively sampled. Roots and shoots were separated, oven-dried at 60 °C for 72 hours to constant weight, and the root–shoot ratio was calculated as:</w:t>
      </w:r>
      <w:r w:rsidRPr="004537DC">
        <w:rPr>
          <w:rFonts w:ascii="Times New Roman" w:eastAsia="Times New Roman" w:hAnsi="Times New Roman" w:cs="Times New Roman"/>
          <w:sz w:val="24"/>
          <w:szCs w:val="24"/>
          <w:lang w:val="en-US" w:eastAsia="en-NG"/>
        </w:rPr>
        <w:t xml:space="preserve"> </w:t>
      </w:r>
    </w:p>
    <w:p w14:paraId="5A02509A" w14:textId="77777777" w:rsidR="00112593" w:rsidRPr="004537DC" w:rsidRDefault="00112593" w:rsidP="00112593">
      <w:pPr>
        <w:spacing w:before="100" w:beforeAutospacing="1" w:after="100" w:afterAutospacing="1" w:line="240" w:lineRule="auto"/>
        <w:rPr>
          <w:rFonts w:ascii="Times New Roman" w:eastAsia="Times New Roman" w:hAnsi="Times New Roman" w:cs="Times New Roman"/>
          <w:i/>
          <w:sz w:val="24"/>
          <w:szCs w:val="24"/>
          <w:lang w:eastAsia="en-NG"/>
        </w:rPr>
      </w:pPr>
      <m:oMathPara>
        <m:oMath>
          <m:r>
            <m:rPr>
              <m:sty m:val="p"/>
            </m:rPr>
            <w:rPr>
              <w:rFonts w:ascii="Cambria Math" w:eastAsia="Times New Roman" w:hAnsi="Cambria Math" w:cs="Times New Roman"/>
              <w:sz w:val="24"/>
              <w:szCs w:val="24"/>
              <w:lang w:eastAsia="en-NG"/>
            </w:rPr>
            <m:t xml:space="preserve">Root–Shoot Ratio </m:t>
          </m:r>
          <m:d>
            <m:dPr>
              <m:ctrlPr>
                <w:rPr>
                  <w:rFonts w:ascii="Cambria Math" w:eastAsia="Times New Roman" w:hAnsi="Cambria Math" w:cs="Times New Roman"/>
                  <w:sz w:val="24"/>
                  <w:szCs w:val="24"/>
                  <w:lang w:eastAsia="en-NG"/>
                </w:rPr>
              </m:ctrlPr>
            </m:dPr>
            <m:e>
              <m:f>
                <m:fPr>
                  <m:ctrlPr>
                    <w:rPr>
                      <w:rFonts w:ascii="Cambria Math" w:eastAsia="Times New Roman" w:hAnsi="Cambria Math" w:cs="Times New Roman"/>
                      <w:sz w:val="24"/>
                      <w:szCs w:val="24"/>
                      <w:lang w:eastAsia="en-NG"/>
                    </w:rPr>
                  </m:ctrlPr>
                </m:fPr>
                <m:num>
                  <m:r>
                    <m:rPr>
                      <m:sty m:val="p"/>
                    </m:rPr>
                    <w:rPr>
                      <w:rFonts w:ascii="Cambria Math" w:eastAsia="Times New Roman" w:hAnsi="Cambria Math" w:cs="Times New Roman"/>
                      <w:sz w:val="24"/>
                      <w:szCs w:val="24"/>
                      <w:lang w:eastAsia="en-NG"/>
                    </w:rPr>
                    <m:t>R</m:t>
                  </m:r>
                </m:num>
                <m:den>
                  <m:r>
                    <m:rPr>
                      <m:sty m:val="p"/>
                    </m:rPr>
                    <w:rPr>
                      <w:rFonts w:ascii="Cambria Math" w:eastAsia="Times New Roman" w:hAnsi="Cambria Math" w:cs="Times New Roman"/>
                      <w:sz w:val="24"/>
                      <w:szCs w:val="24"/>
                      <w:lang w:eastAsia="en-NG"/>
                    </w:rPr>
                    <m:t>S</m:t>
                  </m:r>
                </m:den>
              </m:f>
            </m:e>
          </m:d>
          <m:r>
            <m:rPr>
              <m:sty m:val="p"/>
            </m:rPr>
            <w:rPr>
              <w:rFonts w:ascii="Cambria Math" w:eastAsia="Times New Roman" w:hAnsi="Cambria Math" w:cs="Times New Roman"/>
              <w:sz w:val="24"/>
              <w:szCs w:val="24"/>
              <w:lang w:eastAsia="en-NG"/>
            </w:rPr>
            <m:t>=</m:t>
          </m:r>
          <m:f>
            <m:fPr>
              <m:ctrlPr>
                <w:rPr>
                  <w:rFonts w:ascii="Cambria Math" w:eastAsia="Times New Roman" w:hAnsi="Cambria Math" w:cs="Times New Roman"/>
                  <w:i/>
                  <w:sz w:val="24"/>
                  <w:szCs w:val="24"/>
                  <w:lang w:eastAsia="en-NG"/>
                </w:rPr>
              </m:ctrlPr>
            </m:fPr>
            <m:num>
              <m:r>
                <m:rPr>
                  <m:sty m:val="p"/>
                </m:rPr>
                <w:rPr>
                  <w:rFonts w:ascii="Cambria Math" w:eastAsia="Times New Roman" w:hAnsi="Cambria Math" w:cs="Times New Roman"/>
                  <w:sz w:val="24"/>
                  <w:szCs w:val="24"/>
                  <w:lang w:eastAsia="en-NG"/>
                </w:rPr>
                <m:t>Dry Weight of Roots (g)</m:t>
              </m:r>
            </m:num>
            <m:den>
              <m:r>
                <m:rPr>
                  <m:sty m:val="p"/>
                </m:rPr>
                <w:rPr>
                  <w:rFonts w:ascii="Cambria Math" w:eastAsia="Times New Roman" w:hAnsi="Cambria Math" w:cs="Times New Roman"/>
                  <w:sz w:val="24"/>
                  <w:szCs w:val="24"/>
                  <w:lang w:eastAsia="en-NG"/>
                </w:rPr>
                <m:t>Dry Weight of Shoots (g)</m:t>
              </m:r>
            </m:den>
          </m:f>
        </m:oMath>
      </m:oMathPara>
    </w:p>
    <w:p w14:paraId="25DAFA90" w14:textId="77777777" w:rsidR="00112593" w:rsidRPr="004537DC" w:rsidRDefault="00112593" w:rsidP="00112593">
      <w:pPr>
        <w:spacing w:before="100" w:beforeAutospacing="1" w:after="100" w:afterAutospacing="1" w:line="240" w:lineRule="auto"/>
        <w:rPr>
          <w:rFonts w:ascii="Times New Roman" w:eastAsia="Times New Roman" w:hAnsi="Times New Roman" w:cs="Times New Roman"/>
          <w:sz w:val="24"/>
          <w:szCs w:val="24"/>
          <w:lang w:val="en-US" w:eastAsia="en-NG"/>
        </w:rPr>
      </w:pPr>
    </w:p>
    <w:p w14:paraId="5CCB3F40" w14:textId="418075BB" w:rsidR="00112593" w:rsidRPr="004537DC" w:rsidRDefault="001218C4" w:rsidP="00112593">
      <w:pPr>
        <w:pStyle w:val="Heading3"/>
        <w:rPr>
          <w:sz w:val="24"/>
          <w:szCs w:val="24"/>
        </w:rPr>
      </w:pPr>
      <w:r>
        <w:rPr>
          <w:sz w:val="24"/>
          <w:szCs w:val="24"/>
          <w:lang w:val="en-US"/>
        </w:rPr>
        <w:t>3</w:t>
      </w:r>
      <w:r w:rsidR="00112593" w:rsidRPr="004537DC">
        <w:rPr>
          <w:sz w:val="24"/>
          <w:szCs w:val="24"/>
        </w:rPr>
        <w:t>.</w:t>
      </w:r>
      <w:r w:rsidR="00112593" w:rsidRPr="004537DC">
        <w:rPr>
          <w:sz w:val="24"/>
          <w:szCs w:val="24"/>
          <w:lang w:val="en-US"/>
        </w:rPr>
        <w:t>5</w:t>
      </w:r>
      <w:r w:rsidR="00112593" w:rsidRPr="004537DC">
        <w:rPr>
          <w:sz w:val="24"/>
          <w:szCs w:val="24"/>
        </w:rPr>
        <w:t xml:space="preserve"> Statistical Analysis</w:t>
      </w:r>
    </w:p>
    <w:p w14:paraId="7C466B63" w14:textId="77777777" w:rsidR="00112593" w:rsidRPr="004537DC" w:rsidRDefault="00112593" w:rsidP="00112593">
      <w:pPr>
        <w:pStyle w:val="NormalWeb"/>
        <w:jc w:val="both"/>
      </w:pPr>
      <w:r w:rsidRPr="004537DC">
        <w:t xml:space="preserve">Data were analyzed using </w:t>
      </w:r>
      <w:r w:rsidRPr="004537DC">
        <w:rPr>
          <w:rStyle w:val="Strong"/>
          <w:b w:val="0"/>
          <w:bCs w:val="0"/>
        </w:rPr>
        <w:t>ANOVA</w:t>
      </w:r>
      <w:r w:rsidRPr="004537DC">
        <w:t xml:space="preserve">. Means were separated using </w:t>
      </w:r>
      <w:r w:rsidRPr="004537DC">
        <w:rPr>
          <w:rStyle w:val="Strong"/>
          <w:b w:val="0"/>
          <w:bCs w:val="0"/>
        </w:rPr>
        <w:t>Duncan’s Multiple Range Test (DMRT)</w:t>
      </w:r>
      <w:r w:rsidRPr="004537DC">
        <w:t xml:space="preserve"> at p &lt; 0.05. Regression analyses between </w:t>
      </w:r>
      <w:r w:rsidRPr="004537DC">
        <w:rPr>
          <w:rStyle w:val="Strong"/>
          <w:b w:val="0"/>
          <w:bCs w:val="0"/>
        </w:rPr>
        <w:t>root and shoot biomass</w:t>
      </w:r>
      <w:r w:rsidRPr="004537DC">
        <w:t xml:space="preserve">, and </w:t>
      </w:r>
      <w:r w:rsidRPr="004537DC">
        <w:rPr>
          <w:rStyle w:val="Strong"/>
          <w:b w:val="0"/>
          <w:bCs w:val="0"/>
        </w:rPr>
        <w:t>spacing versus root–shoot ratio</w:t>
      </w:r>
      <w:r w:rsidRPr="004537DC">
        <w:t xml:space="preserve"> was performed, with </w:t>
      </w:r>
      <w:r w:rsidRPr="004537DC">
        <w:rPr>
          <w:rStyle w:val="Strong"/>
          <w:b w:val="0"/>
          <w:bCs w:val="0"/>
        </w:rPr>
        <w:t xml:space="preserve">standard error (SE) </w:t>
      </w:r>
    </w:p>
    <w:p w14:paraId="799EA6B3" w14:textId="77777777" w:rsidR="00866F05" w:rsidRDefault="00866F05">
      <w:pPr>
        <w:rPr>
          <w:rStyle w:val="Strong"/>
          <w:rFonts w:ascii="Times New Roman" w:eastAsia="Times New Roman" w:hAnsi="Times New Roman" w:cs="Times New Roman"/>
          <w:sz w:val="24"/>
          <w:szCs w:val="24"/>
          <w:lang w:val="en-US" w:eastAsia="en-NG"/>
        </w:rPr>
      </w:pPr>
      <w:r>
        <w:rPr>
          <w:rStyle w:val="Strong"/>
          <w:b w:val="0"/>
          <w:bCs w:val="0"/>
          <w:sz w:val="24"/>
          <w:szCs w:val="24"/>
          <w:lang w:val="en-US"/>
        </w:rPr>
        <w:br w:type="page"/>
      </w:r>
    </w:p>
    <w:p w14:paraId="3492BFCF" w14:textId="1726F6F4" w:rsidR="00112593" w:rsidRPr="00866F05" w:rsidRDefault="001218C4" w:rsidP="00112593">
      <w:pPr>
        <w:pStyle w:val="Heading2"/>
        <w:rPr>
          <w:rStyle w:val="Strong"/>
          <w:b/>
          <w:bCs/>
          <w:sz w:val="24"/>
          <w:szCs w:val="24"/>
          <w:lang w:val="en-US"/>
        </w:rPr>
      </w:pPr>
      <w:r>
        <w:rPr>
          <w:rStyle w:val="Strong"/>
          <w:b/>
          <w:bCs/>
          <w:sz w:val="24"/>
          <w:szCs w:val="24"/>
          <w:lang w:val="en-US"/>
        </w:rPr>
        <w:t>4</w:t>
      </w:r>
      <w:r w:rsidR="00866F05" w:rsidRPr="00866F05">
        <w:rPr>
          <w:rStyle w:val="Strong"/>
          <w:b/>
          <w:bCs/>
          <w:sz w:val="24"/>
          <w:szCs w:val="24"/>
          <w:lang w:val="en-US"/>
        </w:rPr>
        <w:t>. Results and Discussion</w:t>
      </w:r>
    </w:p>
    <w:p w14:paraId="7CD53200" w14:textId="47892777" w:rsidR="00112593" w:rsidRPr="00866F05" w:rsidRDefault="001218C4" w:rsidP="00112593">
      <w:pPr>
        <w:pStyle w:val="Heading2"/>
        <w:rPr>
          <w:b w:val="0"/>
          <w:bCs w:val="0"/>
          <w:sz w:val="24"/>
          <w:szCs w:val="24"/>
        </w:rPr>
      </w:pPr>
      <w:r>
        <w:rPr>
          <w:rStyle w:val="Strong"/>
          <w:b/>
          <w:bCs/>
          <w:sz w:val="24"/>
          <w:szCs w:val="24"/>
          <w:lang w:val="en-US"/>
        </w:rPr>
        <w:t>4</w:t>
      </w:r>
      <w:r w:rsidR="00112593" w:rsidRPr="00866F05">
        <w:rPr>
          <w:rStyle w:val="Strong"/>
          <w:b/>
          <w:bCs/>
          <w:sz w:val="24"/>
          <w:szCs w:val="24"/>
        </w:rPr>
        <w:t>.1 Growth Performance</w:t>
      </w:r>
    </w:p>
    <w:p w14:paraId="19EC26FC" w14:textId="6C6ED25E" w:rsidR="00112593" w:rsidRPr="004537DC" w:rsidRDefault="00112593" w:rsidP="00112593">
      <w:pPr>
        <w:pStyle w:val="NormalWeb"/>
        <w:jc w:val="both"/>
      </w:pPr>
      <w:r w:rsidRPr="004537DC">
        <w:t xml:space="preserve">Post-pinching regrowth significantly influenced the vegetative performance of all four </w:t>
      </w:r>
      <w:r w:rsidRPr="004537DC">
        <w:rPr>
          <w:rStyle w:val="Emphasis"/>
        </w:rPr>
        <w:t>Moringa</w:t>
      </w:r>
      <w:r w:rsidRPr="004537DC">
        <w:t xml:space="preserve"> species across the four spacing treatments (Table 1). Species and spacing exerted significant effects on the number of leaves (NL) and number of branches (NB) (p &lt; 0.05), whereas plant height (PH) and collar diameter (CD) were moderately affected. Among the species, </w:t>
      </w:r>
      <w:r w:rsidR="00866F05" w:rsidRPr="00866F05">
        <w:rPr>
          <w:i/>
          <w:iCs/>
        </w:rPr>
        <w:t xml:space="preserve">PKM 1 </w:t>
      </w:r>
      <w:r w:rsidRPr="004537DC">
        <w:t xml:space="preserve">consistently produced the highest NL (261 ± 10.5) and NB (18 ± 1.5), confirming its superior regrowth potential and adaptability under semi-arid conditions. This agrees with findings by Olayanju </w:t>
      </w:r>
      <w:r w:rsidRPr="0047180C">
        <w:rPr>
          <w:i/>
          <w:iCs/>
        </w:rPr>
        <w:t>et al</w:t>
      </w:r>
      <w:r w:rsidRPr="004537DC">
        <w:t xml:space="preserve">. (2022), who reported enhanced vegetative vigor and rapid canopy recovery in improved </w:t>
      </w:r>
      <w:r w:rsidRPr="004537DC">
        <w:rPr>
          <w:rStyle w:val="Emphasis"/>
        </w:rPr>
        <w:t>Moringa</w:t>
      </w:r>
      <w:r w:rsidRPr="004537DC">
        <w:t xml:space="preserve"> varieties following defoliation or pruning.</w:t>
      </w:r>
    </w:p>
    <w:p w14:paraId="13A04420" w14:textId="72895735" w:rsidR="00112593" w:rsidRPr="004537DC" w:rsidRDefault="00112593" w:rsidP="00112593">
      <w:pPr>
        <w:pStyle w:val="NormalWeb"/>
        <w:jc w:val="both"/>
      </w:pPr>
      <w:r w:rsidRPr="004537DC">
        <w:t xml:space="preserve">The pronounced response observed in </w:t>
      </w:r>
      <w:r w:rsidR="00866F05" w:rsidRPr="00866F05">
        <w:rPr>
          <w:i/>
          <w:iCs/>
        </w:rPr>
        <w:t xml:space="preserve">PKM 1 </w:t>
      </w:r>
      <w:r w:rsidRPr="004537DC">
        <w:t xml:space="preserve">can be attributed to its high photosynthetic efficiency, rapid meristematic activity, and greater assimilate partitioning to above-ground organs during regrowth. Post-pinching conditions stimulate lateral bud activation and canopy expansion, leading to increased leaf initiation and branching, which are critical for biomass accumulation and repeated harvest cycles. Similar responses have been reported in recent studies, where pruning or coppicing significantly enhanced shoot proliferation and leaf yield in </w:t>
      </w:r>
      <w:r w:rsidRPr="004537DC">
        <w:rPr>
          <w:rStyle w:val="Emphasis"/>
        </w:rPr>
        <w:t>Moringa oleifera</w:t>
      </w:r>
      <w:r w:rsidRPr="004537DC">
        <w:t xml:space="preserve"> and related species under tropical and semi-arid environments (Said </w:t>
      </w:r>
      <w:r w:rsidRPr="0047180C">
        <w:rPr>
          <w:i/>
          <w:iCs/>
        </w:rPr>
        <w:t>et al</w:t>
      </w:r>
      <w:r w:rsidRPr="004537DC">
        <w:t>., 2023).</w:t>
      </w:r>
    </w:p>
    <w:p w14:paraId="06624A68" w14:textId="77777777" w:rsidR="00112593" w:rsidRPr="004537DC" w:rsidRDefault="00112593" w:rsidP="00112593">
      <w:pPr>
        <w:pStyle w:val="NormalWeb"/>
        <w:jc w:val="both"/>
      </w:pPr>
      <w:r w:rsidRPr="004537DC">
        <w:t xml:space="preserve">Spacing played a crucial role in modulating these growth responses. Closer spacing (15×15 cm) significantly increased NL, NB, and PH across all species, indicating enhanced canopy closure and more efficient light interception per unit land area. This supports the concept of “density-driven productivity,” where higher plant populations maximize cumulative leaf area and radiation use efficiency, thereby increasing total biomass yield per hectare. Recent studies have demonstrated that dense planting systems in fast-growing tree species can significantly improve early-stage productivity and canopy development, especially under intensive management systems (Li </w:t>
      </w:r>
      <w:r w:rsidRPr="0047180C">
        <w:rPr>
          <w:i/>
          <w:iCs/>
        </w:rPr>
        <w:t>et al</w:t>
      </w:r>
      <w:r w:rsidRPr="004537DC">
        <w:t xml:space="preserve">., 2022; Said </w:t>
      </w:r>
      <w:r w:rsidRPr="0047180C">
        <w:rPr>
          <w:i/>
          <w:iCs/>
        </w:rPr>
        <w:t>et al</w:t>
      </w:r>
      <w:r w:rsidRPr="004537DC">
        <w:t>., 2023).</w:t>
      </w:r>
    </w:p>
    <w:p w14:paraId="03CD35E7" w14:textId="77777777" w:rsidR="00112593" w:rsidRPr="004537DC" w:rsidRDefault="00112593" w:rsidP="00112593">
      <w:pPr>
        <w:pStyle w:val="NormalWeb"/>
        <w:jc w:val="both"/>
      </w:pPr>
      <w:r w:rsidRPr="004537DC">
        <w:t xml:space="preserve">However, as spacing increased (20×20–20×30 cm), a decline in NL and NB was observed, reflecting reduced inter-plant competition and lower canopy density. Although individual plants may experience improved access to resources such as light, water, and nutrients at wider spacing, the overall reduction in stand-level leaf production suggests a trade-off between individual plant growth and population-level productivity. This pattern is consistent with ecological theories of plant competition and resource allocation, where reduced competition shifts growth strategies towards structural development rather than rapid canopy expansion (Zhang </w:t>
      </w:r>
      <w:r w:rsidRPr="0047180C">
        <w:rPr>
          <w:i/>
          <w:iCs/>
        </w:rPr>
        <w:t>et al</w:t>
      </w:r>
      <w:r w:rsidRPr="004537DC">
        <w:t xml:space="preserve">., 2021; Li </w:t>
      </w:r>
      <w:r w:rsidRPr="0047180C">
        <w:rPr>
          <w:i/>
          <w:iCs/>
        </w:rPr>
        <w:t>et al</w:t>
      </w:r>
      <w:r w:rsidRPr="004537DC">
        <w:t>., 2022).</w:t>
      </w:r>
    </w:p>
    <w:p w14:paraId="72998248" w14:textId="5EED1251" w:rsidR="00112593" w:rsidRPr="004537DC" w:rsidRDefault="00112593" w:rsidP="00112593">
      <w:pPr>
        <w:pStyle w:val="NormalWeb"/>
        <w:jc w:val="both"/>
      </w:pPr>
      <w:r w:rsidRPr="004537DC">
        <w:t xml:space="preserve">Furthermore, the moderate response of PH and CD across spacing treatments indicates that these parameters are less sensitive to plant density during early regrowth stages compared to leaf and branch production. This suggests that </w:t>
      </w:r>
      <w:r w:rsidRPr="004537DC">
        <w:rPr>
          <w:rStyle w:val="Emphasis"/>
        </w:rPr>
        <w:t>Moringa</w:t>
      </w:r>
      <w:r w:rsidRPr="004537DC">
        <w:t xml:space="preserve"> species prioritize canopy rebuilding and photosynthetic surface expansion immediately after pinching, before allocating substantial resources to structural growth. Similar findings have been reported in coppiced woody perennials, where early regrowth is dominated by leaf production to restore photosynthetic capacity (Ogbuehi </w:t>
      </w:r>
      <w:r w:rsidR="00866F05">
        <w:t>and</w:t>
      </w:r>
      <w:r w:rsidRPr="004537DC">
        <w:t xml:space="preserve"> Adepoju, 2020).</w:t>
      </w:r>
    </w:p>
    <w:p w14:paraId="5831BADF" w14:textId="77777777" w:rsidR="00866F05" w:rsidRDefault="00866F05">
      <w:pPr>
        <w:rPr>
          <w:rFonts w:ascii="Times New Roman" w:eastAsia="Times New Roman" w:hAnsi="Times New Roman" w:cs="Times New Roman"/>
          <w:sz w:val="24"/>
          <w:szCs w:val="24"/>
          <w:lang w:eastAsia="en-NG"/>
        </w:rPr>
      </w:pPr>
      <w:r>
        <w:br w:type="page"/>
      </w:r>
    </w:p>
    <w:p w14:paraId="46B520C2" w14:textId="167F4334" w:rsidR="00112593" w:rsidRPr="00223C84" w:rsidRDefault="00112593" w:rsidP="00866F05">
      <w:pPr>
        <w:pStyle w:val="NormalWeb"/>
        <w:jc w:val="both"/>
      </w:pPr>
      <w:r w:rsidRPr="004537DC">
        <w:t xml:space="preserve">From a practical standpoint, these results highlight the importance of optimizing spacing for specific production goals. Closer spacing enhances rapid canopy development and maximizes leaf yield, making it suitable for intensive biomass production systems such as fodder, vegetable, or leaf powder production. In contrast, wider spacing may be advantageous in low-input or moisture-limited environments, where reduced competition can improve plant survival and long-term productivity. This balance between density-driven productivity and resource-use efficiency underscores spacing as a critical silvicultural tool for sustainable </w:t>
      </w:r>
      <w:r w:rsidRPr="004537DC">
        <w:rPr>
          <w:rStyle w:val="Emphasis"/>
        </w:rPr>
        <w:t>Moringa</w:t>
      </w:r>
      <w:r w:rsidRPr="004537DC">
        <w:t xml:space="preserve"> cultivation in semi-arid regions.</w:t>
      </w:r>
    </w:p>
    <w:p w14:paraId="2DB683DA" w14:textId="77777777" w:rsidR="00112593" w:rsidRPr="00866F05" w:rsidRDefault="00112593" w:rsidP="00112593">
      <w:pPr>
        <w:pStyle w:val="Heading2"/>
        <w:spacing w:before="0" w:beforeAutospacing="0" w:after="0" w:afterAutospacing="0"/>
        <w:jc w:val="both"/>
        <w:rPr>
          <w:b w:val="0"/>
          <w:bCs w:val="0"/>
          <w:sz w:val="24"/>
          <w:szCs w:val="24"/>
        </w:rPr>
      </w:pPr>
      <w:r w:rsidRPr="00866F05">
        <w:rPr>
          <w:rStyle w:val="Strong"/>
          <w:b/>
          <w:bCs/>
          <w:sz w:val="24"/>
          <w:szCs w:val="24"/>
        </w:rPr>
        <w:t>Table 1. Growth Performance of Moringa Species across Four Spacing Levels (Post-Pinching Regrowth)</w:t>
      </w:r>
    </w:p>
    <w:tbl>
      <w:tblPr>
        <w:tblStyle w:val="PlainTable2"/>
        <w:tblW w:w="0" w:type="auto"/>
        <w:tblLook w:val="04A0" w:firstRow="1" w:lastRow="0" w:firstColumn="1" w:lastColumn="0" w:noHBand="0" w:noVBand="1"/>
      </w:tblPr>
      <w:tblGrid>
        <w:gridCol w:w="9026"/>
      </w:tblGrid>
      <w:tr w:rsidR="00112593" w:rsidRPr="004537DC" w14:paraId="4156C21D" w14:textId="77777777" w:rsidTr="003A7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8962" w:type="dxa"/>
              <w:tblCellSpacing w:w="15" w:type="dxa"/>
              <w:tblCellMar>
                <w:top w:w="15" w:type="dxa"/>
                <w:left w:w="15" w:type="dxa"/>
                <w:bottom w:w="15" w:type="dxa"/>
                <w:right w:w="15" w:type="dxa"/>
              </w:tblCellMar>
              <w:tblLook w:val="04A0" w:firstRow="1" w:lastRow="0" w:firstColumn="1" w:lastColumn="0" w:noHBand="0" w:noVBand="1"/>
            </w:tblPr>
            <w:tblGrid>
              <w:gridCol w:w="1875"/>
              <w:gridCol w:w="1417"/>
              <w:gridCol w:w="1276"/>
              <w:gridCol w:w="992"/>
              <w:gridCol w:w="1701"/>
              <w:gridCol w:w="1701"/>
            </w:tblGrid>
            <w:tr w:rsidR="00112593" w:rsidRPr="004537DC" w14:paraId="6ECB5ABD" w14:textId="77777777" w:rsidTr="003A7979">
              <w:trPr>
                <w:tblHeader/>
                <w:tblCellSpacing w:w="15" w:type="dxa"/>
              </w:trPr>
              <w:tc>
                <w:tcPr>
                  <w:tcW w:w="1830" w:type="dxa"/>
                  <w:vAlign w:val="center"/>
                  <w:hideMark/>
                </w:tcPr>
                <w:p w14:paraId="4DECFFB6"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Species</w:t>
                  </w:r>
                </w:p>
              </w:tc>
              <w:tc>
                <w:tcPr>
                  <w:tcW w:w="1387" w:type="dxa"/>
                  <w:vAlign w:val="center"/>
                  <w:hideMark/>
                </w:tcPr>
                <w:p w14:paraId="181AC7D4"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Spacing (cm)</w:t>
                  </w:r>
                </w:p>
              </w:tc>
              <w:tc>
                <w:tcPr>
                  <w:tcW w:w="1246" w:type="dxa"/>
                  <w:vAlign w:val="center"/>
                  <w:hideMark/>
                </w:tcPr>
                <w:p w14:paraId="5670DA45"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NL ± SE</w:t>
                  </w:r>
                </w:p>
              </w:tc>
              <w:tc>
                <w:tcPr>
                  <w:tcW w:w="962" w:type="dxa"/>
                  <w:vAlign w:val="center"/>
                  <w:hideMark/>
                </w:tcPr>
                <w:p w14:paraId="42726321"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NB ± SE</w:t>
                  </w:r>
                </w:p>
              </w:tc>
              <w:tc>
                <w:tcPr>
                  <w:tcW w:w="1671" w:type="dxa"/>
                  <w:vAlign w:val="center"/>
                  <w:hideMark/>
                </w:tcPr>
                <w:p w14:paraId="3951CF91"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PH (cm) ± SE</w:t>
                  </w:r>
                </w:p>
              </w:tc>
              <w:tc>
                <w:tcPr>
                  <w:tcW w:w="1656" w:type="dxa"/>
                  <w:vAlign w:val="center"/>
                  <w:hideMark/>
                </w:tcPr>
                <w:p w14:paraId="1294BAB5"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CD (mm) ± SE</w:t>
                  </w:r>
                </w:p>
              </w:tc>
            </w:tr>
            <w:tr w:rsidR="00112593" w:rsidRPr="004537DC" w14:paraId="4996A4D3" w14:textId="77777777" w:rsidTr="003A7979">
              <w:trPr>
                <w:tblCellSpacing w:w="15" w:type="dxa"/>
              </w:trPr>
              <w:tc>
                <w:tcPr>
                  <w:tcW w:w="1830" w:type="dxa"/>
                  <w:tcBorders>
                    <w:top w:val="single" w:sz="4" w:space="0" w:color="auto"/>
                  </w:tcBorders>
                  <w:vAlign w:val="center"/>
                  <w:hideMark/>
                </w:tcPr>
                <w:p w14:paraId="0A64EC37" w14:textId="77777777" w:rsidR="00112593" w:rsidRPr="001218C4" w:rsidRDefault="00112593" w:rsidP="003A7979">
                  <w:pPr>
                    <w:spacing w:after="0" w:line="240" w:lineRule="auto"/>
                    <w:rPr>
                      <w:rFonts w:ascii="Times New Roman" w:hAnsi="Times New Roman" w:cs="Times New Roman"/>
                      <w:i/>
                      <w:iCs/>
                      <w:sz w:val="24"/>
                      <w:szCs w:val="24"/>
                    </w:rPr>
                  </w:pPr>
                  <w:r w:rsidRPr="001218C4">
                    <w:rPr>
                      <w:rStyle w:val="Strong"/>
                      <w:rFonts w:ascii="Times New Roman" w:hAnsi="Times New Roman" w:cs="Times New Roman"/>
                      <w:i/>
                      <w:iCs/>
                      <w:sz w:val="24"/>
                      <w:szCs w:val="24"/>
                    </w:rPr>
                    <w:t>M. peregrina</w:t>
                  </w:r>
                </w:p>
              </w:tc>
              <w:tc>
                <w:tcPr>
                  <w:tcW w:w="1387" w:type="dxa"/>
                  <w:tcBorders>
                    <w:top w:val="single" w:sz="4" w:space="0" w:color="auto"/>
                  </w:tcBorders>
                  <w:vAlign w:val="center"/>
                  <w:hideMark/>
                </w:tcPr>
                <w:p w14:paraId="5CC6AEA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15×15</w:t>
                  </w:r>
                </w:p>
              </w:tc>
              <w:tc>
                <w:tcPr>
                  <w:tcW w:w="1246" w:type="dxa"/>
                  <w:tcBorders>
                    <w:top w:val="single" w:sz="4" w:space="0" w:color="auto"/>
                  </w:tcBorders>
                  <w:vAlign w:val="center"/>
                  <w:hideMark/>
                </w:tcPr>
                <w:p w14:paraId="4D27311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183 ± 8.2</w:t>
                  </w:r>
                </w:p>
              </w:tc>
              <w:tc>
                <w:tcPr>
                  <w:tcW w:w="962" w:type="dxa"/>
                  <w:tcBorders>
                    <w:top w:val="single" w:sz="4" w:space="0" w:color="auto"/>
                  </w:tcBorders>
                  <w:vAlign w:val="center"/>
                  <w:hideMark/>
                </w:tcPr>
                <w:p w14:paraId="7393BCF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10 ± 1.2</w:t>
                  </w:r>
                </w:p>
              </w:tc>
              <w:tc>
                <w:tcPr>
                  <w:tcW w:w="1671" w:type="dxa"/>
                  <w:tcBorders>
                    <w:top w:val="single" w:sz="4" w:space="0" w:color="auto"/>
                  </w:tcBorders>
                  <w:vAlign w:val="center"/>
                  <w:hideMark/>
                </w:tcPr>
                <w:p w14:paraId="05C60A2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23 ± 1.8</w:t>
                  </w:r>
                </w:p>
              </w:tc>
              <w:tc>
                <w:tcPr>
                  <w:tcW w:w="1656" w:type="dxa"/>
                  <w:tcBorders>
                    <w:top w:val="single" w:sz="4" w:space="0" w:color="auto"/>
                  </w:tcBorders>
                  <w:vAlign w:val="center"/>
                  <w:hideMark/>
                </w:tcPr>
                <w:p w14:paraId="197F742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0.40 ± 0.022</w:t>
                  </w:r>
                </w:p>
              </w:tc>
            </w:tr>
            <w:tr w:rsidR="00112593" w:rsidRPr="004537DC" w14:paraId="58556DF9" w14:textId="77777777" w:rsidTr="003A7979">
              <w:trPr>
                <w:tblCellSpacing w:w="15" w:type="dxa"/>
              </w:trPr>
              <w:tc>
                <w:tcPr>
                  <w:tcW w:w="1830" w:type="dxa"/>
                  <w:vAlign w:val="center"/>
                  <w:hideMark/>
                </w:tcPr>
                <w:p w14:paraId="333E0B25"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6E3E51C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15×20</w:t>
                  </w:r>
                </w:p>
              </w:tc>
              <w:tc>
                <w:tcPr>
                  <w:tcW w:w="1246" w:type="dxa"/>
                  <w:vAlign w:val="center"/>
                  <w:hideMark/>
                </w:tcPr>
                <w:p w14:paraId="67D3EFC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175 ± 7.9</w:t>
                  </w:r>
                </w:p>
              </w:tc>
              <w:tc>
                <w:tcPr>
                  <w:tcW w:w="962" w:type="dxa"/>
                  <w:vAlign w:val="center"/>
                  <w:hideMark/>
                </w:tcPr>
                <w:p w14:paraId="48A2467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9 ± 1.1</w:t>
                  </w:r>
                </w:p>
              </w:tc>
              <w:tc>
                <w:tcPr>
                  <w:tcW w:w="1671" w:type="dxa"/>
                  <w:vAlign w:val="center"/>
                  <w:hideMark/>
                </w:tcPr>
                <w:p w14:paraId="1476EEC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22 ± 1.7</w:t>
                  </w:r>
                </w:p>
              </w:tc>
              <w:tc>
                <w:tcPr>
                  <w:tcW w:w="1656" w:type="dxa"/>
                  <w:vAlign w:val="center"/>
                  <w:hideMark/>
                </w:tcPr>
                <w:p w14:paraId="31B3C33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0.39 ± 0.021</w:t>
                  </w:r>
                </w:p>
              </w:tc>
            </w:tr>
            <w:tr w:rsidR="00112593" w:rsidRPr="004537DC" w14:paraId="6C83DD23" w14:textId="77777777" w:rsidTr="003A7979">
              <w:trPr>
                <w:tblCellSpacing w:w="15" w:type="dxa"/>
              </w:trPr>
              <w:tc>
                <w:tcPr>
                  <w:tcW w:w="1830" w:type="dxa"/>
                  <w:vAlign w:val="center"/>
                  <w:hideMark/>
                </w:tcPr>
                <w:p w14:paraId="6068C47E"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2E470A3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20×20</w:t>
                  </w:r>
                </w:p>
              </w:tc>
              <w:tc>
                <w:tcPr>
                  <w:tcW w:w="1246" w:type="dxa"/>
                  <w:vAlign w:val="center"/>
                  <w:hideMark/>
                </w:tcPr>
                <w:p w14:paraId="765F9DC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162 ± 7.5</w:t>
                  </w:r>
                </w:p>
              </w:tc>
              <w:tc>
                <w:tcPr>
                  <w:tcW w:w="962" w:type="dxa"/>
                  <w:vAlign w:val="center"/>
                  <w:hideMark/>
                </w:tcPr>
                <w:p w14:paraId="4D356F54"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8 ± 1.0</w:t>
                  </w:r>
                </w:p>
              </w:tc>
              <w:tc>
                <w:tcPr>
                  <w:tcW w:w="1671" w:type="dxa"/>
                  <w:vAlign w:val="center"/>
                  <w:hideMark/>
                </w:tcPr>
                <w:p w14:paraId="15FCC9A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21 ± 1.6</w:t>
                  </w:r>
                </w:p>
              </w:tc>
              <w:tc>
                <w:tcPr>
                  <w:tcW w:w="1656" w:type="dxa"/>
                  <w:vAlign w:val="center"/>
                  <w:hideMark/>
                </w:tcPr>
                <w:p w14:paraId="1DD0C0D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0.38 ± 0.020</w:t>
                  </w:r>
                </w:p>
              </w:tc>
            </w:tr>
            <w:tr w:rsidR="00112593" w:rsidRPr="004537DC" w14:paraId="5D1641EF" w14:textId="77777777" w:rsidTr="003A7979">
              <w:trPr>
                <w:tblCellSpacing w:w="15" w:type="dxa"/>
              </w:trPr>
              <w:tc>
                <w:tcPr>
                  <w:tcW w:w="1830" w:type="dxa"/>
                  <w:vAlign w:val="center"/>
                  <w:hideMark/>
                </w:tcPr>
                <w:p w14:paraId="19C7756A"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13F013F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20×30</w:t>
                  </w:r>
                </w:p>
              </w:tc>
              <w:tc>
                <w:tcPr>
                  <w:tcW w:w="1246" w:type="dxa"/>
                  <w:vAlign w:val="center"/>
                  <w:hideMark/>
                </w:tcPr>
                <w:p w14:paraId="7C3B986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155 ± 7.2</w:t>
                  </w:r>
                </w:p>
              </w:tc>
              <w:tc>
                <w:tcPr>
                  <w:tcW w:w="962" w:type="dxa"/>
                  <w:vAlign w:val="center"/>
                  <w:hideMark/>
                </w:tcPr>
                <w:p w14:paraId="1552191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7 ± 0.9</w:t>
                  </w:r>
                </w:p>
              </w:tc>
              <w:tc>
                <w:tcPr>
                  <w:tcW w:w="1671" w:type="dxa"/>
                  <w:vAlign w:val="center"/>
                  <w:hideMark/>
                </w:tcPr>
                <w:p w14:paraId="099A067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 ± 1.5</w:t>
                  </w:r>
                </w:p>
              </w:tc>
              <w:tc>
                <w:tcPr>
                  <w:tcW w:w="1656" w:type="dxa"/>
                  <w:vAlign w:val="center"/>
                  <w:hideMark/>
                </w:tcPr>
                <w:p w14:paraId="74F7AF8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0.37 ± 0.019</w:t>
                  </w:r>
                </w:p>
              </w:tc>
            </w:tr>
            <w:tr w:rsidR="00112593" w:rsidRPr="004537DC" w14:paraId="1F7F3B27" w14:textId="77777777" w:rsidTr="003A7979">
              <w:trPr>
                <w:tblCellSpacing w:w="15" w:type="dxa"/>
              </w:trPr>
              <w:tc>
                <w:tcPr>
                  <w:tcW w:w="1830" w:type="dxa"/>
                  <w:vAlign w:val="center"/>
                  <w:hideMark/>
                </w:tcPr>
                <w:p w14:paraId="39EC50F4" w14:textId="77777777" w:rsidR="00112593" w:rsidRPr="001218C4" w:rsidRDefault="00112593" w:rsidP="003A7979">
                  <w:pPr>
                    <w:spacing w:after="0" w:line="240" w:lineRule="auto"/>
                    <w:rPr>
                      <w:rFonts w:ascii="Times New Roman" w:hAnsi="Times New Roman" w:cs="Times New Roman"/>
                      <w:i/>
                      <w:iCs/>
                      <w:sz w:val="24"/>
                      <w:szCs w:val="24"/>
                    </w:rPr>
                  </w:pPr>
                  <w:r w:rsidRPr="001218C4">
                    <w:rPr>
                      <w:rStyle w:val="Strong"/>
                      <w:rFonts w:ascii="Times New Roman" w:hAnsi="Times New Roman" w:cs="Times New Roman"/>
                      <w:i/>
                      <w:iCs/>
                      <w:sz w:val="24"/>
                      <w:szCs w:val="24"/>
                    </w:rPr>
                    <w:t>M. oleifera</w:t>
                  </w:r>
                </w:p>
              </w:tc>
              <w:tc>
                <w:tcPr>
                  <w:tcW w:w="1387" w:type="dxa"/>
                  <w:vAlign w:val="center"/>
                  <w:hideMark/>
                </w:tcPr>
                <w:p w14:paraId="39EA866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15×15</w:t>
                  </w:r>
                </w:p>
              </w:tc>
              <w:tc>
                <w:tcPr>
                  <w:tcW w:w="1246" w:type="dxa"/>
                  <w:vAlign w:val="center"/>
                  <w:hideMark/>
                </w:tcPr>
                <w:p w14:paraId="75329DC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196 ± 9.0</w:t>
                  </w:r>
                </w:p>
              </w:tc>
              <w:tc>
                <w:tcPr>
                  <w:tcW w:w="962" w:type="dxa"/>
                  <w:vAlign w:val="center"/>
                  <w:hideMark/>
                </w:tcPr>
                <w:p w14:paraId="31DC4B1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10 ± 1.3</w:t>
                  </w:r>
                </w:p>
              </w:tc>
              <w:tc>
                <w:tcPr>
                  <w:tcW w:w="1671" w:type="dxa"/>
                  <w:vAlign w:val="center"/>
                  <w:hideMark/>
                </w:tcPr>
                <w:p w14:paraId="6B38883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38 ± 2.4</w:t>
                  </w:r>
                </w:p>
              </w:tc>
              <w:tc>
                <w:tcPr>
                  <w:tcW w:w="1656" w:type="dxa"/>
                  <w:vAlign w:val="center"/>
                  <w:hideMark/>
                </w:tcPr>
                <w:p w14:paraId="72CF8DC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0.47 ± 0.024</w:t>
                  </w:r>
                </w:p>
              </w:tc>
            </w:tr>
            <w:tr w:rsidR="00112593" w:rsidRPr="004537DC" w14:paraId="3DB059CF" w14:textId="77777777" w:rsidTr="003A7979">
              <w:trPr>
                <w:tblCellSpacing w:w="15" w:type="dxa"/>
              </w:trPr>
              <w:tc>
                <w:tcPr>
                  <w:tcW w:w="1830" w:type="dxa"/>
                  <w:vAlign w:val="center"/>
                  <w:hideMark/>
                </w:tcPr>
                <w:p w14:paraId="6F0D06A1"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61C448E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15×20</w:t>
                  </w:r>
                </w:p>
              </w:tc>
              <w:tc>
                <w:tcPr>
                  <w:tcW w:w="1246" w:type="dxa"/>
                  <w:vAlign w:val="center"/>
                  <w:hideMark/>
                </w:tcPr>
                <w:p w14:paraId="422E581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188 ± 8.6</w:t>
                  </w:r>
                </w:p>
              </w:tc>
              <w:tc>
                <w:tcPr>
                  <w:tcW w:w="962" w:type="dxa"/>
                  <w:vAlign w:val="center"/>
                  <w:hideMark/>
                </w:tcPr>
                <w:p w14:paraId="06F5E90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9 ± 1.2</w:t>
                  </w:r>
                </w:p>
              </w:tc>
              <w:tc>
                <w:tcPr>
                  <w:tcW w:w="1671" w:type="dxa"/>
                  <w:vAlign w:val="center"/>
                  <w:hideMark/>
                </w:tcPr>
                <w:p w14:paraId="22F8C13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36 ± 2.2</w:t>
                  </w:r>
                </w:p>
              </w:tc>
              <w:tc>
                <w:tcPr>
                  <w:tcW w:w="1656" w:type="dxa"/>
                  <w:vAlign w:val="center"/>
                  <w:hideMark/>
                </w:tcPr>
                <w:p w14:paraId="3C199D3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0.46 ± 0.023</w:t>
                  </w:r>
                </w:p>
              </w:tc>
            </w:tr>
            <w:tr w:rsidR="00112593" w:rsidRPr="004537DC" w14:paraId="5AF698DE" w14:textId="77777777" w:rsidTr="003A7979">
              <w:trPr>
                <w:tblCellSpacing w:w="15" w:type="dxa"/>
              </w:trPr>
              <w:tc>
                <w:tcPr>
                  <w:tcW w:w="1830" w:type="dxa"/>
                  <w:vAlign w:val="center"/>
                  <w:hideMark/>
                </w:tcPr>
                <w:p w14:paraId="31724174"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0745BE2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20×20</w:t>
                  </w:r>
                </w:p>
              </w:tc>
              <w:tc>
                <w:tcPr>
                  <w:tcW w:w="1246" w:type="dxa"/>
                  <w:vAlign w:val="center"/>
                  <w:hideMark/>
                </w:tcPr>
                <w:p w14:paraId="199CD52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175 ± 8.1</w:t>
                  </w:r>
                </w:p>
              </w:tc>
              <w:tc>
                <w:tcPr>
                  <w:tcW w:w="962" w:type="dxa"/>
                  <w:vAlign w:val="center"/>
                  <w:hideMark/>
                </w:tcPr>
                <w:p w14:paraId="30AA241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8 ± 1.1</w:t>
                  </w:r>
                </w:p>
              </w:tc>
              <w:tc>
                <w:tcPr>
                  <w:tcW w:w="1671" w:type="dxa"/>
                  <w:vAlign w:val="center"/>
                  <w:hideMark/>
                </w:tcPr>
                <w:p w14:paraId="0A3767E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34 ± 2.1</w:t>
                  </w:r>
                </w:p>
              </w:tc>
              <w:tc>
                <w:tcPr>
                  <w:tcW w:w="1656" w:type="dxa"/>
                  <w:vAlign w:val="center"/>
                  <w:hideMark/>
                </w:tcPr>
                <w:p w14:paraId="0A9A428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0.45 ± 0.022</w:t>
                  </w:r>
                </w:p>
              </w:tc>
            </w:tr>
            <w:tr w:rsidR="00112593" w:rsidRPr="004537DC" w14:paraId="635B4D8F" w14:textId="77777777" w:rsidTr="003A7979">
              <w:trPr>
                <w:tblCellSpacing w:w="15" w:type="dxa"/>
              </w:trPr>
              <w:tc>
                <w:tcPr>
                  <w:tcW w:w="1830" w:type="dxa"/>
                  <w:vAlign w:val="center"/>
                  <w:hideMark/>
                </w:tcPr>
                <w:p w14:paraId="41537176"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39349C8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20×30</w:t>
                  </w:r>
                </w:p>
              </w:tc>
              <w:tc>
                <w:tcPr>
                  <w:tcW w:w="1246" w:type="dxa"/>
                  <w:vAlign w:val="center"/>
                  <w:hideMark/>
                </w:tcPr>
                <w:p w14:paraId="3265A6A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167 ± 7.8</w:t>
                  </w:r>
                </w:p>
              </w:tc>
              <w:tc>
                <w:tcPr>
                  <w:tcW w:w="962" w:type="dxa"/>
                  <w:vAlign w:val="center"/>
                  <w:hideMark/>
                </w:tcPr>
                <w:p w14:paraId="00B75D0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7 ± 1.0</w:t>
                  </w:r>
                </w:p>
              </w:tc>
              <w:tc>
                <w:tcPr>
                  <w:tcW w:w="1671" w:type="dxa"/>
                  <w:vAlign w:val="center"/>
                  <w:hideMark/>
                </w:tcPr>
                <w:p w14:paraId="1579129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33 ± 2.0</w:t>
                  </w:r>
                </w:p>
              </w:tc>
              <w:tc>
                <w:tcPr>
                  <w:tcW w:w="1656" w:type="dxa"/>
                  <w:vAlign w:val="center"/>
                  <w:hideMark/>
                </w:tcPr>
                <w:p w14:paraId="60CAE90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0.44 ± 0.021</w:t>
                  </w:r>
                </w:p>
              </w:tc>
            </w:tr>
            <w:tr w:rsidR="00112593" w:rsidRPr="004537DC" w14:paraId="2B1A3CBF" w14:textId="77777777" w:rsidTr="003A7979">
              <w:trPr>
                <w:tblCellSpacing w:w="15" w:type="dxa"/>
              </w:trPr>
              <w:tc>
                <w:tcPr>
                  <w:tcW w:w="1830" w:type="dxa"/>
                  <w:vAlign w:val="center"/>
                  <w:hideMark/>
                </w:tcPr>
                <w:p w14:paraId="40BB412A" w14:textId="77777777" w:rsidR="00112593" w:rsidRPr="001218C4" w:rsidRDefault="00112593" w:rsidP="003A7979">
                  <w:pPr>
                    <w:spacing w:after="0" w:line="240" w:lineRule="auto"/>
                    <w:rPr>
                      <w:rFonts w:ascii="Times New Roman" w:hAnsi="Times New Roman" w:cs="Times New Roman"/>
                      <w:i/>
                      <w:iCs/>
                      <w:sz w:val="24"/>
                      <w:szCs w:val="24"/>
                    </w:rPr>
                  </w:pPr>
                  <w:r w:rsidRPr="001218C4">
                    <w:rPr>
                      <w:rStyle w:val="Strong"/>
                      <w:rFonts w:ascii="Times New Roman" w:hAnsi="Times New Roman" w:cs="Times New Roman"/>
                      <w:i/>
                      <w:iCs/>
                      <w:sz w:val="24"/>
                      <w:szCs w:val="24"/>
                    </w:rPr>
                    <w:t>M. stenopetala</w:t>
                  </w:r>
                </w:p>
              </w:tc>
              <w:tc>
                <w:tcPr>
                  <w:tcW w:w="1387" w:type="dxa"/>
                  <w:vAlign w:val="center"/>
                  <w:hideMark/>
                </w:tcPr>
                <w:p w14:paraId="6ABFB66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15×15</w:t>
                  </w:r>
                </w:p>
              </w:tc>
              <w:tc>
                <w:tcPr>
                  <w:tcW w:w="1246" w:type="dxa"/>
                  <w:vAlign w:val="center"/>
                  <w:hideMark/>
                </w:tcPr>
                <w:p w14:paraId="57C59EE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90 ± 5.5</w:t>
                  </w:r>
                </w:p>
              </w:tc>
              <w:tc>
                <w:tcPr>
                  <w:tcW w:w="962" w:type="dxa"/>
                  <w:vAlign w:val="center"/>
                  <w:hideMark/>
                </w:tcPr>
                <w:p w14:paraId="536EE08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7 ± 0.9</w:t>
                  </w:r>
                </w:p>
              </w:tc>
              <w:tc>
                <w:tcPr>
                  <w:tcW w:w="1671" w:type="dxa"/>
                  <w:vAlign w:val="center"/>
                  <w:hideMark/>
                </w:tcPr>
                <w:p w14:paraId="5FA9AE7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27 ± 1.9</w:t>
                  </w:r>
                </w:p>
              </w:tc>
              <w:tc>
                <w:tcPr>
                  <w:tcW w:w="1656" w:type="dxa"/>
                  <w:vAlign w:val="center"/>
                  <w:hideMark/>
                </w:tcPr>
                <w:p w14:paraId="0B96968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0.45 ± 0.023</w:t>
                  </w:r>
                </w:p>
              </w:tc>
            </w:tr>
            <w:tr w:rsidR="00112593" w:rsidRPr="004537DC" w14:paraId="1E2D489F" w14:textId="77777777" w:rsidTr="003A7979">
              <w:trPr>
                <w:tblCellSpacing w:w="15" w:type="dxa"/>
              </w:trPr>
              <w:tc>
                <w:tcPr>
                  <w:tcW w:w="1830" w:type="dxa"/>
                  <w:vAlign w:val="center"/>
                  <w:hideMark/>
                </w:tcPr>
                <w:p w14:paraId="28993498"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1883707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15×20</w:t>
                  </w:r>
                </w:p>
              </w:tc>
              <w:tc>
                <w:tcPr>
                  <w:tcW w:w="1246" w:type="dxa"/>
                  <w:vAlign w:val="center"/>
                  <w:hideMark/>
                </w:tcPr>
                <w:p w14:paraId="057DE5B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85 ± 5.2</w:t>
                  </w:r>
                </w:p>
              </w:tc>
              <w:tc>
                <w:tcPr>
                  <w:tcW w:w="962" w:type="dxa"/>
                  <w:vAlign w:val="center"/>
                  <w:hideMark/>
                </w:tcPr>
                <w:p w14:paraId="49E158B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6 ± 0.8</w:t>
                  </w:r>
                </w:p>
              </w:tc>
              <w:tc>
                <w:tcPr>
                  <w:tcW w:w="1671" w:type="dxa"/>
                  <w:vAlign w:val="center"/>
                  <w:hideMark/>
                </w:tcPr>
                <w:p w14:paraId="6515652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26 ± 1.8</w:t>
                  </w:r>
                </w:p>
              </w:tc>
              <w:tc>
                <w:tcPr>
                  <w:tcW w:w="1656" w:type="dxa"/>
                  <w:vAlign w:val="center"/>
                  <w:hideMark/>
                </w:tcPr>
                <w:p w14:paraId="00D59E7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0.44 ± 0.022</w:t>
                  </w:r>
                </w:p>
              </w:tc>
            </w:tr>
            <w:tr w:rsidR="00112593" w:rsidRPr="004537DC" w14:paraId="4EE5BACD" w14:textId="77777777" w:rsidTr="003A7979">
              <w:trPr>
                <w:tblCellSpacing w:w="15" w:type="dxa"/>
              </w:trPr>
              <w:tc>
                <w:tcPr>
                  <w:tcW w:w="1830" w:type="dxa"/>
                  <w:vAlign w:val="center"/>
                  <w:hideMark/>
                </w:tcPr>
                <w:p w14:paraId="4A47CC3C"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3F73024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20×20</w:t>
                  </w:r>
                </w:p>
              </w:tc>
              <w:tc>
                <w:tcPr>
                  <w:tcW w:w="1246" w:type="dxa"/>
                  <w:vAlign w:val="center"/>
                  <w:hideMark/>
                </w:tcPr>
                <w:p w14:paraId="3A2B7CA4"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78 ± 4.8</w:t>
                  </w:r>
                </w:p>
              </w:tc>
              <w:tc>
                <w:tcPr>
                  <w:tcW w:w="962" w:type="dxa"/>
                  <w:vAlign w:val="center"/>
                  <w:hideMark/>
                </w:tcPr>
                <w:p w14:paraId="31597C6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6 ± 0.8</w:t>
                  </w:r>
                </w:p>
              </w:tc>
              <w:tc>
                <w:tcPr>
                  <w:tcW w:w="1671" w:type="dxa"/>
                  <w:vAlign w:val="center"/>
                  <w:hideMark/>
                </w:tcPr>
                <w:p w14:paraId="5106CA5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25 ± 1.7</w:t>
                  </w:r>
                </w:p>
              </w:tc>
              <w:tc>
                <w:tcPr>
                  <w:tcW w:w="1656" w:type="dxa"/>
                  <w:vAlign w:val="center"/>
                  <w:hideMark/>
                </w:tcPr>
                <w:p w14:paraId="0C8E6C84"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0.43 ± 0.021</w:t>
                  </w:r>
                </w:p>
              </w:tc>
            </w:tr>
            <w:tr w:rsidR="00112593" w:rsidRPr="004537DC" w14:paraId="3D24911F" w14:textId="77777777" w:rsidTr="003A7979">
              <w:trPr>
                <w:tblCellSpacing w:w="15" w:type="dxa"/>
              </w:trPr>
              <w:tc>
                <w:tcPr>
                  <w:tcW w:w="1830" w:type="dxa"/>
                  <w:vAlign w:val="center"/>
                  <w:hideMark/>
                </w:tcPr>
                <w:p w14:paraId="5E3C22D0" w14:textId="77777777" w:rsidR="00112593" w:rsidRPr="001218C4" w:rsidRDefault="00112593" w:rsidP="003A7979">
                  <w:pPr>
                    <w:spacing w:after="0" w:line="240" w:lineRule="auto"/>
                    <w:rPr>
                      <w:rFonts w:ascii="Times New Roman" w:hAnsi="Times New Roman" w:cs="Times New Roman"/>
                      <w:i/>
                      <w:iCs/>
                      <w:sz w:val="24"/>
                      <w:szCs w:val="24"/>
                    </w:rPr>
                  </w:pPr>
                </w:p>
              </w:tc>
              <w:tc>
                <w:tcPr>
                  <w:tcW w:w="1387" w:type="dxa"/>
                  <w:vAlign w:val="center"/>
                  <w:hideMark/>
                </w:tcPr>
                <w:p w14:paraId="4410655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20×30</w:t>
                  </w:r>
                </w:p>
              </w:tc>
              <w:tc>
                <w:tcPr>
                  <w:tcW w:w="1246" w:type="dxa"/>
                  <w:vAlign w:val="center"/>
                  <w:hideMark/>
                </w:tcPr>
                <w:p w14:paraId="440BD9E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72 ± 4.5</w:t>
                  </w:r>
                </w:p>
              </w:tc>
              <w:tc>
                <w:tcPr>
                  <w:tcW w:w="962" w:type="dxa"/>
                  <w:vAlign w:val="center"/>
                  <w:hideMark/>
                </w:tcPr>
                <w:p w14:paraId="15B22D1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5 ± 0.7</w:t>
                  </w:r>
                </w:p>
              </w:tc>
              <w:tc>
                <w:tcPr>
                  <w:tcW w:w="1671" w:type="dxa"/>
                  <w:vAlign w:val="center"/>
                  <w:hideMark/>
                </w:tcPr>
                <w:p w14:paraId="6F7950A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24 ± 1.6</w:t>
                  </w:r>
                </w:p>
              </w:tc>
              <w:tc>
                <w:tcPr>
                  <w:tcW w:w="1656" w:type="dxa"/>
                  <w:vAlign w:val="center"/>
                  <w:hideMark/>
                </w:tcPr>
                <w:p w14:paraId="1C1718F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0.42 ± 0.020</w:t>
                  </w:r>
                </w:p>
              </w:tc>
            </w:tr>
            <w:tr w:rsidR="00112593" w:rsidRPr="004537DC" w14:paraId="715587AC" w14:textId="77777777" w:rsidTr="003A7979">
              <w:trPr>
                <w:tblCellSpacing w:w="15" w:type="dxa"/>
              </w:trPr>
              <w:tc>
                <w:tcPr>
                  <w:tcW w:w="1830" w:type="dxa"/>
                  <w:vAlign w:val="center"/>
                  <w:hideMark/>
                </w:tcPr>
                <w:p w14:paraId="3EE0153F" w14:textId="6526189A" w:rsidR="00112593" w:rsidRPr="001218C4" w:rsidRDefault="00866F05" w:rsidP="003A7979">
                  <w:pPr>
                    <w:spacing w:after="0" w:line="240" w:lineRule="auto"/>
                    <w:rPr>
                      <w:rFonts w:ascii="Times New Roman" w:hAnsi="Times New Roman" w:cs="Times New Roman"/>
                      <w:i/>
                      <w:iCs/>
                      <w:sz w:val="24"/>
                      <w:szCs w:val="24"/>
                    </w:rPr>
                  </w:pPr>
                  <w:r w:rsidRPr="001218C4">
                    <w:rPr>
                      <w:rStyle w:val="Strong"/>
                      <w:rFonts w:ascii="Times New Roman" w:hAnsi="Times New Roman" w:cs="Times New Roman"/>
                      <w:i/>
                      <w:iCs/>
                      <w:sz w:val="24"/>
                      <w:szCs w:val="24"/>
                    </w:rPr>
                    <w:t xml:space="preserve">PKM 1 </w:t>
                  </w:r>
                </w:p>
              </w:tc>
              <w:tc>
                <w:tcPr>
                  <w:tcW w:w="1387" w:type="dxa"/>
                  <w:vAlign w:val="center"/>
                  <w:hideMark/>
                </w:tcPr>
                <w:p w14:paraId="359BFA9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15×15</w:t>
                  </w:r>
                </w:p>
              </w:tc>
              <w:tc>
                <w:tcPr>
                  <w:tcW w:w="1246" w:type="dxa"/>
                  <w:vAlign w:val="center"/>
                  <w:hideMark/>
                </w:tcPr>
                <w:p w14:paraId="3BE836A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261 ± 10.5</w:t>
                  </w:r>
                </w:p>
              </w:tc>
              <w:tc>
                <w:tcPr>
                  <w:tcW w:w="962" w:type="dxa"/>
                  <w:vAlign w:val="center"/>
                  <w:hideMark/>
                </w:tcPr>
                <w:p w14:paraId="5684DA4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18 ± 1.5</w:t>
                  </w:r>
                </w:p>
              </w:tc>
              <w:tc>
                <w:tcPr>
                  <w:tcW w:w="1671" w:type="dxa"/>
                  <w:vAlign w:val="center"/>
                  <w:hideMark/>
                </w:tcPr>
                <w:p w14:paraId="41B62E6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31 ± 2.3</w:t>
                  </w:r>
                </w:p>
              </w:tc>
              <w:tc>
                <w:tcPr>
                  <w:tcW w:w="1656" w:type="dxa"/>
                  <w:vAlign w:val="center"/>
                  <w:hideMark/>
                </w:tcPr>
                <w:p w14:paraId="051E2A9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0.51 ± 0.025</w:t>
                  </w:r>
                </w:p>
              </w:tc>
            </w:tr>
            <w:tr w:rsidR="00112593" w:rsidRPr="004537DC" w14:paraId="430970D7" w14:textId="77777777" w:rsidTr="003A7979">
              <w:trPr>
                <w:tblCellSpacing w:w="15" w:type="dxa"/>
              </w:trPr>
              <w:tc>
                <w:tcPr>
                  <w:tcW w:w="1830" w:type="dxa"/>
                  <w:vAlign w:val="center"/>
                  <w:hideMark/>
                </w:tcPr>
                <w:p w14:paraId="7942CBFD" w14:textId="77777777" w:rsidR="00112593" w:rsidRPr="004537DC" w:rsidRDefault="00112593" w:rsidP="003A7979">
                  <w:pPr>
                    <w:spacing w:after="0" w:line="240" w:lineRule="auto"/>
                    <w:rPr>
                      <w:rFonts w:ascii="Times New Roman" w:hAnsi="Times New Roman" w:cs="Times New Roman"/>
                      <w:sz w:val="24"/>
                      <w:szCs w:val="24"/>
                    </w:rPr>
                  </w:pPr>
                </w:p>
              </w:tc>
              <w:tc>
                <w:tcPr>
                  <w:tcW w:w="1387" w:type="dxa"/>
                  <w:vAlign w:val="center"/>
                  <w:hideMark/>
                </w:tcPr>
                <w:p w14:paraId="1298A884"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15×20</w:t>
                  </w:r>
                </w:p>
              </w:tc>
              <w:tc>
                <w:tcPr>
                  <w:tcW w:w="1246" w:type="dxa"/>
                  <w:vAlign w:val="center"/>
                  <w:hideMark/>
                </w:tcPr>
                <w:p w14:paraId="0585905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248 ± 10.0</w:t>
                  </w:r>
                </w:p>
              </w:tc>
              <w:tc>
                <w:tcPr>
                  <w:tcW w:w="962" w:type="dxa"/>
                  <w:vAlign w:val="center"/>
                  <w:hideMark/>
                </w:tcPr>
                <w:p w14:paraId="6FFE4E6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17 ± 1.4</w:t>
                  </w:r>
                </w:p>
              </w:tc>
              <w:tc>
                <w:tcPr>
                  <w:tcW w:w="1671" w:type="dxa"/>
                  <w:vAlign w:val="center"/>
                  <w:hideMark/>
                </w:tcPr>
                <w:p w14:paraId="0A12197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30 ± 2.2</w:t>
                  </w:r>
                </w:p>
              </w:tc>
              <w:tc>
                <w:tcPr>
                  <w:tcW w:w="1656" w:type="dxa"/>
                  <w:vAlign w:val="center"/>
                  <w:hideMark/>
                </w:tcPr>
                <w:p w14:paraId="73669FB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0.50 ± 0.024</w:t>
                  </w:r>
                </w:p>
              </w:tc>
            </w:tr>
            <w:tr w:rsidR="00112593" w:rsidRPr="004537DC" w14:paraId="1007A4C5" w14:textId="77777777" w:rsidTr="003A7979">
              <w:trPr>
                <w:tblCellSpacing w:w="15" w:type="dxa"/>
              </w:trPr>
              <w:tc>
                <w:tcPr>
                  <w:tcW w:w="1830" w:type="dxa"/>
                  <w:vAlign w:val="center"/>
                  <w:hideMark/>
                </w:tcPr>
                <w:p w14:paraId="5C3AC7A3" w14:textId="77777777" w:rsidR="00112593" w:rsidRPr="004537DC" w:rsidRDefault="00112593" w:rsidP="003A7979">
                  <w:pPr>
                    <w:spacing w:after="0" w:line="240" w:lineRule="auto"/>
                    <w:rPr>
                      <w:rFonts w:ascii="Times New Roman" w:hAnsi="Times New Roman" w:cs="Times New Roman"/>
                      <w:sz w:val="24"/>
                      <w:szCs w:val="24"/>
                    </w:rPr>
                  </w:pPr>
                </w:p>
              </w:tc>
              <w:tc>
                <w:tcPr>
                  <w:tcW w:w="1387" w:type="dxa"/>
                  <w:vAlign w:val="center"/>
                  <w:hideMark/>
                </w:tcPr>
                <w:p w14:paraId="5609A8C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20×20</w:t>
                  </w:r>
                </w:p>
              </w:tc>
              <w:tc>
                <w:tcPr>
                  <w:tcW w:w="1246" w:type="dxa"/>
                  <w:vAlign w:val="center"/>
                  <w:hideMark/>
                </w:tcPr>
                <w:p w14:paraId="4B9BED9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235 ± 9.6</w:t>
                  </w:r>
                </w:p>
              </w:tc>
              <w:tc>
                <w:tcPr>
                  <w:tcW w:w="962" w:type="dxa"/>
                  <w:vAlign w:val="center"/>
                  <w:hideMark/>
                </w:tcPr>
                <w:p w14:paraId="37F5E4B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16 ± 1.3</w:t>
                  </w:r>
                </w:p>
              </w:tc>
              <w:tc>
                <w:tcPr>
                  <w:tcW w:w="1671" w:type="dxa"/>
                  <w:vAlign w:val="center"/>
                  <w:hideMark/>
                </w:tcPr>
                <w:p w14:paraId="6F54F34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29 ± 2.1</w:t>
                  </w:r>
                </w:p>
              </w:tc>
              <w:tc>
                <w:tcPr>
                  <w:tcW w:w="1656" w:type="dxa"/>
                  <w:vAlign w:val="center"/>
                  <w:hideMark/>
                </w:tcPr>
                <w:p w14:paraId="290716E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0.49 ± 0.023</w:t>
                  </w:r>
                </w:p>
              </w:tc>
            </w:tr>
            <w:tr w:rsidR="00112593" w:rsidRPr="004537DC" w14:paraId="45B4C364" w14:textId="77777777" w:rsidTr="003A7979">
              <w:trPr>
                <w:tblCellSpacing w:w="15" w:type="dxa"/>
              </w:trPr>
              <w:tc>
                <w:tcPr>
                  <w:tcW w:w="1830" w:type="dxa"/>
                  <w:vAlign w:val="center"/>
                  <w:hideMark/>
                </w:tcPr>
                <w:p w14:paraId="1048DA28" w14:textId="77777777" w:rsidR="00112593" w:rsidRPr="004537DC" w:rsidRDefault="00112593" w:rsidP="003A7979">
                  <w:pPr>
                    <w:spacing w:after="0" w:line="240" w:lineRule="auto"/>
                    <w:rPr>
                      <w:rFonts w:ascii="Times New Roman" w:hAnsi="Times New Roman" w:cs="Times New Roman"/>
                      <w:sz w:val="24"/>
                      <w:szCs w:val="24"/>
                    </w:rPr>
                  </w:pPr>
                </w:p>
              </w:tc>
              <w:tc>
                <w:tcPr>
                  <w:tcW w:w="1387" w:type="dxa"/>
                  <w:vAlign w:val="center"/>
                  <w:hideMark/>
                </w:tcPr>
                <w:p w14:paraId="55E5FA09"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20×30</w:t>
                  </w:r>
                </w:p>
              </w:tc>
              <w:tc>
                <w:tcPr>
                  <w:tcW w:w="1246" w:type="dxa"/>
                  <w:vAlign w:val="center"/>
                  <w:hideMark/>
                </w:tcPr>
                <w:p w14:paraId="72B60C6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222 ± 9.1</w:t>
                  </w:r>
                </w:p>
              </w:tc>
              <w:tc>
                <w:tcPr>
                  <w:tcW w:w="962" w:type="dxa"/>
                  <w:vAlign w:val="center"/>
                  <w:hideMark/>
                </w:tcPr>
                <w:p w14:paraId="4D05A84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15 ± 1.2</w:t>
                  </w:r>
                </w:p>
              </w:tc>
              <w:tc>
                <w:tcPr>
                  <w:tcW w:w="1671" w:type="dxa"/>
                  <w:vAlign w:val="center"/>
                  <w:hideMark/>
                </w:tcPr>
                <w:p w14:paraId="6D165B5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28 ± 2.0</w:t>
                  </w:r>
                </w:p>
              </w:tc>
              <w:tc>
                <w:tcPr>
                  <w:tcW w:w="1656" w:type="dxa"/>
                  <w:vAlign w:val="center"/>
                  <w:hideMark/>
                </w:tcPr>
                <w:p w14:paraId="0DBA78B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0.48 ± 0.022</w:t>
                  </w:r>
                </w:p>
              </w:tc>
            </w:tr>
          </w:tbl>
          <w:p w14:paraId="42B8A9CC" w14:textId="77777777" w:rsidR="00112593" w:rsidRPr="004537DC" w:rsidRDefault="00112593" w:rsidP="003A7979">
            <w:pPr>
              <w:rPr>
                <w:rFonts w:ascii="Times New Roman" w:hAnsi="Times New Roman" w:cs="Times New Roman"/>
                <w:sz w:val="24"/>
                <w:szCs w:val="24"/>
              </w:rPr>
            </w:pPr>
          </w:p>
        </w:tc>
      </w:tr>
    </w:tbl>
    <w:p w14:paraId="3861A58E" w14:textId="0B055B0E" w:rsidR="00112593" w:rsidRPr="004537DC" w:rsidRDefault="001218C4" w:rsidP="00112593">
      <w:pPr>
        <w:pStyle w:val="Heading3"/>
        <w:rPr>
          <w:sz w:val="24"/>
          <w:szCs w:val="24"/>
        </w:rPr>
      </w:pPr>
      <w:r>
        <w:rPr>
          <w:sz w:val="24"/>
          <w:szCs w:val="24"/>
          <w:lang w:val="en-US"/>
        </w:rPr>
        <w:t>4</w:t>
      </w:r>
      <w:r w:rsidR="00112593" w:rsidRPr="004537DC">
        <w:rPr>
          <w:sz w:val="24"/>
          <w:szCs w:val="24"/>
        </w:rPr>
        <w:t>.2 Root–Shoot Ratio and Leaf Area Index</w:t>
      </w:r>
    </w:p>
    <w:p w14:paraId="15191C52" w14:textId="38F3753B" w:rsidR="00112593" w:rsidRPr="004537DC" w:rsidRDefault="00112593" w:rsidP="00112593">
      <w:pPr>
        <w:pStyle w:val="NormalWeb"/>
        <w:jc w:val="both"/>
      </w:pPr>
      <w:r w:rsidRPr="004537DC">
        <w:t xml:space="preserve">Post-pinching regrowth significantly influenced biomass partitioning and canopy development across all </w:t>
      </w:r>
      <w:r w:rsidRPr="004537DC">
        <w:rPr>
          <w:rStyle w:val="Emphasis"/>
        </w:rPr>
        <w:t>Moringa</w:t>
      </w:r>
      <w:r w:rsidRPr="004537DC">
        <w:t xml:space="preserve"> species and spacing treatments (Table 2). Root–shoot (R/S) ratio generally decreased with increasing spacing, indicating a shift in biomass allocation from below-ground to above-ground components as inter-plant competition diminished. At closer spacing (15×15 cm), </w:t>
      </w:r>
      <w:r w:rsidRPr="004537DC">
        <w:rPr>
          <w:rStyle w:val="Emphasis"/>
        </w:rPr>
        <w:t>M. oleifera</w:t>
      </w:r>
      <w:r w:rsidRPr="004537DC">
        <w:t xml:space="preserve"> and </w:t>
      </w:r>
      <w:r w:rsidR="00866F05" w:rsidRPr="00866F05">
        <w:rPr>
          <w:i/>
          <w:iCs/>
        </w:rPr>
        <w:t>PKM 1</w:t>
      </w:r>
      <w:r w:rsidRPr="004537DC">
        <w:t xml:space="preserve"> exhibited the highest R/S ratios (7.93 ± 0.34 and 5.77 ± 0.30, respectively), reflecting increased root investment under competitive conditions for water and nutrients. This response is consistent with adaptive allocation strategies reported in semi-arid tree species, where dense planting induces greater below-ground development to enhance resource acquisition (Li </w:t>
      </w:r>
      <w:r w:rsidRPr="0047180C">
        <w:rPr>
          <w:i/>
          <w:iCs/>
        </w:rPr>
        <w:t>et al</w:t>
      </w:r>
      <w:r w:rsidRPr="004537DC">
        <w:t xml:space="preserve">., 2022; Ogbuehi </w:t>
      </w:r>
      <w:r w:rsidR="00866F05">
        <w:t>and</w:t>
      </w:r>
      <w:r w:rsidRPr="004537DC">
        <w:t xml:space="preserve"> Adepoju, 2020).</w:t>
      </w:r>
    </w:p>
    <w:p w14:paraId="643B7E61" w14:textId="77777777" w:rsidR="00866F05" w:rsidRDefault="00866F05">
      <w:pPr>
        <w:rPr>
          <w:rFonts w:ascii="Times New Roman" w:eastAsia="Times New Roman" w:hAnsi="Times New Roman" w:cs="Times New Roman"/>
          <w:sz w:val="24"/>
          <w:szCs w:val="24"/>
          <w:lang w:eastAsia="en-NG"/>
        </w:rPr>
      </w:pPr>
      <w:r>
        <w:br w:type="page"/>
      </w:r>
    </w:p>
    <w:p w14:paraId="7F602032" w14:textId="476E0ED3" w:rsidR="00112593" w:rsidRPr="004537DC" w:rsidRDefault="00112593" w:rsidP="00112593">
      <w:pPr>
        <w:pStyle w:val="NormalWeb"/>
        <w:jc w:val="both"/>
      </w:pPr>
      <w:r w:rsidRPr="004537DC">
        <w:t xml:space="preserve">As spacing increased (20×20–20×30 cm), R/S ratios declined across all species, suggesting reduced competition and a corresponding shift toward shoot development. This pattern aligns with ecological theories of optimal partitioning, where plants allocate biomass preferentially to the most limiting resource—roots under competition and shoots under resource abundance (Zhang </w:t>
      </w:r>
      <w:r w:rsidRPr="0047180C">
        <w:rPr>
          <w:i/>
          <w:iCs/>
        </w:rPr>
        <w:t>et al</w:t>
      </w:r>
      <w:r w:rsidRPr="004537DC">
        <w:t xml:space="preserve">., 2021). Notably, </w:t>
      </w:r>
      <w:r w:rsidRPr="004537DC">
        <w:rPr>
          <w:rStyle w:val="Emphasis"/>
        </w:rPr>
        <w:t>M. stenopetala</w:t>
      </w:r>
      <w:r w:rsidRPr="004537DC">
        <w:t xml:space="preserve"> maintained consistently lower R/S ratios across all spacing levels, indicating a shoot-dominated strategy that prioritizes rapid canopy expansion during early regrowth. This species-specific behavior highlights inherent differences in growth strategies and adaptation mechanisms among </w:t>
      </w:r>
      <w:r w:rsidRPr="004537DC">
        <w:rPr>
          <w:rStyle w:val="Emphasis"/>
        </w:rPr>
        <w:t>Moringa</w:t>
      </w:r>
      <w:r w:rsidRPr="004537DC">
        <w:t xml:space="preserve"> species.</w:t>
      </w:r>
    </w:p>
    <w:p w14:paraId="25C01706" w14:textId="47E49547" w:rsidR="00112593" w:rsidRPr="004537DC" w:rsidRDefault="00112593" w:rsidP="00112593">
      <w:pPr>
        <w:pStyle w:val="NormalWeb"/>
        <w:jc w:val="both"/>
      </w:pPr>
      <w:r w:rsidRPr="004537DC">
        <w:t xml:space="preserve">Leaf area index (LAI) also varied significantly among species and spacing treatments. </w:t>
      </w:r>
      <w:r w:rsidRPr="004537DC">
        <w:rPr>
          <w:rStyle w:val="Emphasis"/>
        </w:rPr>
        <w:t>M. stenopetala</w:t>
      </w:r>
      <w:r w:rsidRPr="004537DC">
        <w:t xml:space="preserve"> exhibited the highest LAI values (0.80–0.87), indicating superior light interception efficiency and canopy development. In contrast, </w:t>
      </w:r>
      <w:r w:rsidR="00866F05" w:rsidRPr="00866F05">
        <w:rPr>
          <w:i/>
          <w:iCs/>
        </w:rPr>
        <w:t xml:space="preserve">PKM 1 </w:t>
      </w:r>
      <w:r w:rsidRPr="004537DC">
        <w:t xml:space="preserve">and </w:t>
      </w:r>
      <w:r w:rsidRPr="004537DC">
        <w:rPr>
          <w:rStyle w:val="Emphasis"/>
        </w:rPr>
        <w:t>M. peregrina</w:t>
      </w:r>
      <w:r w:rsidRPr="004537DC">
        <w:t xml:space="preserve"> showed moderate LAI values despite higher total biomass, suggesting a more balanced allocation between leaf area and structural biomass. This indicates that high biomass production is not solely dependent on leaf area but also on physiological efficiency and assimilate utilization.</w:t>
      </w:r>
    </w:p>
    <w:p w14:paraId="55401A91" w14:textId="77777777" w:rsidR="00112593" w:rsidRPr="004537DC" w:rsidRDefault="00112593" w:rsidP="00112593">
      <w:pPr>
        <w:pStyle w:val="NormalWeb"/>
        <w:jc w:val="both"/>
      </w:pPr>
      <w:r w:rsidRPr="004537DC">
        <w:t xml:space="preserve">Importantly, strong positive relationships between LAI and total biomass (R² = 0.88–0.90) confirm that canopy development is a key driver of productivity in post-pinching regrowth systems. Similar findings have been reported in recent agroforestry and silvicultural studies, where LAI serves as a reliable predictor of biomass accumulation and resource-use efficiency in fast-growing tree species (Said </w:t>
      </w:r>
      <w:r w:rsidRPr="0047180C">
        <w:rPr>
          <w:i/>
          <w:iCs/>
        </w:rPr>
        <w:t>et al</w:t>
      </w:r>
      <w:r w:rsidRPr="004537DC">
        <w:t xml:space="preserve">., 2023; </w:t>
      </w:r>
      <w:r>
        <w:t>-</w:t>
      </w:r>
      <w:r w:rsidRPr="004537DC">
        <w:t>). These results emphasize that optimizing spacing can effectively regulate both canopy architecture and biomass allocation, thereby enhancing productivity under semi-arid conditions.</w:t>
      </w:r>
    </w:p>
    <w:p w14:paraId="17482144" w14:textId="77777777" w:rsidR="00112593" w:rsidRPr="00866F05" w:rsidRDefault="00112593" w:rsidP="00866F05">
      <w:pPr>
        <w:pStyle w:val="Heading2"/>
        <w:spacing w:before="0" w:beforeAutospacing="0" w:after="0" w:afterAutospacing="0"/>
        <w:rPr>
          <w:b w:val="0"/>
          <w:bCs w:val="0"/>
          <w:sz w:val="24"/>
          <w:szCs w:val="24"/>
        </w:rPr>
      </w:pPr>
      <w:r w:rsidRPr="00866F05">
        <w:rPr>
          <w:rStyle w:val="Strong"/>
          <w:b/>
          <w:bCs/>
          <w:sz w:val="24"/>
          <w:szCs w:val="24"/>
        </w:rPr>
        <w:t xml:space="preserve">Table 2. Leaf Area Index (LAI) and Root–Shoot (R/S) Ratio Across Spacing Treatments </w:t>
      </w:r>
    </w:p>
    <w:tbl>
      <w:tblPr>
        <w:tblStyle w:val="PlainTable2"/>
        <w:tblW w:w="0" w:type="auto"/>
        <w:tblLook w:val="04A0" w:firstRow="1" w:lastRow="0" w:firstColumn="1" w:lastColumn="0" w:noHBand="0" w:noVBand="1"/>
      </w:tblPr>
      <w:tblGrid>
        <w:gridCol w:w="2223"/>
        <w:gridCol w:w="2238"/>
        <w:gridCol w:w="2097"/>
        <w:gridCol w:w="2223"/>
      </w:tblGrid>
      <w:tr w:rsidR="00112593" w:rsidRPr="004537DC" w14:paraId="382651D0" w14:textId="77777777" w:rsidTr="003A7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hideMark/>
          </w:tcPr>
          <w:p w14:paraId="4530F975" w14:textId="77777777" w:rsidR="00112593" w:rsidRPr="0047180C" w:rsidRDefault="00112593" w:rsidP="003A7979">
            <w:pPr>
              <w:rPr>
                <w:rFonts w:ascii="Times New Roman" w:hAnsi="Times New Roman" w:cs="Times New Roman"/>
                <w:sz w:val="24"/>
                <w:szCs w:val="24"/>
              </w:rPr>
            </w:pPr>
            <w:r w:rsidRPr="0047180C">
              <w:rPr>
                <w:rFonts w:ascii="Times New Roman" w:hAnsi="Times New Roman" w:cs="Times New Roman"/>
                <w:sz w:val="24"/>
                <w:szCs w:val="24"/>
              </w:rPr>
              <w:t>Spacing (cm)</w:t>
            </w:r>
          </w:p>
        </w:tc>
        <w:tc>
          <w:tcPr>
            <w:tcW w:w="2238" w:type="dxa"/>
            <w:hideMark/>
          </w:tcPr>
          <w:p w14:paraId="02DEC97C" w14:textId="77777777" w:rsidR="00112593" w:rsidRPr="0047180C" w:rsidRDefault="00112593" w:rsidP="003A797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80C">
              <w:rPr>
                <w:rFonts w:ascii="Times New Roman" w:hAnsi="Times New Roman" w:cs="Times New Roman"/>
                <w:sz w:val="24"/>
                <w:szCs w:val="24"/>
              </w:rPr>
              <w:t>Species</w:t>
            </w:r>
          </w:p>
        </w:tc>
        <w:tc>
          <w:tcPr>
            <w:tcW w:w="2097" w:type="dxa"/>
            <w:hideMark/>
          </w:tcPr>
          <w:p w14:paraId="37E45491" w14:textId="77777777" w:rsidR="00112593" w:rsidRPr="0047180C" w:rsidRDefault="00112593" w:rsidP="003A797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80C">
              <w:rPr>
                <w:rFonts w:ascii="Times New Roman" w:hAnsi="Times New Roman" w:cs="Times New Roman"/>
                <w:sz w:val="24"/>
                <w:szCs w:val="24"/>
              </w:rPr>
              <w:t>LAI ± SE</w:t>
            </w:r>
          </w:p>
        </w:tc>
        <w:tc>
          <w:tcPr>
            <w:tcW w:w="2223" w:type="dxa"/>
            <w:hideMark/>
          </w:tcPr>
          <w:p w14:paraId="4D8D1332" w14:textId="77777777" w:rsidR="00112593" w:rsidRPr="0047180C" w:rsidRDefault="00112593" w:rsidP="003A797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80C">
              <w:rPr>
                <w:rFonts w:ascii="Times New Roman" w:hAnsi="Times New Roman" w:cs="Times New Roman"/>
                <w:sz w:val="24"/>
                <w:szCs w:val="24"/>
              </w:rPr>
              <w:t>R/S ± SE</w:t>
            </w:r>
          </w:p>
        </w:tc>
      </w:tr>
      <w:tr w:rsidR="00112593" w:rsidRPr="004537DC" w14:paraId="7EFA9E72"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bottom w:val="nil"/>
            </w:tcBorders>
            <w:hideMark/>
          </w:tcPr>
          <w:p w14:paraId="311D5A93" w14:textId="77777777" w:rsidR="00112593" w:rsidRPr="004537DC" w:rsidRDefault="00112593" w:rsidP="003A7979">
            <w:pPr>
              <w:rPr>
                <w:rFonts w:ascii="Times New Roman" w:hAnsi="Times New Roman" w:cs="Times New Roman"/>
                <w:b w:val="0"/>
                <w:bCs w:val="0"/>
                <w:sz w:val="24"/>
                <w:szCs w:val="24"/>
              </w:rPr>
            </w:pPr>
            <w:r w:rsidRPr="004537DC">
              <w:rPr>
                <w:rStyle w:val="Strong"/>
                <w:rFonts w:ascii="Times New Roman" w:hAnsi="Times New Roman" w:cs="Times New Roman"/>
                <w:sz w:val="24"/>
                <w:szCs w:val="24"/>
              </w:rPr>
              <w:t>15×15</w:t>
            </w:r>
          </w:p>
        </w:tc>
        <w:tc>
          <w:tcPr>
            <w:tcW w:w="2238" w:type="dxa"/>
            <w:tcBorders>
              <w:bottom w:val="nil"/>
            </w:tcBorders>
            <w:hideMark/>
          </w:tcPr>
          <w:p w14:paraId="4E289437"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peregrina</w:t>
            </w:r>
          </w:p>
        </w:tc>
        <w:tc>
          <w:tcPr>
            <w:tcW w:w="2097" w:type="dxa"/>
            <w:tcBorders>
              <w:bottom w:val="nil"/>
            </w:tcBorders>
            <w:hideMark/>
          </w:tcPr>
          <w:p w14:paraId="05CAE185"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0.63 ± 0.041</w:t>
            </w:r>
          </w:p>
        </w:tc>
        <w:tc>
          <w:tcPr>
            <w:tcW w:w="2223" w:type="dxa"/>
            <w:tcBorders>
              <w:bottom w:val="nil"/>
            </w:tcBorders>
            <w:hideMark/>
          </w:tcPr>
          <w:p w14:paraId="533A4F22"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5.90 ± 0.31</w:t>
            </w:r>
          </w:p>
        </w:tc>
      </w:tr>
      <w:tr w:rsidR="00112593" w:rsidRPr="004537DC" w14:paraId="2F57C3D5"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6F9D661C"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04633331"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oleifera</w:t>
            </w:r>
          </w:p>
        </w:tc>
        <w:tc>
          <w:tcPr>
            <w:tcW w:w="2097" w:type="dxa"/>
            <w:tcBorders>
              <w:top w:val="nil"/>
              <w:bottom w:val="nil"/>
            </w:tcBorders>
            <w:hideMark/>
          </w:tcPr>
          <w:p w14:paraId="6CAF8B61"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0.70 ± 0.052</w:t>
            </w:r>
          </w:p>
        </w:tc>
        <w:tc>
          <w:tcPr>
            <w:tcW w:w="2223" w:type="dxa"/>
            <w:tcBorders>
              <w:top w:val="nil"/>
              <w:bottom w:val="nil"/>
            </w:tcBorders>
            <w:hideMark/>
          </w:tcPr>
          <w:p w14:paraId="25830B5D"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7.93 ± 0.34</w:t>
            </w:r>
          </w:p>
        </w:tc>
      </w:tr>
      <w:tr w:rsidR="00112593" w:rsidRPr="004537DC" w14:paraId="0C25771F"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55007C13"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0EA4B980"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stenopetala</w:t>
            </w:r>
          </w:p>
        </w:tc>
        <w:tc>
          <w:tcPr>
            <w:tcW w:w="2097" w:type="dxa"/>
            <w:tcBorders>
              <w:top w:val="nil"/>
              <w:bottom w:val="nil"/>
            </w:tcBorders>
            <w:hideMark/>
          </w:tcPr>
          <w:p w14:paraId="606D19BF"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0.87 ± 0.047</w:t>
            </w:r>
          </w:p>
        </w:tc>
        <w:tc>
          <w:tcPr>
            <w:tcW w:w="2223" w:type="dxa"/>
            <w:tcBorders>
              <w:top w:val="nil"/>
              <w:bottom w:val="nil"/>
            </w:tcBorders>
            <w:hideMark/>
          </w:tcPr>
          <w:p w14:paraId="5481A1B5"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2.53 ± 0.22</w:t>
            </w:r>
          </w:p>
        </w:tc>
      </w:tr>
      <w:tr w:rsidR="00112593" w:rsidRPr="004537DC" w14:paraId="4D4113F0"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145795FD"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7F21C773" w14:textId="3DA21A88" w:rsidR="00112593" w:rsidRPr="004537DC" w:rsidRDefault="00866F05"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866F05">
              <w:rPr>
                <w:rFonts w:ascii="Times New Roman" w:hAnsi="Times New Roman" w:cs="Times New Roman"/>
                <w:i/>
                <w:iCs/>
                <w:sz w:val="24"/>
                <w:szCs w:val="24"/>
              </w:rPr>
              <w:t xml:space="preserve">PKM 1 </w:t>
            </w:r>
          </w:p>
        </w:tc>
        <w:tc>
          <w:tcPr>
            <w:tcW w:w="2097" w:type="dxa"/>
            <w:tcBorders>
              <w:top w:val="nil"/>
              <w:bottom w:val="nil"/>
            </w:tcBorders>
            <w:hideMark/>
          </w:tcPr>
          <w:p w14:paraId="4DED7DFD"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0.63 ± 0.045</w:t>
            </w:r>
          </w:p>
        </w:tc>
        <w:tc>
          <w:tcPr>
            <w:tcW w:w="2223" w:type="dxa"/>
            <w:tcBorders>
              <w:top w:val="nil"/>
              <w:bottom w:val="nil"/>
            </w:tcBorders>
            <w:hideMark/>
          </w:tcPr>
          <w:p w14:paraId="2B072C73"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5.77 ± 0.30</w:t>
            </w:r>
          </w:p>
        </w:tc>
      </w:tr>
      <w:tr w:rsidR="00112593" w:rsidRPr="004537DC" w14:paraId="074F6662"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54A6C80F" w14:textId="77777777" w:rsidR="00112593" w:rsidRPr="004537DC" w:rsidRDefault="00112593" w:rsidP="003A7979">
            <w:pPr>
              <w:rPr>
                <w:rFonts w:ascii="Times New Roman" w:hAnsi="Times New Roman" w:cs="Times New Roman"/>
                <w:sz w:val="24"/>
                <w:szCs w:val="24"/>
              </w:rPr>
            </w:pPr>
            <w:r w:rsidRPr="004537DC">
              <w:rPr>
                <w:rStyle w:val="Strong"/>
                <w:rFonts w:ascii="Times New Roman" w:hAnsi="Times New Roman" w:cs="Times New Roman"/>
                <w:sz w:val="24"/>
                <w:szCs w:val="24"/>
              </w:rPr>
              <w:t>15×20</w:t>
            </w:r>
          </w:p>
        </w:tc>
        <w:tc>
          <w:tcPr>
            <w:tcW w:w="2238" w:type="dxa"/>
            <w:tcBorders>
              <w:top w:val="nil"/>
              <w:bottom w:val="nil"/>
            </w:tcBorders>
            <w:hideMark/>
          </w:tcPr>
          <w:p w14:paraId="1D55DA8B"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peregrina</w:t>
            </w:r>
          </w:p>
        </w:tc>
        <w:tc>
          <w:tcPr>
            <w:tcW w:w="2097" w:type="dxa"/>
            <w:tcBorders>
              <w:top w:val="nil"/>
              <w:bottom w:val="nil"/>
            </w:tcBorders>
            <w:hideMark/>
          </w:tcPr>
          <w:p w14:paraId="01ADB9FA"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0.61 ± 0.038</w:t>
            </w:r>
          </w:p>
        </w:tc>
        <w:tc>
          <w:tcPr>
            <w:tcW w:w="2223" w:type="dxa"/>
            <w:tcBorders>
              <w:top w:val="nil"/>
              <w:bottom w:val="nil"/>
            </w:tcBorders>
            <w:hideMark/>
          </w:tcPr>
          <w:p w14:paraId="00C45722"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5.50 ± 0.28</w:t>
            </w:r>
          </w:p>
        </w:tc>
      </w:tr>
      <w:tr w:rsidR="00112593" w:rsidRPr="004537DC" w14:paraId="677FE482"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0C177C77"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7C0E90CA"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oleifera</w:t>
            </w:r>
          </w:p>
        </w:tc>
        <w:tc>
          <w:tcPr>
            <w:tcW w:w="2097" w:type="dxa"/>
            <w:tcBorders>
              <w:top w:val="nil"/>
              <w:bottom w:val="nil"/>
            </w:tcBorders>
            <w:hideMark/>
          </w:tcPr>
          <w:p w14:paraId="55D5842F"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0.68 ± 0.049</w:t>
            </w:r>
          </w:p>
        </w:tc>
        <w:tc>
          <w:tcPr>
            <w:tcW w:w="2223" w:type="dxa"/>
            <w:tcBorders>
              <w:top w:val="nil"/>
              <w:bottom w:val="nil"/>
            </w:tcBorders>
            <w:hideMark/>
          </w:tcPr>
          <w:p w14:paraId="7B3CD337"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7.50 ± 0.32</w:t>
            </w:r>
          </w:p>
        </w:tc>
      </w:tr>
      <w:tr w:rsidR="00112593" w:rsidRPr="004537DC" w14:paraId="51ACFA18"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306E2F10"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0E103881"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stenopetala</w:t>
            </w:r>
          </w:p>
        </w:tc>
        <w:tc>
          <w:tcPr>
            <w:tcW w:w="2097" w:type="dxa"/>
            <w:tcBorders>
              <w:top w:val="nil"/>
              <w:bottom w:val="nil"/>
            </w:tcBorders>
            <w:hideMark/>
          </w:tcPr>
          <w:p w14:paraId="1F546F7A"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0.85 ± 0.044</w:t>
            </w:r>
          </w:p>
        </w:tc>
        <w:tc>
          <w:tcPr>
            <w:tcW w:w="2223" w:type="dxa"/>
            <w:tcBorders>
              <w:top w:val="nil"/>
              <w:bottom w:val="nil"/>
            </w:tcBorders>
            <w:hideMark/>
          </w:tcPr>
          <w:p w14:paraId="05456128"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2.40 ± 0.21</w:t>
            </w:r>
          </w:p>
        </w:tc>
      </w:tr>
      <w:tr w:rsidR="00112593" w:rsidRPr="004537DC" w14:paraId="38BBC9E7"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74035E41"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4043E743" w14:textId="5A0D3675" w:rsidR="00112593" w:rsidRPr="004537DC" w:rsidRDefault="00866F05"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866F05">
              <w:rPr>
                <w:rFonts w:ascii="Times New Roman" w:hAnsi="Times New Roman" w:cs="Times New Roman"/>
                <w:i/>
                <w:iCs/>
                <w:sz w:val="24"/>
                <w:szCs w:val="24"/>
              </w:rPr>
              <w:t xml:space="preserve">PKM 1 </w:t>
            </w:r>
          </w:p>
        </w:tc>
        <w:tc>
          <w:tcPr>
            <w:tcW w:w="2097" w:type="dxa"/>
            <w:tcBorders>
              <w:top w:val="nil"/>
              <w:bottom w:val="nil"/>
            </w:tcBorders>
            <w:hideMark/>
          </w:tcPr>
          <w:p w14:paraId="080BD4BA"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0.62 ± 0.042</w:t>
            </w:r>
          </w:p>
        </w:tc>
        <w:tc>
          <w:tcPr>
            <w:tcW w:w="2223" w:type="dxa"/>
            <w:tcBorders>
              <w:top w:val="nil"/>
              <w:bottom w:val="nil"/>
            </w:tcBorders>
            <w:hideMark/>
          </w:tcPr>
          <w:p w14:paraId="48EC9FD0"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5.50 ± 0.29</w:t>
            </w:r>
          </w:p>
        </w:tc>
      </w:tr>
      <w:tr w:rsidR="00112593" w:rsidRPr="004537DC" w14:paraId="4F5F5A7D"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173D6682" w14:textId="77777777" w:rsidR="00112593" w:rsidRPr="004537DC" w:rsidRDefault="00112593" w:rsidP="003A7979">
            <w:pPr>
              <w:rPr>
                <w:rFonts w:ascii="Times New Roman" w:hAnsi="Times New Roman" w:cs="Times New Roman"/>
                <w:sz w:val="24"/>
                <w:szCs w:val="24"/>
              </w:rPr>
            </w:pPr>
            <w:r w:rsidRPr="004537DC">
              <w:rPr>
                <w:rStyle w:val="Strong"/>
                <w:rFonts w:ascii="Times New Roman" w:hAnsi="Times New Roman" w:cs="Times New Roman"/>
                <w:sz w:val="24"/>
                <w:szCs w:val="24"/>
              </w:rPr>
              <w:t>20×20</w:t>
            </w:r>
          </w:p>
        </w:tc>
        <w:tc>
          <w:tcPr>
            <w:tcW w:w="2238" w:type="dxa"/>
            <w:tcBorders>
              <w:top w:val="nil"/>
              <w:bottom w:val="nil"/>
            </w:tcBorders>
            <w:hideMark/>
          </w:tcPr>
          <w:p w14:paraId="2992368F"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peregrina</w:t>
            </w:r>
          </w:p>
        </w:tc>
        <w:tc>
          <w:tcPr>
            <w:tcW w:w="2097" w:type="dxa"/>
            <w:tcBorders>
              <w:top w:val="nil"/>
              <w:bottom w:val="nil"/>
            </w:tcBorders>
            <w:hideMark/>
          </w:tcPr>
          <w:p w14:paraId="6943E1AA"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0.59 ± 0.036</w:t>
            </w:r>
          </w:p>
        </w:tc>
        <w:tc>
          <w:tcPr>
            <w:tcW w:w="2223" w:type="dxa"/>
            <w:tcBorders>
              <w:top w:val="nil"/>
              <w:bottom w:val="nil"/>
            </w:tcBorders>
            <w:hideMark/>
          </w:tcPr>
          <w:p w14:paraId="6C352F2A"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5.10 ± 0.26</w:t>
            </w:r>
          </w:p>
        </w:tc>
      </w:tr>
      <w:tr w:rsidR="00112593" w:rsidRPr="004537DC" w14:paraId="1C4EE4F2"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181F4D8C"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03EEA910"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oleifera</w:t>
            </w:r>
          </w:p>
        </w:tc>
        <w:tc>
          <w:tcPr>
            <w:tcW w:w="2097" w:type="dxa"/>
            <w:tcBorders>
              <w:top w:val="nil"/>
              <w:bottom w:val="nil"/>
            </w:tcBorders>
            <w:hideMark/>
          </w:tcPr>
          <w:p w14:paraId="75D87CF0"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0.65 ± 0.045</w:t>
            </w:r>
          </w:p>
        </w:tc>
        <w:tc>
          <w:tcPr>
            <w:tcW w:w="2223" w:type="dxa"/>
            <w:tcBorders>
              <w:top w:val="nil"/>
              <w:bottom w:val="nil"/>
            </w:tcBorders>
            <w:hideMark/>
          </w:tcPr>
          <w:p w14:paraId="0D3DF0E3"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7.00 ± 0.30</w:t>
            </w:r>
          </w:p>
        </w:tc>
      </w:tr>
      <w:tr w:rsidR="00112593" w:rsidRPr="004537DC" w14:paraId="0B9136F0"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19B1DF66"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57D40A78"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stenopetala</w:t>
            </w:r>
          </w:p>
        </w:tc>
        <w:tc>
          <w:tcPr>
            <w:tcW w:w="2097" w:type="dxa"/>
            <w:tcBorders>
              <w:top w:val="nil"/>
              <w:bottom w:val="nil"/>
            </w:tcBorders>
            <w:hideMark/>
          </w:tcPr>
          <w:p w14:paraId="7CA28331"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0.83 ± 0.041</w:t>
            </w:r>
          </w:p>
        </w:tc>
        <w:tc>
          <w:tcPr>
            <w:tcW w:w="2223" w:type="dxa"/>
            <w:tcBorders>
              <w:top w:val="nil"/>
              <w:bottom w:val="nil"/>
            </w:tcBorders>
            <w:hideMark/>
          </w:tcPr>
          <w:p w14:paraId="018FFAB2"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2.30 ± 0.20</w:t>
            </w:r>
          </w:p>
        </w:tc>
      </w:tr>
      <w:tr w:rsidR="00112593" w:rsidRPr="004537DC" w14:paraId="7707D669"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5CF55879"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4B5003A5" w14:textId="38D5ABA8" w:rsidR="00112593" w:rsidRPr="004537DC" w:rsidRDefault="00866F05"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866F05">
              <w:rPr>
                <w:rFonts w:ascii="Times New Roman" w:hAnsi="Times New Roman" w:cs="Times New Roman"/>
                <w:i/>
                <w:iCs/>
                <w:sz w:val="24"/>
                <w:szCs w:val="24"/>
              </w:rPr>
              <w:t xml:space="preserve">PKM 1 </w:t>
            </w:r>
          </w:p>
        </w:tc>
        <w:tc>
          <w:tcPr>
            <w:tcW w:w="2097" w:type="dxa"/>
            <w:tcBorders>
              <w:top w:val="nil"/>
              <w:bottom w:val="nil"/>
            </w:tcBorders>
            <w:hideMark/>
          </w:tcPr>
          <w:p w14:paraId="57A89F77"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0.61 ± 0.040</w:t>
            </w:r>
          </w:p>
        </w:tc>
        <w:tc>
          <w:tcPr>
            <w:tcW w:w="2223" w:type="dxa"/>
            <w:tcBorders>
              <w:top w:val="nil"/>
              <w:bottom w:val="nil"/>
            </w:tcBorders>
            <w:hideMark/>
          </w:tcPr>
          <w:p w14:paraId="7AFA7FDA"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5.20 ± 0.27</w:t>
            </w:r>
          </w:p>
        </w:tc>
      </w:tr>
      <w:tr w:rsidR="00112593" w:rsidRPr="004537DC" w14:paraId="513B5FA9"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02B9830B" w14:textId="77777777" w:rsidR="00112593" w:rsidRPr="004537DC" w:rsidRDefault="00112593" w:rsidP="003A7979">
            <w:pPr>
              <w:rPr>
                <w:rFonts w:ascii="Times New Roman" w:hAnsi="Times New Roman" w:cs="Times New Roman"/>
                <w:sz w:val="24"/>
                <w:szCs w:val="24"/>
              </w:rPr>
            </w:pPr>
            <w:r w:rsidRPr="004537DC">
              <w:rPr>
                <w:rStyle w:val="Strong"/>
                <w:rFonts w:ascii="Times New Roman" w:hAnsi="Times New Roman" w:cs="Times New Roman"/>
                <w:sz w:val="24"/>
                <w:szCs w:val="24"/>
              </w:rPr>
              <w:t>20×30</w:t>
            </w:r>
          </w:p>
        </w:tc>
        <w:tc>
          <w:tcPr>
            <w:tcW w:w="2238" w:type="dxa"/>
            <w:tcBorders>
              <w:top w:val="nil"/>
              <w:bottom w:val="nil"/>
            </w:tcBorders>
            <w:hideMark/>
          </w:tcPr>
          <w:p w14:paraId="21E4EB14"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peregrina</w:t>
            </w:r>
          </w:p>
        </w:tc>
        <w:tc>
          <w:tcPr>
            <w:tcW w:w="2097" w:type="dxa"/>
            <w:tcBorders>
              <w:top w:val="nil"/>
              <w:bottom w:val="nil"/>
            </w:tcBorders>
            <w:hideMark/>
          </w:tcPr>
          <w:p w14:paraId="661B2CF1"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0.57 ± 0.034</w:t>
            </w:r>
          </w:p>
        </w:tc>
        <w:tc>
          <w:tcPr>
            <w:tcW w:w="2223" w:type="dxa"/>
            <w:tcBorders>
              <w:top w:val="nil"/>
              <w:bottom w:val="nil"/>
            </w:tcBorders>
            <w:hideMark/>
          </w:tcPr>
          <w:p w14:paraId="3B97FFC1"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4.80 ± 0.25</w:t>
            </w:r>
          </w:p>
        </w:tc>
      </w:tr>
      <w:tr w:rsidR="00112593" w:rsidRPr="004537DC" w14:paraId="59055063"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6DD1BA59"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21E6CE03"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oleifera</w:t>
            </w:r>
          </w:p>
        </w:tc>
        <w:tc>
          <w:tcPr>
            <w:tcW w:w="2097" w:type="dxa"/>
            <w:tcBorders>
              <w:top w:val="nil"/>
              <w:bottom w:val="nil"/>
            </w:tcBorders>
            <w:hideMark/>
          </w:tcPr>
          <w:p w14:paraId="2E7A0F4D"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0.63 ± 0.042</w:t>
            </w:r>
          </w:p>
        </w:tc>
        <w:tc>
          <w:tcPr>
            <w:tcW w:w="2223" w:type="dxa"/>
            <w:tcBorders>
              <w:top w:val="nil"/>
              <w:bottom w:val="nil"/>
            </w:tcBorders>
            <w:hideMark/>
          </w:tcPr>
          <w:p w14:paraId="1BA9B805"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6.80 ± 0.28</w:t>
            </w:r>
          </w:p>
        </w:tc>
      </w:tr>
      <w:tr w:rsidR="00112593" w:rsidRPr="004537DC" w14:paraId="1DB18314" w14:textId="77777777" w:rsidTr="003A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top w:val="nil"/>
              <w:bottom w:val="nil"/>
            </w:tcBorders>
            <w:hideMark/>
          </w:tcPr>
          <w:p w14:paraId="3BE9C520" w14:textId="77777777" w:rsidR="00112593" w:rsidRPr="004537DC" w:rsidRDefault="00112593" w:rsidP="003A7979">
            <w:pPr>
              <w:rPr>
                <w:rFonts w:ascii="Times New Roman" w:hAnsi="Times New Roman" w:cs="Times New Roman"/>
                <w:sz w:val="24"/>
                <w:szCs w:val="24"/>
              </w:rPr>
            </w:pPr>
          </w:p>
        </w:tc>
        <w:tc>
          <w:tcPr>
            <w:tcW w:w="2238" w:type="dxa"/>
            <w:tcBorders>
              <w:top w:val="nil"/>
              <w:bottom w:val="nil"/>
            </w:tcBorders>
            <w:hideMark/>
          </w:tcPr>
          <w:p w14:paraId="123C2A54"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537DC">
              <w:rPr>
                <w:rFonts w:ascii="Times New Roman" w:hAnsi="Times New Roman" w:cs="Times New Roman"/>
                <w:i/>
                <w:iCs/>
                <w:sz w:val="24"/>
                <w:szCs w:val="24"/>
              </w:rPr>
              <w:t>M. stenopetala</w:t>
            </w:r>
          </w:p>
        </w:tc>
        <w:tc>
          <w:tcPr>
            <w:tcW w:w="2097" w:type="dxa"/>
            <w:tcBorders>
              <w:top w:val="nil"/>
              <w:bottom w:val="nil"/>
            </w:tcBorders>
            <w:hideMark/>
          </w:tcPr>
          <w:p w14:paraId="293099DB"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0.81 ± 0.039</w:t>
            </w:r>
          </w:p>
        </w:tc>
        <w:tc>
          <w:tcPr>
            <w:tcW w:w="2223" w:type="dxa"/>
            <w:tcBorders>
              <w:top w:val="nil"/>
              <w:bottom w:val="nil"/>
            </w:tcBorders>
            <w:hideMark/>
          </w:tcPr>
          <w:p w14:paraId="488B2905" w14:textId="77777777" w:rsidR="00112593" w:rsidRPr="004537DC" w:rsidRDefault="00112593" w:rsidP="003A79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2.20 ± 0.19</w:t>
            </w:r>
          </w:p>
        </w:tc>
      </w:tr>
      <w:tr w:rsidR="00112593" w:rsidRPr="004537DC" w14:paraId="21730205" w14:textId="77777777" w:rsidTr="003A7979">
        <w:tc>
          <w:tcPr>
            <w:cnfStyle w:val="001000000000" w:firstRow="0" w:lastRow="0" w:firstColumn="1" w:lastColumn="0" w:oddVBand="0" w:evenVBand="0" w:oddHBand="0" w:evenHBand="0" w:firstRowFirstColumn="0" w:firstRowLastColumn="0" w:lastRowFirstColumn="0" w:lastRowLastColumn="0"/>
            <w:tcW w:w="2223" w:type="dxa"/>
            <w:tcBorders>
              <w:top w:val="nil"/>
            </w:tcBorders>
            <w:hideMark/>
          </w:tcPr>
          <w:p w14:paraId="3DFE5D13" w14:textId="77777777" w:rsidR="00112593" w:rsidRPr="004537DC" w:rsidRDefault="00112593" w:rsidP="003A7979">
            <w:pPr>
              <w:rPr>
                <w:rFonts w:ascii="Times New Roman" w:hAnsi="Times New Roman" w:cs="Times New Roman"/>
                <w:sz w:val="24"/>
                <w:szCs w:val="24"/>
              </w:rPr>
            </w:pPr>
          </w:p>
        </w:tc>
        <w:tc>
          <w:tcPr>
            <w:tcW w:w="2238" w:type="dxa"/>
            <w:tcBorders>
              <w:top w:val="nil"/>
            </w:tcBorders>
            <w:hideMark/>
          </w:tcPr>
          <w:p w14:paraId="62456E54" w14:textId="0F523FCB" w:rsidR="00112593" w:rsidRPr="004537DC" w:rsidRDefault="00866F05"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866F05">
              <w:rPr>
                <w:rFonts w:ascii="Times New Roman" w:hAnsi="Times New Roman" w:cs="Times New Roman"/>
                <w:i/>
                <w:iCs/>
                <w:sz w:val="24"/>
                <w:szCs w:val="24"/>
              </w:rPr>
              <w:t xml:space="preserve">PKM 1 </w:t>
            </w:r>
          </w:p>
        </w:tc>
        <w:tc>
          <w:tcPr>
            <w:tcW w:w="2097" w:type="dxa"/>
            <w:tcBorders>
              <w:top w:val="nil"/>
            </w:tcBorders>
            <w:hideMark/>
          </w:tcPr>
          <w:p w14:paraId="1CA670D9"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0.60 ± 0.038</w:t>
            </w:r>
          </w:p>
        </w:tc>
        <w:tc>
          <w:tcPr>
            <w:tcW w:w="2223" w:type="dxa"/>
            <w:tcBorders>
              <w:top w:val="nil"/>
            </w:tcBorders>
            <w:hideMark/>
          </w:tcPr>
          <w:p w14:paraId="3843F0A0" w14:textId="77777777" w:rsidR="00112593" w:rsidRPr="004537DC" w:rsidRDefault="00112593" w:rsidP="003A79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37DC">
              <w:rPr>
                <w:rFonts w:ascii="Times New Roman" w:hAnsi="Times New Roman" w:cs="Times New Roman"/>
                <w:sz w:val="24"/>
                <w:szCs w:val="24"/>
              </w:rPr>
              <w:t>5.00 ± 0.26</w:t>
            </w:r>
          </w:p>
        </w:tc>
      </w:tr>
    </w:tbl>
    <w:p w14:paraId="4D4B4ED1" w14:textId="77777777" w:rsidR="00866F05" w:rsidRDefault="00866F05" w:rsidP="00112593">
      <w:pPr>
        <w:pStyle w:val="Heading3"/>
        <w:rPr>
          <w:sz w:val="24"/>
          <w:szCs w:val="24"/>
        </w:rPr>
      </w:pPr>
    </w:p>
    <w:p w14:paraId="06506B38" w14:textId="77777777" w:rsidR="00866F05" w:rsidRDefault="00866F05">
      <w:pPr>
        <w:rPr>
          <w:rFonts w:ascii="Times New Roman" w:eastAsia="Times New Roman" w:hAnsi="Times New Roman" w:cs="Times New Roman"/>
          <w:b/>
          <w:bCs/>
          <w:sz w:val="24"/>
          <w:szCs w:val="24"/>
          <w:lang w:eastAsia="en-NG"/>
        </w:rPr>
      </w:pPr>
      <w:r>
        <w:rPr>
          <w:sz w:val="24"/>
          <w:szCs w:val="24"/>
        </w:rPr>
        <w:br w:type="page"/>
      </w:r>
    </w:p>
    <w:p w14:paraId="54212FC4" w14:textId="24A65889" w:rsidR="00112593" w:rsidRPr="004537DC" w:rsidRDefault="001218C4" w:rsidP="00112593">
      <w:pPr>
        <w:pStyle w:val="Heading3"/>
        <w:rPr>
          <w:sz w:val="24"/>
          <w:szCs w:val="24"/>
        </w:rPr>
      </w:pPr>
      <w:r>
        <w:rPr>
          <w:sz w:val="24"/>
          <w:szCs w:val="24"/>
          <w:lang w:val="en-US"/>
        </w:rPr>
        <w:t>4</w:t>
      </w:r>
      <w:r w:rsidR="00112593" w:rsidRPr="004537DC">
        <w:rPr>
          <w:sz w:val="24"/>
          <w:szCs w:val="24"/>
        </w:rPr>
        <w:t>.3 Root vs. Shoot Regression</w:t>
      </w:r>
    </w:p>
    <w:p w14:paraId="183243A7" w14:textId="77777777" w:rsidR="00112593" w:rsidRPr="008F335D"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eastAsia="en-NG"/>
        </w:rPr>
      </w:pPr>
      <w:r w:rsidRPr="008F335D">
        <w:rPr>
          <w:rFonts w:ascii="Times New Roman" w:eastAsia="Times New Roman" w:hAnsi="Times New Roman" w:cs="Times New Roman"/>
          <w:sz w:val="24"/>
          <w:szCs w:val="24"/>
          <w:lang w:eastAsia="en-NG"/>
        </w:rPr>
        <w:t xml:space="preserve">Regression analysis revealed strong positive relationships between root and shoot biomass across all </w:t>
      </w:r>
      <w:r w:rsidRPr="008F335D">
        <w:rPr>
          <w:rFonts w:ascii="Times New Roman" w:eastAsia="Times New Roman" w:hAnsi="Times New Roman" w:cs="Times New Roman"/>
          <w:i/>
          <w:iCs/>
          <w:sz w:val="24"/>
          <w:szCs w:val="24"/>
          <w:lang w:eastAsia="en-NG"/>
        </w:rPr>
        <w:t>Moringa</w:t>
      </w:r>
      <w:r w:rsidRPr="008F335D">
        <w:rPr>
          <w:rFonts w:ascii="Times New Roman" w:eastAsia="Times New Roman" w:hAnsi="Times New Roman" w:cs="Times New Roman"/>
          <w:sz w:val="24"/>
          <w:szCs w:val="24"/>
          <w:lang w:eastAsia="en-NG"/>
        </w:rPr>
        <w:t xml:space="preserve"> species (R² = 0.85–0.94), indicating coordinated biomass allocation during post-pinching regrowth (Table 3). The high coefficients of determination suggest that variations in shoot biomass are largely explained by root biomass, highlighting the functional interdependence between below- and above-ground growth components.</w:t>
      </w:r>
    </w:p>
    <w:p w14:paraId="5B5A2227" w14:textId="54A655E0" w:rsidR="00112593" w:rsidRPr="008F335D"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eastAsia="en-NG"/>
        </w:rPr>
      </w:pPr>
      <w:r w:rsidRPr="008F335D">
        <w:rPr>
          <w:rFonts w:ascii="Times New Roman" w:eastAsia="Times New Roman" w:hAnsi="Times New Roman" w:cs="Times New Roman"/>
          <w:sz w:val="24"/>
          <w:szCs w:val="24"/>
          <w:lang w:eastAsia="en-NG"/>
        </w:rPr>
        <w:t xml:space="preserve">Among the species, </w:t>
      </w:r>
      <w:r w:rsidRPr="008F335D">
        <w:rPr>
          <w:rFonts w:ascii="Times New Roman" w:eastAsia="Times New Roman" w:hAnsi="Times New Roman" w:cs="Times New Roman"/>
          <w:i/>
          <w:iCs/>
          <w:sz w:val="24"/>
          <w:szCs w:val="24"/>
          <w:lang w:eastAsia="en-NG"/>
        </w:rPr>
        <w:t>M. oleifera</w:t>
      </w:r>
      <w:r w:rsidRPr="008F335D">
        <w:rPr>
          <w:rFonts w:ascii="Times New Roman" w:eastAsia="Times New Roman" w:hAnsi="Times New Roman" w:cs="Times New Roman"/>
          <w:sz w:val="24"/>
          <w:szCs w:val="24"/>
          <w:lang w:eastAsia="en-NG"/>
        </w:rPr>
        <w:t xml:space="preserve"> exhibited the strongest relationship (R² = 0.94), followed closely by </w:t>
      </w:r>
      <w:r w:rsidR="00866F05" w:rsidRPr="00866F05">
        <w:rPr>
          <w:rFonts w:ascii="Times New Roman" w:eastAsia="Times New Roman" w:hAnsi="Times New Roman" w:cs="Times New Roman"/>
          <w:i/>
          <w:iCs/>
          <w:sz w:val="24"/>
          <w:szCs w:val="24"/>
          <w:lang w:eastAsia="en-NG"/>
        </w:rPr>
        <w:t xml:space="preserve">PKM 1 </w:t>
      </w:r>
      <w:r w:rsidRPr="008F335D">
        <w:rPr>
          <w:rFonts w:ascii="Times New Roman" w:eastAsia="Times New Roman" w:hAnsi="Times New Roman" w:cs="Times New Roman"/>
          <w:sz w:val="24"/>
          <w:szCs w:val="24"/>
          <w:lang w:eastAsia="en-NG"/>
        </w:rPr>
        <w:t xml:space="preserve">(R² = 0.90), indicating highly efficient biomass coupling. The regression slopes (0.88–0.95) suggest that for every unit increase in root biomass, shoot biomass increased proportionally, reflecting balanced growth dynamics essential for sustained productivity. </w:t>
      </w:r>
      <w:r w:rsidR="00866F05" w:rsidRPr="00866F05">
        <w:rPr>
          <w:rFonts w:ascii="Times New Roman" w:eastAsia="Times New Roman" w:hAnsi="Times New Roman" w:cs="Times New Roman"/>
          <w:i/>
          <w:iCs/>
          <w:sz w:val="24"/>
          <w:szCs w:val="24"/>
          <w:lang w:eastAsia="en-NG"/>
        </w:rPr>
        <w:t>PKM 1</w:t>
      </w:r>
      <w:r w:rsidRPr="008F335D">
        <w:rPr>
          <w:rFonts w:ascii="Times New Roman" w:eastAsia="Times New Roman" w:hAnsi="Times New Roman" w:cs="Times New Roman"/>
          <w:sz w:val="24"/>
          <w:szCs w:val="24"/>
          <w:lang w:eastAsia="en-NG"/>
        </w:rPr>
        <w:t>, despite having a slightly lower slope (0.88 ± 0.02), demonstrated the highest overall biomass production, indicating its capacity to simultaneously maximize root anchorage and shoot expansion—an important trait for resilience in semi-arid environments.</w:t>
      </w:r>
    </w:p>
    <w:p w14:paraId="2BDD0CC2" w14:textId="77777777" w:rsidR="00112593" w:rsidRPr="008F335D"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eastAsia="en-NG"/>
        </w:rPr>
      </w:pPr>
      <w:r w:rsidRPr="008F335D">
        <w:rPr>
          <w:rFonts w:ascii="Times New Roman" w:eastAsia="Times New Roman" w:hAnsi="Times New Roman" w:cs="Times New Roman"/>
          <w:sz w:val="24"/>
          <w:szCs w:val="24"/>
          <w:lang w:eastAsia="en-NG"/>
        </w:rPr>
        <w:t xml:space="preserve">In contrast, </w:t>
      </w:r>
      <w:r w:rsidRPr="008F335D">
        <w:rPr>
          <w:rFonts w:ascii="Times New Roman" w:eastAsia="Times New Roman" w:hAnsi="Times New Roman" w:cs="Times New Roman"/>
          <w:i/>
          <w:iCs/>
          <w:sz w:val="24"/>
          <w:szCs w:val="24"/>
          <w:lang w:eastAsia="en-NG"/>
        </w:rPr>
        <w:t>M. stenopetala</w:t>
      </w:r>
      <w:r w:rsidRPr="008F335D">
        <w:rPr>
          <w:rFonts w:ascii="Times New Roman" w:eastAsia="Times New Roman" w:hAnsi="Times New Roman" w:cs="Times New Roman"/>
          <w:sz w:val="24"/>
          <w:szCs w:val="24"/>
          <w:lang w:eastAsia="en-NG"/>
        </w:rPr>
        <w:t xml:space="preserve"> showed a comparatively lower R² (0.85), suggesting greater variability in biomass allocation. This may be attributed to its shoot-dominated growth strategy, where canopy expansion is prioritized over root development during early regrowth stages. Such variability reflects species-specific adaptive strategies and highlights the importance of selecting appropriate species for targeted production systems.</w:t>
      </w:r>
    </w:p>
    <w:p w14:paraId="5A3F391B" w14:textId="77777777" w:rsidR="00112593" w:rsidRPr="004537DC" w:rsidRDefault="00112593" w:rsidP="00112593">
      <w:pPr>
        <w:spacing w:before="100" w:beforeAutospacing="1" w:after="100" w:afterAutospacing="1" w:line="240" w:lineRule="auto"/>
        <w:jc w:val="both"/>
        <w:rPr>
          <w:rFonts w:ascii="Times New Roman" w:eastAsia="Times New Roman" w:hAnsi="Times New Roman" w:cs="Times New Roman"/>
          <w:sz w:val="24"/>
          <w:szCs w:val="24"/>
          <w:lang w:eastAsia="en-NG"/>
        </w:rPr>
      </w:pPr>
      <w:r w:rsidRPr="008F335D">
        <w:rPr>
          <w:rFonts w:ascii="Times New Roman" w:eastAsia="Times New Roman" w:hAnsi="Times New Roman" w:cs="Times New Roman"/>
          <w:sz w:val="24"/>
          <w:szCs w:val="24"/>
          <w:lang w:eastAsia="en-NG"/>
        </w:rPr>
        <w:t xml:space="preserve">These findings are consistent with recent studies on biomass allocation in woody perennials, which emphasize that strong root–shoot coupling enhances water uptake, nutrient transport, and overall plant stability under environmental stress (Zhang </w:t>
      </w:r>
      <w:r w:rsidRPr="0047180C">
        <w:rPr>
          <w:rFonts w:ascii="Times New Roman" w:eastAsia="Times New Roman" w:hAnsi="Times New Roman" w:cs="Times New Roman"/>
          <w:i/>
          <w:iCs/>
          <w:sz w:val="24"/>
          <w:szCs w:val="24"/>
          <w:lang w:eastAsia="en-NG"/>
        </w:rPr>
        <w:t>et al</w:t>
      </w:r>
      <w:r w:rsidRPr="008F335D">
        <w:rPr>
          <w:rFonts w:ascii="Times New Roman" w:eastAsia="Times New Roman" w:hAnsi="Times New Roman" w:cs="Times New Roman"/>
          <w:sz w:val="24"/>
          <w:szCs w:val="24"/>
          <w:lang w:eastAsia="en-NG"/>
        </w:rPr>
        <w:t xml:space="preserve">., 2021; Li </w:t>
      </w:r>
      <w:r w:rsidRPr="0047180C">
        <w:rPr>
          <w:rFonts w:ascii="Times New Roman" w:eastAsia="Times New Roman" w:hAnsi="Times New Roman" w:cs="Times New Roman"/>
          <w:i/>
          <w:iCs/>
          <w:sz w:val="24"/>
          <w:szCs w:val="24"/>
          <w:lang w:eastAsia="en-NG"/>
        </w:rPr>
        <w:t>et al</w:t>
      </w:r>
      <w:r w:rsidRPr="008F335D">
        <w:rPr>
          <w:rFonts w:ascii="Times New Roman" w:eastAsia="Times New Roman" w:hAnsi="Times New Roman" w:cs="Times New Roman"/>
          <w:sz w:val="24"/>
          <w:szCs w:val="24"/>
          <w:lang w:eastAsia="en-NG"/>
        </w:rPr>
        <w:t>., 2022). The observed relationships further reinforce the role of post-pinching regrowth as a mechanism for re-establishing functional balance between plant organs, ensuring rapid recovery and sustained productivity.</w:t>
      </w:r>
    </w:p>
    <w:p w14:paraId="467E975A" w14:textId="77777777" w:rsidR="00112593" w:rsidRPr="004537DC" w:rsidRDefault="00112593" w:rsidP="00112593">
      <w:pPr>
        <w:pStyle w:val="NormalWeb"/>
        <w:spacing w:before="0" w:beforeAutospacing="0" w:after="0" w:afterAutospacing="0"/>
        <w:rPr>
          <w:b/>
          <w:bCs/>
        </w:rPr>
      </w:pPr>
      <w:r w:rsidRPr="004537DC">
        <w:rPr>
          <w:rStyle w:val="Strong"/>
        </w:rPr>
        <w:t>Table 3. Regression of Shoot Biomass on Root Biomass</w:t>
      </w:r>
    </w:p>
    <w:tbl>
      <w:tblPr>
        <w:tblStyle w:val="PlainTable2"/>
        <w:tblW w:w="0" w:type="auto"/>
        <w:tblLook w:val="04A0" w:firstRow="1" w:lastRow="0" w:firstColumn="1" w:lastColumn="0" w:noHBand="0" w:noVBand="1"/>
      </w:tblPr>
      <w:tblGrid>
        <w:gridCol w:w="9026"/>
      </w:tblGrid>
      <w:tr w:rsidR="00112593" w:rsidRPr="004537DC" w14:paraId="03376D4C" w14:textId="77777777" w:rsidTr="003A7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9246" w:type="dxa"/>
              <w:tblCellSpacing w:w="15" w:type="dxa"/>
              <w:tblCellMar>
                <w:top w:w="15" w:type="dxa"/>
                <w:left w:w="15" w:type="dxa"/>
                <w:bottom w:w="15" w:type="dxa"/>
                <w:right w:w="15" w:type="dxa"/>
              </w:tblCellMar>
              <w:tblLook w:val="04A0" w:firstRow="1" w:lastRow="0" w:firstColumn="1" w:lastColumn="0" w:noHBand="0" w:noVBand="1"/>
            </w:tblPr>
            <w:tblGrid>
              <w:gridCol w:w="1488"/>
              <w:gridCol w:w="3080"/>
              <w:gridCol w:w="992"/>
              <w:gridCol w:w="1418"/>
              <w:gridCol w:w="2268"/>
            </w:tblGrid>
            <w:tr w:rsidR="00112593" w:rsidRPr="004537DC" w14:paraId="4C9944EE" w14:textId="77777777" w:rsidTr="003A7979">
              <w:trPr>
                <w:tblHeader/>
                <w:tblCellSpacing w:w="15" w:type="dxa"/>
              </w:trPr>
              <w:tc>
                <w:tcPr>
                  <w:tcW w:w="0" w:type="auto"/>
                  <w:vAlign w:val="center"/>
                  <w:hideMark/>
                </w:tcPr>
                <w:p w14:paraId="018129AC"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Species</w:t>
                  </w:r>
                </w:p>
              </w:tc>
              <w:tc>
                <w:tcPr>
                  <w:tcW w:w="3050" w:type="dxa"/>
                  <w:vAlign w:val="center"/>
                  <w:hideMark/>
                </w:tcPr>
                <w:p w14:paraId="53285405"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Regression Equation</w:t>
                  </w:r>
                </w:p>
              </w:tc>
              <w:tc>
                <w:tcPr>
                  <w:tcW w:w="962" w:type="dxa"/>
                  <w:vAlign w:val="center"/>
                  <w:hideMark/>
                </w:tcPr>
                <w:p w14:paraId="4D2C27EC"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R²</w:t>
                  </w:r>
                </w:p>
              </w:tc>
              <w:tc>
                <w:tcPr>
                  <w:tcW w:w="1388" w:type="dxa"/>
                  <w:vAlign w:val="center"/>
                  <w:hideMark/>
                </w:tcPr>
                <w:p w14:paraId="32046173"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SE (Slope)</w:t>
                  </w:r>
                </w:p>
              </w:tc>
              <w:tc>
                <w:tcPr>
                  <w:tcW w:w="2223" w:type="dxa"/>
                  <w:vAlign w:val="center"/>
                  <w:hideMark/>
                </w:tcPr>
                <w:p w14:paraId="6D1B5503"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95% CI (Slope)</w:t>
                  </w:r>
                </w:p>
              </w:tc>
            </w:tr>
            <w:tr w:rsidR="00112593" w:rsidRPr="004537DC" w14:paraId="4B6ED9B8" w14:textId="77777777" w:rsidTr="003A7979">
              <w:trPr>
                <w:tblCellSpacing w:w="15" w:type="dxa"/>
              </w:trPr>
              <w:tc>
                <w:tcPr>
                  <w:tcW w:w="0" w:type="auto"/>
                  <w:tcBorders>
                    <w:top w:val="single" w:sz="4" w:space="0" w:color="auto"/>
                  </w:tcBorders>
                  <w:vAlign w:val="center"/>
                  <w:hideMark/>
                </w:tcPr>
                <w:p w14:paraId="2EF64D9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M. peregrina</w:t>
                  </w:r>
                </w:p>
              </w:tc>
              <w:tc>
                <w:tcPr>
                  <w:tcW w:w="3050" w:type="dxa"/>
                  <w:tcBorders>
                    <w:top w:val="single" w:sz="4" w:space="0" w:color="auto"/>
                  </w:tcBorders>
                  <w:vAlign w:val="center"/>
                  <w:hideMark/>
                </w:tcPr>
                <w:p w14:paraId="3A0B0EE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Shoot = 0.95 × Root + 5.0</w:t>
                  </w:r>
                </w:p>
              </w:tc>
              <w:tc>
                <w:tcPr>
                  <w:tcW w:w="962" w:type="dxa"/>
                  <w:tcBorders>
                    <w:top w:val="single" w:sz="4" w:space="0" w:color="auto"/>
                  </w:tcBorders>
                  <w:vAlign w:val="center"/>
                  <w:hideMark/>
                </w:tcPr>
                <w:p w14:paraId="5548134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0.88</w:t>
                  </w:r>
                </w:p>
              </w:tc>
              <w:tc>
                <w:tcPr>
                  <w:tcW w:w="1388" w:type="dxa"/>
                  <w:tcBorders>
                    <w:top w:val="single" w:sz="4" w:space="0" w:color="auto"/>
                  </w:tcBorders>
                  <w:vAlign w:val="center"/>
                  <w:hideMark/>
                </w:tcPr>
                <w:p w14:paraId="491876B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0.034</w:t>
                  </w:r>
                </w:p>
              </w:tc>
              <w:tc>
                <w:tcPr>
                  <w:tcW w:w="2223" w:type="dxa"/>
                  <w:tcBorders>
                    <w:top w:val="single" w:sz="4" w:space="0" w:color="auto"/>
                  </w:tcBorders>
                  <w:vAlign w:val="center"/>
                  <w:hideMark/>
                </w:tcPr>
                <w:p w14:paraId="4A8E2D5B"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0.88–1.02</w:t>
                  </w:r>
                </w:p>
              </w:tc>
            </w:tr>
            <w:tr w:rsidR="00112593" w:rsidRPr="004537DC" w14:paraId="73577D79" w14:textId="77777777" w:rsidTr="003A7979">
              <w:trPr>
                <w:tblCellSpacing w:w="15" w:type="dxa"/>
              </w:trPr>
              <w:tc>
                <w:tcPr>
                  <w:tcW w:w="0" w:type="auto"/>
                  <w:vAlign w:val="center"/>
                  <w:hideMark/>
                </w:tcPr>
                <w:p w14:paraId="76A343A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M. oleifera</w:t>
                  </w:r>
                </w:p>
              </w:tc>
              <w:tc>
                <w:tcPr>
                  <w:tcW w:w="3050" w:type="dxa"/>
                  <w:vAlign w:val="center"/>
                  <w:hideMark/>
                </w:tcPr>
                <w:p w14:paraId="706664E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Shoot = 0.95 × Root + 5.2</w:t>
                  </w:r>
                </w:p>
              </w:tc>
              <w:tc>
                <w:tcPr>
                  <w:tcW w:w="962" w:type="dxa"/>
                  <w:vAlign w:val="center"/>
                  <w:hideMark/>
                </w:tcPr>
                <w:p w14:paraId="2339136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0.94</w:t>
                  </w:r>
                </w:p>
              </w:tc>
              <w:tc>
                <w:tcPr>
                  <w:tcW w:w="1388" w:type="dxa"/>
                  <w:vAlign w:val="center"/>
                  <w:hideMark/>
                </w:tcPr>
                <w:p w14:paraId="5FAB615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0.022</w:t>
                  </w:r>
                </w:p>
              </w:tc>
              <w:tc>
                <w:tcPr>
                  <w:tcW w:w="2223" w:type="dxa"/>
                  <w:vAlign w:val="center"/>
                  <w:hideMark/>
                </w:tcPr>
                <w:p w14:paraId="4CC3170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0.91–0.99</w:t>
                  </w:r>
                </w:p>
              </w:tc>
            </w:tr>
            <w:tr w:rsidR="00112593" w:rsidRPr="004537DC" w14:paraId="6CF6C0C8" w14:textId="77777777" w:rsidTr="003A7979">
              <w:trPr>
                <w:tblCellSpacing w:w="15" w:type="dxa"/>
              </w:trPr>
              <w:tc>
                <w:tcPr>
                  <w:tcW w:w="0" w:type="auto"/>
                  <w:vAlign w:val="center"/>
                  <w:hideMark/>
                </w:tcPr>
                <w:p w14:paraId="7E75768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M. stenopetala</w:t>
                  </w:r>
                </w:p>
              </w:tc>
              <w:tc>
                <w:tcPr>
                  <w:tcW w:w="3050" w:type="dxa"/>
                  <w:vAlign w:val="center"/>
                  <w:hideMark/>
                </w:tcPr>
                <w:p w14:paraId="7B51F92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Shoot = 0.92 × Root + 4.8</w:t>
                  </w:r>
                </w:p>
              </w:tc>
              <w:tc>
                <w:tcPr>
                  <w:tcW w:w="962" w:type="dxa"/>
                  <w:vAlign w:val="center"/>
                  <w:hideMark/>
                </w:tcPr>
                <w:p w14:paraId="12CF5536"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0.85</w:t>
                  </w:r>
                </w:p>
              </w:tc>
              <w:tc>
                <w:tcPr>
                  <w:tcW w:w="1388" w:type="dxa"/>
                  <w:vAlign w:val="center"/>
                  <w:hideMark/>
                </w:tcPr>
                <w:p w14:paraId="3704B396"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0.038</w:t>
                  </w:r>
                </w:p>
              </w:tc>
              <w:tc>
                <w:tcPr>
                  <w:tcW w:w="2223" w:type="dxa"/>
                  <w:vAlign w:val="center"/>
                  <w:hideMark/>
                </w:tcPr>
                <w:p w14:paraId="4A6A597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0.84–1.00</w:t>
                  </w:r>
                </w:p>
              </w:tc>
            </w:tr>
            <w:tr w:rsidR="00112593" w:rsidRPr="004537DC" w14:paraId="39D1034D" w14:textId="77777777" w:rsidTr="003A7979">
              <w:trPr>
                <w:tblCellSpacing w:w="15" w:type="dxa"/>
              </w:trPr>
              <w:tc>
                <w:tcPr>
                  <w:tcW w:w="0" w:type="auto"/>
                  <w:vAlign w:val="center"/>
                  <w:hideMark/>
                </w:tcPr>
                <w:p w14:paraId="514EAC58" w14:textId="74900E46" w:rsidR="00112593" w:rsidRPr="004537DC" w:rsidRDefault="00866F05" w:rsidP="003A7979">
                  <w:pPr>
                    <w:spacing w:after="0" w:line="240" w:lineRule="auto"/>
                    <w:rPr>
                      <w:rFonts w:ascii="Times New Roman" w:hAnsi="Times New Roman" w:cs="Times New Roman"/>
                      <w:sz w:val="24"/>
                      <w:szCs w:val="24"/>
                    </w:rPr>
                  </w:pPr>
                  <w:r w:rsidRPr="00866F05">
                    <w:rPr>
                      <w:rFonts w:ascii="Times New Roman" w:hAnsi="Times New Roman" w:cs="Times New Roman"/>
                      <w:i/>
                      <w:iCs/>
                      <w:sz w:val="24"/>
                      <w:szCs w:val="24"/>
                    </w:rPr>
                    <w:t xml:space="preserve">PKM 1 </w:t>
                  </w:r>
                </w:p>
              </w:tc>
              <w:tc>
                <w:tcPr>
                  <w:tcW w:w="3050" w:type="dxa"/>
                  <w:vAlign w:val="center"/>
                  <w:hideMark/>
                </w:tcPr>
                <w:p w14:paraId="5236973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Shoot = 0.88 × Root + 6.0</w:t>
                  </w:r>
                </w:p>
              </w:tc>
              <w:tc>
                <w:tcPr>
                  <w:tcW w:w="962" w:type="dxa"/>
                  <w:vAlign w:val="center"/>
                  <w:hideMark/>
                </w:tcPr>
                <w:p w14:paraId="135309DF"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0.90</w:t>
                  </w:r>
                </w:p>
              </w:tc>
              <w:tc>
                <w:tcPr>
                  <w:tcW w:w="1388" w:type="dxa"/>
                  <w:vAlign w:val="center"/>
                  <w:hideMark/>
                </w:tcPr>
                <w:p w14:paraId="73AE660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0.026</w:t>
                  </w:r>
                </w:p>
              </w:tc>
              <w:tc>
                <w:tcPr>
                  <w:tcW w:w="2223" w:type="dxa"/>
                  <w:vAlign w:val="center"/>
                  <w:hideMark/>
                </w:tcPr>
                <w:p w14:paraId="048D3FB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0.83–0.93</w:t>
                  </w:r>
                </w:p>
              </w:tc>
            </w:tr>
          </w:tbl>
          <w:p w14:paraId="22787BF0" w14:textId="77777777" w:rsidR="00112593" w:rsidRPr="004537DC" w:rsidRDefault="00112593" w:rsidP="003A7979">
            <w:pPr>
              <w:rPr>
                <w:rFonts w:ascii="Times New Roman" w:hAnsi="Times New Roman" w:cs="Times New Roman"/>
                <w:sz w:val="24"/>
                <w:szCs w:val="24"/>
              </w:rPr>
            </w:pPr>
          </w:p>
        </w:tc>
      </w:tr>
    </w:tbl>
    <w:p w14:paraId="0068BE8D" w14:textId="77777777" w:rsidR="00112593" w:rsidRPr="004537DC" w:rsidRDefault="00112593" w:rsidP="00112593">
      <w:pPr>
        <w:rPr>
          <w:rFonts w:ascii="Times New Roman" w:hAnsi="Times New Roman" w:cs="Times New Roman"/>
          <w:sz w:val="24"/>
          <w:szCs w:val="24"/>
        </w:rPr>
      </w:pPr>
    </w:p>
    <w:p w14:paraId="484FDC10" w14:textId="77777777" w:rsidR="00866F05" w:rsidRDefault="00866F05">
      <w:pPr>
        <w:rPr>
          <w:rFonts w:ascii="Times New Roman" w:eastAsia="Times New Roman" w:hAnsi="Times New Roman" w:cs="Times New Roman"/>
          <w:b/>
          <w:bCs/>
          <w:sz w:val="24"/>
          <w:szCs w:val="24"/>
          <w:lang w:eastAsia="en-NG"/>
        </w:rPr>
      </w:pPr>
      <w:r>
        <w:rPr>
          <w:sz w:val="24"/>
          <w:szCs w:val="24"/>
        </w:rPr>
        <w:br w:type="page"/>
      </w:r>
    </w:p>
    <w:p w14:paraId="4D62D4B5" w14:textId="2488F206" w:rsidR="00112593" w:rsidRPr="004537DC" w:rsidRDefault="001218C4" w:rsidP="00112593">
      <w:pPr>
        <w:pStyle w:val="Heading3"/>
        <w:rPr>
          <w:sz w:val="24"/>
          <w:szCs w:val="24"/>
        </w:rPr>
      </w:pPr>
      <w:r>
        <w:rPr>
          <w:sz w:val="24"/>
          <w:szCs w:val="24"/>
          <w:lang w:val="en-US"/>
        </w:rPr>
        <w:t>4</w:t>
      </w:r>
      <w:r w:rsidR="00112593" w:rsidRPr="004537DC">
        <w:rPr>
          <w:sz w:val="24"/>
          <w:szCs w:val="24"/>
        </w:rPr>
        <w:t>.4 Root–Shoot Ratio vs. Spacing Regression</w:t>
      </w:r>
    </w:p>
    <w:p w14:paraId="6386F80A" w14:textId="77777777" w:rsidR="00112593" w:rsidRPr="004537DC" w:rsidRDefault="00112593" w:rsidP="00112593">
      <w:pPr>
        <w:pStyle w:val="NormalWeb"/>
        <w:jc w:val="both"/>
      </w:pPr>
      <w:r w:rsidRPr="004537DC">
        <w:t>Species-specific regression analyses of root–shoot ratio against spacing revealed clear patterns of biomass allocation plasticity (Table 4). All species exhibited negative slopes, confirming that R/S ratio decreases as spacing increases. This indicates that plants allocate relatively more biomass to roots under dense planting conditions and shift toward shoot development as competition is reduced.</w:t>
      </w:r>
    </w:p>
    <w:p w14:paraId="4BE694D6" w14:textId="3ABA3697" w:rsidR="00112593" w:rsidRPr="004537DC" w:rsidRDefault="00112593" w:rsidP="00112593">
      <w:pPr>
        <w:pStyle w:val="NormalWeb"/>
        <w:jc w:val="both"/>
      </w:pPr>
      <w:r w:rsidRPr="004537DC">
        <w:rPr>
          <w:rStyle w:val="Emphasis"/>
        </w:rPr>
        <w:t>M. oleifera</w:t>
      </w:r>
      <w:r w:rsidRPr="004537DC">
        <w:t xml:space="preserve"> and </w:t>
      </w:r>
      <w:r w:rsidR="00866F05" w:rsidRPr="00866F05">
        <w:rPr>
          <w:i/>
          <w:iCs/>
        </w:rPr>
        <w:t xml:space="preserve">PKM 1 </w:t>
      </w:r>
      <w:r w:rsidRPr="004537DC">
        <w:t>showed the steepest negative slopes (–0.18 ± 0.021 and –0.17 ± 0.023, respectively), demonstrating strong sensitivity to spacing and high plasticity in resource allocation. This suggests that these species are highly responsive to competition and can dynamically adjust their growth strategies to optimize resource acquisition. Such plasticity is a desirable trait in semi-arid agroecosystems, where resource availability is often variable and unpredictable.</w:t>
      </w:r>
    </w:p>
    <w:p w14:paraId="67E8C396" w14:textId="77777777" w:rsidR="00112593" w:rsidRPr="004537DC" w:rsidRDefault="00112593" w:rsidP="00112593">
      <w:pPr>
        <w:pStyle w:val="NormalWeb"/>
        <w:jc w:val="both"/>
      </w:pPr>
      <w:r w:rsidRPr="004537DC">
        <w:rPr>
          <w:rStyle w:val="Emphasis"/>
        </w:rPr>
        <w:t>M. peregrina</w:t>
      </w:r>
      <w:r w:rsidRPr="004537DC">
        <w:t xml:space="preserve"> and </w:t>
      </w:r>
      <w:r w:rsidRPr="004537DC">
        <w:rPr>
          <w:rStyle w:val="Emphasis"/>
        </w:rPr>
        <w:t>M. stenopetala</w:t>
      </w:r>
      <w:r w:rsidRPr="004537DC">
        <w:t xml:space="preserve"> exhibited more moderate slopes (–0.12 ± 0.026 and –0.10 ± 0.029, respectively), indicating a relatively stable allocation pattern across spacing treatments. This suggests that these species maintain a more conservative growth strategy, with less pronounced shifts in biomass partitioning. While this may limit their responsiveness to high-density systems, it could confer advantages under stable or low-input conditions where consistent growth is required.</w:t>
      </w:r>
    </w:p>
    <w:p w14:paraId="67A43645" w14:textId="77777777" w:rsidR="00112593" w:rsidRPr="004537DC" w:rsidRDefault="00112593" w:rsidP="00112593">
      <w:pPr>
        <w:pStyle w:val="NormalWeb"/>
        <w:jc w:val="both"/>
      </w:pPr>
      <w:r w:rsidRPr="004537DC">
        <w:t xml:space="preserve">The relatively high R² values (0.80–0.89) and narrow confidence intervals indicate robust regression models and reliable estimates of spacing effects on biomass allocation. These findings align with ecological and silvicultural theories that emphasize the role of plant density in shaping allocation strategies and competitive interactions (Li </w:t>
      </w:r>
      <w:r w:rsidRPr="0047180C">
        <w:rPr>
          <w:i/>
          <w:iCs/>
        </w:rPr>
        <w:t>et al</w:t>
      </w:r>
      <w:r w:rsidRPr="004537DC">
        <w:t xml:space="preserve">., 2022; </w:t>
      </w:r>
      <w:r>
        <w:t>-</w:t>
      </w:r>
      <w:r w:rsidRPr="004537DC">
        <w:t>).</w:t>
      </w:r>
    </w:p>
    <w:p w14:paraId="21C2DAAC" w14:textId="6E757401" w:rsidR="00112593" w:rsidRPr="004537DC" w:rsidRDefault="00112593" w:rsidP="00112593">
      <w:pPr>
        <w:pStyle w:val="NormalWeb"/>
        <w:jc w:val="both"/>
      </w:pPr>
      <w:r w:rsidRPr="004537DC">
        <w:t>From a management perspective, these results highlight the importance of tailoring spacing regimes to species-specific growth characteristics. Species with high plasticity (</w:t>
      </w:r>
      <w:r w:rsidRPr="004537DC">
        <w:rPr>
          <w:rStyle w:val="Emphasis"/>
        </w:rPr>
        <w:t>M. oleifera</w:t>
      </w:r>
      <w:r w:rsidRPr="004537DC">
        <w:t xml:space="preserve">, </w:t>
      </w:r>
      <w:r w:rsidR="00866F05" w:rsidRPr="00866F05">
        <w:rPr>
          <w:i/>
          <w:iCs/>
        </w:rPr>
        <w:t xml:space="preserve">PKM 1 </w:t>
      </w:r>
      <w:r w:rsidRPr="004537DC">
        <w:t>) are better suited for intensive, high-density production systems, while those with stable allocation patterns (</w:t>
      </w:r>
      <w:r w:rsidRPr="004537DC">
        <w:rPr>
          <w:rStyle w:val="Emphasis"/>
        </w:rPr>
        <w:t>M. peregrina</w:t>
      </w:r>
      <w:r w:rsidRPr="004537DC">
        <w:t xml:space="preserve">, </w:t>
      </w:r>
      <w:r w:rsidRPr="004537DC">
        <w:rPr>
          <w:rStyle w:val="Emphasis"/>
        </w:rPr>
        <w:t>M. stenopetala</w:t>
      </w:r>
      <w:r w:rsidRPr="004537DC">
        <w:t>) may perform better under wider spacing and low-input conditions.</w:t>
      </w:r>
    </w:p>
    <w:p w14:paraId="4B4BB7A6" w14:textId="77777777" w:rsidR="00112593" w:rsidRPr="00866F05" w:rsidRDefault="00112593" w:rsidP="00866F05">
      <w:pPr>
        <w:pStyle w:val="Heading2"/>
        <w:spacing w:before="0" w:beforeAutospacing="0" w:after="0" w:afterAutospacing="0"/>
        <w:rPr>
          <w:b w:val="0"/>
          <w:bCs w:val="0"/>
          <w:sz w:val="24"/>
          <w:szCs w:val="24"/>
        </w:rPr>
      </w:pPr>
      <w:r w:rsidRPr="00866F05">
        <w:rPr>
          <w:rStyle w:val="Strong"/>
          <w:b/>
          <w:bCs/>
          <w:sz w:val="24"/>
          <w:szCs w:val="24"/>
        </w:rPr>
        <w:t xml:space="preserve">Table 4. Regression of Root–Shoot Ratio on Spacing </w:t>
      </w:r>
    </w:p>
    <w:tbl>
      <w:tblPr>
        <w:tblStyle w:val="PlainTable2"/>
        <w:tblW w:w="0" w:type="auto"/>
        <w:tblLook w:val="04A0" w:firstRow="1" w:lastRow="0" w:firstColumn="1" w:lastColumn="0" w:noHBand="0" w:noVBand="1"/>
      </w:tblPr>
      <w:tblGrid>
        <w:gridCol w:w="9026"/>
      </w:tblGrid>
      <w:tr w:rsidR="00112593" w:rsidRPr="004537DC" w14:paraId="176120B2" w14:textId="77777777" w:rsidTr="003A7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8821" w:type="dxa"/>
              <w:tblCellSpacing w:w="15" w:type="dxa"/>
              <w:tblCellMar>
                <w:top w:w="15" w:type="dxa"/>
                <w:left w:w="15" w:type="dxa"/>
                <w:bottom w:w="15" w:type="dxa"/>
                <w:right w:w="15" w:type="dxa"/>
              </w:tblCellMar>
              <w:tblLook w:val="04A0" w:firstRow="1" w:lastRow="0" w:firstColumn="1" w:lastColumn="0" w:noHBand="0" w:noVBand="1"/>
            </w:tblPr>
            <w:tblGrid>
              <w:gridCol w:w="1733"/>
              <w:gridCol w:w="3119"/>
              <w:gridCol w:w="708"/>
              <w:gridCol w:w="1276"/>
              <w:gridCol w:w="1985"/>
            </w:tblGrid>
            <w:tr w:rsidR="00112593" w:rsidRPr="004537DC" w14:paraId="6161CB5D" w14:textId="77777777" w:rsidTr="003A7979">
              <w:trPr>
                <w:tblHeader/>
                <w:tblCellSpacing w:w="15" w:type="dxa"/>
              </w:trPr>
              <w:tc>
                <w:tcPr>
                  <w:tcW w:w="1688" w:type="dxa"/>
                  <w:vAlign w:val="center"/>
                  <w:hideMark/>
                </w:tcPr>
                <w:p w14:paraId="32D139DE"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Species</w:t>
                  </w:r>
                </w:p>
              </w:tc>
              <w:tc>
                <w:tcPr>
                  <w:tcW w:w="3089" w:type="dxa"/>
                  <w:vAlign w:val="center"/>
                  <w:hideMark/>
                </w:tcPr>
                <w:p w14:paraId="1FA5B5F8"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Regression Equation</w:t>
                  </w:r>
                </w:p>
              </w:tc>
              <w:tc>
                <w:tcPr>
                  <w:tcW w:w="678" w:type="dxa"/>
                  <w:vAlign w:val="center"/>
                  <w:hideMark/>
                </w:tcPr>
                <w:p w14:paraId="3342A70A"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R²</w:t>
                  </w:r>
                </w:p>
              </w:tc>
              <w:tc>
                <w:tcPr>
                  <w:tcW w:w="1246" w:type="dxa"/>
                  <w:vAlign w:val="center"/>
                  <w:hideMark/>
                </w:tcPr>
                <w:p w14:paraId="1F0EEA19"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SE (Slope)</w:t>
                  </w:r>
                </w:p>
              </w:tc>
              <w:tc>
                <w:tcPr>
                  <w:tcW w:w="1940" w:type="dxa"/>
                  <w:vAlign w:val="center"/>
                  <w:hideMark/>
                </w:tcPr>
                <w:p w14:paraId="1A379527" w14:textId="77777777" w:rsidR="00112593" w:rsidRPr="004537DC" w:rsidRDefault="00112593" w:rsidP="003A7979">
                  <w:pPr>
                    <w:spacing w:after="0" w:line="240" w:lineRule="auto"/>
                    <w:rPr>
                      <w:rFonts w:ascii="Times New Roman" w:hAnsi="Times New Roman" w:cs="Times New Roman"/>
                      <w:b/>
                      <w:bCs/>
                      <w:sz w:val="24"/>
                      <w:szCs w:val="24"/>
                    </w:rPr>
                  </w:pPr>
                  <w:r w:rsidRPr="004537DC">
                    <w:rPr>
                      <w:rFonts w:ascii="Times New Roman" w:hAnsi="Times New Roman" w:cs="Times New Roman"/>
                      <w:b/>
                      <w:bCs/>
                      <w:sz w:val="24"/>
                      <w:szCs w:val="24"/>
                    </w:rPr>
                    <w:t>95% CI (Slope)</w:t>
                  </w:r>
                </w:p>
              </w:tc>
            </w:tr>
            <w:tr w:rsidR="00112593" w:rsidRPr="004537DC" w14:paraId="5AE403E3" w14:textId="77777777" w:rsidTr="003A7979">
              <w:trPr>
                <w:tblCellSpacing w:w="15" w:type="dxa"/>
              </w:trPr>
              <w:tc>
                <w:tcPr>
                  <w:tcW w:w="1688" w:type="dxa"/>
                  <w:tcBorders>
                    <w:top w:val="single" w:sz="4" w:space="0" w:color="auto"/>
                  </w:tcBorders>
                  <w:vAlign w:val="center"/>
                  <w:hideMark/>
                </w:tcPr>
                <w:p w14:paraId="7FC39296" w14:textId="77777777" w:rsidR="00112593" w:rsidRPr="004537DC" w:rsidRDefault="00112593" w:rsidP="003A7979">
                  <w:pPr>
                    <w:spacing w:after="0" w:line="240" w:lineRule="auto"/>
                    <w:rPr>
                      <w:rFonts w:ascii="Times New Roman" w:hAnsi="Times New Roman" w:cs="Times New Roman"/>
                      <w:i/>
                      <w:iCs/>
                      <w:sz w:val="24"/>
                      <w:szCs w:val="24"/>
                    </w:rPr>
                  </w:pPr>
                  <w:r w:rsidRPr="004537DC">
                    <w:rPr>
                      <w:rFonts w:ascii="Times New Roman" w:hAnsi="Times New Roman" w:cs="Times New Roman"/>
                      <w:i/>
                      <w:iCs/>
                      <w:sz w:val="24"/>
                      <w:szCs w:val="24"/>
                    </w:rPr>
                    <w:t>M. peregrina</w:t>
                  </w:r>
                </w:p>
              </w:tc>
              <w:tc>
                <w:tcPr>
                  <w:tcW w:w="3089" w:type="dxa"/>
                  <w:tcBorders>
                    <w:top w:val="single" w:sz="4" w:space="0" w:color="auto"/>
                  </w:tcBorders>
                  <w:vAlign w:val="center"/>
                  <w:hideMark/>
                </w:tcPr>
                <w:p w14:paraId="0CDB829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R/S = –0.12 × Spacing + 0.85</w:t>
                  </w:r>
                </w:p>
              </w:tc>
              <w:tc>
                <w:tcPr>
                  <w:tcW w:w="678" w:type="dxa"/>
                  <w:tcBorders>
                    <w:top w:val="single" w:sz="4" w:space="0" w:color="auto"/>
                  </w:tcBorders>
                  <w:vAlign w:val="center"/>
                  <w:hideMark/>
                </w:tcPr>
                <w:p w14:paraId="5C2DF608"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0.82</w:t>
                  </w:r>
                </w:p>
              </w:tc>
              <w:tc>
                <w:tcPr>
                  <w:tcW w:w="1246" w:type="dxa"/>
                  <w:tcBorders>
                    <w:top w:val="single" w:sz="4" w:space="0" w:color="auto"/>
                  </w:tcBorders>
                  <w:vAlign w:val="center"/>
                  <w:hideMark/>
                </w:tcPr>
                <w:p w14:paraId="6A447190"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0.026</w:t>
                  </w:r>
                </w:p>
              </w:tc>
              <w:tc>
                <w:tcPr>
                  <w:tcW w:w="1940" w:type="dxa"/>
                  <w:tcBorders>
                    <w:top w:val="single" w:sz="4" w:space="0" w:color="auto"/>
                  </w:tcBorders>
                  <w:vAlign w:val="center"/>
                  <w:hideMark/>
                </w:tcPr>
                <w:p w14:paraId="5EC5874A"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–0.17 to –0.07</w:t>
                  </w:r>
                </w:p>
              </w:tc>
            </w:tr>
            <w:tr w:rsidR="00112593" w:rsidRPr="004537DC" w14:paraId="6A285E8D" w14:textId="77777777" w:rsidTr="003A7979">
              <w:trPr>
                <w:tblCellSpacing w:w="15" w:type="dxa"/>
              </w:trPr>
              <w:tc>
                <w:tcPr>
                  <w:tcW w:w="1688" w:type="dxa"/>
                  <w:vAlign w:val="center"/>
                  <w:hideMark/>
                </w:tcPr>
                <w:p w14:paraId="78760BC7" w14:textId="77777777" w:rsidR="00112593" w:rsidRPr="004537DC" w:rsidRDefault="00112593" w:rsidP="003A7979">
                  <w:pPr>
                    <w:spacing w:after="0" w:line="240" w:lineRule="auto"/>
                    <w:rPr>
                      <w:rFonts w:ascii="Times New Roman" w:hAnsi="Times New Roman" w:cs="Times New Roman"/>
                      <w:i/>
                      <w:iCs/>
                      <w:sz w:val="24"/>
                      <w:szCs w:val="24"/>
                    </w:rPr>
                  </w:pPr>
                  <w:r w:rsidRPr="004537DC">
                    <w:rPr>
                      <w:rFonts w:ascii="Times New Roman" w:hAnsi="Times New Roman" w:cs="Times New Roman"/>
                      <w:i/>
                      <w:iCs/>
                      <w:sz w:val="24"/>
                      <w:szCs w:val="24"/>
                    </w:rPr>
                    <w:t>M. oleifera</w:t>
                  </w:r>
                </w:p>
              </w:tc>
              <w:tc>
                <w:tcPr>
                  <w:tcW w:w="3089" w:type="dxa"/>
                  <w:vAlign w:val="center"/>
                  <w:hideMark/>
                </w:tcPr>
                <w:p w14:paraId="63AEDC35"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R/S = –0.18 × Spacing + 0.90</w:t>
                  </w:r>
                </w:p>
              </w:tc>
              <w:tc>
                <w:tcPr>
                  <w:tcW w:w="678" w:type="dxa"/>
                  <w:vAlign w:val="center"/>
                  <w:hideMark/>
                </w:tcPr>
                <w:p w14:paraId="4642D47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0.89</w:t>
                  </w:r>
                </w:p>
              </w:tc>
              <w:tc>
                <w:tcPr>
                  <w:tcW w:w="1246" w:type="dxa"/>
                  <w:vAlign w:val="center"/>
                  <w:hideMark/>
                </w:tcPr>
                <w:p w14:paraId="0CDDB2B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0.021</w:t>
                  </w:r>
                </w:p>
              </w:tc>
              <w:tc>
                <w:tcPr>
                  <w:tcW w:w="1940" w:type="dxa"/>
                  <w:vAlign w:val="center"/>
                  <w:hideMark/>
                </w:tcPr>
                <w:p w14:paraId="301D2BD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–0.22 to –0.14</w:t>
                  </w:r>
                </w:p>
              </w:tc>
            </w:tr>
            <w:tr w:rsidR="00112593" w:rsidRPr="004537DC" w14:paraId="0A0115C2" w14:textId="77777777" w:rsidTr="003A7979">
              <w:trPr>
                <w:tblCellSpacing w:w="15" w:type="dxa"/>
              </w:trPr>
              <w:tc>
                <w:tcPr>
                  <w:tcW w:w="1688" w:type="dxa"/>
                  <w:vAlign w:val="center"/>
                  <w:hideMark/>
                </w:tcPr>
                <w:p w14:paraId="29C039F1" w14:textId="77777777" w:rsidR="00112593" w:rsidRPr="004537DC" w:rsidRDefault="00112593" w:rsidP="003A7979">
                  <w:pPr>
                    <w:spacing w:after="0" w:line="240" w:lineRule="auto"/>
                    <w:rPr>
                      <w:rFonts w:ascii="Times New Roman" w:hAnsi="Times New Roman" w:cs="Times New Roman"/>
                      <w:i/>
                      <w:iCs/>
                      <w:sz w:val="24"/>
                      <w:szCs w:val="24"/>
                    </w:rPr>
                  </w:pPr>
                  <w:r w:rsidRPr="004537DC">
                    <w:rPr>
                      <w:rFonts w:ascii="Times New Roman" w:hAnsi="Times New Roman" w:cs="Times New Roman"/>
                      <w:i/>
                      <w:iCs/>
                      <w:sz w:val="24"/>
                      <w:szCs w:val="24"/>
                    </w:rPr>
                    <w:t>M. stenopetala</w:t>
                  </w:r>
                </w:p>
              </w:tc>
              <w:tc>
                <w:tcPr>
                  <w:tcW w:w="3089" w:type="dxa"/>
                  <w:vAlign w:val="center"/>
                  <w:hideMark/>
                </w:tcPr>
                <w:p w14:paraId="4E7B898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R/S = –0.10 × Spacing + 0.78</w:t>
                  </w:r>
                </w:p>
              </w:tc>
              <w:tc>
                <w:tcPr>
                  <w:tcW w:w="678" w:type="dxa"/>
                  <w:vAlign w:val="center"/>
                  <w:hideMark/>
                </w:tcPr>
                <w:p w14:paraId="7458A622"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0.80</w:t>
                  </w:r>
                </w:p>
              </w:tc>
              <w:tc>
                <w:tcPr>
                  <w:tcW w:w="1246" w:type="dxa"/>
                  <w:vAlign w:val="center"/>
                  <w:hideMark/>
                </w:tcPr>
                <w:p w14:paraId="07EA643C"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0.029</w:t>
                  </w:r>
                </w:p>
              </w:tc>
              <w:tc>
                <w:tcPr>
                  <w:tcW w:w="1940" w:type="dxa"/>
                  <w:vAlign w:val="center"/>
                  <w:hideMark/>
                </w:tcPr>
                <w:p w14:paraId="46140B44"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–0.16 to –0.04</w:t>
                  </w:r>
                </w:p>
              </w:tc>
            </w:tr>
            <w:tr w:rsidR="00112593" w:rsidRPr="004537DC" w14:paraId="16D30C5D" w14:textId="77777777" w:rsidTr="003A7979">
              <w:trPr>
                <w:tblCellSpacing w:w="15" w:type="dxa"/>
              </w:trPr>
              <w:tc>
                <w:tcPr>
                  <w:tcW w:w="1688" w:type="dxa"/>
                  <w:vAlign w:val="center"/>
                  <w:hideMark/>
                </w:tcPr>
                <w:p w14:paraId="66AC7616" w14:textId="5B5E9CFB" w:rsidR="00112593" w:rsidRPr="004537DC" w:rsidRDefault="00866F05" w:rsidP="003A7979">
                  <w:pPr>
                    <w:spacing w:after="0" w:line="240" w:lineRule="auto"/>
                    <w:rPr>
                      <w:rFonts w:ascii="Times New Roman" w:hAnsi="Times New Roman" w:cs="Times New Roman"/>
                      <w:i/>
                      <w:iCs/>
                      <w:sz w:val="24"/>
                      <w:szCs w:val="24"/>
                    </w:rPr>
                  </w:pPr>
                  <w:r w:rsidRPr="00866F05">
                    <w:rPr>
                      <w:rFonts w:ascii="Times New Roman" w:hAnsi="Times New Roman" w:cs="Times New Roman"/>
                      <w:i/>
                      <w:iCs/>
                      <w:sz w:val="24"/>
                      <w:szCs w:val="24"/>
                    </w:rPr>
                    <w:t xml:space="preserve">PKM 1 </w:t>
                  </w:r>
                </w:p>
              </w:tc>
              <w:tc>
                <w:tcPr>
                  <w:tcW w:w="3089" w:type="dxa"/>
                  <w:vAlign w:val="center"/>
                  <w:hideMark/>
                </w:tcPr>
                <w:p w14:paraId="013B1631"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R/S = –0.17 × Spacing + 0.88</w:t>
                  </w:r>
                </w:p>
              </w:tc>
              <w:tc>
                <w:tcPr>
                  <w:tcW w:w="678" w:type="dxa"/>
                  <w:vAlign w:val="center"/>
                  <w:hideMark/>
                </w:tcPr>
                <w:p w14:paraId="52CF145D"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0.87</w:t>
                  </w:r>
                </w:p>
              </w:tc>
              <w:tc>
                <w:tcPr>
                  <w:tcW w:w="1246" w:type="dxa"/>
                  <w:vAlign w:val="center"/>
                  <w:hideMark/>
                </w:tcPr>
                <w:p w14:paraId="6D4D2753"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0.023</w:t>
                  </w:r>
                </w:p>
              </w:tc>
              <w:tc>
                <w:tcPr>
                  <w:tcW w:w="1940" w:type="dxa"/>
                  <w:vAlign w:val="center"/>
                  <w:hideMark/>
                </w:tcPr>
                <w:p w14:paraId="43EA83E7" w14:textId="77777777" w:rsidR="00112593" w:rsidRPr="004537DC" w:rsidRDefault="00112593" w:rsidP="003A7979">
                  <w:pPr>
                    <w:spacing w:after="0" w:line="240" w:lineRule="auto"/>
                    <w:rPr>
                      <w:rFonts w:ascii="Times New Roman" w:hAnsi="Times New Roman" w:cs="Times New Roman"/>
                      <w:sz w:val="24"/>
                      <w:szCs w:val="24"/>
                    </w:rPr>
                  </w:pPr>
                  <w:r w:rsidRPr="004537DC">
                    <w:rPr>
                      <w:rFonts w:ascii="Times New Roman" w:hAnsi="Times New Roman" w:cs="Times New Roman"/>
                      <w:sz w:val="24"/>
                      <w:szCs w:val="24"/>
                    </w:rPr>
                    <w:t>–0.21 to –0.13</w:t>
                  </w:r>
                </w:p>
              </w:tc>
            </w:tr>
          </w:tbl>
          <w:p w14:paraId="398DFE4A" w14:textId="77777777" w:rsidR="00112593" w:rsidRPr="004537DC" w:rsidRDefault="00112593" w:rsidP="003A7979">
            <w:pPr>
              <w:rPr>
                <w:rFonts w:ascii="Times New Roman" w:hAnsi="Times New Roman" w:cs="Times New Roman"/>
                <w:sz w:val="24"/>
                <w:szCs w:val="24"/>
              </w:rPr>
            </w:pPr>
          </w:p>
        </w:tc>
      </w:tr>
    </w:tbl>
    <w:p w14:paraId="04300EE8" w14:textId="77777777" w:rsidR="00112593" w:rsidRPr="004537DC" w:rsidRDefault="00112593" w:rsidP="00112593">
      <w:pPr>
        <w:rPr>
          <w:rFonts w:ascii="Times New Roman" w:hAnsi="Times New Roman" w:cs="Times New Roman"/>
          <w:sz w:val="24"/>
          <w:szCs w:val="24"/>
        </w:rPr>
      </w:pPr>
    </w:p>
    <w:p w14:paraId="1CFC8209" w14:textId="77777777" w:rsidR="00866F05" w:rsidRDefault="00866F05">
      <w:pPr>
        <w:rPr>
          <w:rStyle w:val="Strong"/>
          <w:rFonts w:ascii="Times New Roman" w:eastAsia="Times New Roman" w:hAnsi="Times New Roman" w:cs="Times New Roman"/>
          <w:sz w:val="24"/>
          <w:szCs w:val="24"/>
          <w:lang w:eastAsia="en-NG"/>
        </w:rPr>
      </w:pPr>
      <w:r>
        <w:rPr>
          <w:rStyle w:val="Strong"/>
          <w:b w:val="0"/>
          <w:bCs w:val="0"/>
          <w:sz w:val="24"/>
          <w:szCs w:val="24"/>
        </w:rPr>
        <w:br w:type="page"/>
      </w:r>
    </w:p>
    <w:p w14:paraId="42B87D46" w14:textId="4E8078BC" w:rsidR="00112593" w:rsidRPr="00866F05" w:rsidRDefault="001218C4" w:rsidP="00112593">
      <w:pPr>
        <w:pStyle w:val="Heading2"/>
        <w:rPr>
          <w:b w:val="0"/>
          <w:bCs w:val="0"/>
          <w:sz w:val="24"/>
          <w:szCs w:val="24"/>
        </w:rPr>
      </w:pPr>
      <w:r>
        <w:rPr>
          <w:rStyle w:val="Strong"/>
          <w:b/>
          <w:bCs/>
          <w:sz w:val="24"/>
          <w:szCs w:val="24"/>
          <w:lang w:val="en-US"/>
        </w:rPr>
        <w:t>5</w:t>
      </w:r>
      <w:r w:rsidR="00112593" w:rsidRPr="00866F05">
        <w:rPr>
          <w:rStyle w:val="Strong"/>
          <w:b/>
          <w:bCs/>
          <w:sz w:val="24"/>
          <w:szCs w:val="24"/>
        </w:rPr>
        <w:t>. Conclusion</w:t>
      </w:r>
    </w:p>
    <w:p w14:paraId="538C5000" w14:textId="6447CB9C" w:rsidR="0020373F" w:rsidRPr="0020373F" w:rsidRDefault="0020373F" w:rsidP="00A91FED">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sidRPr="0020373F">
        <w:rPr>
          <w:rFonts w:ascii="Times New Roman" w:eastAsia="Times New Roman" w:hAnsi="Times New Roman" w:cs="Times New Roman"/>
          <w:sz w:val="24"/>
          <w:szCs w:val="24"/>
          <w:lang w:val="en-NG" w:eastAsia="en-NG"/>
        </w:rPr>
        <w:t xml:space="preserve">This study demonstrates that spacing and post-pinching regrowth significantly influence growth performance, biomass allocation, and canopy development in Moringa species under semi-arid conditions. PKM 1 and </w:t>
      </w:r>
      <w:r w:rsidRPr="0020373F">
        <w:rPr>
          <w:rFonts w:ascii="Times New Roman" w:eastAsia="Times New Roman" w:hAnsi="Times New Roman" w:cs="Times New Roman"/>
          <w:i/>
          <w:iCs/>
          <w:sz w:val="24"/>
          <w:szCs w:val="24"/>
          <w:lang w:val="en-NG" w:eastAsia="en-NG"/>
        </w:rPr>
        <w:t>M. oleifera</w:t>
      </w:r>
      <w:r w:rsidRPr="0020373F">
        <w:rPr>
          <w:rFonts w:ascii="Times New Roman" w:eastAsia="Times New Roman" w:hAnsi="Times New Roman" w:cs="Times New Roman"/>
          <w:sz w:val="24"/>
          <w:szCs w:val="24"/>
          <w:lang w:val="en-NG" w:eastAsia="en-NG"/>
        </w:rPr>
        <w:t xml:space="preserve"> exhibited superior productivity and adaptive plasticity, making them suitable for intensive production systems.</w:t>
      </w:r>
      <w:r w:rsidR="00A91FED">
        <w:rPr>
          <w:rFonts w:ascii="Times New Roman" w:eastAsia="Times New Roman" w:hAnsi="Times New Roman" w:cs="Times New Roman"/>
          <w:sz w:val="24"/>
          <w:szCs w:val="24"/>
          <w:lang w:val="en-US" w:eastAsia="en-NG"/>
        </w:rPr>
        <w:t xml:space="preserve"> </w:t>
      </w:r>
      <w:r w:rsidRPr="0020373F">
        <w:rPr>
          <w:rFonts w:ascii="Times New Roman" w:eastAsia="Times New Roman" w:hAnsi="Times New Roman" w:cs="Times New Roman"/>
          <w:sz w:val="24"/>
          <w:szCs w:val="24"/>
          <w:lang w:val="en-NG" w:eastAsia="en-NG"/>
        </w:rPr>
        <w:t>Closer spacing enhanced canopy development and biomass yield, whereas wider spacing improved root development and resource-use efficiency. The observed relationships between LAI, biomass accumulation, and root–shoot dynamics highlight the importance of coordinated growth strategies.</w:t>
      </w:r>
      <w:r w:rsidR="00A91FED">
        <w:rPr>
          <w:rFonts w:ascii="Times New Roman" w:eastAsia="Times New Roman" w:hAnsi="Times New Roman" w:cs="Times New Roman"/>
          <w:sz w:val="24"/>
          <w:szCs w:val="24"/>
          <w:lang w:val="en-US" w:eastAsia="en-NG"/>
        </w:rPr>
        <w:t xml:space="preserve"> </w:t>
      </w:r>
      <w:r w:rsidRPr="0020373F">
        <w:rPr>
          <w:rFonts w:ascii="Times New Roman" w:eastAsia="Times New Roman" w:hAnsi="Times New Roman" w:cs="Times New Roman"/>
          <w:sz w:val="24"/>
          <w:szCs w:val="24"/>
          <w:lang w:val="en-NG" w:eastAsia="en-NG"/>
        </w:rPr>
        <w:t>Optimizing spacing and regrowth management provides a practical pathway for enhancing productivity, resilience, and sustainability in Moringa-based agroforestry systems.</w:t>
      </w:r>
    </w:p>
    <w:p w14:paraId="0E4C2A44" w14:textId="12E63B4E" w:rsidR="00112593" w:rsidRPr="00866F05" w:rsidRDefault="001218C4" w:rsidP="00112593">
      <w:pPr>
        <w:pStyle w:val="Heading2"/>
        <w:rPr>
          <w:rStyle w:val="Strong"/>
          <w:b/>
          <w:bCs/>
          <w:sz w:val="24"/>
          <w:szCs w:val="24"/>
        </w:rPr>
      </w:pPr>
      <w:r>
        <w:rPr>
          <w:rStyle w:val="Strong"/>
          <w:b/>
          <w:bCs/>
          <w:sz w:val="24"/>
          <w:szCs w:val="24"/>
          <w:lang w:val="en-US"/>
        </w:rPr>
        <w:t>6</w:t>
      </w:r>
      <w:r w:rsidR="00112593" w:rsidRPr="00866F05">
        <w:rPr>
          <w:rStyle w:val="Strong"/>
          <w:b/>
          <w:bCs/>
          <w:sz w:val="24"/>
          <w:szCs w:val="24"/>
          <w:lang w:val="en-US"/>
        </w:rPr>
        <w:t xml:space="preserve">. </w:t>
      </w:r>
      <w:r w:rsidR="00112593" w:rsidRPr="00866F05">
        <w:rPr>
          <w:rStyle w:val="Strong"/>
          <w:b/>
          <w:bCs/>
          <w:sz w:val="24"/>
          <w:szCs w:val="24"/>
        </w:rPr>
        <w:t>Recommendations</w:t>
      </w:r>
    </w:p>
    <w:p w14:paraId="1AFE3E29" w14:textId="77777777" w:rsidR="00112593" w:rsidRPr="004537DC" w:rsidRDefault="00112593" w:rsidP="00866F05">
      <w:pPr>
        <w:jc w:val="both"/>
        <w:rPr>
          <w:rFonts w:ascii="Times New Roman" w:hAnsi="Times New Roman" w:cs="Times New Roman"/>
          <w:sz w:val="24"/>
          <w:szCs w:val="24"/>
        </w:rPr>
      </w:pPr>
      <w:r w:rsidRPr="004537DC">
        <w:rPr>
          <w:rFonts w:ascii="Times New Roman" w:hAnsi="Times New Roman" w:cs="Times New Roman"/>
          <w:sz w:val="24"/>
          <w:szCs w:val="24"/>
        </w:rPr>
        <w:t>Based on the findings of this study, the following recommendations are proposed:</w:t>
      </w:r>
    </w:p>
    <w:p w14:paraId="6FD03C11"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val="en-NG" w:eastAsia="en-NG"/>
        </w:rPr>
      </w:pPr>
      <w:r w:rsidRPr="00A91FED">
        <w:rPr>
          <w:rFonts w:ascii="Times New Roman" w:eastAsia="Times New Roman" w:hAnsi="Times New Roman" w:cs="Times New Roman"/>
          <w:sz w:val="24"/>
          <w:szCs w:val="24"/>
          <w:lang w:val="en-NG" w:eastAsia="en-NG"/>
        </w:rPr>
        <w:t xml:space="preserve">Adopt 15×15 cm spacing for intensive leaf production systems </w:t>
      </w:r>
    </w:p>
    <w:p w14:paraId="72E26254"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val="en-NG" w:eastAsia="en-NG"/>
        </w:rPr>
      </w:pPr>
      <w:r w:rsidRPr="00A91FED">
        <w:rPr>
          <w:rFonts w:ascii="Times New Roman" w:eastAsia="Times New Roman" w:hAnsi="Times New Roman" w:cs="Times New Roman"/>
          <w:sz w:val="24"/>
          <w:szCs w:val="24"/>
          <w:lang w:val="en-NG" w:eastAsia="en-NG"/>
        </w:rPr>
        <w:t xml:space="preserve"> Use 20×20–20×30 cm spacing for drought resilience and low-input systems </w:t>
      </w:r>
    </w:p>
    <w:p w14:paraId="209562D5"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val="en-NG" w:eastAsia="en-NG"/>
        </w:rPr>
      </w:pPr>
      <w:r w:rsidRPr="00A91FED">
        <w:rPr>
          <w:rFonts w:ascii="Times New Roman" w:eastAsia="Times New Roman" w:hAnsi="Times New Roman" w:cs="Times New Roman"/>
          <w:sz w:val="24"/>
          <w:szCs w:val="24"/>
          <w:lang w:val="en-NG" w:eastAsia="en-NG"/>
        </w:rPr>
        <w:t xml:space="preserve">Promote PKM 1 and M. oleifera for high-yield systems </w:t>
      </w:r>
    </w:p>
    <w:p w14:paraId="7FEB4D34"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val="en-NG" w:eastAsia="en-NG"/>
        </w:rPr>
      </w:pPr>
      <w:r w:rsidRPr="00A91FED">
        <w:rPr>
          <w:rFonts w:ascii="Times New Roman" w:eastAsia="Times New Roman" w:hAnsi="Times New Roman" w:cs="Times New Roman"/>
          <w:sz w:val="24"/>
          <w:szCs w:val="24"/>
          <w:lang w:val="en-NG" w:eastAsia="en-NG"/>
        </w:rPr>
        <w:t xml:space="preserve">Apply regular pinching/coppicing to sustain regrowth </w:t>
      </w:r>
    </w:p>
    <w:p w14:paraId="6CDDBD82"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val="en-NG" w:eastAsia="en-NG"/>
        </w:rPr>
      </w:pPr>
      <w:r w:rsidRPr="00A91FED">
        <w:rPr>
          <w:rFonts w:ascii="Times New Roman" w:eastAsia="Times New Roman" w:hAnsi="Times New Roman" w:cs="Times New Roman"/>
          <w:sz w:val="24"/>
          <w:szCs w:val="24"/>
          <w:lang w:val="en-NG" w:eastAsia="en-NG"/>
        </w:rPr>
        <w:t xml:space="preserve">Optimize spacing to regulate LAI and biomass allocation </w:t>
      </w:r>
    </w:p>
    <w:p w14:paraId="4FBA1456" w14:textId="77777777" w:rsidR="00A91FED"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val="en-NG" w:eastAsia="en-NG"/>
        </w:rPr>
      </w:pPr>
      <w:r w:rsidRPr="00A91FED">
        <w:rPr>
          <w:rFonts w:ascii="Times New Roman" w:eastAsia="Times New Roman" w:hAnsi="Times New Roman" w:cs="Times New Roman"/>
          <w:sz w:val="24"/>
          <w:szCs w:val="24"/>
          <w:lang w:val="en-NG" w:eastAsia="en-NG"/>
        </w:rPr>
        <w:t xml:space="preserve">Encourage integration of Moringa into semi-arid farming systems </w:t>
      </w:r>
    </w:p>
    <w:p w14:paraId="3CFF2EEF" w14:textId="00E85E7D" w:rsidR="00866F05" w:rsidRPr="00A91FED" w:rsidRDefault="00A91FED" w:rsidP="00EA30E2">
      <w:pPr>
        <w:pStyle w:val="ListParagraph"/>
        <w:numPr>
          <w:ilvl w:val="0"/>
          <w:numId w:val="38"/>
        </w:numPr>
        <w:spacing w:after="0" w:line="240" w:lineRule="auto"/>
        <w:ind w:left="426"/>
        <w:rPr>
          <w:rFonts w:ascii="Times New Roman" w:eastAsia="Times New Roman" w:hAnsi="Times New Roman" w:cs="Times New Roman"/>
          <w:sz w:val="24"/>
          <w:szCs w:val="24"/>
          <w:lang w:val="en-NG" w:eastAsia="en-NG"/>
        </w:rPr>
      </w:pPr>
      <w:r w:rsidRPr="00A91FED">
        <w:rPr>
          <w:rFonts w:ascii="Times New Roman" w:eastAsia="Times New Roman" w:hAnsi="Times New Roman" w:cs="Times New Roman"/>
          <w:sz w:val="24"/>
          <w:szCs w:val="24"/>
          <w:lang w:val="en-NG" w:eastAsia="en-NG"/>
        </w:rPr>
        <w:t>Conduct long-term studies on spacing × nutrient interactions</w:t>
      </w:r>
      <w:bookmarkStart w:id="0" w:name="_GoBack"/>
      <w:bookmarkEnd w:id="0"/>
    </w:p>
    <w:p w14:paraId="4729A892" w14:textId="40151A03" w:rsidR="00112593" w:rsidRPr="00261E2E" w:rsidRDefault="003F13FD" w:rsidP="00112593">
      <w:pPr>
        <w:pStyle w:val="Heading2"/>
        <w:ind w:left="720" w:hanging="720"/>
        <w:jc w:val="both"/>
        <w:rPr>
          <w:sz w:val="24"/>
          <w:szCs w:val="24"/>
        </w:rPr>
      </w:pPr>
      <w:r>
        <w:rPr>
          <w:sz w:val="24"/>
          <w:szCs w:val="24"/>
          <w:lang w:val="en-US"/>
        </w:rPr>
        <w:t>7</w:t>
      </w:r>
      <w:r w:rsidR="00112593" w:rsidRPr="00261E2E">
        <w:rPr>
          <w:sz w:val="24"/>
          <w:szCs w:val="24"/>
        </w:rPr>
        <w:t>. References</w:t>
      </w:r>
    </w:p>
    <w:p w14:paraId="4C9E424F" w14:textId="77777777" w:rsidR="00EA30E2" w:rsidRDefault="00EA30E2" w:rsidP="00EA30E2">
      <w:pPr>
        <w:pStyle w:val="NormalWeb"/>
        <w:ind w:left="720" w:hanging="720"/>
        <w:jc w:val="both"/>
      </w:pPr>
      <w:r>
        <w:t xml:space="preserve">Aliyu, M., &amp; Odulaja, A. (2020). Climate variability and semi-arid agriculture in Sokoto State, Nigeria. </w:t>
      </w:r>
      <w:r>
        <w:rPr>
          <w:rStyle w:val="Emphasis"/>
        </w:rPr>
        <w:t>Nigerian Journal of Agricultural Research, 15</w:t>
      </w:r>
      <w:r>
        <w:t>(1), 33–45.</w:t>
      </w:r>
    </w:p>
    <w:p w14:paraId="6E629FE5" w14:textId="2B7379DE" w:rsidR="00EA30E2" w:rsidRDefault="00EA30E2" w:rsidP="00EA30E2">
      <w:pPr>
        <w:pStyle w:val="NormalWeb"/>
        <w:ind w:left="720" w:hanging="720"/>
        <w:jc w:val="both"/>
      </w:pPr>
      <w:r>
        <w:t xml:space="preserve">Ejidike, C., Bello, H., &amp; Musa, A. (2021). Agroclimatic characterization of the Sudano–Sahelian zone of Nigeria: Implications for dryland cropping systems. </w:t>
      </w:r>
      <w:r>
        <w:rPr>
          <w:rStyle w:val="Emphasis"/>
        </w:rPr>
        <w:t>International Journal of Climate Change Strategies and Management, 13</w:t>
      </w:r>
      <w:r>
        <w:t xml:space="preserve">(3), 347–363. </w:t>
      </w:r>
      <w:r w:rsidRPr="00EA30E2">
        <w:rPr>
          <w:rFonts w:eastAsiaTheme="majorEastAsia"/>
        </w:rPr>
        <w:t>https://doi.org/10.1108/IJCCSM-09-2020-0098</w:t>
      </w:r>
    </w:p>
    <w:p w14:paraId="589D142B" w14:textId="763FAC01" w:rsidR="00EA30E2" w:rsidRDefault="00EA30E2" w:rsidP="00EA30E2">
      <w:pPr>
        <w:pStyle w:val="NormalWeb"/>
        <w:ind w:left="720" w:hanging="720"/>
        <w:jc w:val="both"/>
      </w:pPr>
      <w:r>
        <w:t xml:space="preserve">Eshete, Z., Belay, M., &amp; Tadesse, F. (2022). Effects of plant spacing on growth, leaf yield, and biomass allocation of Moringa species in semi-arid Ethiopia. </w:t>
      </w:r>
      <w:r>
        <w:rPr>
          <w:rStyle w:val="Emphasis"/>
        </w:rPr>
        <w:t>Heliyon, 8</w:t>
      </w:r>
      <w:r>
        <w:t xml:space="preserve">(4), e09245. </w:t>
      </w:r>
      <w:r w:rsidRPr="00EA30E2">
        <w:rPr>
          <w:rFonts w:eastAsiaTheme="majorEastAsia"/>
        </w:rPr>
        <w:t>https://doi.org/10.1016/j.heliyon.2022.e09245</w:t>
      </w:r>
    </w:p>
    <w:p w14:paraId="1D1B98C1" w14:textId="77777777" w:rsidR="00EA30E2" w:rsidRDefault="00EA30E2" w:rsidP="00EA30E2">
      <w:pPr>
        <w:pStyle w:val="NormalWeb"/>
        <w:ind w:left="720" w:hanging="720"/>
        <w:jc w:val="both"/>
      </w:pPr>
      <w:r>
        <w:t xml:space="preserve">Garba, S., Muhammad, T., &amp; Ali, K. (2022). Soil fertility constraints and nutrient management strategies in northern Nigerian semi-arid regions. </w:t>
      </w:r>
      <w:r>
        <w:rPr>
          <w:rStyle w:val="Emphasis"/>
        </w:rPr>
        <w:t>African Journal of Soil Science, 12</w:t>
      </w:r>
      <w:r>
        <w:t>(1), 25–37.</w:t>
      </w:r>
    </w:p>
    <w:p w14:paraId="46BFE381" w14:textId="7F8FA743" w:rsidR="00EA30E2" w:rsidRDefault="00EA30E2" w:rsidP="00EA30E2">
      <w:pPr>
        <w:pStyle w:val="NormalWeb"/>
        <w:ind w:left="720" w:hanging="720"/>
        <w:jc w:val="both"/>
      </w:pPr>
      <w:r>
        <w:t xml:space="preserve">Li, F., Zhang, Y., &amp; Wang, X. (2022). Plant density effects on biomass allocation and canopy structure in fast-growing agroforestry species. </w:t>
      </w:r>
      <w:r>
        <w:rPr>
          <w:rStyle w:val="Emphasis"/>
        </w:rPr>
        <w:t>Forests, 13</w:t>
      </w:r>
      <w:r>
        <w:t xml:space="preserve">(5), 678. </w:t>
      </w:r>
      <w:r w:rsidRPr="00EA30E2">
        <w:rPr>
          <w:rFonts w:eastAsiaTheme="majorEastAsia"/>
        </w:rPr>
        <w:t>https://doi.org/10.3390/f13050678</w:t>
      </w:r>
    </w:p>
    <w:p w14:paraId="4A8798F7" w14:textId="77777777" w:rsidR="00EA30E2" w:rsidRDefault="00EA30E2" w:rsidP="00EA30E2">
      <w:pPr>
        <w:pStyle w:val="NormalWeb"/>
        <w:ind w:left="720" w:hanging="720"/>
        <w:jc w:val="both"/>
      </w:pPr>
      <w:r>
        <w:t xml:space="preserve">Muhammad, A., &amp; Bello, S. (2024). Soil and vegetation dynamics in semi-arid agroecosystems of Sokoto State, Nigeria. </w:t>
      </w:r>
      <w:r>
        <w:rPr>
          <w:rStyle w:val="Emphasis"/>
        </w:rPr>
        <w:t>Journal of Environmental and Agricultural Sciences, 17</w:t>
      </w:r>
      <w:r>
        <w:t>(1), 12–26.</w:t>
      </w:r>
    </w:p>
    <w:p w14:paraId="4F04120C" w14:textId="77777777" w:rsidR="00EA30E2" w:rsidRDefault="00EA30E2" w:rsidP="00EA30E2">
      <w:pPr>
        <w:pStyle w:val="NormalWeb"/>
        <w:ind w:left="720" w:hanging="720"/>
        <w:jc w:val="both"/>
      </w:pPr>
      <w:r>
        <w:t xml:space="preserve">Namesi, T., Ibrahim, J., &amp; Abubakar, S. (2010). Effects of NPK fertilizer on early growth of Moringa oleifera seedlings under semi-arid conditions. </w:t>
      </w:r>
      <w:r>
        <w:rPr>
          <w:rStyle w:val="Emphasis"/>
        </w:rPr>
        <w:t>Nigerian Journal of Horticultural Science, 15</w:t>
      </w:r>
      <w:r>
        <w:t>(2), 45–52.</w:t>
      </w:r>
    </w:p>
    <w:p w14:paraId="6A3539C9" w14:textId="2C32BD59" w:rsidR="00EA30E2" w:rsidRDefault="00EA30E2" w:rsidP="00EA30E2">
      <w:pPr>
        <w:pStyle w:val="NormalWeb"/>
        <w:ind w:left="720" w:hanging="720"/>
        <w:jc w:val="both"/>
      </w:pPr>
      <w:r>
        <w:t xml:space="preserve">Ogbuehi, C., &amp; Adepoju, T. (2020). Post-coppicing regrowth and biomass allocation in woody perennials of semi-arid Nigeria. </w:t>
      </w:r>
      <w:r>
        <w:rPr>
          <w:rStyle w:val="Emphasis"/>
        </w:rPr>
        <w:t>Agroforestry Systems, 94</w:t>
      </w:r>
      <w:r>
        <w:t xml:space="preserve">(3), 675–688. </w:t>
      </w:r>
      <w:r w:rsidRPr="00EA30E2">
        <w:rPr>
          <w:rFonts w:eastAsiaTheme="majorEastAsia"/>
        </w:rPr>
        <w:t>https://doi.org/10.1007/s10457-019-00454-2</w:t>
      </w:r>
    </w:p>
    <w:p w14:paraId="16F6D5A6" w14:textId="77777777" w:rsidR="00EA30E2" w:rsidRDefault="00EA30E2" w:rsidP="00EA30E2">
      <w:pPr>
        <w:pStyle w:val="NormalWeb"/>
        <w:ind w:left="720" w:hanging="720"/>
        <w:jc w:val="both"/>
      </w:pPr>
      <w:r>
        <w:t xml:space="preserve">Olayanju, O., Suleiman, A., &amp; Muhammad, F. (2022). Improved Moringa varieties and their vegetative regrowth dynamics under defoliation stress. </w:t>
      </w:r>
      <w:r>
        <w:rPr>
          <w:rStyle w:val="Emphasis"/>
        </w:rPr>
        <w:t>Journal of Agroforestry Research, 19</w:t>
      </w:r>
      <w:r>
        <w:t>(1), 55–68.</w:t>
      </w:r>
    </w:p>
    <w:p w14:paraId="166EFDED" w14:textId="64460B4A" w:rsidR="00EA30E2" w:rsidRDefault="00EA30E2" w:rsidP="00EA30E2">
      <w:pPr>
        <w:pStyle w:val="NormalWeb"/>
        <w:ind w:left="720" w:hanging="720"/>
        <w:jc w:val="both"/>
      </w:pPr>
      <w:r>
        <w:t xml:space="preserve">Patricio, A., Santos, R., &amp; Pereira, M. (2017). Effects of spacing and harvest interval on growth and leaf yield of Moringa oleifera. </w:t>
      </w:r>
      <w:r>
        <w:rPr>
          <w:rStyle w:val="Emphasis"/>
        </w:rPr>
        <w:t>Journal of Agricultural Science, 9</w:t>
      </w:r>
      <w:r>
        <w:t xml:space="preserve">(4), 122–134. </w:t>
      </w:r>
      <w:r w:rsidRPr="00EA30E2">
        <w:rPr>
          <w:rFonts w:eastAsiaTheme="majorEastAsia"/>
        </w:rPr>
        <w:t>https://doi.org/10.5539/jas.v9n4p122</w:t>
      </w:r>
    </w:p>
    <w:p w14:paraId="3B101E8D" w14:textId="7F45DC27" w:rsidR="00EA30E2" w:rsidRDefault="00EA30E2" w:rsidP="00EA30E2">
      <w:pPr>
        <w:pStyle w:val="NormalWeb"/>
        <w:ind w:left="720" w:hanging="720"/>
        <w:jc w:val="both"/>
      </w:pPr>
      <w:r>
        <w:t xml:space="preserve">Said, A., Ali, M., &amp; Bello, H. (2023). Leaf area index and biomass production responses of Moringa species to post-pinching regrowth in semi-arid agroforestry systems. </w:t>
      </w:r>
      <w:r>
        <w:rPr>
          <w:rStyle w:val="Emphasis"/>
        </w:rPr>
        <w:t>Agroforestry Systems, 97</w:t>
      </w:r>
      <w:r>
        <w:t xml:space="preserve">(1), 45–60. </w:t>
      </w:r>
      <w:r w:rsidRPr="00EA30E2">
        <w:rPr>
          <w:rFonts w:eastAsiaTheme="majorEastAsia"/>
        </w:rPr>
        <w:t>https://doi.org/10.1007/s10457-022-00789-3</w:t>
      </w:r>
    </w:p>
    <w:p w14:paraId="7470DC90" w14:textId="32104E5F" w:rsidR="00EA30E2" w:rsidRDefault="00EA30E2" w:rsidP="00EA30E2">
      <w:pPr>
        <w:pStyle w:val="NormalWeb"/>
        <w:ind w:left="720" w:hanging="720"/>
        <w:jc w:val="both"/>
      </w:pPr>
      <w:r>
        <w:t xml:space="preserve">Santos, R., Oliveira, P., &amp; Silva, J. (2021). Influence of plant density on leaf yield and biomass allocation in Moringa stenopetala. </w:t>
      </w:r>
      <w:r>
        <w:rPr>
          <w:rStyle w:val="Emphasis"/>
        </w:rPr>
        <w:t>Forest Ecology and Management, 485</w:t>
      </w:r>
      <w:r>
        <w:t xml:space="preserve">, 118961. </w:t>
      </w:r>
      <w:r w:rsidRPr="00EA30E2">
        <w:rPr>
          <w:rFonts w:eastAsiaTheme="majorEastAsia"/>
        </w:rPr>
        <w:t>https://doi.org/10.1016/j.foreco.2021.118961</w:t>
      </w:r>
    </w:p>
    <w:p w14:paraId="28CA7C3F" w14:textId="77777777" w:rsidR="00EA30E2" w:rsidRDefault="00EA30E2" w:rsidP="00EA30E2">
      <w:pPr>
        <w:pStyle w:val="NormalWeb"/>
        <w:ind w:left="720" w:hanging="720"/>
        <w:jc w:val="both"/>
      </w:pPr>
      <w:r>
        <w:t xml:space="preserve">Soomro, F., Qureshi, A., &amp; Memon, M. (2024). Plant density and leaf production optimization in fast-growing tropical trees. </w:t>
      </w:r>
      <w:r>
        <w:rPr>
          <w:rStyle w:val="Emphasis"/>
        </w:rPr>
        <w:t>Journal of Tropical Agriculture, 62</w:t>
      </w:r>
      <w:r>
        <w:t>(2), 150–163.</w:t>
      </w:r>
    </w:p>
    <w:p w14:paraId="7B0D4125" w14:textId="47801035" w:rsidR="00EA30E2" w:rsidRDefault="00EA30E2" w:rsidP="00EA30E2">
      <w:pPr>
        <w:pStyle w:val="NormalWeb"/>
        <w:ind w:left="720" w:hanging="720"/>
        <w:jc w:val="both"/>
      </w:pPr>
      <w:r>
        <w:t xml:space="preserve">Sutarno, H., &amp; Rosyida, F. (2020). Effects of planting density on biomass production and light interception in Moringa plantations. </w:t>
      </w:r>
      <w:r>
        <w:rPr>
          <w:rStyle w:val="Emphasis"/>
        </w:rPr>
        <w:t>Indonesian Journal of Agricultural Science, 21</w:t>
      </w:r>
      <w:r>
        <w:t xml:space="preserve">(3), 89–97. </w:t>
      </w:r>
      <w:r w:rsidRPr="00EA30E2">
        <w:rPr>
          <w:rFonts w:eastAsiaTheme="majorEastAsia"/>
        </w:rPr>
        <w:t>https://doi.org/10.21082/ijas.v21n3.2020.p89-97</w:t>
      </w:r>
    </w:p>
    <w:p w14:paraId="4689147D" w14:textId="251470CD" w:rsidR="00EA30E2" w:rsidRDefault="00EA30E2" w:rsidP="00EA30E2">
      <w:pPr>
        <w:pStyle w:val="NormalWeb"/>
        <w:ind w:left="720" w:hanging="720"/>
        <w:jc w:val="both"/>
      </w:pPr>
      <w:r>
        <w:t xml:space="preserve">Zhang, L., Chen, Y., &amp; Wang, Q. (2021). Biomass allocation strategies of woody species under competition and variable spacing. </w:t>
      </w:r>
      <w:r>
        <w:rPr>
          <w:rStyle w:val="Emphasis"/>
        </w:rPr>
        <w:t>Plant Ecology, 222</w:t>
      </w:r>
      <w:r>
        <w:t xml:space="preserve">, 987–1000. </w:t>
      </w:r>
      <w:r w:rsidRPr="00EA30E2">
        <w:rPr>
          <w:rFonts w:eastAsiaTheme="majorEastAsia"/>
        </w:rPr>
        <w:t>https://doi.org/10.1007/s11258-021-01132-x</w:t>
      </w:r>
    </w:p>
    <w:p w14:paraId="13FC2B87" w14:textId="4687598D" w:rsidR="00C761B5" w:rsidRPr="00112593" w:rsidRDefault="00C761B5" w:rsidP="00112593"/>
    <w:sectPr w:rsidR="00C761B5" w:rsidRPr="0011259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17ADA" w14:textId="77777777" w:rsidR="00051782" w:rsidRDefault="00051782" w:rsidP="00E21C26">
      <w:pPr>
        <w:spacing w:after="0" w:line="240" w:lineRule="auto"/>
      </w:pPr>
      <w:r>
        <w:separator/>
      </w:r>
    </w:p>
  </w:endnote>
  <w:endnote w:type="continuationSeparator" w:id="0">
    <w:p w14:paraId="6778E9CE" w14:textId="77777777" w:rsidR="00051782" w:rsidRDefault="00051782" w:rsidP="00E2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335860"/>
      <w:docPartObj>
        <w:docPartGallery w:val="Page Numbers (Bottom of Page)"/>
        <w:docPartUnique/>
      </w:docPartObj>
    </w:sdtPr>
    <w:sdtEndPr>
      <w:rPr>
        <w:color w:val="7F7F7F" w:themeColor="background1" w:themeShade="7F"/>
        <w:spacing w:val="60"/>
      </w:rPr>
    </w:sdtEndPr>
    <w:sdtContent>
      <w:p w14:paraId="111523F8" w14:textId="0304E7A8" w:rsidR="0020373F" w:rsidRDefault="0020373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1E8C3C" w14:textId="77777777" w:rsidR="0020373F" w:rsidRDefault="00203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81EAB" w14:textId="77777777" w:rsidR="00051782" w:rsidRDefault="00051782" w:rsidP="00E21C26">
      <w:pPr>
        <w:spacing w:after="0" w:line="240" w:lineRule="auto"/>
      </w:pPr>
      <w:r>
        <w:separator/>
      </w:r>
    </w:p>
  </w:footnote>
  <w:footnote w:type="continuationSeparator" w:id="0">
    <w:p w14:paraId="15CD8D85" w14:textId="77777777" w:rsidR="00051782" w:rsidRDefault="00051782" w:rsidP="00E21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E2E"/>
    <w:multiLevelType w:val="multilevel"/>
    <w:tmpl w:val="438A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21F1"/>
    <w:multiLevelType w:val="hybridMultilevel"/>
    <w:tmpl w:val="B73042A8"/>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2C4AAF"/>
    <w:multiLevelType w:val="multilevel"/>
    <w:tmpl w:val="A470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11B1A"/>
    <w:multiLevelType w:val="multilevel"/>
    <w:tmpl w:val="B016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1595E"/>
    <w:multiLevelType w:val="multilevel"/>
    <w:tmpl w:val="603A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F500C"/>
    <w:multiLevelType w:val="multilevel"/>
    <w:tmpl w:val="5032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468BD"/>
    <w:multiLevelType w:val="multilevel"/>
    <w:tmpl w:val="B75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945F8"/>
    <w:multiLevelType w:val="multilevel"/>
    <w:tmpl w:val="1B82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E1BE2"/>
    <w:multiLevelType w:val="multilevel"/>
    <w:tmpl w:val="D370E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D395F"/>
    <w:multiLevelType w:val="multilevel"/>
    <w:tmpl w:val="6330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509DB"/>
    <w:multiLevelType w:val="multilevel"/>
    <w:tmpl w:val="74A69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46DC2"/>
    <w:multiLevelType w:val="multilevel"/>
    <w:tmpl w:val="170E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72064"/>
    <w:multiLevelType w:val="multilevel"/>
    <w:tmpl w:val="CE8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504A2"/>
    <w:multiLevelType w:val="multilevel"/>
    <w:tmpl w:val="B062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E57E1"/>
    <w:multiLevelType w:val="multilevel"/>
    <w:tmpl w:val="569E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A5AB2"/>
    <w:multiLevelType w:val="multilevel"/>
    <w:tmpl w:val="2B52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81841"/>
    <w:multiLevelType w:val="multilevel"/>
    <w:tmpl w:val="70C24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116FBD"/>
    <w:multiLevelType w:val="multilevel"/>
    <w:tmpl w:val="C5447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63235"/>
    <w:multiLevelType w:val="multilevel"/>
    <w:tmpl w:val="972C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749D8"/>
    <w:multiLevelType w:val="multilevel"/>
    <w:tmpl w:val="2E5A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83CF3"/>
    <w:multiLevelType w:val="hybridMultilevel"/>
    <w:tmpl w:val="E49E0B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2D2526E"/>
    <w:multiLevelType w:val="multilevel"/>
    <w:tmpl w:val="3EE4F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B124C"/>
    <w:multiLevelType w:val="multilevel"/>
    <w:tmpl w:val="62F4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E622D"/>
    <w:multiLevelType w:val="multilevel"/>
    <w:tmpl w:val="49E06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D70386"/>
    <w:multiLevelType w:val="multilevel"/>
    <w:tmpl w:val="969A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B36E2"/>
    <w:multiLevelType w:val="multilevel"/>
    <w:tmpl w:val="9844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AF00F5"/>
    <w:multiLevelType w:val="multilevel"/>
    <w:tmpl w:val="E0A80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664172"/>
    <w:multiLevelType w:val="hybridMultilevel"/>
    <w:tmpl w:val="E68C10F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432061D"/>
    <w:multiLevelType w:val="multilevel"/>
    <w:tmpl w:val="550A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1E489D"/>
    <w:multiLevelType w:val="multilevel"/>
    <w:tmpl w:val="E564C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533A8"/>
    <w:multiLevelType w:val="multilevel"/>
    <w:tmpl w:val="DD74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E602B3"/>
    <w:multiLevelType w:val="multilevel"/>
    <w:tmpl w:val="6516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54EDC"/>
    <w:multiLevelType w:val="multilevel"/>
    <w:tmpl w:val="3E88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B55911"/>
    <w:multiLevelType w:val="multilevel"/>
    <w:tmpl w:val="3806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445E8"/>
    <w:multiLevelType w:val="multilevel"/>
    <w:tmpl w:val="1E24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72758"/>
    <w:multiLevelType w:val="multilevel"/>
    <w:tmpl w:val="18F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239CB"/>
    <w:multiLevelType w:val="multilevel"/>
    <w:tmpl w:val="9E98B5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D91877"/>
    <w:multiLevelType w:val="multilevel"/>
    <w:tmpl w:val="937C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6A7827"/>
    <w:multiLevelType w:val="multilevel"/>
    <w:tmpl w:val="850A7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A0E5B"/>
    <w:multiLevelType w:val="multilevel"/>
    <w:tmpl w:val="B1A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A75E0"/>
    <w:multiLevelType w:val="multilevel"/>
    <w:tmpl w:val="BC9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D1E08"/>
    <w:multiLevelType w:val="multilevel"/>
    <w:tmpl w:val="9210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850BCB"/>
    <w:multiLevelType w:val="multilevel"/>
    <w:tmpl w:val="32D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3"/>
  </w:num>
  <w:num w:numId="3">
    <w:abstractNumId w:val="26"/>
  </w:num>
  <w:num w:numId="4">
    <w:abstractNumId w:val="19"/>
  </w:num>
  <w:num w:numId="5">
    <w:abstractNumId w:val="8"/>
  </w:num>
  <w:num w:numId="6">
    <w:abstractNumId w:val="17"/>
  </w:num>
  <w:num w:numId="7">
    <w:abstractNumId w:val="29"/>
  </w:num>
  <w:num w:numId="8">
    <w:abstractNumId w:val="21"/>
  </w:num>
  <w:num w:numId="9">
    <w:abstractNumId w:val="10"/>
  </w:num>
  <w:num w:numId="10">
    <w:abstractNumId w:val="38"/>
  </w:num>
  <w:num w:numId="11">
    <w:abstractNumId w:val="28"/>
  </w:num>
  <w:num w:numId="12">
    <w:abstractNumId w:val="18"/>
  </w:num>
  <w:num w:numId="13">
    <w:abstractNumId w:val="39"/>
  </w:num>
  <w:num w:numId="14">
    <w:abstractNumId w:val="25"/>
  </w:num>
  <w:num w:numId="15">
    <w:abstractNumId w:val="6"/>
  </w:num>
  <w:num w:numId="16">
    <w:abstractNumId w:val="30"/>
  </w:num>
  <w:num w:numId="17">
    <w:abstractNumId w:val="42"/>
  </w:num>
  <w:num w:numId="18">
    <w:abstractNumId w:val="22"/>
  </w:num>
  <w:num w:numId="19">
    <w:abstractNumId w:val="15"/>
  </w:num>
  <w:num w:numId="20">
    <w:abstractNumId w:val="16"/>
  </w:num>
  <w:num w:numId="21">
    <w:abstractNumId w:val="0"/>
  </w:num>
  <w:num w:numId="22">
    <w:abstractNumId w:val="33"/>
  </w:num>
  <w:num w:numId="23">
    <w:abstractNumId w:val="41"/>
  </w:num>
  <w:num w:numId="24">
    <w:abstractNumId w:val="34"/>
  </w:num>
  <w:num w:numId="25">
    <w:abstractNumId w:val="14"/>
  </w:num>
  <w:num w:numId="26">
    <w:abstractNumId w:val="35"/>
  </w:num>
  <w:num w:numId="27">
    <w:abstractNumId w:val="5"/>
  </w:num>
  <w:num w:numId="28">
    <w:abstractNumId w:val="32"/>
  </w:num>
  <w:num w:numId="29">
    <w:abstractNumId w:val="37"/>
  </w:num>
  <w:num w:numId="30">
    <w:abstractNumId w:val="11"/>
  </w:num>
  <w:num w:numId="31">
    <w:abstractNumId w:val="24"/>
  </w:num>
  <w:num w:numId="32">
    <w:abstractNumId w:val="4"/>
  </w:num>
  <w:num w:numId="33">
    <w:abstractNumId w:val="31"/>
  </w:num>
  <w:num w:numId="34">
    <w:abstractNumId w:val="12"/>
  </w:num>
  <w:num w:numId="35">
    <w:abstractNumId w:val="40"/>
  </w:num>
  <w:num w:numId="36">
    <w:abstractNumId w:val="3"/>
  </w:num>
  <w:num w:numId="37">
    <w:abstractNumId w:val="20"/>
  </w:num>
  <w:num w:numId="38">
    <w:abstractNumId w:val="27"/>
  </w:num>
  <w:num w:numId="39">
    <w:abstractNumId w:val="1"/>
  </w:num>
  <w:num w:numId="40">
    <w:abstractNumId w:val="9"/>
  </w:num>
  <w:num w:numId="41">
    <w:abstractNumId w:val="7"/>
  </w:num>
  <w:num w:numId="42">
    <w:abstractNumId w:val="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72"/>
    <w:rsid w:val="00050C85"/>
    <w:rsid w:val="00051782"/>
    <w:rsid w:val="00112593"/>
    <w:rsid w:val="001218C4"/>
    <w:rsid w:val="0020373F"/>
    <w:rsid w:val="00262DED"/>
    <w:rsid w:val="002711BA"/>
    <w:rsid w:val="0029598F"/>
    <w:rsid w:val="00295D05"/>
    <w:rsid w:val="002B2E72"/>
    <w:rsid w:val="00331002"/>
    <w:rsid w:val="003F13FD"/>
    <w:rsid w:val="00507B84"/>
    <w:rsid w:val="005846EC"/>
    <w:rsid w:val="00776D3E"/>
    <w:rsid w:val="007E1FFB"/>
    <w:rsid w:val="007E6F80"/>
    <w:rsid w:val="00866F05"/>
    <w:rsid w:val="008B1CE2"/>
    <w:rsid w:val="00901B5C"/>
    <w:rsid w:val="00922D11"/>
    <w:rsid w:val="00A80FA4"/>
    <w:rsid w:val="00A91FED"/>
    <w:rsid w:val="00AC7D04"/>
    <w:rsid w:val="00B13F16"/>
    <w:rsid w:val="00B76032"/>
    <w:rsid w:val="00C35BA6"/>
    <w:rsid w:val="00C63064"/>
    <w:rsid w:val="00C761B5"/>
    <w:rsid w:val="00D63AC4"/>
    <w:rsid w:val="00DE365A"/>
    <w:rsid w:val="00E21C26"/>
    <w:rsid w:val="00EA30E2"/>
    <w:rsid w:val="00F3209F"/>
    <w:rsid w:val="00F5203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DBF6"/>
  <w15:chartTrackingRefBased/>
  <w15:docId w15:val="{71ABACFE-50AE-4691-9750-7874D8DE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E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B2E72"/>
    <w:pPr>
      <w:spacing w:before="100" w:beforeAutospacing="1" w:after="100" w:afterAutospacing="1" w:line="240" w:lineRule="auto"/>
      <w:outlineLvl w:val="1"/>
    </w:pPr>
    <w:rPr>
      <w:rFonts w:ascii="Times New Roman" w:eastAsia="Times New Roman" w:hAnsi="Times New Roman" w:cs="Times New Roman"/>
      <w:b/>
      <w:bCs/>
      <w:sz w:val="36"/>
      <w:szCs w:val="36"/>
      <w:lang w:eastAsia="en-NG"/>
    </w:rPr>
  </w:style>
  <w:style w:type="paragraph" w:styleId="Heading3">
    <w:name w:val="heading 3"/>
    <w:basedOn w:val="Normal"/>
    <w:link w:val="Heading3Char"/>
    <w:uiPriority w:val="9"/>
    <w:qFormat/>
    <w:rsid w:val="002B2E72"/>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2E72"/>
    <w:rPr>
      <w:rFonts w:ascii="Times New Roman" w:eastAsia="Times New Roman" w:hAnsi="Times New Roman" w:cs="Times New Roman"/>
      <w:b/>
      <w:bCs/>
      <w:sz w:val="36"/>
      <w:szCs w:val="36"/>
      <w:lang w:val="en-NG" w:eastAsia="en-NG"/>
    </w:rPr>
  </w:style>
  <w:style w:type="character" w:customStyle="1" w:styleId="Heading3Char">
    <w:name w:val="Heading 3 Char"/>
    <w:basedOn w:val="DefaultParagraphFont"/>
    <w:link w:val="Heading3"/>
    <w:uiPriority w:val="9"/>
    <w:rsid w:val="002B2E72"/>
    <w:rPr>
      <w:rFonts w:ascii="Times New Roman" w:eastAsia="Times New Roman" w:hAnsi="Times New Roman" w:cs="Times New Roman"/>
      <w:b/>
      <w:bCs/>
      <w:sz w:val="27"/>
      <w:szCs w:val="27"/>
      <w:lang w:val="en-NG" w:eastAsia="en-NG"/>
    </w:rPr>
  </w:style>
  <w:style w:type="paragraph" w:styleId="NormalWeb">
    <w:name w:val="Normal (Web)"/>
    <w:basedOn w:val="Normal"/>
    <w:uiPriority w:val="99"/>
    <w:unhideWhenUsed/>
    <w:rsid w:val="002B2E72"/>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Strong">
    <w:name w:val="Strong"/>
    <w:basedOn w:val="DefaultParagraphFont"/>
    <w:uiPriority w:val="22"/>
    <w:qFormat/>
    <w:rsid w:val="002B2E72"/>
    <w:rPr>
      <w:b/>
      <w:bCs/>
    </w:rPr>
  </w:style>
  <w:style w:type="character" w:styleId="Emphasis">
    <w:name w:val="Emphasis"/>
    <w:basedOn w:val="DefaultParagraphFont"/>
    <w:uiPriority w:val="20"/>
    <w:qFormat/>
    <w:rsid w:val="002B2E72"/>
    <w:rPr>
      <w:i/>
      <w:iCs/>
    </w:rPr>
  </w:style>
  <w:style w:type="character" w:customStyle="1" w:styleId="Heading1Char">
    <w:name w:val="Heading 1 Char"/>
    <w:basedOn w:val="DefaultParagraphFont"/>
    <w:link w:val="Heading1"/>
    <w:uiPriority w:val="9"/>
    <w:rsid w:val="002B2E72"/>
    <w:rPr>
      <w:rFonts w:asciiTheme="majorHAnsi" w:eastAsiaTheme="majorEastAsia" w:hAnsiTheme="majorHAnsi" w:cstheme="majorBidi"/>
      <w:color w:val="2F5496" w:themeColor="accent1" w:themeShade="BF"/>
      <w:sz w:val="32"/>
      <w:szCs w:val="32"/>
    </w:rPr>
  </w:style>
  <w:style w:type="character" w:styleId="HTMLCode">
    <w:name w:val="HTML Code"/>
    <w:basedOn w:val="DefaultParagraphFont"/>
    <w:uiPriority w:val="99"/>
    <w:semiHidden/>
    <w:unhideWhenUsed/>
    <w:rsid w:val="002711BA"/>
    <w:rPr>
      <w:rFonts w:ascii="Courier New" w:eastAsia="Times New Roman" w:hAnsi="Courier New" w:cs="Courier New"/>
      <w:sz w:val="20"/>
      <w:szCs w:val="20"/>
    </w:rPr>
  </w:style>
  <w:style w:type="character" w:styleId="PlaceholderText">
    <w:name w:val="Placeholder Text"/>
    <w:basedOn w:val="DefaultParagraphFont"/>
    <w:uiPriority w:val="99"/>
    <w:semiHidden/>
    <w:rsid w:val="00DE365A"/>
    <w:rPr>
      <w:color w:val="808080"/>
    </w:rPr>
  </w:style>
  <w:style w:type="table" w:styleId="TableGrid">
    <w:name w:val="Table Grid"/>
    <w:basedOn w:val="TableNormal"/>
    <w:uiPriority w:val="39"/>
    <w:rsid w:val="00922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22D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21C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21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C26"/>
  </w:style>
  <w:style w:type="paragraph" w:styleId="Footer">
    <w:name w:val="footer"/>
    <w:basedOn w:val="Normal"/>
    <w:link w:val="FooterChar"/>
    <w:uiPriority w:val="99"/>
    <w:unhideWhenUsed/>
    <w:rsid w:val="00E21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C26"/>
  </w:style>
  <w:style w:type="character" w:customStyle="1" w:styleId="katex-mathml">
    <w:name w:val="katex-mathml"/>
    <w:basedOn w:val="DefaultParagraphFont"/>
    <w:rsid w:val="007E1FFB"/>
  </w:style>
  <w:style w:type="character" w:customStyle="1" w:styleId="mord">
    <w:name w:val="mord"/>
    <w:basedOn w:val="DefaultParagraphFont"/>
    <w:rsid w:val="007E1FFB"/>
  </w:style>
  <w:style w:type="character" w:customStyle="1" w:styleId="mrel">
    <w:name w:val="mrel"/>
    <w:basedOn w:val="DefaultParagraphFont"/>
    <w:rsid w:val="007E1FFB"/>
  </w:style>
  <w:style w:type="character" w:customStyle="1" w:styleId="vlist-s">
    <w:name w:val="vlist-s"/>
    <w:basedOn w:val="DefaultParagraphFont"/>
    <w:rsid w:val="007E1FFB"/>
  </w:style>
  <w:style w:type="paragraph" w:styleId="ListParagraph">
    <w:name w:val="List Paragraph"/>
    <w:basedOn w:val="Normal"/>
    <w:uiPriority w:val="34"/>
    <w:qFormat/>
    <w:rsid w:val="00112593"/>
    <w:pPr>
      <w:ind w:left="720"/>
      <w:contextualSpacing/>
    </w:pPr>
  </w:style>
  <w:style w:type="character" w:styleId="Hyperlink">
    <w:name w:val="Hyperlink"/>
    <w:basedOn w:val="DefaultParagraphFont"/>
    <w:uiPriority w:val="99"/>
    <w:semiHidden/>
    <w:unhideWhenUsed/>
    <w:rsid w:val="00112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2159">
      <w:bodyDiv w:val="1"/>
      <w:marLeft w:val="0"/>
      <w:marRight w:val="0"/>
      <w:marTop w:val="0"/>
      <w:marBottom w:val="0"/>
      <w:divBdr>
        <w:top w:val="none" w:sz="0" w:space="0" w:color="auto"/>
        <w:left w:val="none" w:sz="0" w:space="0" w:color="auto"/>
        <w:bottom w:val="none" w:sz="0" w:space="0" w:color="auto"/>
        <w:right w:val="none" w:sz="0" w:space="0" w:color="auto"/>
      </w:divBdr>
    </w:div>
    <w:div w:id="162014880">
      <w:bodyDiv w:val="1"/>
      <w:marLeft w:val="0"/>
      <w:marRight w:val="0"/>
      <w:marTop w:val="0"/>
      <w:marBottom w:val="0"/>
      <w:divBdr>
        <w:top w:val="none" w:sz="0" w:space="0" w:color="auto"/>
        <w:left w:val="none" w:sz="0" w:space="0" w:color="auto"/>
        <w:bottom w:val="none" w:sz="0" w:space="0" w:color="auto"/>
        <w:right w:val="none" w:sz="0" w:space="0" w:color="auto"/>
      </w:divBdr>
    </w:div>
    <w:div w:id="284120020">
      <w:bodyDiv w:val="1"/>
      <w:marLeft w:val="0"/>
      <w:marRight w:val="0"/>
      <w:marTop w:val="0"/>
      <w:marBottom w:val="0"/>
      <w:divBdr>
        <w:top w:val="none" w:sz="0" w:space="0" w:color="auto"/>
        <w:left w:val="none" w:sz="0" w:space="0" w:color="auto"/>
        <w:bottom w:val="none" w:sz="0" w:space="0" w:color="auto"/>
        <w:right w:val="none" w:sz="0" w:space="0" w:color="auto"/>
      </w:divBdr>
    </w:div>
    <w:div w:id="306446465">
      <w:bodyDiv w:val="1"/>
      <w:marLeft w:val="0"/>
      <w:marRight w:val="0"/>
      <w:marTop w:val="0"/>
      <w:marBottom w:val="0"/>
      <w:divBdr>
        <w:top w:val="none" w:sz="0" w:space="0" w:color="auto"/>
        <w:left w:val="none" w:sz="0" w:space="0" w:color="auto"/>
        <w:bottom w:val="none" w:sz="0" w:space="0" w:color="auto"/>
        <w:right w:val="none" w:sz="0" w:space="0" w:color="auto"/>
      </w:divBdr>
    </w:div>
    <w:div w:id="342632117">
      <w:bodyDiv w:val="1"/>
      <w:marLeft w:val="0"/>
      <w:marRight w:val="0"/>
      <w:marTop w:val="0"/>
      <w:marBottom w:val="0"/>
      <w:divBdr>
        <w:top w:val="none" w:sz="0" w:space="0" w:color="auto"/>
        <w:left w:val="none" w:sz="0" w:space="0" w:color="auto"/>
        <w:bottom w:val="none" w:sz="0" w:space="0" w:color="auto"/>
        <w:right w:val="none" w:sz="0" w:space="0" w:color="auto"/>
      </w:divBdr>
    </w:div>
    <w:div w:id="508716404">
      <w:bodyDiv w:val="1"/>
      <w:marLeft w:val="0"/>
      <w:marRight w:val="0"/>
      <w:marTop w:val="0"/>
      <w:marBottom w:val="0"/>
      <w:divBdr>
        <w:top w:val="none" w:sz="0" w:space="0" w:color="auto"/>
        <w:left w:val="none" w:sz="0" w:space="0" w:color="auto"/>
        <w:bottom w:val="none" w:sz="0" w:space="0" w:color="auto"/>
        <w:right w:val="none" w:sz="0" w:space="0" w:color="auto"/>
      </w:divBdr>
    </w:div>
    <w:div w:id="567812049">
      <w:bodyDiv w:val="1"/>
      <w:marLeft w:val="0"/>
      <w:marRight w:val="0"/>
      <w:marTop w:val="0"/>
      <w:marBottom w:val="0"/>
      <w:divBdr>
        <w:top w:val="none" w:sz="0" w:space="0" w:color="auto"/>
        <w:left w:val="none" w:sz="0" w:space="0" w:color="auto"/>
        <w:bottom w:val="none" w:sz="0" w:space="0" w:color="auto"/>
        <w:right w:val="none" w:sz="0" w:space="0" w:color="auto"/>
      </w:divBdr>
    </w:div>
    <w:div w:id="635913171">
      <w:bodyDiv w:val="1"/>
      <w:marLeft w:val="0"/>
      <w:marRight w:val="0"/>
      <w:marTop w:val="0"/>
      <w:marBottom w:val="0"/>
      <w:divBdr>
        <w:top w:val="none" w:sz="0" w:space="0" w:color="auto"/>
        <w:left w:val="none" w:sz="0" w:space="0" w:color="auto"/>
        <w:bottom w:val="none" w:sz="0" w:space="0" w:color="auto"/>
        <w:right w:val="none" w:sz="0" w:space="0" w:color="auto"/>
      </w:divBdr>
    </w:div>
    <w:div w:id="715546646">
      <w:bodyDiv w:val="1"/>
      <w:marLeft w:val="0"/>
      <w:marRight w:val="0"/>
      <w:marTop w:val="0"/>
      <w:marBottom w:val="0"/>
      <w:divBdr>
        <w:top w:val="none" w:sz="0" w:space="0" w:color="auto"/>
        <w:left w:val="none" w:sz="0" w:space="0" w:color="auto"/>
        <w:bottom w:val="none" w:sz="0" w:space="0" w:color="auto"/>
        <w:right w:val="none" w:sz="0" w:space="0" w:color="auto"/>
      </w:divBdr>
    </w:div>
    <w:div w:id="751128328">
      <w:bodyDiv w:val="1"/>
      <w:marLeft w:val="0"/>
      <w:marRight w:val="0"/>
      <w:marTop w:val="0"/>
      <w:marBottom w:val="0"/>
      <w:divBdr>
        <w:top w:val="none" w:sz="0" w:space="0" w:color="auto"/>
        <w:left w:val="none" w:sz="0" w:space="0" w:color="auto"/>
        <w:bottom w:val="none" w:sz="0" w:space="0" w:color="auto"/>
        <w:right w:val="none" w:sz="0" w:space="0" w:color="auto"/>
      </w:divBdr>
    </w:div>
    <w:div w:id="791242419">
      <w:bodyDiv w:val="1"/>
      <w:marLeft w:val="0"/>
      <w:marRight w:val="0"/>
      <w:marTop w:val="0"/>
      <w:marBottom w:val="0"/>
      <w:divBdr>
        <w:top w:val="none" w:sz="0" w:space="0" w:color="auto"/>
        <w:left w:val="none" w:sz="0" w:space="0" w:color="auto"/>
        <w:bottom w:val="none" w:sz="0" w:space="0" w:color="auto"/>
        <w:right w:val="none" w:sz="0" w:space="0" w:color="auto"/>
      </w:divBdr>
      <w:divsChild>
        <w:div w:id="1976836048">
          <w:marLeft w:val="0"/>
          <w:marRight w:val="0"/>
          <w:marTop w:val="0"/>
          <w:marBottom w:val="0"/>
          <w:divBdr>
            <w:top w:val="none" w:sz="0" w:space="0" w:color="auto"/>
            <w:left w:val="none" w:sz="0" w:space="0" w:color="auto"/>
            <w:bottom w:val="none" w:sz="0" w:space="0" w:color="auto"/>
            <w:right w:val="none" w:sz="0" w:space="0" w:color="auto"/>
          </w:divBdr>
          <w:divsChild>
            <w:div w:id="15451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90105">
      <w:bodyDiv w:val="1"/>
      <w:marLeft w:val="0"/>
      <w:marRight w:val="0"/>
      <w:marTop w:val="0"/>
      <w:marBottom w:val="0"/>
      <w:divBdr>
        <w:top w:val="none" w:sz="0" w:space="0" w:color="auto"/>
        <w:left w:val="none" w:sz="0" w:space="0" w:color="auto"/>
        <w:bottom w:val="none" w:sz="0" w:space="0" w:color="auto"/>
        <w:right w:val="none" w:sz="0" w:space="0" w:color="auto"/>
      </w:divBdr>
    </w:div>
    <w:div w:id="923490610">
      <w:bodyDiv w:val="1"/>
      <w:marLeft w:val="0"/>
      <w:marRight w:val="0"/>
      <w:marTop w:val="0"/>
      <w:marBottom w:val="0"/>
      <w:divBdr>
        <w:top w:val="none" w:sz="0" w:space="0" w:color="auto"/>
        <w:left w:val="none" w:sz="0" w:space="0" w:color="auto"/>
        <w:bottom w:val="none" w:sz="0" w:space="0" w:color="auto"/>
        <w:right w:val="none" w:sz="0" w:space="0" w:color="auto"/>
      </w:divBdr>
    </w:div>
    <w:div w:id="1001198541">
      <w:bodyDiv w:val="1"/>
      <w:marLeft w:val="0"/>
      <w:marRight w:val="0"/>
      <w:marTop w:val="0"/>
      <w:marBottom w:val="0"/>
      <w:divBdr>
        <w:top w:val="none" w:sz="0" w:space="0" w:color="auto"/>
        <w:left w:val="none" w:sz="0" w:space="0" w:color="auto"/>
        <w:bottom w:val="none" w:sz="0" w:space="0" w:color="auto"/>
        <w:right w:val="none" w:sz="0" w:space="0" w:color="auto"/>
      </w:divBdr>
    </w:div>
    <w:div w:id="1040130389">
      <w:bodyDiv w:val="1"/>
      <w:marLeft w:val="0"/>
      <w:marRight w:val="0"/>
      <w:marTop w:val="0"/>
      <w:marBottom w:val="0"/>
      <w:divBdr>
        <w:top w:val="none" w:sz="0" w:space="0" w:color="auto"/>
        <w:left w:val="none" w:sz="0" w:space="0" w:color="auto"/>
        <w:bottom w:val="none" w:sz="0" w:space="0" w:color="auto"/>
        <w:right w:val="none" w:sz="0" w:space="0" w:color="auto"/>
      </w:divBdr>
    </w:div>
    <w:div w:id="1072695960">
      <w:bodyDiv w:val="1"/>
      <w:marLeft w:val="0"/>
      <w:marRight w:val="0"/>
      <w:marTop w:val="0"/>
      <w:marBottom w:val="0"/>
      <w:divBdr>
        <w:top w:val="none" w:sz="0" w:space="0" w:color="auto"/>
        <w:left w:val="none" w:sz="0" w:space="0" w:color="auto"/>
        <w:bottom w:val="none" w:sz="0" w:space="0" w:color="auto"/>
        <w:right w:val="none" w:sz="0" w:space="0" w:color="auto"/>
      </w:divBdr>
      <w:divsChild>
        <w:div w:id="141906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84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562337">
      <w:bodyDiv w:val="1"/>
      <w:marLeft w:val="0"/>
      <w:marRight w:val="0"/>
      <w:marTop w:val="0"/>
      <w:marBottom w:val="0"/>
      <w:divBdr>
        <w:top w:val="none" w:sz="0" w:space="0" w:color="auto"/>
        <w:left w:val="none" w:sz="0" w:space="0" w:color="auto"/>
        <w:bottom w:val="none" w:sz="0" w:space="0" w:color="auto"/>
        <w:right w:val="none" w:sz="0" w:space="0" w:color="auto"/>
      </w:divBdr>
    </w:div>
    <w:div w:id="1210075348">
      <w:bodyDiv w:val="1"/>
      <w:marLeft w:val="0"/>
      <w:marRight w:val="0"/>
      <w:marTop w:val="0"/>
      <w:marBottom w:val="0"/>
      <w:divBdr>
        <w:top w:val="none" w:sz="0" w:space="0" w:color="auto"/>
        <w:left w:val="none" w:sz="0" w:space="0" w:color="auto"/>
        <w:bottom w:val="none" w:sz="0" w:space="0" w:color="auto"/>
        <w:right w:val="none" w:sz="0" w:space="0" w:color="auto"/>
      </w:divBdr>
    </w:div>
    <w:div w:id="1517689811">
      <w:bodyDiv w:val="1"/>
      <w:marLeft w:val="0"/>
      <w:marRight w:val="0"/>
      <w:marTop w:val="0"/>
      <w:marBottom w:val="0"/>
      <w:divBdr>
        <w:top w:val="none" w:sz="0" w:space="0" w:color="auto"/>
        <w:left w:val="none" w:sz="0" w:space="0" w:color="auto"/>
        <w:bottom w:val="none" w:sz="0" w:space="0" w:color="auto"/>
        <w:right w:val="none" w:sz="0" w:space="0" w:color="auto"/>
      </w:divBdr>
    </w:div>
    <w:div w:id="1540388396">
      <w:bodyDiv w:val="1"/>
      <w:marLeft w:val="0"/>
      <w:marRight w:val="0"/>
      <w:marTop w:val="0"/>
      <w:marBottom w:val="0"/>
      <w:divBdr>
        <w:top w:val="none" w:sz="0" w:space="0" w:color="auto"/>
        <w:left w:val="none" w:sz="0" w:space="0" w:color="auto"/>
        <w:bottom w:val="none" w:sz="0" w:space="0" w:color="auto"/>
        <w:right w:val="none" w:sz="0" w:space="0" w:color="auto"/>
      </w:divBdr>
    </w:div>
    <w:div w:id="1547525459">
      <w:bodyDiv w:val="1"/>
      <w:marLeft w:val="0"/>
      <w:marRight w:val="0"/>
      <w:marTop w:val="0"/>
      <w:marBottom w:val="0"/>
      <w:divBdr>
        <w:top w:val="none" w:sz="0" w:space="0" w:color="auto"/>
        <w:left w:val="none" w:sz="0" w:space="0" w:color="auto"/>
        <w:bottom w:val="none" w:sz="0" w:space="0" w:color="auto"/>
        <w:right w:val="none" w:sz="0" w:space="0" w:color="auto"/>
      </w:divBdr>
    </w:div>
    <w:div w:id="1635869859">
      <w:bodyDiv w:val="1"/>
      <w:marLeft w:val="0"/>
      <w:marRight w:val="0"/>
      <w:marTop w:val="0"/>
      <w:marBottom w:val="0"/>
      <w:divBdr>
        <w:top w:val="none" w:sz="0" w:space="0" w:color="auto"/>
        <w:left w:val="none" w:sz="0" w:space="0" w:color="auto"/>
        <w:bottom w:val="none" w:sz="0" w:space="0" w:color="auto"/>
        <w:right w:val="none" w:sz="0" w:space="0" w:color="auto"/>
      </w:divBdr>
    </w:div>
    <w:div w:id="1746148508">
      <w:bodyDiv w:val="1"/>
      <w:marLeft w:val="0"/>
      <w:marRight w:val="0"/>
      <w:marTop w:val="0"/>
      <w:marBottom w:val="0"/>
      <w:divBdr>
        <w:top w:val="none" w:sz="0" w:space="0" w:color="auto"/>
        <w:left w:val="none" w:sz="0" w:space="0" w:color="auto"/>
        <w:bottom w:val="none" w:sz="0" w:space="0" w:color="auto"/>
        <w:right w:val="none" w:sz="0" w:space="0" w:color="auto"/>
      </w:divBdr>
    </w:div>
    <w:div w:id="1746536836">
      <w:bodyDiv w:val="1"/>
      <w:marLeft w:val="0"/>
      <w:marRight w:val="0"/>
      <w:marTop w:val="0"/>
      <w:marBottom w:val="0"/>
      <w:divBdr>
        <w:top w:val="none" w:sz="0" w:space="0" w:color="auto"/>
        <w:left w:val="none" w:sz="0" w:space="0" w:color="auto"/>
        <w:bottom w:val="none" w:sz="0" w:space="0" w:color="auto"/>
        <w:right w:val="none" w:sz="0" w:space="0" w:color="auto"/>
      </w:divBdr>
      <w:divsChild>
        <w:div w:id="1273174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990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82474">
      <w:bodyDiv w:val="1"/>
      <w:marLeft w:val="0"/>
      <w:marRight w:val="0"/>
      <w:marTop w:val="0"/>
      <w:marBottom w:val="0"/>
      <w:divBdr>
        <w:top w:val="none" w:sz="0" w:space="0" w:color="auto"/>
        <w:left w:val="none" w:sz="0" w:space="0" w:color="auto"/>
        <w:bottom w:val="none" w:sz="0" w:space="0" w:color="auto"/>
        <w:right w:val="none" w:sz="0" w:space="0" w:color="auto"/>
      </w:divBdr>
    </w:div>
    <w:div w:id="1915704241">
      <w:bodyDiv w:val="1"/>
      <w:marLeft w:val="0"/>
      <w:marRight w:val="0"/>
      <w:marTop w:val="0"/>
      <w:marBottom w:val="0"/>
      <w:divBdr>
        <w:top w:val="none" w:sz="0" w:space="0" w:color="auto"/>
        <w:left w:val="none" w:sz="0" w:space="0" w:color="auto"/>
        <w:bottom w:val="none" w:sz="0" w:space="0" w:color="auto"/>
        <w:right w:val="none" w:sz="0" w:space="0" w:color="auto"/>
      </w:divBdr>
    </w:div>
    <w:div w:id="1926257641">
      <w:bodyDiv w:val="1"/>
      <w:marLeft w:val="0"/>
      <w:marRight w:val="0"/>
      <w:marTop w:val="0"/>
      <w:marBottom w:val="0"/>
      <w:divBdr>
        <w:top w:val="none" w:sz="0" w:space="0" w:color="auto"/>
        <w:left w:val="none" w:sz="0" w:space="0" w:color="auto"/>
        <w:bottom w:val="none" w:sz="0" w:space="0" w:color="auto"/>
        <w:right w:val="none" w:sz="0" w:space="0" w:color="auto"/>
      </w:divBdr>
    </w:div>
    <w:div w:id="1972057264">
      <w:bodyDiv w:val="1"/>
      <w:marLeft w:val="0"/>
      <w:marRight w:val="0"/>
      <w:marTop w:val="0"/>
      <w:marBottom w:val="0"/>
      <w:divBdr>
        <w:top w:val="none" w:sz="0" w:space="0" w:color="auto"/>
        <w:left w:val="none" w:sz="0" w:space="0" w:color="auto"/>
        <w:bottom w:val="none" w:sz="0" w:space="0" w:color="auto"/>
        <w:right w:val="none" w:sz="0" w:space="0" w:color="auto"/>
      </w:divBdr>
    </w:div>
    <w:div w:id="1992711367">
      <w:bodyDiv w:val="1"/>
      <w:marLeft w:val="0"/>
      <w:marRight w:val="0"/>
      <w:marTop w:val="0"/>
      <w:marBottom w:val="0"/>
      <w:divBdr>
        <w:top w:val="none" w:sz="0" w:space="0" w:color="auto"/>
        <w:left w:val="none" w:sz="0" w:space="0" w:color="auto"/>
        <w:bottom w:val="none" w:sz="0" w:space="0" w:color="auto"/>
        <w:right w:val="none" w:sz="0" w:space="0" w:color="auto"/>
      </w:divBdr>
    </w:div>
    <w:div w:id="20519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maila.abdullahi@udusok.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2156</TotalTime>
  <Pages>11</Pages>
  <Words>4116</Words>
  <Characters>23467</Characters>
  <Application>Microsoft Office Word</Application>
  <DocSecurity>0</DocSecurity>
  <Lines>195</Lines>
  <Paragraphs>55</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Effects of Spacing and Post-Pinching Regrowth on Biomass Allocation, Root–Shoot </vt:lpstr>
      <vt:lpstr>    </vt:lpstr>
      <vt:lpstr>    1. Introduction</vt:lpstr>
      <vt:lpstr>    2. Theoretical Framework </vt:lpstr>
      <vt:lpstr>        3.1 Study Area</vt:lpstr>
      <vt:lpstr>        3.2 Experimental Design</vt:lpstr>
      <vt:lpstr>        3.3 Land Preparation and Silvicultural Practices</vt:lpstr>
      <vt:lpstr>        3.5 Statistical Analysis</vt:lpstr>
      <vt:lpstr>    4. Results and Discussion</vt:lpstr>
      <vt:lpstr>    4.1 Growth Performance</vt:lpstr>
      <vt:lpstr>    Table 1. Growth Performance of Moringa Species across Four Spacing Levels (Post-</vt:lpstr>
      <vt:lpstr>        4.2 Root–Shoot Ratio and Leaf Area Index</vt:lpstr>
      <vt:lpstr>    Table 2. Leaf Area Index (LAI) and Root–Shoot (R/S) Ratio Across Spacing Treatme</vt:lpstr>
      <vt:lpstr>        </vt:lpstr>
      <vt:lpstr>        4.3 Root vs. Shoot Regression</vt:lpstr>
      <vt:lpstr>        4.4 Root–Shoot Ratio vs. Spacing Regression</vt:lpstr>
      <vt:lpstr>    Table 4. Regression of Root–Shoot Ratio on Spacing </vt:lpstr>
      <vt:lpstr>    5. Conclusion</vt:lpstr>
      <vt:lpstr>    6. Recommendations</vt:lpstr>
      <vt:lpstr>    7. References</vt:lpstr>
    </vt:vector>
  </TitlesOfParts>
  <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2026-04-04T17:08:00Z</dcterms:created>
  <dcterms:modified xsi:type="dcterms:W3CDTF">2026-04-07T17:11:00Z</dcterms:modified>
</cp:coreProperties>
</file>