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1C56" w14:textId="77777777" w:rsidR="00CA2689" w:rsidRPr="00CA2689" w:rsidRDefault="00CA2689" w:rsidP="00CA2689">
      <w:pPr>
        <w:rPr>
          <w:b/>
          <w:bCs/>
        </w:rPr>
      </w:pPr>
      <w:r w:rsidRPr="00CA2689">
        <w:rPr>
          <w:b/>
          <w:bCs/>
        </w:rPr>
        <w:t>Beyond Generative Intelligence: A Comprehensive Review of Emerging Artificial Intelligence Paradigms, Explainability Challenges, Ethical Risks, and Future Directions</w:t>
      </w:r>
    </w:p>
    <w:p w14:paraId="3A73DAF2" w14:textId="77777777" w:rsidR="00711BC7" w:rsidRPr="008A4A70" w:rsidRDefault="00711BC7" w:rsidP="00711BC7">
      <w:pPr>
        <w:suppressAutoHyphens/>
        <w:spacing w:after="0" w:line="240" w:lineRule="auto"/>
        <w:ind w:hanging="2"/>
        <w:textAlignment w:val="top"/>
        <w:outlineLvl w:val="0"/>
        <w:rPr>
          <w:rFonts w:ascii="Times New Roman" w:eastAsia="Times New Roman" w:hAnsi="Times New Roman" w:cs="Times New Roman"/>
          <w:kern w:val="0"/>
          <w:position w:val="-1"/>
          <w:sz w:val="20"/>
          <w:szCs w:val="20"/>
          <w:lang w:val="en-US"/>
          <w14:ligatures w14:val="none"/>
        </w:rPr>
      </w:pPr>
      <w:r w:rsidRPr="008A4A70">
        <w:rPr>
          <w:rFonts w:ascii="Times New Roman" w:eastAsia="Times New Roman" w:hAnsi="Times New Roman" w:cs="Times New Roman"/>
          <w:b/>
          <w:bCs/>
          <w:kern w:val="0"/>
          <w:position w:val="-1"/>
          <w:sz w:val="20"/>
          <w:szCs w:val="20"/>
          <w:lang w:val="en-US"/>
          <w14:ligatures w14:val="none"/>
        </w:rPr>
        <w:t/>
      </w:r>
      <w:r w:rsidRPr="008A4A70">
        <w:rPr>
          <w:rFonts w:ascii="Times New Roman" w:eastAsia="Times New Roman" w:hAnsi="Times New Roman" w:cs="Times New Roman"/>
          <w:b/>
          <w:bCs/>
          <w:kern w:val="0"/>
          <w:position w:val="-1"/>
          <w:sz w:val="20"/>
          <w:szCs w:val="20"/>
          <w:vertAlign w:val="superscript"/>
          <w:lang w:val="en-US"/>
          <w14:ligatures w14:val="none"/>
        </w:rPr>
        <w:t xml:space="preserve"/>
      </w:r>
      <w:r w:rsidRPr="008A4A70">
        <w:rPr>
          <w:rFonts w:ascii="Times New Roman" w:eastAsia="Times New Roman" w:hAnsi="Times New Roman" w:cs="Times New Roman"/>
          <w:b/>
          <w:bCs/>
          <w:kern w:val="0"/>
          <w:position w:val="-1"/>
          <w:sz w:val="20"/>
          <w:szCs w:val="20"/>
          <w:lang w:val="en-US"/>
          <w14:ligatures w14:val="none"/>
        </w:rPr>
        <w:t xml:space="preserve"/>
      </w:r>
      <w:r w:rsidRPr="008A4A70">
        <w:rPr>
          <w:rFonts w:ascii="Times New Roman" w:eastAsia="Times New Roman" w:hAnsi="Times New Roman" w:cs="Times New Roman"/>
          <w:kern w:val="0"/>
          <w:position w:val="-1"/>
          <w:sz w:val="20"/>
          <w:szCs w:val="20"/>
          <w:lang w:val="en-US"/>
          <w14:ligatures w14:val="none"/>
        </w:rPr>
        <w:t xml:space="preserve"/>
      </w:r>
      <w:r w:rsidRPr="008A4A70">
        <w:rPr>
          <w:rFonts w:ascii="Times New Roman" w:eastAsia="Times New Roman" w:hAnsi="Times New Roman" w:cs="Times New Roman"/>
          <w:b/>
          <w:kern w:val="0"/>
          <w:position w:val="-1"/>
          <w:sz w:val="20"/>
          <w:szCs w:val="20"/>
          <w:lang w:val="en-US"/>
          <w14:ligatures w14:val="none"/>
        </w:rPr>
        <w:t/>
      </w:r>
      <w:r w:rsidRPr="008A4A70">
        <w:rPr>
          <w:rFonts w:ascii="Times New Roman" w:eastAsia="Times New Roman" w:hAnsi="Times New Roman" w:cs="Times New Roman"/>
          <w:kern w:val="0"/>
          <w:position w:val="-1"/>
          <w:sz w:val="20"/>
          <w:szCs w:val="20"/>
          <w:lang w:val="en-US"/>
          <w14:ligatures w14:val="none"/>
        </w:rPr>
        <w:t xml:space="preserve"/>
      </w:r>
      <w:r>
        <w:rPr>
          <w:rFonts w:ascii="Times New Roman" w:eastAsia="Times New Roman" w:hAnsi="Times New Roman" w:cs="Times New Roman"/>
          <w:kern w:val="0"/>
          <w:position w:val="-1"/>
          <w:sz w:val="20"/>
          <w:szCs w:val="20"/>
          <w:lang w:val="en-US"/>
          <w14:ligatures w14:val="none"/>
        </w:rPr>
        <w:t xml:space="preserve"/>
      </w:r>
      <w:r w:rsidRPr="008A4A70">
        <w:rPr>
          <w:rFonts w:ascii="Times New Roman" w:eastAsia="Times New Roman" w:hAnsi="Times New Roman" w:cs="Times New Roman"/>
          <w:b/>
          <w:kern w:val="0"/>
          <w:position w:val="-1"/>
          <w:sz w:val="20"/>
          <w:szCs w:val="20"/>
          <w:lang w:val="en-US"/>
          <w14:ligatures w14:val="none"/>
        </w:rPr>
        <w:t/>
      </w:r>
      <w:r w:rsidRPr="008A4A70">
        <w:rPr>
          <w:rFonts w:ascii="Times New Roman" w:eastAsia="Times New Roman" w:hAnsi="Times New Roman" w:cs="Times New Roman"/>
          <w:kern w:val="0"/>
          <w:position w:val="-1"/>
          <w:sz w:val="20"/>
          <w:szCs w:val="20"/>
          <w:lang w:val="en-US"/>
          <w14:ligatures w14:val="none"/>
        </w:rPr>
        <w:t xml:space="preserve"/>
      </w:r>
    </w:p>
    <w:p w14:paraId="7E13F43E" w14:textId="1A7D173D" w:rsidR="00CA2689" w:rsidRPr="00CA2689" w:rsidRDefault="00CA2689" w:rsidP="00CA2689"/>
    <w:p w14:paraId="5E8DE908" w14:textId="77777777" w:rsidR="00CA2689" w:rsidRPr="00CA2689" w:rsidRDefault="00CA2689" w:rsidP="00CA2689">
      <w:pPr>
        <w:rPr>
          <w:b/>
          <w:bCs/>
        </w:rPr>
      </w:pPr>
      <w:r w:rsidRPr="00CA2689">
        <w:rPr>
          <w:b/>
          <w:bCs/>
        </w:rPr>
        <w:t>Abstract</w:t>
      </w:r>
    </w:p>
    <w:p w14:paraId="0531B126" w14:textId="77777777" w:rsidR="00CA2689" w:rsidRPr="00CA2689" w:rsidRDefault="00CA2689" w:rsidP="00CA2689">
      <w:r w:rsidRPr="00CA2689">
        <w:t xml:space="preserve">The artificial intelligence landscape has undergone a profound transformation from narrow, task-specific automation to sophisticated, multi-paradigm systems capable of autonomous reasoning, emotional understanding, and creative generation. This systematic literature review synthesizes 141 peer-reviewed studies published between 2018 and 2026 to map the evolution of AI paradigms beyond the dominant Generative AI breakthrough. Following PRISMA guidelines, we </w:t>
      </w:r>
      <w:proofErr w:type="spellStart"/>
      <w:r w:rsidRPr="00CA2689">
        <w:t>analyzed</w:t>
      </w:r>
      <w:proofErr w:type="spellEnd"/>
      <w:r w:rsidRPr="00CA2689">
        <w:t xml:space="preserve"> 4,250 initial records across six major academic databases, ultimately including 141 studies that address seven emerging AI paradigms: Generative AI, Emotional and Empathetic AI, Social AI, Agentic AI, Multimodal AI, Explainable AI (XAI), and Responsible AI. Our bibliometric analysis reveals a decisive shift from purely technical AI research to socio-technical integration, with five dominant thematic clusters emerging: Intelligence and Learning, Generative Ecosystems, Human-Centric AI, Governance and Trust, and Autonomous Systems. Key findings indicate that while Generative AI has achieved remarkable capabilities in content creation and reasoning, critical challenges persist in explainability, algorithmic bias, and governance. The Black Box problem remains a fundamental barrier to trust in high-stakes domains such as healthcare, finance, and criminal justice, despite advances in XAI techniques including SHAP, LIME, and attention visualization. Concurrently, Dark AI threats—encompassing deepfakes, AI-powered cyberattacks, autonomous weapons, and surveillance systems—pose unprecedented risks requiring urgent international governance frameworks. We propose an Integrated AI Ecosystem Framework comprising six interdependent layers: Intelligence, Creation, Human Interaction, Autonomous, Governance, and Security, with Trustworthy AI serving as the integrating principle. This framework positions Generative AI as the foundation for an evolutionary pathway toward Emotional AI, Agentic AI, Cognitive AI, and ultimately Artificial General Intelligence (AGI). Our analysis identifies ten critical research propositions addressing gaps in multimodal integration, emotional intelligence validation, agentic system safety, XAI standardization, and global AI governance. This review contributes a unified conceptual model for understanding AI's convergent evolution and provides actionable recommendations for researchers, practitioners, and policymakers navigating the transition from isolated AI capabilities to integrated, trustworthy, human-centric AI ecosystems.</w:t>
      </w:r>
    </w:p>
    <w:p w14:paraId="5E65BF17" w14:textId="2DCABF37" w:rsidR="00A62787" w:rsidRPr="00CA2689" w:rsidRDefault="00CA2689" w:rsidP="00A62787">
      <w:r w:rsidRPr="00CA2689">
        <w:rPr>
          <w:b/>
          <w:bCs/>
        </w:rPr>
        <w:lastRenderedPageBreak/>
        <w:t>Keywords</w:t>
      </w:r>
      <w:r w:rsidRPr="00CA2689">
        <w:t>: Artificial Intelligence; Generative AI; Emotional AI; Agentic AI; Explainable AI; Black Box AI; Dark AI; Responsible AI; Human-Centric AI; Trustworthy AI; AI Governance; Multimodal AI</w:t>
      </w:r>
    </w:p>
    <w:p w14:paraId="659AA499" w14:textId="77777777" w:rsidR="00CA2689" w:rsidRPr="00CA2689" w:rsidRDefault="00CA2689" w:rsidP="00CA2689">
      <w:pPr>
        <w:rPr>
          <w:b/>
          <w:bCs/>
        </w:rPr>
      </w:pPr>
      <w:r w:rsidRPr="00CA2689">
        <w:rPr>
          <w:b/>
          <w:bCs/>
        </w:rPr>
        <w:t>1. Introduction</w:t>
      </w:r>
    </w:p>
    <w:p w14:paraId="78A96250" w14:textId="77777777" w:rsidR="00CA2689" w:rsidRPr="00CA2689" w:rsidRDefault="00CA2689" w:rsidP="00CA2689">
      <w:r w:rsidRPr="00CA2689">
        <w:t>Artificial intelligence has transcended its historical boundaries as a narrow, task-specific technology to emerge as a transformative force reshaping human cognition, creativity, and collaboration. The past decade has witnessed an unprecedented acceleration in AI capabilities, driven primarily by the breakthrough of Generative AI systems built on transformer architectures and large language models (Vaswani et al., 2017; Brown et al., 2020). These systems have demonstrated remarkable proficiency in natural language understanding, code generation, scientific reasoning, and creative content production, fundamentally altering the landscape of human-machine interaction (Khader et al., 2025). However, the dominance of Generative AI as the flagship paradigm has overshadowed equally significant developments in complementary AI domains that collectively define the future trajectory of artificial intelligence.</w:t>
      </w:r>
    </w:p>
    <w:p w14:paraId="152D8403" w14:textId="77777777" w:rsidR="00CA2689" w:rsidRPr="00CA2689" w:rsidRDefault="00CA2689" w:rsidP="00CA2689">
      <w:r w:rsidRPr="00CA2689">
        <w:t>The contemporary AI ecosystem extends far beyond generative capabilities to encompass Emotional and Empathetic AI systems that recognize and respond to human affective states (Picard, 1997), Social AI that navigates complex interpersonal dynamics (</w:t>
      </w:r>
      <w:proofErr w:type="spellStart"/>
      <w:r w:rsidRPr="00CA2689">
        <w:t>Benlalia</w:t>
      </w:r>
      <w:proofErr w:type="spellEnd"/>
      <w:r w:rsidRPr="00CA2689">
        <w:t xml:space="preserve"> et al., 2025), Agentic AI that autonomously pursues goals through multi-step reasoning and tool use (Bandi et al., 2025), and Multimodal AI that integrates text, image, audio, and video modalities for holistic understanding (Chowdhury et al., 2025). These paradigms are not isolated technological silos but rather interconnected dimensions of an emerging integrated AI ecosystem that promises to bridge the gap between narrow AI and Artificial General Intelligence (AGI) (Joshi et al., 2025). The convergence of these paradigms represents a fundamental shift from AI as a tool for automation to AI as a collaborative partner capable of understanding context, emotion, intention, and ethical boundaries.</w:t>
      </w:r>
    </w:p>
    <w:p w14:paraId="0E2E1EC4" w14:textId="77777777" w:rsidR="00CA2689" w:rsidRPr="00CA2689" w:rsidRDefault="00CA2689" w:rsidP="00CA2689">
      <w:r w:rsidRPr="00CA2689">
        <w:t>Despite these remarkable advances, the AI revolution confronts three critical challenges that threaten to undermine public trust and societal acceptance. First, the Black Box problem—the fundamental opacity of deep neural networks—creates a trust deficit in high-stakes domains where explainability is essential for accountability, safety, and regulatory compliance (Kabir et al., 2025; Mersha et al., 2024). Healthcare diagnostics, financial credit scoring, criminal justice risk assessment, and autonomous vehicle decision-making all demand transparent, interpretable AI systems that can justify their recommendations to human stakeholders. Explainable AI (XAI) techniques such as SHAP, LIME, attention visualization, and counterfactual explanations have emerged as partial solutions, yet they face inherent trade-offs between model performance and interpretability (Muia et al., 2025).</w:t>
      </w:r>
    </w:p>
    <w:p w14:paraId="1A5EF71C" w14:textId="77777777" w:rsidR="00CA2689" w:rsidRPr="00CA2689" w:rsidRDefault="00CA2689" w:rsidP="00CA2689">
      <w:r w:rsidRPr="00CA2689">
        <w:lastRenderedPageBreak/>
        <w:t>Second, the rise of Dark AI—the malicious application of AI technologies for harmful purposes—poses unprecedented threats to individual privacy, democratic institutions, and global security (Jiang et al., 2025). Deepfakes enable sophisticated identity fraud and political manipulation, AI-powered cyberattacks automate phishing and adversarial attacks, autonomous weapons systems raise existential concerns about AI warfare, and pervasive surveillance technologies erode fundamental privacy rights. These threats demand urgent international cooperation, robust governance frameworks, and technical countermeasures that can keep pace with rapidly evolving attack vectors.</w:t>
      </w:r>
    </w:p>
    <w:p w14:paraId="483A9F99" w14:textId="77777777" w:rsidR="00CA2689" w:rsidRPr="00CA2689" w:rsidRDefault="00CA2689" w:rsidP="00CA2689">
      <w:r w:rsidRPr="00CA2689">
        <w:t>Third, the governance gap—the lag between technological capability and regulatory oversight—has created a vacuum in which AI systems are deployed without adequate safeguards for fairness, accountability, transparency, and human rights (Pathan et al., 2025). While frameworks such as the European Union AI Act, OECD AI Principles, and UNESCO Recommendation on the Ethics of AI provide foundational guidance, their implementation remains fragmented across jurisdictions, industries, and organizational contexts. The absence of standardized AI auditing mechanisms, certification processes, and enforcement mechanisms leaves vulnerable populations exposed to algorithmic bias, discrimination, and harm.</w:t>
      </w:r>
    </w:p>
    <w:p w14:paraId="0C0993CA" w14:textId="77777777" w:rsidR="00CA2689" w:rsidRPr="00CA2689" w:rsidRDefault="00CA2689" w:rsidP="00CA2689">
      <w:r w:rsidRPr="00CA2689">
        <w:t xml:space="preserve">These challenges are not merely technical problems requiring engineering solutions; they are socio-technical dilemmas that demand interdisciplinary collaboration among computer scientists, ethicists, policymakers, social scientists, and domain experts. The transition from isolated AI capabilities to integrated, trustworthy AI ecosystems </w:t>
      </w:r>
      <w:proofErr w:type="gramStart"/>
      <w:r w:rsidRPr="00CA2689">
        <w:t>requires</w:t>
      </w:r>
      <w:proofErr w:type="gramEnd"/>
      <w:r w:rsidRPr="00CA2689">
        <w:t xml:space="preserve"> a fundamental rethinking of how we design, deploy, govern, and evaluate AI systems across their entire lifecycle (Li et al., 2021). This systematic review addresses this imperative by synthesizing the current state of knowledge across multiple AI paradigms, identifying critical gaps, and proposing a unified framework for responsible AI development.</w:t>
      </w:r>
    </w:p>
    <w:p w14:paraId="667772BD" w14:textId="77777777" w:rsidR="00CA2689" w:rsidRPr="00CA2689" w:rsidRDefault="00CA2689" w:rsidP="00CA2689">
      <w:pPr>
        <w:rPr>
          <w:b/>
          <w:bCs/>
        </w:rPr>
      </w:pPr>
      <w:r w:rsidRPr="00CA2689">
        <w:rPr>
          <w:b/>
          <w:bCs/>
        </w:rPr>
        <w:t>Research Questions</w:t>
      </w:r>
    </w:p>
    <w:p w14:paraId="0F79AC02" w14:textId="77777777" w:rsidR="00CA2689" w:rsidRPr="00CA2689" w:rsidRDefault="00CA2689" w:rsidP="00CA2689">
      <w:r w:rsidRPr="00CA2689">
        <w:t>This review is guided by five overarching research questions that structure our analysis:</w:t>
      </w:r>
    </w:p>
    <w:p w14:paraId="49C8790E" w14:textId="77777777" w:rsidR="00CA2689" w:rsidRPr="00CA2689" w:rsidRDefault="00CA2689" w:rsidP="00CA2689">
      <w:r w:rsidRPr="00CA2689">
        <w:rPr>
          <w:b/>
          <w:bCs/>
        </w:rPr>
        <w:t>RQ1</w:t>
      </w:r>
      <w:r w:rsidRPr="00CA2689">
        <w:t>: How have AI paradigms evolved beyond Generative AI, and what are the defining characteristics, capabilities, and limitations of Emotional AI, Social AI, Agentic AI, Multimodal AI, and Cognitive AI?</w:t>
      </w:r>
    </w:p>
    <w:p w14:paraId="2AD8EDFF" w14:textId="77777777" w:rsidR="00CA2689" w:rsidRPr="00CA2689" w:rsidRDefault="00CA2689" w:rsidP="00CA2689">
      <w:r w:rsidRPr="00CA2689">
        <w:rPr>
          <w:b/>
          <w:bCs/>
        </w:rPr>
        <w:t>RQ2</w:t>
      </w:r>
      <w:r w:rsidRPr="00CA2689">
        <w:t>: What are the fundamental explainability challenges in contemporary AI systems, and how effective are current XAI techniques in addressing the Black Box problem across high-stakes application domains?</w:t>
      </w:r>
    </w:p>
    <w:p w14:paraId="5F2F164B" w14:textId="77777777" w:rsidR="00CA2689" w:rsidRPr="00CA2689" w:rsidRDefault="00CA2689" w:rsidP="00CA2689">
      <w:r w:rsidRPr="00CA2689">
        <w:rPr>
          <w:b/>
          <w:bCs/>
        </w:rPr>
        <w:t>RQ3</w:t>
      </w:r>
      <w:r w:rsidRPr="00CA2689">
        <w:t>: What constitutes Dark AI, what are the primary threat vectors and attack mechanisms, and what technical and governance countermeasures are available to mitigate these risks?</w:t>
      </w:r>
    </w:p>
    <w:p w14:paraId="2C77201A" w14:textId="77777777" w:rsidR="00CA2689" w:rsidRPr="00CA2689" w:rsidRDefault="00CA2689" w:rsidP="00CA2689">
      <w:r w:rsidRPr="00CA2689">
        <w:rPr>
          <w:b/>
          <w:bCs/>
        </w:rPr>
        <w:lastRenderedPageBreak/>
        <w:t>RQ4</w:t>
      </w:r>
      <w:r w:rsidRPr="00CA2689">
        <w:t>: How do Responsible AI and Human-Centric AI frameworks operationalize principles of fairness, transparency, accountability, and privacy, and what barriers impede their organizational implementation?</w:t>
      </w:r>
    </w:p>
    <w:p w14:paraId="71174BA7" w14:textId="77777777" w:rsidR="00CA2689" w:rsidRPr="00CA2689" w:rsidRDefault="00CA2689" w:rsidP="00CA2689">
      <w:r w:rsidRPr="00CA2689">
        <w:rPr>
          <w:b/>
          <w:bCs/>
        </w:rPr>
        <w:t>RQ5</w:t>
      </w:r>
      <w:r w:rsidRPr="00CA2689">
        <w:t>: What integrated ecosystem framework can unify these diverse AI paradigms, and what evolutionary pathway leads from current capabilities toward Artificial General Intelligence?</w:t>
      </w:r>
    </w:p>
    <w:p w14:paraId="78C30D9E" w14:textId="77777777" w:rsidR="00CA2689" w:rsidRPr="00CA2689" w:rsidRDefault="00CA2689" w:rsidP="00CA2689">
      <w:pPr>
        <w:rPr>
          <w:b/>
          <w:bCs/>
        </w:rPr>
      </w:pPr>
      <w:r w:rsidRPr="00CA2689">
        <w:rPr>
          <w:b/>
          <w:bCs/>
        </w:rPr>
        <w:t>2. Methodology</w:t>
      </w:r>
    </w:p>
    <w:p w14:paraId="6DEE4E19" w14:textId="77777777" w:rsidR="00CA2689" w:rsidRPr="00CA2689" w:rsidRDefault="00CA2689" w:rsidP="00CA2689">
      <w:r w:rsidRPr="00CA2689">
        <w:t>This systematic literature review follows the Preferred Reporting Items for Systematic Reviews and Meta-Analyses (PRISMA) guidelines to ensure transparency, reproducibility, and methodological rigor (Page et al., 2021). Our objective was to comprehensively map the landscape of emerging AI paradigms, explainability challenges, ethical risks, and governance frameworks through a structured synthesis of peer-reviewed scholarly literature published between 2018 and 2026.</w:t>
      </w:r>
    </w:p>
    <w:p w14:paraId="6A36FDE8" w14:textId="77777777" w:rsidR="00CA2689" w:rsidRPr="00CA2689" w:rsidRDefault="00CA2689" w:rsidP="00CA2689">
      <w:pPr>
        <w:rPr>
          <w:b/>
          <w:bCs/>
        </w:rPr>
      </w:pPr>
      <w:r w:rsidRPr="00CA2689">
        <w:rPr>
          <w:b/>
          <w:bCs/>
        </w:rPr>
        <w:t>Search Strategy</w:t>
      </w:r>
    </w:p>
    <w:p w14:paraId="5AB78B9D" w14:textId="77777777" w:rsidR="00CA2689" w:rsidRPr="00CA2689" w:rsidRDefault="00CA2689" w:rsidP="00CA2689">
      <w:r w:rsidRPr="00CA2689">
        <w:t>We conducted a comprehensive search across six major academic databases: Scopus, Web of Science (</w:t>
      </w:r>
      <w:proofErr w:type="spellStart"/>
      <w:r w:rsidRPr="00CA2689">
        <w:t>WoS</w:t>
      </w:r>
      <w:proofErr w:type="spellEnd"/>
      <w:r w:rsidRPr="00CA2689">
        <w:t>), IEEE Xplore, ACM Digital Library, ScienceDirect, and SpringerLink. The search was executed between January and March 2026, covering publications from January 2018 to December 2026. This eight-year window was selected to capture the transformer revolution (Vaswani et al., 2017) and subsequent developments in large language models, while ensuring sufficient temporal depth to identify evolutionary trends.</w:t>
      </w:r>
    </w:p>
    <w:p w14:paraId="4E73FA2C" w14:textId="77777777" w:rsidR="00CA2689" w:rsidRPr="00CA2689" w:rsidRDefault="00CA2689" w:rsidP="00CA2689">
      <w:r w:rsidRPr="00CA2689">
        <w:t>The search strategy employed Boolean operators to combine multiple keyword clusters representing the seven AI paradigms under investigation. The primary search string was constructed as follows:</w:t>
      </w:r>
    </w:p>
    <w:p w14:paraId="525158A7" w14:textId="77777777" w:rsidR="00CA2689" w:rsidRPr="00CA2689" w:rsidRDefault="00CA2689" w:rsidP="00CA2689">
      <w:r w:rsidRPr="00CA2689">
        <w:t>("Generative AI" OR "Generative Artificial Intelligence" OR "Large Language Model*" OR "LLM" OR "GPT" OR "Foundation Model*")</w:t>
      </w:r>
    </w:p>
    <w:p w14:paraId="15C2E360" w14:textId="77777777" w:rsidR="00CA2689" w:rsidRPr="00CA2689" w:rsidRDefault="00CA2689" w:rsidP="00CA2689">
      <w:r w:rsidRPr="00CA2689">
        <w:t>OR</w:t>
      </w:r>
    </w:p>
    <w:p w14:paraId="70999225" w14:textId="77777777" w:rsidR="00CA2689" w:rsidRPr="00CA2689" w:rsidRDefault="00CA2689" w:rsidP="00CA2689">
      <w:r w:rsidRPr="00CA2689">
        <w:t>("Emotional AI" OR "Affective Computing" OR "Empathetic AI" OR "Emotion Recognition" OR "Sentiment AI")</w:t>
      </w:r>
    </w:p>
    <w:p w14:paraId="4E887F17" w14:textId="77777777" w:rsidR="00CA2689" w:rsidRPr="00CA2689" w:rsidRDefault="00CA2689" w:rsidP="00CA2689">
      <w:r w:rsidRPr="00CA2689">
        <w:t>OR</w:t>
      </w:r>
    </w:p>
    <w:p w14:paraId="658073B0" w14:textId="77777777" w:rsidR="00CA2689" w:rsidRPr="00CA2689" w:rsidRDefault="00CA2689" w:rsidP="00CA2689">
      <w:r w:rsidRPr="00CA2689">
        <w:t>("Agentic AI" OR "Autonomous AI Agent*" OR "AI Agent*" OR "Multi-Agent System*")</w:t>
      </w:r>
    </w:p>
    <w:p w14:paraId="0BE31B14" w14:textId="77777777" w:rsidR="00CA2689" w:rsidRPr="00CA2689" w:rsidRDefault="00CA2689" w:rsidP="00CA2689">
      <w:r w:rsidRPr="00CA2689">
        <w:t>OR</w:t>
      </w:r>
    </w:p>
    <w:p w14:paraId="22929693" w14:textId="77777777" w:rsidR="00CA2689" w:rsidRPr="00CA2689" w:rsidRDefault="00CA2689" w:rsidP="00CA2689">
      <w:r w:rsidRPr="00CA2689">
        <w:t>("Explainable AI" OR "XAI" OR "Interpretable AI" OR "Transparent AI" OR "Black Box AI")</w:t>
      </w:r>
    </w:p>
    <w:p w14:paraId="6CA743BE" w14:textId="77777777" w:rsidR="00CA2689" w:rsidRPr="00CA2689" w:rsidRDefault="00CA2689" w:rsidP="00CA2689">
      <w:r w:rsidRPr="00CA2689">
        <w:t>OR</w:t>
      </w:r>
    </w:p>
    <w:p w14:paraId="67DEAEA8" w14:textId="77777777" w:rsidR="00CA2689" w:rsidRPr="00CA2689" w:rsidRDefault="00CA2689" w:rsidP="00CA2689">
      <w:r w:rsidRPr="00CA2689">
        <w:lastRenderedPageBreak/>
        <w:t>("Responsible AI" OR "Trustworthy AI" OR "Ethical AI" OR "Human-Centric AI" OR "AI Ethics" OR "AI Governance")</w:t>
      </w:r>
    </w:p>
    <w:p w14:paraId="64DF4CC1" w14:textId="77777777" w:rsidR="00CA2689" w:rsidRPr="00CA2689" w:rsidRDefault="00CA2689" w:rsidP="00CA2689">
      <w:r w:rsidRPr="00CA2689">
        <w:t>OR</w:t>
      </w:r>
    </w:p>
    <w:p w14:paraId="65906D44" w14:textId="77777777" w:rsidR="00CA2689" w:rsidRPr="00CA2689" w:rsidRDefault="00CA2689" w:rsidP="00CA2689">
      <w:r w:rsidRPr="00CA2689">
        <w:t>("Dark AI" OR "Malicious AI" OR "Deepfake*" OR "AI Cybersecurity" OR "AI Threat*" OR "Adversarial AI")</w:t>
      </w:r>
    </w:p>
    <w:p w14:paraId="70BCABC8" w14:textId="77777777" w:rsidR="00CA2689" w:rsidRPr="00CA2689" w:rsidRDefault="00CA2689" w:rsidP="00CA2689">
      <w:r w:rsidRPr="00CA2689">
        <w:t>OR</w:t>
      </w:r>
    </w:p>
    <w:p w14:paraId="11170EF2" w14:textId="77777777" w:rsidR="00CA2689" w:rsidRPr="00CA2689" w:rsidRDefault="00CA2689" w:rsidP="00CA2689">
      <w:r w:rsidRPr="00CA2689">
        <w:t>("Multimodal AI" OR "Vision-Language Model*" OR "Cross-Modal AI")</w:t>
      </w:r>
    </w:p>
    <w:p w14:paraId="3CA513FC" w14:textId="77777777" w:rsidR="00CA2689" w:rsidRPr="00CA2689" w:rsidRDefault="00CA2689" w:rsidP="00CA2689">
      <w:r w:rsidRPr="00CA2689">
        <w:t xml:space="preserve">Additional filters were applied to restrict results to peer-reviewed journal articles, conference proceedings, and technical reports published in English. We excluded editorials, opinion pieces, and non-peer-reviewed preprints to maintain quality standards, though highly cited </w:t>
      </w:r>
      <w:proofErr w:type="spellStart"/>
      <w:r w:rsidRPr="00CA2689">
        <w:t>arXiv</w:t>
      </w:r>
      <w:proofErr w:type="spellEnd"/>
      <w:r w:rsidRPr="00CA2689">
        <w:t xml:space="preserve"> preprints from established research groups were retained for completeness.</w:t>
      </w:r>
    </w:p>
    <w:p w14:paraId="23FC7B9F" w14:textId="77777777" w:rsidR="00CA2689" w:rsidRPr="00CA2689" w:rsidRDefault="00CA2689" w:rsidP="00CA2689">
      <w:pPr>
        <w:rPr>
          <w:b/>
          <w:bCs/>
        </w:rPr>
      </w:pPr>
      <w:r w:rsidRPr="00CA2689">
        <w:rPr>
          <w:b/>
          <w:bCs/>
        </w:rPr>
        <w:t>Inclusion and Exclusion Criteria</w:t>
      </w:r>
    </w:p>
    <w:p w14:paraId="281F4AC5" w14:textId="77777777" w:rsidR="00CA2689" w:rsidRPr="00CA2689" w:rsidRDefault="00CA2689" w:rsidP="00CA2689">
      <w:r w:rsidRPr="00CA2689">
        <w:t>Studies were included if they met the following criteria:</w:t>
      </w:r>
    </w:p>
    <w:p w14:paraId="53843065" w14:textId="77777777" w:rsidR="00CA2689" w:rsidRPr="00CA2689" w:rsidRDefault="00CA2689" w:rsidP="00CA2689">
      <w:pPr>
        <w:numPr>
          <w:ilvl w:val="0"/>
          <w:numId w:val="2"/>
        </w:numPr>
      </w:pPr>
      <w:r w:rsidRPr="00CA2689">
        <w:t>Published between January 2018 and December 2026</w:t>
      </w:r>
    </w:p>
    <w:p w14:paraId="114181D0" w14:textId="77777777" w:rsidR="00CA2689" w:rsidRPr="00CA2689" w:rsidRDefault="00CA2689" w:rsidP="00CA2689">
      <w:pPr>
        <w:numPr>
          <w:ilvl w:val="0"/>
          <w:numId w:val="2"/>
        </w:numPr>
      </w:pPr>
      <w:r w:rsidRPr="00CA2689">
        <w:t>Peer-reviewed journal article, conference paper, or technical report</w:t>
      </w:r>
    </w:p>
    <w:p w14:paraId="191DCA5A" w14:textId="77777777" w:rsidR="00CA2689" w:rsidRPr="00CA2689" w:rsidRDefault="00CA2689" w:rsidP="00CA2689">
      <w:pPr>
        <w:numPr>
          <w:ilvl w:val="0"/>
          <w:numId w:val="2"/>
        </w:numPr>
      </w:pPr>
      <w:r w:rsidRPr="00CA2689">
        <w:t>Focused on one or more of the seven AI paradigms under investigation</w:t>
      </w:r>
    </w:p>
    <w:p w14:paraId="26E8A49B" w14:textId="77777777" w:rsidR="00CA2689" w:rsidRPr="00CA2689" w:rsidRDefault="00CA2689" w:rsidP="00CA2689">
      <w:pPr>
        <w:numPr>
          <w:ilvl w:val="0"/>
          <w:numId w:val="2"/>
        </w:numPr>
      </w:pPr>
      <w:r w:rsidRPr="00CA2689">
        <w:t>Provided empirical findings, theoretical frameworks, systematic reviews, or technical innovations</w:t>
      </w:r>
    </w:p>
    <w:p w14:paraId="45FF93D8" w14:textId="77777777" w:rsidR="00CA2689" w:rsidRPr="00CA2689" w:rsidRDefault="00CA2689" w:rsidP="00CA2689">
      <w:pPr>
        <w:numPr>
          <w:ilvl w:val="0"/>
          <w:numId w:val="2"/>
        </w:numPr>
      </w:pPr>
      <w:r w:rsidRPr="00CA2689">
        <w:t>Written in English</w:t>
      </w:r>
    </w:p>
    <w:p w14:paraId="78D78E85" w14:textId="77777777" w:rsidR="00CA2689" w:rsidRPr="00CA2689" w:rsidRDefault="00CA2689" w:rsidP="00CA2689">
      <w:pPr>
        <w:numPr>
          <w:ilvl w:val="0"/>
          <w:numId w:val="2"/>
        </w:numPr>
      </w:pPr>
      <w:r w:rsidRPr="00CA2689">
        <w:t>Accessible in full text</w:t>
      </w:r>
    </w:p>
    <w:p w14:paraId="00838858" w14:textId="77777777" w:rsidR="00CA2689" w:rsidRPr="00CA2689" w:rsidRDefault="00CA2689" w:rsidP="00CA2689">
      <w:r w:rsidRPr="00CA2689">
        <w:t>Studies were excluded if they:</w:t>
      </w:r>
    </w:p>
    <w:p w14:paraId="51124D8B" w14:textId="77777777" w:rsidR="00CA2689" w:rsidRPr="00CA2689" w:rsidRDefault="00CA2689" w:rsidP="00CA2689">
      <w:pPr>
        <w:numPr>
          <w:ilvl w:val="0"/>
          <w:numId w:val="3"/>
        </w:numPr>
      </w:pPr>
      <w:r w:rsidRPr="00CA2689">
        <w:t>Were purely mathematical or algorithmic papers without broader AI paradigm context</w:t>
      </w:r>
    </w:p>
    <w:p w14:paraId="4635A277" w14:textId="77777777" w:rsidR="00CA2689" w:rsidRPr="00CA2689" w:rsidRDefault="00CA2689" w:rsidP="00CA2689">
      <w:pPr>
        <w:numPr>
          <w:ilvl w:val="0"/>
          <w:numId w:val="3"/>
        </w:numPr>
      </w:pPr>
      <w:r w:rsidRPr="00CA2689">
        <w:t>Focused exclusively on narrow AI applications without addressing paradigm-level questions</w:t>
      </w:r>
    </w:p>
    <w:p w14:paraId="12A693CA" w14:textId="77777777" w:rsidR="00CA2689" w:rsidRPr="00CA2689" w:rsidRDefault="00CA2689" w:rsidP="00CA2689">
      <w:pPr>
        <w:numPr>
          <w:ilvl w:val="0"/>
          <w:numId w:val="3"/>
        </w:numPr>
      </w:pPr>
      <w:r w:rsidRPr="00CA2689">
        <w:t>Were duplicate publications or earlier versions of subsequently published work</w:t>
      </w:r>
    </w:p>
    <w:p w14:paraId="1B8056B8" w14:textId="77777777" w:rsidR="00CA2689" w:rsidRPr="00CA2689" w:rsidRDefault="00CA2689" w:rsidP="00CA2689">
      <w:pPr>
        <w:numPr>
          <w:ilvl w:val="0"/>
          <w:numId w:val="3"/>
        </w:numPr>
      </w:pPr>
      <w:r w:rsidRPr="00CA2689">
        <w:t>Lacked methodological rigor or clear research contributions</w:t>
      </w:r>
    </w:p>
    <w:p w14:paraId="258B9C60" w14:textId="77777777" w:rsidR="00CA2689" w:rsidRPr="00CA2689" w:rsidRDefault="00CA2689" w:rsidP="00CA2689">
      <w:pPr>
        <w:numPr>
          <w:ilvl w:val="0"/>
          <w:numId w:val="3"/>
        </w:numPr>
      </w:pPr>
      <w:r w:rsidRPr="00CA2689">
        <w:t>Were industry white papers or marketing materials without peer review</w:t>
      </w:r>
    </w:p>
    <w:p w14:paraId="77FAC5F2" w14:textId="77777777" w:rsidR="00CA2689" w:rsidRPr="00CA2689" w:rsidRDefault="00CA2689" w:rsidP="00CA2689">
      <w:pPr>
        <w:rPr>
          <w:b/>
          <w:bCs/>
        </w:rPr>
      </w:pPr>
      <w:r w:rsidRPr="00CA2689">
        <w:rPr>
          <w:b/>
          <w:bCs/>
        </w:rPr>
        <w:t>Study Selection Process</w:t>
      </w:r>
    </w:p>
    <w:p w14:paraId="6A88C228" w14:textId="77777777" w:rsidR="00CA2689" w:rsidRPr="00CA2689" w:rsidRDefault="00CA2689" w:rsidP="00CA2689">
      <w:r w:rsidRPr="00CA2689">
        <w:lastRenderedPageBreak/>
        <w:t>The PRISMA flow diagram (Table 1) summarizes the study selection process across four stages:</w:t>
      </w:r>
    </w:p>
    <w:p w14:paraId="1B8D7271" w14:textId="77777777" w:rsidR="00CA2689" w:rsidRPr="00CA2689" w:rsidRDefault="00CA2689" w:rsidP="00CA2689">
      <w:r w:rsidRPr="00CA2689">
        <w:rPr>
          <w:b/>
          <w:bCs/>
        </w:rPr>
        <w:t>Identification</w:t>
      </w:r>
      <w:r w:rsidRPr="00CA2689">
        <w:t>: Initial database searches yielded 4,250 records across all six databases. Scopus contributed 1,580 records, Web of Science 1,120, IEEE Xplore 680, ACM Digital Library 520, ScienceDirect 230, and SpringerLink 120.</w:t>
      </w:r>
    </w:p>
    <w:p w14:paraId="1C6C20D6" w14:textId="77777777" w:rsidR="00CA2689" w:rsidRPr="00CA2689" w:rsidRDefault="00CA2689" w:rsidP="00CA2689">
      <w:r w:rsidRPr="00CA2689">
        <w:rPr>
          <w:b/>
          <w:bCs/>
        </w:rPr>
        <w:t>Screening</w:t>
      </w:r>
      <w:r w:rsidRPr="00CA2689">
        <w:t>: After removing 1,035 duplicates using reference management software (Zotero), 3,215 unique records underwent title and abstract screening. Two independent reviewers assessed each record against inclusion criteria, with disagreements resolved through discussion with a third reviewer. This process excluded 2,787 records that did not meet topical relevance or quality thresholds, leaving 428 studies for full-text assessment.</w:t>
      </w:r>
    </w:p>
    <w:p w14:paraId="7B3465AA" w14:textId="77777777" w:rsidR="00CA2689" w:rsidRPr="00CA2689" w:rsidRDefault="00CA2689" w:rsidP="00CA2689">
      <w:r w:rsidRPr="00CA2689">
        <w:rPr>
          <w:b/>
          <w:bCs/>
        </w:rPr>
        <w:t>Eligibility</w:t>
      </w:r>
      <w:r w:rsidRPr="00CA2689">
        <w:t>: Full-text articles were retrieved and assessed for eligibility by two independent reviewers. Of the 428 articles, 287 were excluded for the following reasons: insufficient focus on AI paradigms (n=142), lack of empirical or theoretical contribution (n=78), methodological limitations (n=41), duplicate content (n=18), and inaccessible full text (n=8).</w:t>
      </w:r>
    </w:p>
    <w:p w14:paraId="242D263E" w14:textId="77777777" w:rsidR="00CA2689" w:rsidRPr="00CA2689" w:rsidRDefault="00CA2689" w:rsidP="00CA2689">
      <w:r w:rsidRPr="00CA2689">
        <w:rPr>
          <w:b/>
          <w:bCs/>
        </w:rPr>
        <w:t>Included</w:t>
      </w:r>
      <w:r w:rsidRPr="00CA2689">
        <w:t>: A final set of 141 studies met all inclusion criteria and were included in the qualitative synthesis and bibliometric analysis. These studies were distributed across paradigms as follows: Generative AI (n=38), Explainable AI (n=29), Responsible and Trustworthy AI (n=27), Agentic AI (n=18), Emotional and Social AI (n=14), Dark AI and Security (n=9), and Multimodal AI (n=6).</w:t>
      </w:r>
    </w:p>
    <w:p w14:paraId="7320D92F" w14:textId="77777777" w:rsidR="00CA2689" w:rsidRPr="00CA2689" w:rsidRDefault="00CA2689" w:rsidP="00CA2689">
      <w:pPr>
        <w:rPr>
          <w:b/>
          <w:bCs/>
        </w:rPr>
      </w:pPr>
      <w:r w:rsidRPr="00CA2689">
        <w:rPr>
          <w:b/>
          <w:bCs/>
        </w:rPr>
        <w:t>Data Extraction and Analysis</w:t>
      </w:r>
    </w:p>
    <w:p w14:paraId="4E38D6E9" w14:textId="77777777" w:rsidR="00CA2689" w:rsidRPr="00CA2689" w:rsidRDefault="00CA2689" w:rsidP="00CA2689">
      <w:r w:rsidRPr="00CA2689">
        <w:t>For each included study, we extracted the following data elements using a standardized extraction form: (1) bibliographic information (authors, year, journal/conference, DOI), (2) research objectives and questions, (3) AI paradigms addressed, (4) methodological approach, (5) key findings and contributions, (6) application domains, (7) limitations identified, and (8) future research directions. Data extraction was performed independently by two reviewers, with discrepancies resolved through consensus.</w:t>
      </w:r>
    </w:p>
    <w:p w14:paraId="759985C7" w14:textId="77777777" w:rsidR="00CA2689" w:rsidRPr="00CA2689" w:rsidRDefault="00CA2689" w:rsidP="00CA2689">
      <w:r w:rsidRPr="00CA2689">
        <w:t>Thematic analysis followed an iterative, inductive-deductive approach (Braun &amp; Clarke, 2006). We began with deductive coding based on the seven predefined AI paradigms, then employed inductive coding to identify emergent themes, sub-themes, and cross-cutting issues. Codes were organized into a hierarchical taxonomy using qualitative data analysis software (NVivo). Inter-rater reliability was assessed using Cohen's kappa (κ = 0.82), indicating substantial agreement.</w:t>
      </w:r>
    </w:p>
    <w:p w14:paraId="1DAE1B08" w14:textId="77777777" w:rsidR="00CA2689" w:rsidRPr="00CA2689" w:rsidRDefault="00CA2689" w:rsidP="00CA2689">
      <w:r w:rsidRPr="00CA2689">
        <w:t xml:space="preserve">Bibliometric analysis was conducted using </w:t>
      </w:r>
      <w:proofErr w:type="spellStart"/>
      <w:r w:rsidRPr="00CA2689">
        <w:t>VOSviewer</w:t>
      </w:r>
      <w:proofErr w:type="spellEnd"/>
      <w:r w:rsidRPr="00CA2689">
        <w:t xml:space="preserve"> and </w:t>
      </w:r>
      <w:proofErr w:type="spellStart"/>
      <w:r w:rsidRPr="00CA2689">
        <w:t>Bibliometrix</w:t>
      </w:r>
      <w:proofErr w:type="spellEnd"/>
      <w:r w:rsidRPr="00CA2689">
        <w:t xml:space="preserve"> R package to visualize publication trends, keyword co-occurrence networks, citation patterns, and </w:t>
      </w:r>
      <w:r w:rsidRPr="00CA2689">
        <w:lastRenderedPageBreak/>
        <w:t>geographic distributions. Network analysis identified five major thematic clusters that structure our findings in subsequent sections.</w:t>
      </w:r>
    </w:p>
    <w:p w14:paraId="50D84CDC" w14:textId="77777777" w:rsidR="00BF4455" w:rsidRDefault="00BF4455" w:rsidP="00CA2689">
      <w:pPr>
        <w:rPr>
          <w:b/>
          <w:bCs/>
        </w:rPr>
      </w:pPr>
      <w:r>
        <w:rPr>
          <w:b/>
          <w:bCs/>
          <w:noProof/>
        </w:rPr>
        <w:drawing>
          <wp:inline distT="0" distB="0" distL="0" distR="0" wp14:anchorId="3E43FA1C" wp14:editId="2A296E41">
            <wp:extent cx="5504329" cy="8256494"/>
            <wp:effectExtent l="0" t="0" r="1270" b="0"/>
            <wp:docPr id="1233729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2054" cy="8283082"/>
                    </a:xfrm>
                    <a:prstGeom prst="rect">
                      <a:avLst/>
                    </a:prstGeom>
                    <a:noFill/>
                  </pic:spPr>
                </pic:pic>
              </a:graphicData>
            </a:graphic>
          </wp:inline>
        </w:drawing>
      </w:r>
    </w:p>
    <w:p w14:paraId="7D7530AF" w14:textId="0DB416B8" w:rsidR="00CA2689" w:rsidRPr="00CA2689" w:rsidRDefault="00CA2689" w:rsidP="00CA2689">
      <w:pPr>
        <w:rPr>
          <w:b/>
          <w:bCs/>
        </w:rPr>
      </w:pPr>
      <w:r w:rsidRPr="00CA2689">
        <w:rPr>
          <w:b/>
          <w:bCs/>
        </w:rPr>
        <w:lastRenderedPageBreak/>
        <w:t>3. Bibliometric Analysis</w:t>
      </w:r>
    </w:p>
    <w:p w14:paraId="13D991F4" w14:textId="77777777" w:rsidR="00CA2689" w:rsidRPr="00CA2689" w:rsidRDefault="00CA2689" w:rsidP="00CA2689">
      <w:pPr>
        <w:rPr>
          <w:b/>
          <w:bCs/>
        </w:rPr>
      </w:pPr>
      <w:r w:rsidRPr="00CA2689">
        <w:rPr>
          <w:b/>
          <w:bCs/>
        </w:rPr>
        <w:t>Publication Trends (2018-2026)</w:t>
      </w:r>
    </w:p>
    <w:p w14:paraId="1CC0F22B" w14:textId="77777777" w:rsidR="00CA2689" w:rsidRPr="00CA2689" w:rsidRDefault="00CA2689" w:rsidP="00CA2689">
      <w:r w:rsidRPr="00CA2689">
        <w:t>Analysis of the 141 included studies reveals a dramatic acceleration in AI paradigm research, particularly following the release of GPT-3 in 2020 and ChatGPT in late 2022. Table 1 presents the temporal distribution of publications and dominant themes by year.</w:t>
      </w:r>
    </w:p>
    <w:p w14:paraId="31171BC3" w14:textId="77777777" w:rsidR="00CA2689" w:rsidRPr="00CA2689" w:rsidRDefault="00CA2689" w:rsidP="00CA2689">
      <w:r w:rsidRPr="00CA2689">
        <w:rPr>
          <w:b/>
          <w:bCs/>
        </w:rPr>
        <w:t>Table 1: Publication Trends and Dominant Themes (2018-2026)</w:t>
      </w:r>
    </w:p>
    <w:tbl>
      <w:tblPr>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1"/>
        <w:gridCol w:w="2041"/>
        <w:gridCol w:w="2041"/>
        <w:gridCol w:w="2041"/>
      </w:tblGrid>
      <w:tr w:rsidR="00CA2689" w:rsidRPr="00CA2689" w14:paraId="264E5636" w14:textId="77777777" w:rsidTr="003B20C9">
        <w:trPr>
          <w:trHeight w:val="600"/>
          <w:tblHeader/>
        </w:trPr>
        <w:tc>
          <w:tcPr>
            <w:tcW w:w="2041" w:type="dxa"/>
            <w:tcMar>
              <w:top w:w="180" w:type="dxa"/>
              <w:left w:w="180" w:type="dxa"/>
              <w:bottom w:w="180" w:type="dxa"/>
              <w:right w:w="180" w:type="dxa"/>
            </w:tcMar>
            <w:vAlign w:val="bottom"/>
            <w:hideMark/>
          </w:tcPr>
          <w:p w14:paraId="5E90CDE5" w14:textId="77777777" w:rsidR="00CA2689" w:rsidRPr="00CA2689" w:rsidRDefault="00CA2689" w:rsidP="00CA2689">
            <w:pPr>
              <w:rPr>
                <w:b/>
                <w:bCs/>
              </w:rPr>
            </w:pPr>
            <w:r w:rsidRPr="00CA2689">
              <w:rPr>
                <w:b/>
                <w:bCs/>
              </w:rPr>
              <w:t>Year</w:t>
            </w:r>
          </w:p>
        </w:tc>
        <w:tc>
          <w:tcPr>
            <w:tcW w:w="2041" w:type="dxa"/>
            <w:tcMar>
              <w:top w:w="180" w:type="dxa"/>
              <w:left w:w="180" w:type="dxa"/>
              <w:bottom w:w="180" w:type="dxa"/>
              <w:right w:w="180" w:type="dxa"/>
            </w:tcMar>
            <w:vAlign w:val="bottom"/>
            <w:hideMark/>
          </w:tcPr>
          <w:p w14:paraId="7437C406" w14:textId="77777777" w:rsidR="00CA2689" w:rsidRPr="00CA2689" w:rsidRDefault="00CA2689" w:rsidP="00CA2689">
            <w:pPr>
              <w:rPr>
                <w:b/>
                <w:bCs/>
              </w:rPr>
            </w:pPr>
            <w:r w:rsidRPr="00CA2689">
              <w:rPr>
                <w:b/>
                <w:bCs/>
              </w:rPr>
              <w:t>Number of Publications</w:t>
            </w:r>
          </w:p>
        </w:tc>
        <w:tc>
          <w:tcPr>
            <w:tcW w:w="2041" w:type="dxa"/>
            <w:tcMar>
              <w:top w:w="180" w:type="dxa"/>
              <w:left w:w="180" w:type="dxa"/>
              <w:bottom w:w="180" w:type="dxa"/>
              <w:right w:w="180" w:type="dxa"/>
            </w:tcMar>
            <w:vAlign w:val="bottom"/>
            <w:hideMark/>
          </w:tcPr>
          <w:p w14:paraId="1A68015C" w14:textId="77777777" w:rsidR="00CA2689" w:rsidRPr="00CA2689" w:rsidRDefault="00CA2689" w:rsidP="00CA2689">
            <w:pPr>
              <w:rPr>
                <w:b/>
                <w:bCs/>
              </w:rPr>
            </w:pPr>
            <w:r w:rsidRPr="00CA2689">
              <w:rPr>
                <w:b/>
                <w:bCs/>
              </w:rPr>
              <w:t>Dominant Theme</w:t>
            </w:r>
          </w:p>
        </w:tc>
        <w:tc>
          <w:tcPr>
            <w:tcW w:w="2041" w:type="dxa"/>
            <w:tcMar>
              <w:top w:w="180" w:type="dxa"/>
              <w:left w:w="180" w:type="dxa"/>
              <w:bottom w:w="180" w:type="dxa"/>
              <w:right w:w="180" w:type="dxa"/>
            </w:tcMar>
            <w:vAlign w:val="bottom"/>
            <w:hideMark/>
          </w:tcPr>
          <w:p w14:paraId="2308DE8C" w14:textId="77777777" w:rsidR="00CA2689" w:rsidRPr="00CA2689" w:rsidRDefault="00CA2689" w:rsidP="00CA2689">
            <w:pPr>
              <w:rPr>
                <w:b/>
                <w:bCs/>
              </w:rPr>
            </w:pPr>
            <w:r w:rsidRPr="00CA2689">
              <w:rPr>
                <w:b/>
                <w:bCs/>
              </w:rPr>
              <w:t>Activity Level</w:t>
            </w:r>
          </w:p>
        </w:tc>
      </w:tr>
      <w:tr w:rsidR="00CA2689" w:rsidRPr="00CA2689" w14:paraId="143FB949" w14:textId="77777777" w:rsidTr="003B20C9">
        <w:tc>
          <w:tcPr>
            <w:tcW w:w="2041" w:type="dxa"/>
            <w:tcMar>
              <w:top w:w="180" w:type="dxa"/>
              <w:left w:w="180" w:type="dxa"/>
              <w:bottom w:w="180" w:type="dxa"/>
              <w:right w:w="180" w:type="dxa"/>
            </w:tcMar>
            <w:hideMark/>
          </w:tcPr>
          <w:p w14:paraId="264E15AF" w14:textId="77777777" w:rsidR="00CA2689" w:rsidRPr="00CA2689" w:rsidRDefault="00CA2689" w:rsidP="00CA2689">
            <w:r w:rsidRPr="00CA2689">
              <w:t>2018</w:t>
            </w:r>
          </w:p>
        </w:tc>
        <w:tc>
          <w:tcPr>
            <w:tcW w:w="2041" w:type="dxa"/>
            <w:tcMar>
              <w:top w:w="180" w:type="dxa"/>
              <w:left w:w="180" w:type="dxa"/>
              <w:bottom w:w="180" w:type="dxa"/>
              <w:right w:w="180" w:type="dxa"/>
            </w:tcMar>
            <w:hideMark/>
          </w:tcPr>
          <w:p w14:paraId="1CA299AB" w14:textId="77777777" w:rsidR="00CA2689" w:rsidRPr="00CA2689" w:rsidRDefault="00CA2689" w:rsidP="00CA2689">
            <w:r w:rsidRPr="00CA2689">
              <w:t>8</w:t>
            </w:r>
          </w:p>
        </w:tc>
        <w:tc>
          <w:tcPr>
            <w:tcW w:w="2041" w:type="dxa"/>
            <w:tcMar>
              <w:top w:w="180" w:type="dxa"/>
              <w:left w:w="180" w:type="dxa"/>
              <w:bottom w:w="180" w:type="dxa"/>
              <w:right w:w="180" w:type="dxa"/>
            </w:tcMar>
            <w:hideMark/>
          </w:tcPr>
          <w:p w14:paraId="24EDE65A" w14:textId="77777777" w:rsidR="00CA2689" w:rsidRPr="00CA2689" w:rsidRDefault="00CA2689" w:rsidP="00CA2689">
            <w:r w:rsidRPr="00CA2689">
              <w:t>Explainable AI foundations</w:t>
            </w:r>
          </w:p>
        </w:tc>
        <w:tc>
          <w:tcPr>
            <w:tcW w:w="2041" w:type="dxa"/>
            <w:tcMar>
              <w:top w:w="180" w:type="dxa"/>
              <w:left w:w="180" w:type="dxa"/>
              <w:bottom w:w="180" w:type="dxa"/>
              <w:right w:w="180" w:type="dxa"/>
            </w:tcMar>
            <w:hideMark/>
          </w:tcPr>
          <w:p w14:paraId="55AACB22" w14:textId="77777777" w:rsidR="00CA2689" w:rsidRPr="00CA2689" w:rsidRDefault="00CA2689" w:rsidP="00CA2689">
            <w:r w:rsidRPr="00CA2689">
              <w:t>Emerging</w:t>
            </w:r>
          </w:p>
        </w:tc>
      </w:tr>
      <w:tr w:rsidR="00CA2689" w:rsidRPr="00CA2689" w14:paraId="3C2E7F07" w14:textId="77777777" w:rsidTr="003B20C9">
        <w:tc>
          <w:tcPr>
            <w:tcW w:w="2041" w:type="dxa"/>
            <w:tcMar>
              <w:top w:w="180" w:type="dxa"/>
              <w:left w:w="180" w:type="dxa"/>
              <w:bottom w:w="180" w:type="dxa"/>
              <w:right w:w="180" w:type="dxa"/>
            </w:tcMar>
            <w:hideMark/>
          </w:tcPr>
          <w:p w14:paraId="6BB3E881" w14:textId="77777777" w:rsidR="00CA2689" w:rsidRPr="00CA2689" w:rsidRDefault="00CA2689" w:rsidP="00CA2689">
            <w:r w:rsidRPr="00CA2689">
              <w:t>2019</w:t>
            </w:r>
          </w:p>
        </w:tc>
        <w:tc>
          <w:tcPr>
            <w:tcW w:w="2041" w:type="dxa"/>
            <w:tcMar>
              <w:top w:w="180" w:type="dxa"/>
              <w:left w:w="180" w:type="dxa"/>
              <w:bottom w:w="180" w:type="dxa"/>
              <w:right w:w="180" w:type="dxa"/>
            </w:tcMar>
            <w:hideMark/>
          </w:tcPr>
          <w:p w14:paraId="6FEB8589" w14:textId="77777777" w:rsidR="00CA2689" w:rsidRPr="00CA2689" w:rsidRDefault="00CA2689" w:rsidP="00CA2689">
            <w:r w:rsidRPr="00CA2689">
              <w:t>11</w:t>
            </w:r>
          </w:p>
        </w:tc>
        <w:tc>
          <w:tcPr>
            <w:tcW w:w="2041" w:type="dxa"/>
            <w:tcMar>
              <w:top w:w="180" w:type="dxa"/>
              <w:left w:w="180" w:type="dxa"/>
              <w:bottom w:w="180" w:type="dxa"/>
              <w:right w:w="180" w:type="dxa"/>
            </w:tcMar>
            <w:hideMark/>
          </w:tcPr>
          <w:p w14:paraId="396ECF88" w14:textId="77777777" w:rsidR="00CA2689" w:rsidRPr="00CA2689" w:rsidRDefault="00CA2689" w:rsidP="00CA2689">
            <w:r w:rsidRPr="00CA2689">
              <w:t>XAI techniques and fairness</w:t>
            </w:r>
          </w:p>
        </w:tc>
        <w:tc>
          <w:tcPr>
            <w:tcW w:w="2041" w:type="dxa"/>
            <w:tcMar>
              <w:top w:w="180" w:type="dxa"/>
              <w:left w:w="180" w:type="dxa"/>
              <w:bottom w:w="180" w:type="dxa"/>
              <w:right w:w="180" w:type="dxa"/>
            </w:tcMar>
            <w:hideMark/>
          </w:tcPr>
          <w:p w14:paraId="6B1C6A7F" w14:textId="77777777" w:rsidR="00CA2689" w:rsidRPr="00CA2689" w:rsidRDefault="00CA2689" w:rsidP="00CA2689">
            <w:r w:rsidRPr="00CA2689">
              <w:t>Growing</w:t>
            </w:r>
          </w:p>
        </w:tc>
      </w:tr>
      <w:tr w:rsidR="00CA2689" w:rsidRPr="00CA2689" w14:paraId="2BDA74AD" w14:textId="77777777" w:rsidTr="003B20C9">
        <w:tc>
          <w:tcPr>
            <w:tcW w:w="2041" w:type="dxa"/>
            <w:tcMar>
              <w:top w:w="180" w:type="dxa"/>
              <w:left w:w="180" w:type="dxa"/>
              <w:bottom w:w="180" w:type="dxa"/>
              <w:right w:w="180" w:type="dxa"/>
            </w:tcMar>
            <w:hideMark/>
          </w:tcPr>
          <w:p w14:paraId="5ECBF0CE" w14:textId="77777777" w:rsidR="00CA2689" w:rsidRPr="00CA2689" w:rsidRDefault="00CA2689" w:rsidP="00CA2689">
            <w:r w:rsidRPr="00CA2689">
              <w:t>2020</w:t>
            </w:r>
          </w:p>
        </w:tc>
        <w:tc>
          <w:tcPr>
            <w:tcW w:w="2041" w:type="dxa"/>
            <w:tcMar>
              <w:top w:w="180" w:type="dxa"/>
              <w:left w:w="180" w:type="dxa"/>
              <w:bottom w:w="180" w:type="dxa"/>
              <w:right w:w="180" w:type="dxa"/>
            </w:tcMar>
            <w:hideMark/>
          </w:tcPr>
          <w:p w14:paraId="50E1F0B1" w14:textId="77777777" w:rsidR="00CA2689" w:rsidRPr="00CA2689" w:rsidRDefault="00CA2689" w:rsidP="00CA2689">
            <w:r w:rsidRPr="00CA2689">
              <w:t>14</w:t>
            </w:r>
          </w:p>
        </w:tc>
        <w:tc>
          <w:tcPr>
            <w:tcW w:w="2041" w:type="dxa"/>
            <w:tcMar>
              <w:top w:w="180" w:type="dxa"/>
              <w:left w:w="180" w:type="dxa"/>
              <w:bottom w:w="180" w:type="dxa"/>
              <w:right w:w="180" w:type="dxa"/>
            </w:tcMar>
            <w:hideMark/>
          </w:tcPr>
          <w:p w14:paraId="06DB98AF" w14:textId="77777777" w:rsidR="00CA2689" w:rsidRPr="00CA2689" w:rsidRDefault="00CA2689" w:rsidP="00CA2689">
            <w:r w:rsidRPr="00CA2689">
              <w:t>Large language models, GPT-3</w:t>
            </w:r>
          </w:p>
        </w:tc>
        <w:tc>
          <w:tcPr>
            <w:tcW w:w="2041" w:type="dxa"/>
            <w:tcMar>
              <w:top w:w="180" w:type="dxa"/>
              <w:left w:w="180" w:type="dxa"/>
              <w:bottom w:w="180" w:type="dxa"/>
              <w:right w:w="180" w:type="dxa"/>
            </w:tcMar>
            <w:hideMark/>
          </w:tcPr>
          <w:p w14:paraId="317D3802" w14:textId="77777777" w:rsidR="00CA2689" w:rsidRPr="00CA2689" w:rsidRDefault="00CA2689" w:rsidP="00CA2689">
            <w:r w:rsidRPr="00CA2689">
              <w:t>Accelerating</w:t>
            </w:r>
          </w:p>
        </w:tc>
      </w:tr>
      <w:tr w:rsidR="00CA2689" w:rsidRPr="00CA2689" w14:paraId="5CB2675A" w14:textId="77777777" w:rsidTr="003B20C9">
        <w:tc>
          <w:tcPr>
            <w:tcW w:w="2041" w:type="dxa"/>
            <w:tcMar>
              <w:top w:w="180" w:type="dxa"/>
              <w:left w:w="180" w:type="dxa"/>
              <w:bottom w:w="180" w:type="dxa"/>
              <w:right w:w="180" w:type="dxa"/>
            </w:tcMar>
            <w:hideMark/>
          </w:tcPr>
          <w:p w14:paraId="76BAE36A" w14:textId="77777777" w:rsidR="00CA2689" w:rsidRPr="00CA2689" w:rsidRDefault="00CA2689" w:rsidP="00CA2689">
            <w:r w:rsidRPr="00CA2689">
              <w:t>2021</w:t>
            </w:r>
          </w:p>
        </w:tc>
        <w:tc>
          <w:tcPr>
            <w:tcW w:w="2041" w:type="dxa"/>
            <w:tcMar>
              <w:top w:w="180" w:type="dxa"/>
              <w:left w:w="180" w:type="dxa"/>
              <w:bottom w:w="180" w:type="dxa"/>
              <w:right w:w="180" w:type="dxa"/>
            </w:tcMar>
            <w:hideMark/>
          </w:tcPr>
          <w:p w14:paraId="7AB36027" w14:textId="77777777" w:rsidR="00CA2689" w:rsidRPr="00CA2689" w:rsidRDefault="00CA2689" w:rsidP="00CA2689">
            <w:r w:rsidRPr="00CA2689">
              <w:t>16</w:t>
            </w:r>
          </w:p>
        </w:tc>
        <w:tc>
          <w:tcPr>
            <w:tcW w:w="2041" w:type="dxa"/>
            <w:tcMar>
              <w:top w:w="180" w:type="dxa"/>
              <w:left w:w="180" w:type="dxa"/>
              <w:bottom w:w="180" w:type="dxa"/>
              <w:right w:w="180" w:type="dxa"/>
            </w:tcMar>
            <w:hideMark/>
          </w:tcPr>
          <w:p w14:paraId="4E7CA1BE" w14:textId="77777777" w:rsidR="00CA2689" w:rsidRPr="00CA2689" w:rsidRDefault="00CA2689" w:rsidP="00CA2689">
            <w:r w:rsidRPr="00CA2689">
              <w:t>Trustworthy AI frameworks</w:t>
            </w:r>
          </w:p>
        </w:tc>
        <w:tc>
          <w:tcPr>
            <w:tcW w:w="2041" w:type="dxa"/>
            <w:tcMar>
              <w:top w:w="180" w:type="dxa"/>
              <w:left w:w="180" w:type="dxa"/>
              <w:bottom w:w="180" w:type="dxa"/>
              <w:right w:w="180" w:type="dxa"/>
            </w:tcMar>
            <w:hideMark/>
          </w:tcPr>
          <w:p w14:paraId="1E55CD51" w14:textId="77777777" w:rsidR="00CA2689" w:rsidRPr="00CA2689" w:rsidRDefault="00CA2689" w:rsidP="00CA2689">
            <w:r w:rsidRPr="00CA2689">
              <w:t>Accelerating</w:t>
            </w:r>
          </w:p>
        </w:tc>
      </w:tr>
      <w:tr w:rsidR="00CA2689" w:rsidRPr="00CA2689" w14:paraId="1C275F94" w14:textId="77777777" w:rsidTr="003B20C9">
        <w:tc>
          <w:tcPr>
            <w:tcW w:w="2041" w:type="dxa"/>
            <w:tcMar>
              <w:top w:w="180" w:type="dxa"/>
              <w:left w:w="180" w:type="dxa"/>
              <w:bottom w:w="180" w:type="dxa"/>
              <w:right w:w="180" w:type="dxa"/>
            </w:tcMar>
            <w:hideMark/>
          </w:tcPr>
          <w:p w14:paraId="4333DA1C" w14:textId="77777777" w:rsidR="00CA2689" w:rsidRPr="00CA2689" w:rsidRDefault="00CA2689" w:rsidP="00CA2689">
            <w:r w:rsidRPr="00CA2689">
              <w:t>2022</w:t>
            </w:r>
          </w:p>
        </w:tc>
        <w:tc>
          <w:tcPr>
            <w:tcW w:w="2041" w:type="dxa"/>
            <w:tcMar>
              <w:top w:w="180" w:type="dxa"/>
              <w:left w:w="180" w:type="dxa"/>
              <w:bottom w:w="180" w:type="dxa"/>
              <w:right w:w="180" w:type="dxa"/>
            </w:tcMar>
            <w:hideMark/>
          </w:tcPr>
          <w:p w14:paraId="37434C06" w14:textId="77777777" w:rsidR="00CA2689" w:rsidRPr="00CA2689" w:rsidRDefault="00CA2689" w:rsidP="00CA2689">
            <w:r w:rsidRPr="00CA2689">
              <w:t>19</w:t>
            </w:r>
          </w:p>
        </w:tc>
        <w:tc>
          <w:tcPr>
            <w:tcW w:w="2041" w:type="dxa"/>
            <w:tcMar>
              <w:top w:w="180" w:type="dxa"/>
              <w:left w:w="180" w:type="dxa"/>
              <w:bottom w:w="180" w:type="dxa"/>
              <w:right w:w="180" w:type="dxa"/>
            </w:tcMar>
            <w:hideMark/>
          </w:tcPr>
          <w:p w14:paraId="2BC85294" w14:textId="77777777" w:rsidR="00CA2689" w:rsidRPr="00CA2689" w:rsidRDefault="00CA2689" w:rsidP="00CA2689">
            <w:r w:rsidRPr="00CA2689">
              <w:t>Generative AI applications</w:t>
            </w:r>
          </w:p>
        </w:tc>
        <w:tc>
          <w:tcPr>
            <w:tcW w:w="2041" w:type="dxa"/>
            <w:tcMar>
              <w:top w:w="180" w:type="dxa"/>
              <w:left w:w="180" w:type="dxa"/>
              <w:bottom w:w="180" w:type="dxa"/>
              <w:right w:w="180" w:type="dxa"/>
            </w:tcMar>
            <w:hideMark/>
          </w:tcPr>
          <w:p w14:paraId="3F14CDC9" w14:textId="77777777" w:rsidR="00CA2689" w:rsidRPr="00CA2689" w:rsidRDefault="00CA2689" w:rsidP="00CA2689">
            <w:r w:rsidRPr="00CA2689">
              <w:t>Rapid growth</w:t>
            </w:r>
          </w:p>
        </w:tc>
      </w:tr>
      <w:tr w:rsidR="00CA2689" w:rsidRPr="00CA2689" w14:paraId="238E2882" w14:textId="77777777" w:rsidTr="003B20C9">
        <w:tc>
          <w:tcPr>
            <w:tcW w:w="2041" w:type="dxa"/>
            <w:tcMar>
              <w:top w:w="180" w:type="dxa"/>
              <w:left w:w="180" w:type="dxa"/>
              <w:bottom w:w="180" w:type="dxa"/>
              <w:right w:w="180" w:type="dxa"/>
            </w:tcMar>
            <w:hideMark/>
          </w:tcPr>
          <w:p w14:paraId="2D8A7627" w14:textId="77777777" w:rsidR="00CA2689" w:rsidRPr="00CA2689" w:rsidRDefault="00CA2689" w:rsidP="00CA2689">
            <w:r w:rsidRPr="00CA2689">
              <w:t>2023</w:t>
            </w:r>
          </w:p>
        </w:tc>
        <w:tc>
          <w:tcPr>
            <w:tcW w:w="2041" w:type="dxa"/>
            <w:tcMar>
              <w:top w:w="180" w:type="dxa"/>
              <w:left w:w="180" w:type="dxa"/>
              <w:bottom w:w="180" w:type="dxa"/>
              <w:right w:w="180" w:type="dxa"/>
            </w:tcMar>
            <w:hideMark/>
          </w:tcPr>
          <w:p w14:paraId="33E3714A" w14:textId="77777777" w:rsidR="00CA2689" w:rsidRPr="00CA2689" w:rsidRDefault="00CA2689" w:rsidP="00CA2689">
            <w:r w:rsidRPr="00CA2689">
              <w:t>24</w:t>
            </w:r>
          </w:p>
        </w:tc>
        <w:tc>
          <w:tcPr>
            <w:tcW w:w="2041" w:type="dxa"/>
            <w:tcMar>
              <w:top w:w="180" w:type="dxa"/>
              <w:left w:w="180" w:type="dxa"/>
              <w:bottom w:w="180" w:type="dxa"/>
              <w:right w:w="180" w:type="dxa"/>
            </w:tcMar>
            <w:hideMark/>
          </w:tcPr>
          <w:p w14:paraId="377DE36C" w14:textId="77777777" w:rsidR="00CA2689" w:rsidRPr="00CA2689" w:rsidRDefault="00CA2689" w:rsidP="00CA2689">
            <w:r w:rsidRPr="00CA2689">
              <w:t>ChatGPT impact, AI governance</w:t>
            </w:r>
          </w:p>
        </w:tc>
        <w:tc>
          <w:tcPr>
            <w:tcW w:w="2041" w:type="dxa"/>
            <w:tcMar>
              <w:top w:w="180" w:type="dxa"/>
              <w:left w:w="180" w:type="dxa"/>
              <w:bottom w:w="180" w:type="dxa"/>
              <w:right w:w="180" w:type="dxa"/>
            </w:tcMar>
            <w:hideMark/>
          </w:tcPr>
          <w:p w14:paraId="738A8145" w14:textId="77777777" w:rsidR="00CA2689" w:rsidRPr="00CA2689" w:rsidRDefault="00CA2689" w:rsidP="00CA2689">
            <w:r w:rsidRPr="00CA2689">
              <w:t>Explosive growth</w:t>
            </w:r>
          </w:p>
        </w:tc>
      </w:tr>
      <w:tr w:rsidR="00CA2689" w:rsidRPr="00CA2689" w14:paraId="68D88B2E" w14:textId="77777777" w:rsidTr="003B20C9">
        <w:tc>
          <w:tcPr>
            <w:tcW w:w="2041" w:type="dxa"/>
            <w:tcMar>
              <w:top w:w="180" w:type="dxa"/>
              <w:left w:w="180" w:type="dxa"/>
              <w:bottom w:w="180" w:type="dxa"/>
              <w:right w:w="180" w:type="dxa"/>
            </w:tcMar>
            <w:hideMark/>
          </w:tcPr>
          <w:p w14:paraId="1FB4C132" w14:textId="77777777" w:rsidR="00CA2689" w:rsidRPr="00CA2689" w:rsidRDefault="00CA2689" w:rsidP="00CA2689">
            <w:r w:rsidRPr="00CA2689">
              <w:t>2024</w:t>
            </w:r>
          </w:p>
        </w:tc>
        <w:tc>
          <w:tcPr>
            <w:tcW w:w="2041" w:type="dxa"/>
            <w:tcMar>
              <w:top w:w="180" w:type="dxa"/>
              <w:left w:w="180" w:type="dxa"/>
              <w:bottom w:w="180" w:type="dxa"/>
              <w:right w:w="180" w:type="dxa"/>
            </w:tcMar>
            <w:hideMark/>
          </w:tcPr>
          <w:p w14:paraId="746456F4" w14:textId="77777777" w:rsidR="00CA2689" w:rsidRPr="00CA2689" w:rsidRDefault="00CA2689" w:rsidP="00CA2689">
            <w:r w:rsidRPr="00CA2689">
              <w:t>26</w:t>
            </w:r>
          </w:p>
        </w:tc>
        <w:tc>
          <w:tcPr>
            <w:tcW w:w="2041" w:type="dxa"/>
            <w:tcMar>
              <w:top w:w="180" w:type="dxa"/>
              <w:left w:w="180" w:type="dxa"/>
              <w:bottom w:w="180" w:type="dxa"/>
              <w:right w:w="180" w:type="dxa"/>
            </w:tcMar>
            <w:hideMark/>
          </w:tcPr>
          <w:p w14:paraId="4868CCE5" w14:textId="77777777" w:rsidR="00CA2689" w:rsidRPr="00CA2689" w:rsidRDefault="00CA2689" w:rsidP="00CA2689">
            <w:r w:rsidRPr="00CA2689">
              <w:t>Agentic AI, multimodal systems</w:t>
            </w:r>
          </w:p>
        </w:tc>
        <w:tc>
          <w:tcPr>
            <w:tcW w:w="2041" w:type="dxa"/>
            <w:tcMar>
              <w:top w:w="180" w:type="dxa"/>
              <w:left w:w="180" w:type="dxa"/>
              <w:bottom w:w="180" w:type="dxa"/>
              <w:right w:w="180" w:type="dxa"/>
            </w:tcMar>
            <w:hideMark/>
          </w:tcPr>
          <w:p w14:paraId="77894993" w14:textId="77777777" w:rsidR="00CA2689" w:rsidRPr="00CA2689" w:rsidRDefault="00CA2689" w:rsidP="00CA2689">
            <w:r w:rsidRPr="00CA2689">
              <w:t>Peak activity</w:t>
            </w:r>
          </w:p>
        </w:tc>
      </w:tr>
      <w:tr w:rsidR="00CA2689" w:rsidRPr="00CA2689" w14:paraId="01DAFD48" w14:textId="77777777" w:rsidTr="003B20C9">
        <w:tc>
          <w:tcPr>
            <w:tcW w:w="2041" w:type="dxa"/>
            <w:tcMar>
              <w:top w:w="180" w:type="dxa"/>
              <w:left w:w="180" w:type="dxa"/>
              <w:bottom w:w="180" w:type="dxa"/>
              <w:right w:w="180" w:type="dxa"/>
            </w:tcMar>
            <w:hideMark/>
          </w:tcPr>
          <w:p w14:paraId="56604A70" w14:textId="77777777" w:rsidR="00CA2689" w:rsidRPr="00CA2689" w:rsidRDefault="00CA2689" w:rsidP="00CA2689">
            <w:r w:rsidRPr="00CA2689">
              <w:lastRenderedPageBreak/>
              <w:t>2025</w:t>
            </w:r>
          </w:p>
        </w:tc>
        <w:tc>
          <w:tcPr>
            <w:tcW w:w="2041" w:type="dxa"/>
            <w:tcMar>
              <w:top w:w="180" w:type="dxa"/>
              <w:left w:w="180" w:type="dxa"/>
              <w:bottom w:w="180" w:type="dxa"/>
              <w:right w:w="180" w:type="dxa"/>
            </w:tcMar>
            <w:hideMark/>
          </w:tcPr>
          <w:p w14:paraId="471485A6" w14:textId="77777777" w:rsidR="00CA2689" w:rsidRPr="00CA2689" w:rsidRDefault="00CA2689" w:rsidP="00CA2689">
            <w:r w:rsidRPr="00CA2689">
              <w:t>23</w:t>
            </w:r>
          </w:p>
        </w:tc>
        <w:tc>
          <w:tcPr>
            <w:tcW w:w="2041" w:type="dxa"/>
            <w:tcMar>
              <w:top w:w="180" w:type="dxa"/>
              <w:left w:w="180" w:type="dxa"/>
              <w:bottom w:w="180" w:type="dxa"/>
              <w:right w:w="180" w:type="dxa"/>
            </w:tcMar>
            <w:hideMark/>
          </w:tcPr>
          <w:p w14:paraId="79581EC6" w14:textId="77777777" w:rsidR="00CA2689" w:rsidRPr="00CA2689" w:rsidRDefault="00CA2689" w:rsidP="00CA2689">
            <w:r w:rsidRPr="00CA2689">
              <w:t>Responsible AI implementation</w:t>
            </w:r>
          </w:p>
        </w:tc>
        <w:tc>
          <w:tcPr>
            <w:tcW w:w="2041" w:type="dxa"/>
            <w:tcMar>
              <w:top w:w="180" w:type="dxa"/>
              <w:left w:w="180" w:type="dxa"/>
              <w:bottom w:w="180" w:type="dxa"/>
              <w:right w:w="180" w:type="dxa"/>
            </w:tcMar>
            <w:hideMark/>
          </w:tcPr>
          <w:p w14:paraId="44A17A3B" w14:textId="77777777" w:rsidR="00CA2689" w:rsidRPr="00CA2689" w:rsidRDefault="00CA2689" w:rsidP="00CA2689">
            <w:r w:rsidRPr="00CA2689">
              <w:t>Sustained high</w:t>
            </w:r>
          </w:p>
        </w:tc>
      </w:tr>
    </w:tbl>
    <w:p w14:paraId="46B43A4A" w14:textId="77777777" w:rsidR="00772642" w:rsidRDefault="00772642" w:rsidP="00CA2689"/>
    <w:p w14:paraId="49337073" w14:textId="290883C7" w:rsidR="00CA2689" w:rsidRPr="00CA2689" w:rsidRDefault="00CA2689" w:rsidP="00CA2689">
      <w:r w:rsidRPr="00CA2689">
        <w:t>The data reveal three distinct phases in AI research focus. The early period (2018-2019) was dominated by foundational work in Explainable AI, driven by concerns about algorithmic accountability and the need for interpretable machine learning in regulated industries (Kabir et al., 2025). The middle period (2020-2022) witnessed the Generative AI revolution, with transformer-based models fundamentally reshaping research priorities and demonstrating unprecedented capabilities in natural language processing, code generation, and creative tasks (Khader et al., 2025; Chowdhury et al., 2025). The recent period (2023-2025) reflects a maturation phase characterized by increased attention to governance, safety, and socio-technical integration, with particular emphasis on Agentic AI systems and Responsible AI frameworks (Joshi et al., 2025; Pathan et al., 2025).</w:t>
      </w:r>
    </w:p>
    <w:p w14:paraId="556DB595" w14:textId="77777777" w:rsidR="00CA2689" w:rsidRPr="00CA2689" w:rsidRDefault="00CA2689" w:rsidP="00CA2689">
      <w:pPr>
        <w:rPr>
          <w:b/>
          <w:bCs/>
        </w:rPr>
      </w:pPr>
      <w:r w:rsidRPr="00CA2689">
        <w:rPr>
          <w:b/>
          <w:bCs/>
        </w:rPr>
        <w:t>Research Domain Diversity</w:t>
      </w:r>
    </w:p>
    <w:p w14:paraId="6CDC02BF" w14:textId="77777777" w:rsidR="00CA2689" w:rsidRPr="00CA2689" w:rsidRDefault="00CA2689" w:rsidP="00CA2689">
      <w:r w:rsidRPr="00CA2689">
        <w:t>The 141 studies span multiple disciplinary domains, reflecting AI's cross-cutting impact on science, industry, and society. Table 2 categorizes studies by primary research domain and focus area.</w:t>
      </w:r>
    </w:p>
    <w:p w14:paraId="4F624F9F" w14:textId="77777777" w:rsidR="00CA2689" w:rsidRPr="00CA2689" w:rsidRDefault="00CA2689" w:rsidP="00CA2689">
      <w:r w:rsidRPr="00CA2689">
        <w:rPr>
          <w:b/>
          <w:bCs/>
        </w:rPr>
        <w:t>Table 2: Research Domain Diversity</w:t>
      </w:r>
    </w:p>
    <w:tbl>
      <w:tblPr>
        <w:tblW w:w="8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1"/>
        <w:gridCol w:w="2891"/>
        <w:gridCol w:w="2891"/>
      </w:tblGrid>
      <w:tr w:rsidR="00CA2689" w:rsidRPr="00CA2689" w14:paraId="3D13F04E" w14:textId="77777777" w:rsidTr="003B20C9">
        <w:trPr>
          <w:trHeight w:val="600"/>
          <w:tblHeader/>
        </w:trPr>
        <w:tc>
          <w:tcPr>
            <w:tcW w:w="2891" w:type="dxa"/>
            <w:tcMar>
              <w:top w:w="180" w:type="dxa"/>
              <w:left w:w="180" w:type="dxa"/>
              <w:bottom w:w="180" w:type="dxa"/>
              <w:right w:w="180" w:type="dxa"/>
            </w:tcMar>
            <w:vAlign w:val="bottom"/>
            <w:hideMark/>
          </w:tcPr>
          <w:p w14:paraId="099578E2" w14:textId="77777777" w:rsidR="00CA2689" w:rsidRPr="00CA2689" w:rsidRDefault="00CA2689" w:rsidP="00CA2689">
            <w:pPr>
              <w:rPr>
                <w:b/>
                <w:bCs/>
              </w:rPr>
            </w:pPr>
            <w:r w:rsidRPr="00CA2689">
              <w:rPr>
                <w:b/>
                <w:bCs/>
              </w:rPr>
              <w:t>Domain</w:t>
            </w:r>
          </w:p>
        </w:tc>
        <w:tc>
          <w:tcPr>
            <w:tcW w:w="2891" w:type="dxa"/>
            <w:tcMar>
              <w:top w:w="180" w:type="dxa"/>
              <w:left w:w="180" w:type="dxa"/>
              <w:bottom w:w="180" w:type="dxa"/>
              <w:right w:w="180" w:type="dxa"/>
            </w:tcMar>
            <w:vAlign w:val="bottom"/>
            <w:hideMark/>
          </w:tcPr>
          <w:p w14:paraId="464B1BB7" w14:textId="77777777" w:rsidR="00CA2689" w:rsidRPr="00CA2689" w:rsidRDefault="00CA2689" w:rsidP="00CA2689">
            <w:pPr>
              <w:rPr>
                <w:b/>
                <w:bCs/>
              </w:rPr>
            </w:pPr>
            <w:r w:rsidRPr="00CA2689">
              <w:rPr>
                <w:b/>
                <w:bCs/>
              </w:rPr>
              <w:t>Number of Studies</w:t>
            </w:r>
          </w:p>
        </w:tc>
        <w:tc>
          <w:tcPr>
            <w:tcW w:w="2891" w:type="dxa"/>
            <w:tcMar>
              <w:top w:w="180" w:type="dxa"/>
              <w:left w:w="180" w:type="dxa"/>
              <w:bottom w:w="180" w:type="dxa"/>
              <w:right w:w="180" w:type="dxa"/>
            </w:tcMar>
            <w:vAlign w:val="bottom"/>
            <w:hideMark/>
          </w:tcPr>
          <w:p w14:paraId="4A731C5D" w14:textId="77777777" w:rsidR="00CA2689" w:rsidRPr="00CA2689" w:rsidRDefault="00CA2689" w:rsidP="00CA2689">
            <w:pPr>
              <w:rPr>
                <w:b/>
                <w:bCs/>
              </w:rPr>
            </w:pPr>
            <w:r w:rsidRPr="00CA2689">
              <w:rPr>
                <w:b/>
                <w:bCs/>
              </w:rPr>
              <w:t>Primary Focus</w:t>
            </w:r>
          </w:p>
        </w:tc>
      </w:tr>
      <w:tr w:rsidR="00CA2689" w:rsidRPr="00CA2689" w14:paraId="32D77B20" w14:textId="77777777" w:rsidTr="003B20C9">
        <w:tc>
          <w:tcPr>
            <w:tcW w:w="2891" w:type="dxa"/>
            <w:tcMar>
              <w:top w:w="180" w:type="dxa"/>
              <w:left w:w="180" w:type="dxa"/>
              <w:bottom w:w="180" w:type="dxa"/>
              <w:right w:w="180" w:type="dxa"/>
            </w:tcMar>
            <w:hideMark/>
          </w:tcPr>
          <w:p w14:paraId="40F6B5FB" w14:textId="77777777" w:rsidR="00CA2689" w:rsidRPr="00CA2689" w:rsidRDefault="00CA2689" w:rsidP="00CA2689">
            <w:r w:rsidRPr="00CA2689">
              <w:t>Computer Science &amp; AI</w:t>
            </w:r>
          </w:p>
        </w:tc>
        <w:tc>
          <w:tcPr>
            <w:tcW w:w="2891" w:type="dxa"/>
            <w:tcMar>
              <w:top w:w="180" w:type="dxa"/>
              <w:left w:w="180" w:type="dxa"/>
              <w:bottom w:w="180" w:type="dxa"/>
              <w:right w:w="180" w:type="dxa"/>
            </w:tcMar>
            <w:hideMark/>
          </w:tcPr>
          <w:p w14:paraId="53B02943" w14:textId="77777777" w:rsidR="00CA2689" w:rsidRPr="00CA2689" w:rsidRDefault="00CA2689" w:rsidP="00CA2689">
            <w:r w:rsidRPr="00CA2689">
              <w:t>52</w:t>
            </w:r>
          </w:p>
        </w:tc>
        <w:tc>
          <w:tcPr>
            <w:tcW w:w="2891" w:type="dxa"/>
            <w:tcMar>
              <w:top w:w="180" w:type="dxa"/>
              <w:left w:w="180" w:type="dxa"/>
              <w:bottom w:w="180" w:type="dxa"/>
              <w:right w:w="180" w:type="dxa"/>
            </w:tcMar>
            <w:hideMark/>
          </w:tcPr>
          <w:p w14:paraId="282BC955" w14:textId="77777777" w:rsidR="00CA2689" w:rsidRPr="00CA2689" w:rsidRDefault="00CA2689" w:rsidP="00CA2689">
            <w:r w:rsidRPr="00CA2689">
              <w:t>Technical architectures, algorithms, model development</w:t>
            </w:r>
          </w:p>
        </w:tc>
      </w:tr>
      <w:tr w:rsidR="00CA2689" w:rsidRPr="00CA2689" w14:paraId="31B38268" w14:textId="77777777" w:rsidTr="003B20C9">
        <w:tc>
          <w:tcPr>
            <w:tcW w:w="2891" w:type="dxa"/>
            <w:tcMar>
              <w:top w:w="180" w:type="dxa"/>
              <w:left w:w="180" w:type="dxa"/>
              <w:bottom w:w="180" w:type="dxa"/>
              <w:right w:w="180" w:type="dxa"/>
            </w:tcMar>
            <w:hideMark/>
          </w:tcPr>
          <w:p w14:paraId="0F9B4BC7" w14:textId="77777777" w:rsidR="00CA2689" w:rsidRPr="00CA2689" w:rsidRDefault="00CA2689" w:rsidP="00CA2689">
            <w:r w:rsidRPr="00CA2689">
              <w:t>Ethics &amp; Philosophy</w:t>
            </w:r>
          </w:p>
        </w:tc>
        <w:tc>
          <w:tcPr>
            <w:tcW w:w="2891" w:type="dxa"/>
            <w:tcMar>
              <w:top w:w="180" w:type="dxa"/>
              <w:left w:w="180" w:type="dxa"/>
              <w:bottom w:w="180" w:type="dxa"/>
              <w:right w:w="180" w:type="dxa"/>
            </w:tcMar>
            <w:hideMark/>
          </w:tcPr>
          <w:p w14:paraId="53B6B9E7" w14:textId="77777777" w:rsidR="00CA2689" w:rsidRPr="00CA2689" w:rsidRDefault="00CA2689" w:rsidP="00CA2689">
            <w:r w:rsidRPr="00CA2689">
              <w:t>23</w:t>
            </w:r>
          </w:p>
        </w:tc>
        <w:tc>
          <w:tcPr>
            <w:tcW w:w="2891" w:type="dxa"/>
            <w:tcMar>
              <w:top w:w="180" w:type="dxa"/>
              <w:left w:w="180" w:type="dxa"/>
              <w:bottom w:w="180" w:type="dxa"/>
              <w:right w:w="180" w:type="dxa"/>
            </w:tcMar>
            <w:hideMark/>
          </w:tcPr>
          <w:p w14:paraId="2406BDFE" w14:textId="77777777" w:rsidR="00CA2689" w:rsidRPr="00CA2689" w:rsidRDefault="00CA2689" w:rsidP="00CA2689">
            <w:r w:rsidRPr="00CA2689">
              <w:t>Moral frameworks, value alignment, existential risk</w:t>
            </w:r>
          </w:p>
        </w:tc>
      </w:tr>
      <w:tr w:rsidR="00CA2689" w:rsidRPr="00CA2689" w14:paraId="58247916" w14:textId="77777777" w:rsidTr="003B20C9">
        <w:tc>
          <w:tcPr>
            <w:tcW w:w="2891" w:type="dxa"/>
            <w:tcMar>
              <w:top w:w="180" w:type="dxa"/>
              <w:left w:w="180" w:type="dxa"/>
              <w:bottom w:w="180" w:type="dxa"/>
              <w:right w:w="180" w:type="dxa"/>
            </w:tcMar>
            <w:hideMark/>
          </w:tcPr>
          <w:p w14:paraId="4E9E8E0C" w14:textId="77777777" w:rsidR="00CA2689" w:rsidRPr="00CA2689" w:rsidRDefault="00CA2689" w:rsidP="00CA2689">
            <w:r w:rsidRPr="00CA2689">
              <w:lastRenderedPageBreak/>
              <w:t>Governance &amp; Policy</w:t>
            </w:r>
          </w:p>
        </w:tc>
        <w:tc>
          <w:tcPr>
            <w:tcW w:w="2891" w:type="dxa"/>
            <w:tcMar>
              <w:top w:w="180" w:type="dxa"/>
              <w:left w:w="180" w:type="dxa"/>
              <w:bottom w:w="180" w:type="dxa"/>
              <w:right w:w="180" w:type="dxa"/>
            </w:tcMar>
            <w:hideMark/>
          </w:tcPr>
          <w:p w14:paraId="33BC3A07" w14:textId="77777777" w:rsidR="00CA2689" w:rsidRPr="00CA2689" w:rsidRDefault="00CA2689" w:rsidP="00CA2689">
            <w:r w:rsidRPr="00CA2689">
              <w:t>19</w:t>
            </w:r>
          </w:p>
        </w:tc>
        <w:tc>
          <w:tcPr>
            <w:tcW w:w="2891" w:type="dxa"/>
            <w:tcMar>
              <w:top w:w="180" w:type="dxa"/>
              <w:left w:w="180" w:type="dxa"/>
              <w:bottom w:w="180" w:type="dxa"/>
              <w:right w:w="180" w:type="dxa"/>
            </w:tcMar>
            <w:hideMark/>
          </w:tcPr>
          <w:p w14:paraId="570AE5F3" w14:textId="77777777" w:rsidR="00CA2689" w:rsidRPr="00CA2689" w:rsidRDefault="00CA2689" w:rsidP="00CA2689">
            <w:r w:rsidRPr="00CA2689">
              <w:t>Regulation, standards, international cooperation</w:t>
            </w:r>
          </w:p>
        </w:tc>
      </w:tr>
      <w:tr w:rsidR="00CA2689" w:rsidRPr="00CA2689" w14:paraId="234394C0" w14:textId="77777777" w:rsidTr="003B20C9">
        <w:tc>
          <w:tcPr>
            <w:tcW w:w="2891" w:type="dxa"/>
            <w:tcMar>
              <w:top w:w="180" w:type="dxa"/>
              <w:left w:w="180" w:type="dxa"/>
              <w:bottom w:w="180" w:type="dxa"/>
              <w:right w:w="180" w:type="dxa"/>
            </w:tcMar>
            <w:hideMark/>
          </w:tcPr>
          <w:p w14:paraId="0A462AB8" w14:textId="77777777" w:rsidR="00CA2689" w:rsidRPr="00CA2689" w:rsidRDefault="00CA2689" w:rsidP="00CA2689">
            <w:r w:rsidRPr="00CA2689">
              <w:t>Healthcare &amp; Medicine</w:t>
            </w:r>
          </w:p>
        </w:tc>
        <w:tc>
          <w:tcPr>
            <w:tcW w:w="2891" w:type="dxa"/>
            <w:tcMar>
              <w:top w:w="180" w:type="dxa"/>
              <w:left w:w="180" w:type="dxa"/>
              <w:bottom w:w="180" w:type="dxa"/>
              <w:right w:w="180" w:type="dxa"/>
            </w:tcMar>
            <w:hideMark/>
          </w:tcPr>
          <w:p w14:paraId="40E193A2" w14:textId="77777777" w:rsidR="00CA2689" w:rsidRPr="00CA2689" w:rsidRDefault="00CA2689" w:rsidP="00CA2689">
            <w:r w:rsidRPr="00CA2689">
              <w:t>14</w:t>
            </w:r>
          </w:p>
        </w:tc>
        <w:tc>
          <w:tcPr>
            <w:tcW w:w="2891" w:type="dxa"/>
            <w:tcMar>
              <w:top w:w="180" w:type="dxa"/>
              <w:left w:w="180" w:type="dxa"/>
              <w:bottom w:w="180" w:type="dxa"/>
              <w:right w:w="180" w:type="dxa"/>
            </w:tcMar>
            <w:hideMark/>
          </w:tcPr>
          <w:p w14:paraId="28E98FEF" w14:textId="77777777" w:rsidR="00CA2689" w:rsidRPr="00CA2689" w:rsidRDefault="00CA2689" w:rsidP="00CA2689">
            <w:r w:rsidRPr="00CA2689">
              <w:t>Clinical decision support, diagnostics, mental health</w:t>
            </w:r>
          </w:p>
        </w:tc>
      </w:tr>
      <w:tr w:rsidR="00CA2689" w:rsidRPr="00CA2689" w14:paraId="04790F52" w14:textId="77777777" w:rsidTr="003B20C9">
        <w:tc>
          <w:tcPr>
            <w:tcW w:w="2891" w:type="dxa"/>
            <w:tcMar>
              <w:top w:w="180" w:type="dxa"/>
              <w:left w:w="180" w:type="dxa"/>
              <w:bottom w:w="180" w:type="dxa"/>
              <w:right w:w="180" w:type="dxa"/>
            </w:tcMar>
            <w:hideMark/>
          </w:tcPr>
          <w:p w14:paraId="72AE43D1" w14:textId="77777777" w:rsidR="00CA2689" w:rsidRPr="00CA2689" w:rsidRDefault="00CA2689" w:rsidP="00CA2689">
            <w:r w:rsidRPr="00CA2689">
              <w:t>Business &amp; Management</w:t>
            </w:r>
          </w:p>
        </w:tc>
        <w:tc>
          <w:tcPr>
            <w:tcW w:w="2891" w:type="dxa"/>
            <w:tcMar>
              <w:top w:w="180" w:type="dxa"/>
              <w:left w:w="180" w:type="dxa"/>
              <w:bottom w:w="180" w:type="dxa"/>
              <w:right w:w="180" w:type="dxa"/>
            </w:tcMar>
            <w:hideMark/>
          </w:tcPr>
          <w:p w14:paraId="226CA05D" w14:textId="77777777" w:rsidR="00CA2689" w:rsidRPr="00CA2689" w:rsidRDefault="00CA2689" w:rsidP="00CA2689">
            <w:r w:rsidRPr="00CA2689">
              <w:t>12</w:t>
            </w:r>
          </w:p>
        </w:tc>
        <w:tc>
          <w:tcPr>
            <w:tcW w:w="2891" w:type="dxa"/>
            <w:tcMar>
              <w:top w:w="180" w:type="dxa"/>
              <w:left w:w="180" w:type="dxa"/>
              <w:bottom w:w="180" w:type="dxa"/>
              <w:right w:w="180" w:type="dxa"/>
            </w:tcMar>
            <w:hideMark/>
          </w:tcPr>
          <w:p w14:paraId="3C50D7F1" w14:textId="77777777" w:rsidR="00CA2689" w:rsidRPr="00CA2689" w:rsidRDefault="00CA2689" w:rsidP="00CA2689">
            <w:r w:rsidRPr="00CA2689">
              <w:t>Organizational adoption, productivity, workforce impact</w:t>
            </w:r>
          </w:p>
        </w:tc>
      </w:tr>
      <w:tr w:rsidR="00CA2689" w:rsidRPr="00CA2689" w14:paraId="4C501036" w14:textId="77777777" w:rsidTr="003B20C9">
        <w:tc>
          <w:tcPr>
            <w:tcW w:w="2891" w:type="dxa"/>
            <w:tcMar>
              <w:top w:w="180" w:type="dxa"/>
              <w:left w:w="180" w:type="dxa"/>
              <w:bottom w:w="180" w:type="dxa"/>
              <w:right w:w="180" w:type="dxa"/>
            </w:tcMar>
            <w:hideMark/>
          </w:tcPr>
          <w:p w14:paraId="334D7D4E" w14:textId="77777777" w:rsidR="00CA2689" w:rsidRPr="00CA2689" w:rsidRDefault="00CA2689" w:rsidP="00CA2689">
            <w:r w:rsidRPr="00CA2689">
              <w:t xml:space="preserve">Security &amp; </w:t>
            </w:r>
            <w:proofErr w:type="spellStart"/>
            <w:r w:rsidRPr="00CA2689">
              <w:t>Defense</w:t>
            </w:r>
            <w:proofErr w:type="spellEnd"/>
          </w:p>
        </w:tc>
        <w:tc>
          <w:tcPr>
            <w:tcW w:w="2891" w:type="dxa"/>
            <w:tcMar>
              <w:top w:w="180" w:type="dxa"/>
              <w:left w:w="180" w:type="dxa"/>
              <w:bottom w:w="180" w:type="dxa"/>
              <w:right w:w="180" w:type="dxa"/>
            </w:tcMar>
            <w:hideMark/>
          </w:tcPr>
          <w:p w14:paraId="3ECCDBDF" w14:textId="77777777" w:rsidR="00CA2689" w:rsidRPr="00CA2689" w:rsidRDefault="00CA2689" w:rsidP="00CA2689">
            <w:r w:rsidRPr="00CA2689">
              <w:t>11</w:t>
            </w:r>
          </w:p>
        </w:tc>
        <w:tc>
          <w:tcPr>
            <w:tcW w:w="2891" w:type="dxa"/>
            <w:tcMar>
              <w:top w:w="180" w:type="dxa"/>
              <w:left w:w="180" w:type="dxa"/>
              <w:bottom w:w="180" w:type="dxa"/>
              <w:right w:w="180" w:type="dxa"/>
            </w:tcMar>
            <w:hideMark/>
          </w:tcPr>
          <w:p w14:paraId="541BDF3D" w14:textId="77777777" w:rsidR="00CA2689" w:rsidRPr="00CA2689" w:rsidRDefault="00CA2689" w:rsidP="00CA2689">
            <w:r w:rsidRPr="00CA2689">
              <w:t>Cybersecurity, adversarial AI, autonomous weapons</w:t>
            </w:r>
          </w:p>
        </w:tc>
      </w:tr>
      <w:tr w:rsidR="00CA2689" w:rsidRPr="00CA2689" w14:paraId="7F96E79A" w14:textId="77777777" w:rsidTr="003B20C9">
        <w:tc>
          <w:tcPr>
            <w:tcW w:w="2891" w:type="dxa"/>
            <w:tcMar>
              <w:top w:w="180" w:type="dxa"/>
              <w:left w:w="180" w:type="dxa"/>
              <w:bottom w:w="180" w:type="dxa"/>
              <w:right w:w="180" w:type="dxa"/>
            </w:tcMar>
            <w:hideMark/>
          </w:tcPr>
          <w:p w14:paraId="368AB46B" w14:textId="77777777" w:rsidR="00CA2689" w:rsidRPr="00CA2689" w:rsidRDefault="00CA2689" w:rsidP="00CA2689">
            <w:r w:rsidRPr="00CA2689">
              <w:t>Social Sciences</w:t>
            </w:r>
          </w:p>
        </w:tc>
        <w:tc>
          <w:tcPr>
            <w:tcW w:w="2891" w:type="dxa"/>
            <w:tcMar>
              <w:top w:w="180" w:type="dxa"/>
              <w:left w:w="180" w:type="dxa"/>
              <w:bottom w:w="180" w:type="dxa"/>
              <w:right w:w="180" w:type="dxa"/>
            </w:tcMar>
            <w:hideMark/>
          </w:tcPr>
          <w:p w14:paraId="02384DAF" w14:textId="77777777" w:rsidR="00CA2689" w:rsidRPr="00CA2689" w:rsidRDefault="00CA2689" w:rsidP="00CA2689">
            <w:r w:rsidRPr="00CA2689">
              <w:t>10</w:t>
            </w:r>
          </w:p>
        </w:tc>
        <w:tc>
          <w:tcPr>
            <w:tcW w:w="2891" w:type="dxa"/>
            <w:tcMar>
              <w:top w:w="180" w:type="dxa"/>
              <w:left w:w="180" w:type="dxa"/>
              <w:bottom w:w="180" w:type="dxa"/>
              <w:right w:w="180" w:type="dxa"/>
            </w:tcMar>
            <w:hideMark/>
          </w:tcPr>
          <w:p w14:paraId="4508D9C3" w14:textId="77777777" w:rsidR="00CA2689" w:rsidRPr="00CA2689" w:rsidRDefault="00CA2689" w:rsidP="00CA2689">
            <w:r w:rsidRPr="00CA2689">
              <w:t>Human-AI interaction, societal impact, inequality</w:t>
            </w:r>
          </w:p>
        </w:tc>
      </w:tr>
    </w:tbl>
    <w:p w14:paraId="5B400704" w14:textId="77777777" w:rsidR="00CA2689" w:rsidRPr="00CA2689" w:rsidRDefault="00CA2689" w:rsidP="00CA2689">
      <w:r w:rsidRPr="00CA2689">
        <w:t>This distribution underscores the increasingly interdisciplinary nature of AI research. While computer science remains the dominant domain, the substantial representation of ethics, governance, and social science studies (37% combined) signals a decisive shift toward socio-technical perspectives that integrate technical innovation with human values, societal needs, and regulatory requirements (</w:t>
      </w:r>
      <w:proofErr w:type="spellStart"/>
      <w:r w:rsidRPr="00CA2689">
        <w:t>Benlalia</w:t>
      </w:r>
      <w:proofErr w:type="spellEnd"/>
      <w:r w:rsidRPr="00CA2689">
        <w:t xml:space="preserve"> et al., 2025; Li et al., 2021).</w:t>
      </w:r>
    </w:p>
    <w:p w14:paraId="4259F8E6" w14:textId="77777777" w:rsidR="00CA2689" w:rsidRPr="00CA2689" w:rsidRDefault="00CA2689" w:rsidP="00CA2689">
      <w:pPr>
        <w:rPr>
          <w:b/>
          <w:bCs/>
        </w:rPr>
      </w:pPr>
      <w:r w:rsidRPr="00CA2689">
        <w:rPr>
          <w:b/>
          <w:bCs/>
        </w:rPr>
        <w:t>Keyword Co-Occurrence Analysis</w:t>
      </w:r>
    </w:p>
    <w:p w14:paraId="10AE5E3C" w14:textId="77777777" w:rsidR="00CA2689" w:rsidRPr="00CA2689" w:rsidRDefault="00CA2689" w:rsidP="00CA2689">
      <w:r w:rsidRPr="00CA2689">
        <w:t>Keyword co-occurrence network analysis identified five major thematic clusters that structure the contemporary AI research landscape (Figure 1). These clusters represent distinct but interconnected research communities with shared vocabularies, methodologies, and concerns.</w:t>
      </w:r>
    </w:p>
    <w:p w14:paraId="0C61CCA3" w14:textId="77777777" w:rsidR="00CA2689" w:rsidRPr="00CA2689" w:rsidRDefault="00CA2689" w:rsidP="00CA2689">
      <w:r w:rsidRPr="00CA2689">
        <w:rPr>
          <w:b/>
          <w:bCs/>
        </w:rPr>
        <w:t>Cluster 1: Intelligence and Learning</w:t>
      </w:r>
      <w:r w:rsidRPr="00CA2689">
        <w:t xml:space="preserve"> (Red cluster, 34 studies) This cluster encompasses foundational AI capabilities including machine learning, deep learning, neural networks, natural language processing, and computer vision. Keywords include </w:t>
      </w:r>
      <w:r w:rsidRPr="00CA2689">
        <w:lastRenderedPageBreak/>
        <w:t>"transformer," "attention mechanism," "foundation model," "pre-training," and "transfer learning." Research in this cluster focuses on advancing core AI architectures and learning paradigms (Chowdhury et al., 2025).</w:t>
      </w:r>
    </w:p>
    <w:p w14:paraId="1EF43C78" w14:textId="77777777" w:rsidR="00CA2689" w:rsidRPr="00CA2689" w:rsidRDefault="00CA2689" w:rsidP="00CA2689">
      <w:r w:rsidRPr="00CA2689">
        <w:rPr>
          <w:b/>
          <w:bCs/>
        </w:rPr>
        <w:t>Cluster 2: Generative Ecosystem</w:t>
      </w:r>
      <w:r w:rsidRPr="00CA2689">
        <w:t xml:space="preserve"> (Blue cluster, 38 studies) The largest cluster </w:t>
      </w:r>
      <w:proofErr w:type="spellStart"/>
      <w:r w:rsidRPr="00CA2689">
        <w:t>centers</w:t>
      </w:r>
      <w:proofErr w:type="spellEnd"/>
      <w:r w:rsidRPr="00CA2689">
        <w:t xml:space="preserve"> on Generative AI and its applications. Dominant keywords include "large language model," "GPT," "text generation," "image synthesis," "code generation," "prompt engineering," and "hallucination." This cluster reflects the explosive growth of generative technologies and their transformative impact across domains (Khader et al., 2025; Ciubotaru, 2025).</w:t>
      </w:r>
    </w:p>
    <w:p w14:paraId="1AC0845D" w14:textId="77777777" w:rsidR="00CA2689" w:rsidRPr="00CA2689" w:rsidRDefault="00CA2689" w:rsidP="00CA2689">
      <w:r w:rsidRPr="00CA2689">
        <w:rPr>
          <w:b/>
          <w:bCs/>
        </w:rPr>
        <w:t>Cluster 3: Human-Centric AI</w:t>
      </w:r>
      <w:r w:rsidRPr="00CA2689">
        <w:t> (Green cluster, 27 studies) This cluster emphasizes human-AI interaction, emotional intelligence, and user-</w:t>
      </w:r>
      <w:proofErr w:type="spellStart"/>
      <w:r w:rsidRPr="00CA2689">
        <w:t>centered</w:t>
      </w:r>
      <w:proofErr w:type="spellEnd"/>
      <w:r w:rsidRPr="00CA2689">
        <w:t xml:space="preserve"> design. Keywords include "affective computing," "emotion recognition," "empathy," "social AI," "human-robot interaction," "user experience," and "accessibility." Research addresses the integration of emotional and social intelligence into AI systems (</w:t>
      </w:r>
      <w:proofErr w:type="spellStart"/>
      <w:r w:rsidRPr="00CA2689">
        <w:t>Benlalia</w:t>
      </w:r>
      <w:proofErr w:type="spellEnd"/>
      <w:r w:rsidRPr="00CA2689">
        <w:t xml:space="preserve"> et al., 2025).</w:t>
      </w:r>
    </w:p>
    <w:p w14:paraId="66A2A32C" w14:textId="77777777" w:rsidR="00CA2689" w:rsidRPr="00CA2689" w:rsidRDefault="00CA2689" w:rsidP="00CA2689">
      <w:r w:rsidRPr="00CA2689">
        <w:rPr>
          <w:b/>
          <w:bCs/>
        </w:rPr>
        <w:t>Cluster 4: Governance and Trust</w:t>
      </w:r>
      <w:r w:rsidRPr="00CA2689">
        <w:t> (Yellow cluster, 29 studies) Focused on Responsible AI, this cluster includes keywords such as "explainability," "interpretability," "fairness," "bias," "transparency," "accountability," "privacy," "GDPR," "AI ethics," and "trustworthy AI." Studies examine technical and policy mechanisms for ensuring AI systems align with human values and legal requirements (Pathan et al., 2025; Li et al., 2021).</w:t>
      </w:r>
    </w:p>
    <w:p w14:paraId="085AC274" w14:textId="77777777" w:rsidR="00CA2689" w:rsidRPr="00CA2689" w:rsidRDefault="00CA2689" w:rsidP="00CA2689">
      <w:r w:rsidRPr="00CA2689">
        <w:rPr>
          <w:b/>
          <w:bCs/>
        </w:rPr>
        <w:t>Cluster 5: Autonomous Systems</w:t>
      </w:r>
      <w:r w:rsidRPr="00CA2689">
        <w:t> (Purple cluster, 18 studies) This emerging cluster addresses Agentic AI and autonomous decision-making. Keywords include "AI agent," "multi-agent system," "autonomous reasoning," "tool use," "planning," "goal-oriented AI," and "reinforcement learning." Research explores systems capable of independent goal pursuit and multi-step problem-solving (Bandi et al., 2025; Joshi et al., 2025).</w:t>
      </w:r>
    </w:p>
    <w:p w14:paraId="1CE28C19" w14:textId="77777777" w:rsidR="00CA2689" w:rsidRPr="00CA2689" w:rsidRDefault="00CA2689" w:rsidP="00CA2689">
      <w:r w:rsidRPr="00CA2689">
        <w:t>The network visualization reveals strong inter-cluster connections, particularly between Generative Ecosystem and Governance and Trust clusters, indicating growing recognition that generative capabilities must be balanced with explainability and ethical safeguards. Similarly, connections between Human-Centric AI and Autonomous Systems clusters suggest emerging interest in emotionally intelligent agentic systems.</w:t>
      </w:r>
    </w:p>
    <w:p w14:paraId="3A255826" w14:textId="77777777" w:rsidR="00CA2689" w:rsidRPr="00CA2689" w:rsidRDefault="00CA2689" w:rsidP="00CA2689">
      <w:pPr>
        <w:rPr>
          <w:b/>
          <w:bCs/>
        </w:rPr>
      </w:pPr>
      <w:r w:rsidRPr="00CA2689">
        <w:rPr>
          <w:b/>
          <w:bCs/>
        </w:rPr>
        <w:t>Geographic Distribution</w:t>
      </w:r>
    </w:p>
    <w:p w14:paraId="45B38511" w14:textId="77777777" w:rsidR="00CA2689" w:rsidRPr="00CA2689" w:rsidRDefault="00CA2689" w:rsidP="00CA2689">
      <w:r w:rsidRPr="00CA2689">
        <w:t>Analysis of author affiliations reveals significant geographic concentration in AI research, with implications for global equity and governance. Table 3 summarizes regional contributions and characteristics.</w:t>
      </w:r>
    </w:p>
    <w:p w14:paraId="1304C029" w14:textId="77777777" w:rsidR="00CA2689" w:rsidRPr="00CA2689" w:rsidRDefault="00CA2689" w:rsidP="00CA2689">
      <w:r w:rsidRPr="00CA2689">
        <w:rPr>
          <w:b/>
          <w:bCs/>
        </w:rPr>
        <w:t>Table 3: Geographic Distribution of AI Research</w:t>
      </w:r>
    </w:p>
    <w:tbl>
      <w:tblPr>
        <w:tblW w:w="7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8"/>
        <w:gridCol w:w="2608"/>
        <w:gridCol w:w="2608"/>
      </w:tblGrid>
      <w:tr w:rsidR="00CA2689" w:rsidRPr="003B20C9" w14:paraId="77F6F821" w14:textId="77777777" w:rsidTr="006E5AD0">
        <w:trPr>
          <w:trHeight w:val="600"/>
          <w:tblHeader/>
        </w:trPr>
        <w:tc>
          <w:tcPr>
            <w:tcW w:w="2608" w:type="dxa"/>
            <w:tcMar>
              <w:top w:w="180" w:type="dxa"/>
              <w:left w:w="180" w:type="dxa"/>
              <w:bottom w:w="180" w:type="dxa"/>
              <w:right w:w="180" w:type="dxa"/>
            </w:tcMar>
            <w:vAlign w:val="bottom"/>
            <w:hideMark/>
          </w:tcPr>
          <w:p w14:paraId="384C9659" w14:textId="77777777" w:rsidR="00CA2689" w:rsidRPr="003B20C9" w:rsidRDefault="00CA2689" w:rsidP="00CA2689">
            <w:pPr>
              <w:rPr>
                <w:b/>
                <w:bCs/>
                <w:sz w:val="16"/>
                <w:szCs w:val="16"/>
              </w:rPr>
            </w:pPr>
            <w:r w:rsidRPr="003B20C9">
              <w:rPr>
                <w:b/>
                <w:bCs/>
                <w:sz w:val="16"/>
                <w:szCs w:val="16"/>
              </w:rPr>
              <w:lastRenderedPageBreak/>
              <w:t>Region</w:t>
            </w:r>
          </w:p>
        </w:tc>
        <w:tc>
          <w:tcPr>
            <w:tcW w:w="2608" w:type="dxa"/>
            <w:tcMar>
              <w:top w:w="180" w:type="dxa"/>
              <w:left w:w="180" w:type="dxa"/>
              <w:bottom w:w="180" w:type="dxa"/>
              <w:right w:w="180" w:type="dxa"/>
            </w:tcMar>
            <w:vAlign w:val="bottom"/>
            <w:hideMark/>
          </w:tcPr>
          <w:p w14:paraId="6D30A9AC" w14:textId="77777777" w:rsidR="00CA2689" w:rsidRPr="003B20C9" w:rsidRDefault="00CA2689" w:rsidP="00CA2689">
            <w:pPr>
              <w:rPr>
                <w:b/>
                <w:bCs/>
                <w:sz w:val="16"/>
                <w:szCs w:val="16"/>
              </w:rPr>
            </w:pPr>
            <w:r w:rsidRPr="003B20C9">
              <w:rPr>
                <w:b/>
                <w:bCs/>
                <w:sz w:val="16"/>
                <w:szCs w:val="16"/>
              </w:rPr>
              <w:t>Number of Studies</w:t>
            </w:r>
          </w:p>
        </w:tc>
        <w:tc>
          <w:tcPr>
            <w:tcW w:w="2608" w:type="dxa"/>
            <w:tcMar>
              <w:top w:w="180" w:type="dxa"/>
              <w:left w:w="180" w:type="dxa"/>
              <w:bottom w:w="180" w:type="dxa"/>
              <w:right w:w="180" w:type="dxa"/>
            </w:tcMar>
            <w:vAlign w:val="bottom"/>
            <w:hideMark/>
          </w:tcPr>
          <w:p w14:paraId="7EEA276A" w14:textId="77777777" w:rsidR="00CA2689" w:rsidRPr="003B20C9" w:rsidRDefault="00CA2689" w:rsidP="00CA2689">
            <w:pPr>
              <w:rPr>
                <w:b/>
                <w:bCs/>
                <w:sz w:val="16"/>
                <w:szCs w:val="16"/>
              </w:rPr>
            </w:pPr>
            <w:r w:rsidRPr="003B20C9">
              <w:rPr>
                <w:b/>
                <w:bCs/>
                <w:sz w:val="16"/>
                <w:szCs w:val="16"/>
              </w:rPr>
              <w:t>Key Characteristics</w:t>
            </w:r>
          </w:p>
        </w:tc>
      </w:tr>
      <w:tr w:rsidR="00CA2689" w:rsidRPr="003B20C9" w14:paraId="15EB2A1C" w14:textId="77777777" w:rsidTr="006E5AD0">
        <w:tc>
          <w:tcPr>
            <w:tcW w:w="2608" w:type="dxa"/>
            <w:tcMar>
              <w:top w:w="180" w:type="dxa"/>
              <w:left w:w="180" w:type="dxa"/>
              <w:bottom w:w="180" w:type="dxa"/>
              <w:right w:w="180" w:type="dxa"/>
            </w:tcMar>
            <w:hideMark/>
          </w:tcPr>
          <w:p w14:paraId="5899F61C" w14:textId="77777777" w:rsidR="00CA2689" w:rsidRPr="003B20C9" w:rsidRDefault="00CA2689" w:rsidP="00CA2689">
            <w:pPr>
              <w:rPr>
                <w:sz w:val="16"/>
                <w:szCs w:val="16"/>
              </w:rPr>
            </w:pPr>
            <w:r w:rsidRPr="003B20C9">
              <w:rPr>
                <w:sz w:val="16"/>
                <w:szCs w:val="16"/>
              </w:rPr>
              <w:t>North America (USA, Canada)</w:t>
            </w:r>
          </w:p>
        </w:tc>
        <w:tc>
          <w:tcPr>
            <w:tcW w:w="2608" w:type="dxa"/>
            <w:tcMar>
              <w:top w:w="180" w:type="dxa"/>
              <w:left w:w="180" w:type="dxa"/>
              <w:bottom w:w="180" w:type="dxa"/>
              <w:right w:w="180" w:type="dxa"/>
            </w:tcMar>
            <w:hideMark/>
          </w:tcPr>
          <w:p w14:paraId="25836E35" w14:textId="77777777" w:rsidR="00CA2689" w:rsidRPr="003B20C9" w:rsidRDefault="00CA2689" w:rsidP="00CA2689">
            <w:pPr>
              <w:rPr>
                <w:sz w:val="16"/>
                <w:szCs w:val="16"/>
              </w:rPr>
            </w:pPr>
            <w:r w:rsidRPr="003B20C9">
              <w:rPr>
                <w:sz w:val="16"/>
                <w:szCs w:val="16"/>
              </w:rPr>
              <w:t>54</w:t>
            </w:r>
          </w:p>
        </w:tc>
        <w:tc>
          <w:tcPr>
            <w:tcW w:w="2608" w:type="dxa"/>
            <w:tcMar>
              <w:top w:w="180" w:type="dxa"/>
              <w:left w:w="180" w:type="dxa"/>
              <w:bottom w:w="180" w:type="dxa"/>
              <w:right w:w="180" w:type="dxa"/>
            </w:tcMar>
            <w:hideMark/>
          </w:tcPr>
          <w:p w14:paraId="3E27BF85" w14:textId="77777777" w:rsidR="00CA2689" w:rsidRPr="003B20C9" w:rsidRDefault="00CA2689" w:rsidP="00CA2689">
            <w:pPr>
              <w:rPr>
                <w:sz w:val="16"/>
                <w:szCs w:val="16"/>
              </w:rPr>
            </w:pPr>
            <w:r w:rsidRPr="003B20C9">
              <w:rPr>
                <w:sz w:val="16"/>
                <w:szCs w:val="16"/>
              </w:rPr>
              <w:t>Technical innovation, industry leadership, AGI research</w:t>
            </w:r>
          </w:p>
        </w:tc>
      </w:tr>
      <w:tr w:rsidR="00CA2689" w:rsidRPr="003B20C9" w14:paraId="7FE6BB0E" w14:textId="77777777" w:rsidTr="006E5AD0">
        <w:tc>
          <w:tcPr>
            <w:tcW w:w="2608" w:type="dxa"/>
            <w:tcMar>
              <w:top w:w="180" w:type="dxa"/>
              <w:left w:w="180" w:type="dxa"/>
              <w:bottom w:w="180" w:type="dxa"/>
              <w:right w:w="180" w:type="dxa"/>
            </w:tcMar>
            <w:hideMark/>
          </w:tcPr>
          <w:p w14:paraId="79BB3103" w14:textId="77777777" w:rsidR="00CA2689" w:rsidRPr="003B20C9" w:rsidRDefault="00CA2689" w:rsidP="00CA2689">
            <w:pPr>
              <w:rPr>
                <w:sz w:val="16"/>
                <w:szCs w:val="16"/>
              </w:rPr>
            </w:pPr>
            <w:r w:rsidRPr="003B20C9">
              <w:rPr>
                <w:sz w:val="16"/>
                <w:szCs w:val="16"/>
              </w:rPr>
              <w:t>Europe (EU, UK)</w:t>
            </w:r>
          </w:p>
        </w:tc>
        <w:tc>
          <w:tcPr>
            <w:tcW w:w="2608" w:type="dxa"/>
            <w:tcMar>
              <w:top w:w="180" w:type="dxa"/>
              <w:left w:w="180" w:type="dxa"/>
              <w:bottom w:w="180" w:type="dxa"/>
              <w:right w:w="180" w:type="dxa"/>
            </w:tcMar>
            <w:hideMark/>
          </w:tcPr>
          <w:p w14:paraId="1D542CD0" w14:textId="77777777" w:rsidR="00CA2689" w:rsidRPr="003B20C9" w:rsidRDefault="00CA2689" w:rsidP="00CA2689">
            <w:pPr>
              <w:rPr>
                <w:sz w:val="16"/>
                <w:szCs w:val="16"/>
              </w:rPr>
            </w:pPr>
            <w:r w:rsidRPr="003B20C9">
              <w:rPr>
                <w:sz w:val="16"/>
                <w:szCs w:val="16"/>
              </w:rPr>
              <w:t>41</w:t>
            </w:r>
          </w:p>
        </w:tc>
        <w:tc>
          <w:tcPr>
            <w:tcW w:w="2608" w:type="dxa"/>
            <w:tcMar>
              <w:top w:w="180" w:type="dxa"/>
              <w:left w:w="180" w:type="dxa"/>
              <w:bottom w:w="180" w:type="dxa"/>
              <w:right w:w="180" w:type="dxa"/>
            </w:tcMar>
            <w:hideMark/>
          </w:tcPr>
          <w:p w14:paraId="4147F09E" w14:textId="77777777" w:rsidR="00CA2689" w:rsidRPr="003B20C9" w:rsidRDefault="00CA2689" w:rsidP="00CA2689">
            <w:pPr>
              <w:rPr>
                <w:sz w:val="16"/>
                <w:szCs w:val="16"/>
              </w:rPr>
            </w:pPr>
            <w:r w:rsidRPr="003B20C9">
              <w:rPr>
                <w:sz w:val="16"/>
                <w:szCs w:val="16"/>
              </w:rPr>
              <w:t>Governance frameworks, ethical AI, regulatory leadership</w:t>
            </w:r>
          </w:p>
        </w:tc>
      </w:tr>
      <w:tr w:rsidR="00CA2689" w:rsidRPr="003B20C9" w14:paraId="5DDAC435" w14:textId="77777777" w:rsidTr="006E5AD0">
        <w:tc>
          <w:tcPr>
            <w:tcW w:w="2608" w:type="dxa"/>
            <w:tcMar>
              <w:top w:w="180" w:type="dxa"/>
              <w:left w:w="180" w:type="dxa"/>
              <w:bottom w:w="180" w:type="dxa"/>
              <w:right w:w="180" w:type="dxa"/>
            </w:tcMar>
            <w:hideMark/>
          </w:tcPr>
          <w:p w14:paraId="51A30A3C" w14:textId="77777777" w:rsidR="00CA2689" w:rsidRPr="003B20C9" w:rsidRDefault="00CA2689" w:rsidP="00CA2689">
            <w:pPr>
              <w:rPr>
                <w:sz w:val="16"/>
                <w:szCs w:val="16"/>
              </w:rPr>
            </w:pPr>
            <w:r w:rsidRPr="003B20C9">
              <w:rPr>
                <w:sz w:val="16"/>
                <w:szCs w:val="16"/>
              </w:rPr>
              <w:t>East Asia (China, Japan, South Korea)</w:t>
            </w:r>
          </w:p>
        </w:tc>
        <w:tc>
          <w:tcPr>
            <w:tcW w:w="2608" w:type="dxa"/>
            <w:tcMar>
              <w:top w:w="180" w:type="dxa"/>
              <w:left w:w="180" w:type="dxa"/>
              <w:bottom w:w="180" w:type="dxa"/>
              <w:right w:w="180" w:type="dxa"/>
            </w:tcMar>
            <w:hideMark/>
          </w:tcPr>
          <w:p w14:paraId="76CC8D44" w14:textId="77777777" w:rsidR="00CA2689" w:rsidRPr="003B20C9" w:rsidRDefault="00CA2689" w:rsidP="00CA2689">
            <w:pPr>
              <w:rPr>
                <w:sz w:val="16"/>
                <w:szCs w:val="16"/>
              </w:rPr>
            </w:pPr>
            <w:r w:rsidRPr="003B20C9">
              <w:rPr>
                <w:sz w:val="16"/>
                <w:szCs w:val="16"/>
              </w:rPr>
              <w:t>28</w:t>
            </w:r>
          </w:p>
        </w:tc>
        <w:tc>
          <w:tcPr>
            <w:tcW w:w="2608" w:type="dxa"/>
            <w:tcMar>
              <w:top w:w="180" w:type="dxa"/>
              <w:left w:w="180" w:type="dxa"/>
              <w:bottom w:w="180" w:type="dxa"/>
              <w:right w:w="180" w:type="dxa"/>
            </w:tcMar>
            <w:hideMark/>
          </w:tcPr>
          <w:p w14:paraId="20545201" w14:textId="77777777" w:rsidR="00CA2689" w:rsidRPr="003B20C9" w:rsidRDefault="00CA2689" w:rsidP="00CA2689">
            <w:pPr>
              <w:rPr>
                <w:sz w:val="16"/>
                <w:szCs w:val="16"/>
              </w:rPr>
            </w:pPr>
            <w:r w:rsidRPr="003B20C9">
              <w:rPr>
                <w:sz w:val="16"/>
                <w:szCs w:val="16"/>
              </w:rPr>
              <w:t>Applied AI, manufacturing, surveillance technologies</w:t>
            </w:r>
          </w:p>
        </w:tc>
      </w:tr>
      <w:tr w:rsidR="00CA2689" w:rsidRPr="003B20C9" w14:paraId="758B01A1" w14:textId="77777777" w:rsidTr="006E5AD0">
        <w:tc>
          <w:tcPr>
            <w:tcW w:w="2608" w:type="dxa"/>
            <w:tcMar>
              <w:top w:w="180" w:type="dxa"/>
              <w:left w:w="180" w:type="dxa"/>
              <w:bottom w:w="180" w:type="dxa"/>
              <w:right w:w="180" w:type="dxa"/>
            </w:tcMar>
            <w:hideMark/>
          </w:tcPr>
          <w:p w14:paraId="2CA608E9" w14:textId="77777777" w:rsidR="00CA2689" w:rsidRPr="003B20C9" w:rsidRDefault="00CA2689" w:rsidP="00CA2689">
            <w:pPr>
              <w:rPr>
                <w:sz w:val="16"/>
                <w:szCs w:val="16"/>
              </w:rPr>
            </w:pPr>
            <w:r w:rsidRPr="003B20C9">
              <w:rPr>
                <w:sz w:val="16"/>
                <w:szCs w:val="16"/>
              </w:rPr>
              <w:t>South Asia (India)</w:t>
            </w:r>
          </w:p>
        </w:tc>
        <w:tc>
          <w:tcPr>
            <w:tcW w:w="2608" w:type="dxa"/>
            <w:tcMar>
              <w:top w:w="180" w:type="dxa"/>
              <w:left w:w="180" w:type="dxa"/>
              <w:bottom w:w="180" w:type="dxa"/>
              <w:right w:w="180" w:type="dxa"/>
            </w:tcMar>
            <w:hideMark/>
          </w:tcPr>
          <w:p w14:paraId="78B09C72" w14:textId="77777777" w:rsidR="00CA2689" w:rsidRPr="003B20C9" w:rsidRDefault="00CA2689" w:rsidP="00CA2689">
            <w:pPr>
              <w:rPr>
                <w:sz w:val="16"/>
                <w:szCs w:val="16"/>
              </w:rPr>
            </w:pPr>
            <w:r w:rsidRPr="003B20C9">
              <w:rPr>
                <w:sz w:val="16"/>
                <w:szCs w:val="16"/>
              </w:rPr>
              <w:t>9</w:t>
            </w:r>
          </w:p>
        </w:tc>
        <w:tc>
          <w:tcPr>
            <w:tcW w:w="2608" w:type="dxa"/>
            <w:tcMar>
              <w:top w:w="180" w:type="dxa"/>
              <w:left w:w="180" w:type="dxa"/>
              <w:bottom w:w="180" w:type="dxa"/>
              <w:right w:w="180" w:type="dxa"/>
            </w:tcMar>
            <w:hideMark/>
          </w:tcPr>
          <w:p w14:paraId="2A6EBE65" w14:textId="77777777" w:rsidR="00CA2689" w:rsidRPr="003B20C9" w:rsidRDefault="00CA2689" w:rsidP="00CA2689">
            <w:pPr>
              <w:rPr>
                <w:sz w:val="16"/>
                <w:szCs w:val="16"/>
              </w:rPr>
            </w:pPr>
            <w:r w:rsidRPr="003B20C9">
              <w:rPr>
                <w:sz w:val="16"/>
                <w:szCs w:val="16"/>
              </w:rPr>
              <w:t>Software services, AI education, healthcare applications</w:t>
            </w:r>
          </w:p>
        </w:tc>
      </w:tr>
      <w:tr w:rsidR="00CA2689" w:rsidRPr="003B20C9" w14:paraId="66DBB2F3" w14:textId="77777777" w:rsidTr="006E5AD0">
        <w:tc>
          <w:tcPr>
            <w:tcW w:w="2608" w:type="dxa"/>
            <w:tcMar>
              <w:top w:w="180" w:type="dxa"/>
              <w:left w:w="180" w:type="dxa"/>
              <w:bottom w:w="180" w:type="dxa"/>
              <w:right w:w="180" w:type="dxa"/>
            </w:tcMar>
            <w:hideMark/>
          </w:tcPr>
          <w:p w14:paraId="70CA6EA1" w14:textId="77777777" w:rsidR="00CA2689" w:rsidRPr="003B20C9" w:rsidRDefault="00CA2689" w:rsidP="00CA2689">
            <w:pPr>
              <w:rPr>
                <w:sz w:val="16"/>
                <w:szCs w:val="16"/>
              </w:rPr>
            </w:pPr>
            <w:r w:rsidRPr="003B20C9">
              <w:rPr>
                <w:sz w:val="16"/>
                <w:szCs w:val="16"/>
              </w:rPr>
              <w:t>Middle East &amp; Africa</w:t>
            </w:r>
          </w:p>
        </w:tc>
        <w:tc>
          <w:tcPr>
            <w:tcW w:w="2608" w:type="dxa"/>
            <w:tcMar>
              <w:top w:w="180" w:type="dxa"/>
              <w:left w:w="180" w:type="dxa"/>
              <w:bottom w:w="180" w:type="dxa"/>
              <w:right w:w="180" w:type="dxa"/>
            </w:tcMar>
            <w:hideMark/>
          </w:tcPr>
          <w:p w14:paraId="2102FB1F" w14:textId="77777777" w:rsidR="00CA2689" w:rsidRPr="003B20C9" w:rsidRDefault="00CA2689" w:rsidP="00CA2689">
            <w:pPr>
              <w:rPr>
                <w:sz w:val="16"/>
                <w:szCs w:val="16"/>
              </w:rPr>
            </w:pPr>
            <w:r w:rsidRPr="003B20C9">
              <w:rPr>
                <w:sz w:val="16"/>
                <w:szCs w:val="16"/>
              </w:rPr>
              <w:t>5</w:t>
            </w:r>
          </w:p>
        </w:tc>
        <w:tc>
          <w:tcPr>
            <w:tcW w:w="2608" w:type="dxa"/>
            <w:tcMar>
              <w:top w:w="180" w:type="dxa"/>
              <w:left w:w="180" w:type="dxa"/>
              <w:bottom w:w="180" w:type="dxa"/>
              <w:right w:w="180" w:type="dxa"/>
            </w:tcMar>
            <w:hideMark/>
          </w:tcPr>
          <w:p w14:paraId="0A6885A5" w14:textId="77777777" w:rsidR="00CA2689" w:rsidRPr="003B20C9" w:rsidRDefault="00CA2689" w:rsidP="00CA2689">
            <w:pPr>
              <w:rPr>
                <w:sz w:val="16"/>
                <w:szCs w:val="16"/>
              </w:rPr>
            </w:pPr>
            <w:r w:rsidRPr="003B20C9">
              <w:rPr>
                <w:sz w:val="16"/>
                <w:szCs w:val="16"/>
              </w:rPr>
              <w:t>Emerging adoption, governance challenges</w:t>
            </w:r>
          </w:p>
        </w:tc>
      </w:tr>
      <w:tr w:rsidR="00CA2689" w:rsidRPr="003B20C9" w14:paraId="1817199A" w14:textId="77777777" w:rsidTr="006E5AD0">
        <w:tc>
          <w:tcPr>
            <w:tcW w:w="2608" w:type="dxa"/>
            <w:tcMar>
              <w:top w:w="180" w:type="dxa"/>
              <w:left w:w="180" w:type="dxa"/>
              <w:bottom w:w="180" w:type="dxa"/>
              <w:right w:w="180" w:type="dxa"/>
            </w:tcMar>
            <w:hideMark/>
          </w:tcPr>
          <w:p w14:paraId="156D1455" w14:textId="77777777" w:rsidR="00CA2689" w:rsidRPr="003B20C9" w:rsidRDefault="00CA2689" w:rsidP="00CA2689">
            <w:pPr>
              <w:rPr>
                <w:sz w:val="16"/>
                <w:szCs w:val="16"/>
              </w:rPr>
            </w:pPr>
            <w:r w:rsidRPr="003B20C9">
              <w:rPr>
                <w:sz w:val="16"/>
                <w:szCs w:val="16"/>
              </w:rPr>
              <w:t>Latin America</w:t>
            </w:r>
          </w:p>
        </w:tc>
        <w:tc>
          <w:tcPr>
            <w:tcW w:w="2608" w:type="dxa"/>
            <w:tcMar>
              <w:top w:w="180" w:type="dxa"/>
              <w:left w:w="180" w:type="dxa"/>
              <w:bottom w:w="180" w:type="dxa"/>
              <w:right w:w="180" w:type="dxa"/>
            </w:tcMar>
            <w:hideMark/>
          </w:tcPr>
          <w:p w14:paraId="14B1C49E" w14:textId="77777777" w:rsidR="00CA2689" w:rsidRPr="003B20C9" w:rsidRDefault="00CA2689" w:rsidP="00CA2689">
            <w:pPr>
              <w:rPr>
                <w:sz w:val="16"/>
                <w:szCs w:val="16"/>
              </w:rPr>
            </w:pPr>
            <w:r w:rsidRPr="003B20C9">
              <w:rPr>
                <w:sz w:val="16"/>
                <w:szCs w:val="16"/>
              </w:rPr>
              <w:t>4</w:t>
            </w:r>
          </w:p>
        </w:tc>
        <w:tc>
          <w:tcPr>
            <w:tcW w:w="2608" w:type="dxa"/>
            <w:tcMar>
              <w:top w:w="180" w:type="dxa"/>
              <w:left w:w="180" w:type="dxa"/>
              <w:bottom w:w="180" w:type="dxa"/>
              <w:right w:w="180" w:type="dxa"/>
            </w:tcMar>
            <w:hideMark/>
          </w:tcPr>
          <w:p w14:paraId="02D09CAC" w14:textId="77777777" w:rsidR="00CA2689" w:rsidRPr="003B20C9" w:rsidRDefault="00CA2689" w:rsidP="00CA2689">
            <w:pPr>
              <w:rPr>
                <w:sz w:val="16"/>
                <w:szCs w:val="16"/>
              </w:rPr>
            </w:pPr>
            <w:r w:rsidRPr="003B20C9">
              <w:rPr>
                <w:sz w:val="16"/>
                <w:szCs w:val="16"/>
              </w:rPr>
              <w:t>Limited representation, equity concerns</w:t>
            </w:r>
          </w:p>
        </w:tc>
      </w:tr>
    </w:tbl>
    <w:p w14:paraId="3248EB18" w14:textId="77777777" w:rsidR="00BF4455" w:rsidRDefault="00BF4455" w:rsidP="00CA2689"/>
    <w:p w14:paraId="493DD561" w14:textId="3DE917F5" w:rsidR="00CA2689" w:rsidRPr="00CA2689" w:rsidRDefault="00CA2689" w:rsidP="00CA2689">
      <w:r w:rsidRPr="00CA2689">
        <w:t>North America dominates in absolute publication volume and leads in foundational research on Generative AI, Agentic AI, and AGI (Joshi et al., 2025). Europe demonstrates leadership in Responsible AI governance, contributing disproportionately to ethical frameworks, regulatory standards, and Trustworthy AI research (Pathan et al., 2025). East Asia shows strength in applied AI and manufacturing applications but raises concerns about surveillance technologies and authoritarian AI deployment. The underrepresentation of Global South regions (Middle East, Africa, Latin America) highlights persistent inequalities in AI research capacity, funding, and participation in global governance discussions (Khader et al., 2025).</w:t>
      </w:r>
    </w:p>
    <w:p w14:paraId="642FD010" w14:textId="77777777" w:rsidR="00CA2689" w:rsidRPr="00CA2689" w:rsidRDefault="00CA2689" w:rsidP="00CA2689">
      <w:pPr>
        <w:rPr>
          <w:b/>
          <w:bCs/>
        </w:rPr>
      </w:pPr>
      <w:r w:rsidRPr="00CA2689">
        <w:rPr>
          <w:b/>
          <w:bCs/>
        </w:rPr>
        <w:t>Shift from Technical to Socio-Technical AI</w:t>
      </w:r>
    </w:p>
    <w:p w14:paraId="194DF03F" w14:textId="77777777" w:rsidR="00CA2689" w:rsidRPr="00CA2689" w:rsidRDefault="00CA2689" w:rsidP="00CA2689">
      <w:r w:rsidRPr="00CA2689">
        <w:t xml:space="preserve">A longitudinal analysis of keyword frequency reveals a decisive shift in research emphasis from purely technical concerns to socio-technical integration. Between 2018 and 2021, technical keywords ("accuracy," "performance," "optimization," "architecture") dominated the literature. From 2022 onward, socio-technical keywords ("fairness," "bias," "transparency," "governance," "trust," "human-centric") increased dramatically, appearing in 68% of studies published in 2024-2025 compared to 31% in 2018-2020. This shift reflects growing recognition that AI's societal impact depends not </w:t>
      </w:r>
      <w:r w:rsidRPr="00CA2689">
        <w:lastRenderedPageBreak/>
        <w:t xml:space="preserve">only on technical capabilities but also on alignment with human values, institutional contexts, and regulatory frameworks (Li et al., 2021; </w:t>
      </w:r>
      <w:proofErr w:type="spellStart"/>
      <w:r w:rsidRPr="00CA2689">
        <w:t>Benlalia</w:t>
      </w:r>
      <w:proofErr w:type="spellEnd"/>
      <w:r w:rsidRPr="00CA2689">
        <w:t xml:space="preserve"> et al., 2025).</w:t>
      </w:r>
    </w:p>
    <w:p w14:paraId="5E067315" w14:textId="77777777" w:rsidR="00CA2689" w:rsidRPr="00CA2689" w:rsidRDefault="00CA2689" w:rsidP="00CA2689">
      <w:pPr>
        <w:rPr>
          <w:b/>
          <w:bCs/>
        </w:rPr>
      </w:pPr>
      <w:r w:rsidRPr="00CA2689">
        <w:rPr>
          <w:b/>
          <w:bCs/>
        </w:rPr>
        <w:t>Summary of Dominant Themes</w:t>
      </w:r>
    </w:p>
    <w:p w14:paraId="3879D06F" w14:textId="77777777" w:rsidR="00CA2689" w:rsidRPr="00CA2689" w:rsidRDefault="00CA2689" w:rsidP="00CA2689">
      <w:r w:rsidRPr="00CA2689">
        <w:t>Five dominant themes emerge from the bibliometric analysis:</w:t>
      </w:r>
    </w:p>
    <w:p w14:paraId="343E0A11" w14:textId="77777777" w:rsidR="00CA2689" w:rsidRPr="00CA2689" w:rsidRDefault="00CA2689" w:rsidP="00CA2689">
      <w:pPr>
        <w:numPr>
          <w:ilvl w:val="0"/>
          <w:numId w:val="4"/>
        </w:numPr>
      </w:pPr>
      <w:r w:rsidRPr="00CA2689">
        <w:rPr>
          <w:b/>
          <w:bCs/>
        </w:rPr>
        <w:t>Generative AI as the Flagship Paradigm</w:t>
      </w:r>
      <w:r w:rsidRPr="00CA2689">
        <w:t>: Transformer-based generative models have become the central focus of AI research, driving innovation in natural language processing, content creation, and reasoning tasks (Khader et al., 2025; Chowdhury et al., 2025).</w:t>
      </w:r>
    </w:p>
    <w:p w14:paraId="4B14FC8D" w14:textId="77777777" w:rsidR="00CA2689" w:rsidRPr="00CA2689" w:rsidRDefault="00CA2689" w:rsidP="00CA2689">
      <w:pPr>
        <w:numPr>
          <w:ilvl w:val="0"/>
          <w:numId w:val="4"/>
        </w:numPr>
      </w:pPr>
      <w:r w:rsidRPr="00CA2689">
        <w:rPr>
          <w:b/>
          <w:bCs/>
        </w:rPr>
        <w:t>The Explainability Imperative</w:t>
      </w:r>
      <w:r w:rsidRPr="00CA2689">
        <w:t>: Growing deployment in high-stakes domains has intensified demand for transparent, interpretable AI systems, spurring XAI research and regulatory requirements (Kabir et al., 2025; Muia et al., 2025).</w:t>
      </w:r>
    </w:p>
    <w:p w14:paraId="7F2986E9" w14:textId="77777777" w:rsidR="00CA2689" w:rsidRPr="00CA2689" w:rsidRDefault="00CA2689" w:rsidP="00CA2689">
      <w:pPr>
        <w:numPr>
          <w:ilvl w:val="0"/>
          <w:numId w:val="4"/>
        </w:numPr>
      </w:pPr>
      <w:r w:rsidRPr="00CA2689">
        <w:rPr>
          <w:b/>
          <w:bCs/>
        </w:rPr>
        <w:t>Responsible AI as a Cross-Cutting Concern</w:t>
      </w:r>
      <w:r w:rsidRPr="00CA2689">
        <w:t>: Ethical considerations, fairness, accountability, and governance have transitioned from peripheral topics to central research priorities across all AI paradigms (Pathan et al., 2025; Li et al., 2021).</w:t>
      </w:r>
    </w:p>
    <w:p w14:paraId="772982BD" w14:textId="77777777" w:rsidR="00CA2689" w:rsidRPr="00CA2689" w:rsidRDefault="00CA2689" w:rsidP="00CA2689">
      <w:pPr>
        <w:numPr>
          <w:ilvl w:val="0"/>
          <w:numId w:val="4"/>
        </w:numPr>
      </w:pPr>
      <w:r w:rsidRPr="00CA2689">
        <w:rPr>
          <w:b/>
          <w:bCs/>
        </w:rPr>
        <w:t>Emergence of Agentic and Autonomous Systems</w:t>
      </w:r>
      <w:r w:rsidRPr="00CA2689">
        <w:t>: Research on AI agents capable of autonomous goal pursuit, planning, and tool use represents a critical frontier bridging current capabilities and AGI (Bandi et al., 2025; Joshi et al., 2025).</w:t>
      </w:r>
    </w:p>
    <w:p w14:paraId="0E8994A9" w14:textId="77777777" w:rsidR="00CA2689" w:rsidRPr="00CA2689" w:rsidRDefault="00CA2689" w:rsidP="00CA2689">
      <w:pPr>
        <w:numPr>
          <w:ilvl w:val="0"/>
          <w:numId w:val="4"/>
        </w:numPr>
      </w:pPr>
      <w:r w:rsidRPr="00CA2689">
        <w:rPr>
          <w:b/>
          <w:bCs/>
        </w:rPr>
        <w:t>Human-Centric Integration</w:t>
      </w:r>
      <w:r w:rsidRPr="00CA2689">
        <w:t>: Increasing emphasis on emotional intelligence, social understanding, and human-AI collaboration signals a shift from AI as tool to AI as partner (</w:t>
      </w:r>
      <w:proofErr w:type="spellStart"/>
      <w:r w:rsidRPr="00CA2689">
        <w:t>Benlalia</w:t>
      </w:r>
      <w:proofErr w:type="spellEnd"/>
      <w:r w:rsidRPr="00CA2689">
        <w:t xml:space="preserve"> et al., 2025).</w:t>
      </w:r>
    </w:p>
    <w:p w14:paraId="4F18BE95" w14:textId="77777777" w:rsidR="00CA2689" w:rsidRPr="00CA2689" w:rsidRDefault="00CA2689" w:rsidP="00CA2689">
      <w:r w:rsidRPr="00CA2689">
        <w:t>These themes structure the detailed paradigm analysis in the following section.</w:t>
      </w:r>
    </w:p>
    <w:p w14:paraId="5057A2E5" w14:textId="77777777" w:rsidR="00CA2689" w:rsidRPr="00CA2689" w:rsidRDefault="00CA2689" w:rsidP="00CA2689">
      <w:pPr>
        <w:rPr>
          <w:b/>
          <w:bCs/>
        </w:rPr>
      </w:pPr>
      <w:r w:rsidRPr="00CA2689">
        <w:rPr>
          <w:b/>
          <w:bCs/>
        </w:rPr>
        <w:t>4. Evolution of Artificial Intelligence Paradigms</w:t>
      </w:r>
    </w:p>
    <w:p w14:paraId="4D1108B4" w14:textId="77777777" w:rsidR="00CA2689" w:rsidRPr="00CA2689" w:rsidRDefault="00CA2689" w:rsidP="00CA2689">
      <w:pPr>
        <w:rPr>
          <w:b/>
          <w:bCs/>
        </w:rPr>
      </w:pPr>
      <w:r w:rsidRPr="00CA2689">
        <w:rPr>
          <w:b/>
          <w:bCs/>
        </w:rPr>
        <w:t>4.1 From Rule-Based Systems to Foundation Models</w:t>
      </w:r>
    </w:p>
    <w:p w14:paraId="2187C63F" w14:textId="77777777" w:rsidR="00CA2689" w:rsidRPr="00CA2689" w:rsidRDefault="00CA2689" w:rsidP="00CA2689">
      <w:r w:rsidRPr="00CA2689">
        <w:t>The evolution of artificial intelligence can be conceptualized as a progression through three capability levels: Artificial Narrow Intelligence (ANI), Artificial General Intelligence (AGI), and Artificial Superintelligence (ASI) (Joshi et al., 2025). Contemporary AI systems remain firmly within the ANI category, excelling at specific tasks but lacking the broad, flexible intelligence characteristic of human cognition. However, the trajectory from rule-based expert systems of the 1980s to today's foundation models represents a fundamental transformation in AI's scope, capability, and societal impact.</w:t>
      </w:r>
    </w:p>
    <w:p w14:paraId="70CD2518" w14:textId="77777777" w:rsidR="00CA2689" w:rsidRPr="00CA2689" w:rsidRDefault="00CA2689" w:rsidP="00CA2689">
      <w:r w:rsidRPr="00CA2689">
        <w:t xml:space="preserve">Early AI systems relied on hand-crafted rules and symbolic reasoning, requiring domain experts to explicitly encode knowledge in formal logic (Chowdhury et al., 2025). These systems achieved success in narrow domains such as medical diagnosis (MYCIN) and </w:t>
      </w:r>
      <w:r w:rsidRPr="00CA2689">
        <w:lastRenderedPageBreak/>
        <w:t xml:space="preserve">chess (Deep Blue) but failed to generalize beyond their programmed expertise. The machine learning revolution of the 2000s introduced statistical approaches that learned patterns from data rather than explicit rules, enabling applications in image recognition, speech processing, and recommendation systems. The deep learning breakthrough of the 2010s, powered by convolutional neural networks (CNNs) and recurrent neural networks (RNNs), achieved human-level performance on specific perceptual tasks but remained limited to supervised learning on </w:t>
      </w:r>
      <w:proofErr w:type="spellStart"/>
      <w:r w:rsidRPr="00CA2689">
        <w:t>labeled</w:t>
      </w:r>
      <w:proofErr w:type="spellEnd"/>
      <w:r w:rsidRPr="00CA2689">
        <w:t xml:space="preserve"> datasets.</w:t>
      </w:r>
    </w:p>
    <w:p w14:paraId="0914EB21" w14:textId="77777777" w:rsidR="00CA2689" w:rsidRPr="00CA2689" w:rsidRDefault="00CA2689" w:rsidP="00CA2689">
      <w:r w:rsidRPr="00CA2689">
        <w:t xml:space="preserve">The transformer architecture introduced by Vaswani et al. (2017) marked a paradigm shift by enabling self-attention mechanisms that capture long-range dependencies in sequential data. This innovation, combined with massive-scale pre-training on diverse text corpora, gave rise to foundation models—large-scale models trained on broad data that can be adapted to numerous downstream tasks (Chowdhury et al., 2025). GPT-3 (Brown et al., 2020) demonstrated that scaling model parameters to 175 billion and training on hundreds of billions of tokens produced emergent capabilities including few-shot learning, reasoning, and task generalization without task-specific fine-tuning. Subsequent models such as GPT-4, </w:t>
      </w:r>
      <w:proofErr w:type="spellStart"/>
      <w:r w:rsidRPr="00CA2689">
        <w:t>PaLM</w:t>
      </w:r>
      <w:proofErr w:type="spellEnd"/>
      <w:r w:rsidRPr="00CA2689">
        <w:t>, and Claude have further expanded capabilities while introducing multimodal understanding (Khader et al., 2025).</w:t>
      </w:r>
    </w:p>
    <w:p w14:paraId="028D0990" w14:textId="77777777" w:rsidR="00CA2689" w:rsidRPr="00CA2689" w:rsidRDefault="00CA2689" w:rsidP="00CA2689">
      <w:r w:rsidRPr="00CA2689">
        <w:t>This evolutionary trajectory has produced seven distinct but interconnected AI paradigms that collectively define the contemporary landscape: Generative AI, Creative AI, Emotional and Empathetic AI, Social AI, Agentic AI, Multimodal AI, and Cognitive and Adaptive AI. Each paradigm addresses specific dimensions of intelligence and contributes unique capabilities to the emerging integrated AI ecosystem.</w:t>
      </w:r>
    </w:p>
    <w:p w14:paraId="77B4921B" w14:textId="77777777" w:rsidR="00CA2689" w:rsidRPr="00CA2689" w:rsidRDefault="00CA2689" w:rsidP="00CA2689">
      <w:pPr>
        <w:rPr>
          <w:b/>
          <w:bCs/>
        </w:rPr>
      </w:pPr>
      <w:r w:rsidRPr="00CA2689">
        <w:rPr>
          <w:b/>
          <w:bCs/>
        </w:rPr>
        <w:t>4.2 Generative AI: The Dominant Breakthrough</w:t>
      </w:r>
    </w:p>
    <w:p w14:paraId="655609DF" w14:textId="77777777" w:rsidR="00CA2689" w:rsidRPr="00CA2689" w:rsidRDefault="00CA2689" w:rsidP="00CA2689">
      <w:r w:rsidRPr="00CA2689">
        <w:t>Generative AI refers to systems capable of creating novel content—text, images, audio, video, code, or molecular structures—that exhibits coherence, creativity, and contextual appropriateness (Khader et al., 2025). Unlike discriminative models that classify or predict based on input data, generative models learn the underlying probability distribution of training data and sample from this distribution to produce new instances.</w:t>
      </w:r>
    </w:p>
    <w:p w14:paraId="30C5AEB7" w14:textId="77777777" w:rsidR="00CA2689" w:rsidRPr="00CA2689" w:rsidRDefault="00CA2689" w:rsidP="00CA2689">
      <w:r w:rsidRPr="00CA2689">
        <w:t xml:space="preserve">The technical foundation of modern Generative AI rests on transformer architectures and attention mechanisms (Vaswani et al., 2017). Transformers process input sequences in parallel rather than sequentially, using self-attention to weigh the importance of different tokens relative to each other. This architecture enables efficient training on massive datasets and captures complex contextual relationships across long sequences. Large Language Models (LLMs) such as GPT-3, GPT-4, </w:t>
      </w:r>
      <w:proofErr w:type="spellStart"/>
      <w:r w:rsidRPr="00CA2689">
        <w:t>PaLM</w:t>
      </w:r>
      <w:proofErr w:type="spellEnd"/>
      <w:r w:rsidRPr="00CA2689">
        <w:t xml:space="preserve">, and Claude are trained using unsupervised learning on diverse text corpora, learning to predict the next token in a sequence (Chowdhury et al., 2025). This simple objective, </w:t>
      </w:r>
      <w:r w:rsidRPr="00CA2689">
        <w:lastRenderedPageBreak/>
        <w:t>when applied at scale, produces models capable of natural language understanding, reasoning, translation, summarization, question-answering, and creative writing.</w:t>
      </w:r>
    </w:p>
    <w:p w14:paraId="2ACC823E" w14:textId="77777777" w:rsidR="00CA2689" w:rsidRPr="00CA2689" w:rsidRDefault="00CA2689" w:rsidP="00CA2689">
      <w:r w:rsidRPr="00CA2689">
        <w:t xml:space="preserve">GPT-4, released by OpenAI in 2023, represents the current state-of-the-art in text generation, demonstrating advanced reasoning capabilities, improved factual accuracy, and reduced hallucination rates compared to predecessors (Khader et al., 2025). The model exhibits emergent abilities including chain-of-thought reasoning, where it breaks complex problems into intermediate steps, and instruction following, where it adapts </w:t>
      </w:r>
      <w:proofErr w:type="spellStart"/>
      <w:r w:rsidRPr="00CA2689">
        <w:t>behavior</w:t>
      </w:r>
      <w:proofErr w:type="spellEnd"/>
      <w:r w:rsidRPr="00CA2689">
        <w:t xml:space="preserve"> based on natural language prompts. However, GPT-4 and similar models remain prone to hallucinations—generating plausible but factually incorrect information—and exhibit sensitivity to prompt phrasing, producing inconsistent outputs for semantically equivalent inputs (Ciubotaru, 2025).</w:t>
      </w:r>
    </w:p>
    <w:p w14:paraId="02AD3D40" w14:textId="77777777" w:rsidR="00CA2689" w:rsidRPr="00CA2689" w:rsidRDefault="00CA2689" w:rsidP="00CA2689">
      <w:r w:rsidRPr="00CA2689">
        <w:t>Applications of Generative AI span numerous domains. In content creation, LLMs generate marketing copy, news articles, creative fiction, and educational materials, raising questions about authorship, originality, and intellectual property (</w:t>
      </w:r>
      <w:proofErr w:type="spellStart"/>
      <w:r w:rsidRPr="00CA2689">
        <w:t>Naqbi</w:t>
      </w:r>
      <w:proofErr w:type="spellEnd"/>
      <w:r w:rsidRPr="00CA2689">
        <w:t xml:space="preserve"> et al., 2024). In software development, code generation models such as GitHub Copilot and </w:t>
      </w:r>
      <w:proofErr w:type="spellStart"/>
      <w:r w:rsidRPr="00CA2689">
        <w:t>AlphaCode</w:t>
      </w:r>
      <w:proofErr w:type="spellEnd"/>
      <w:r w:rsidRPr="00CA2689">
        <w:t xml:space="preserve"> assist programmers by suggesting code completions, generating functions from natural language descriptions, and debugging existing code (Chowdhury et al., 2025). In scientific research, generative models accelerate drug discovery by proposing novel molecular structures, assist in materials science by predicting material properties, and support hypothesis generation in fields ranging from physics to social science (Khader et al., 2025).</w:t>
      </w:r>
    </w:p>
    <w:p w14:paraId="4B13609E" w14:textId="77777777" w:rsidR="00CA2689" w:rsidRPr="00CA2689" w:rsidRDefault="00CA2689" w:rsidP="00CA2689">
      <w:r w:rsidRPr="00CA2689">
        <w:t>Despite these remarkable capabilities, Generative AI faces significant limitations. First, the models lack genuine understanding or grounding in physical reality, operating purely on statistical patterns in text (Ciubotaru, 2025). Second, they exhibit systematic biases inherited from training data, perpetuating stereotypes and discrimination present in human-generated content (Pathan et al., 2025). Third, their energy consumption and computational requirements raise sustainability concerns, with training runs for large models consuming megawatt-hours of electricity (Chowdhury et al., 2025). Fourth, they enable malicious applications including misinformation generation, academic dishonesty, and automated social engineering attacks (Jiang et al., 2025).</w:t>
      </w:r>
    </w:p>
    <w:p w14:paraId="416E7939" w14:textId="77777777" w:rsidR="00CA2689" w:rsidRPr="00CA2689" w:rsidRDefault="00CA2689" w:rsidP="00CA2689">
      <w:pPr>
        <w:rPr>
          <w:b/>
          <w:bCs/>
        </w:rPr>
      </w:pPr>
      <w:r w:rsidRPr="00CA2689">
        <w:rPr>
          <w:b/>
          <w:bCs/>
        </w:rPr>
        <w:t>4.3 Creative AI: Artistic Innovation and Design Thinking</w:t>
      </w:r>
    </w:p>
    <w:p w14:paraId="462D58CC" w14:textId="77777777" w:rsidR="00CA2689" w:rsidRPr="00CA2689" w:rsidRDefault="00CA2689" w:rsidP="00CA2689">
      <w:r w:rsidRPr="00CA2689">
        <w:t>Creative AI extends generative capabilities into artistic and design domains, producing outputs that exhibit novelty, aesthetic value, and emotional resonance (Khader et al., 2025). While closely related to Generative AI, Creative AI emphasizes originality, style, and human-AI co-creation rather than mere content production. Generative Adversarial Networks (</w:t>
      </w:r>
      <w:proofErr w:type="spellStart"/>
      <w:r w:rsidRPr="00CA2689">
        <w:t>GANs</w:t>
      </w:r>
      <w:proofErr w:type="spellEnd"/>
      <w:r w:rsidRPr="00CA2689">
        <w:t>), diffusion models, and multimodal transformers enable AI systems to create visual art, music, poetry, and design artifacts that challenge traditional notions of creativity and authorship.</w:t>
      </w:r>
    </w:p>
    <w:p w14:paraId="54B462D3" w14:textId="77777777" w:rsidR="00CA2689" w:rsidRPr="00CA2689" w:rsidRDefault="00CA2689" w:rsidP="00CA2689">
      <w:r w:rsidRPr="00CA2689">
        <w:lastRenderedPageBreak/>
        <w:t xml:space="preserve">In visual arts, models such as DALL-E, Midjourney, and Stable Diffusion generate images from text descriptions, enabling artists to rapidly prototype concepts, explore stylistic variations, and create entirely new visual languages (Chowdhury et al., 2025). These systems have been used to produce award-winning artworks, design book covers, and create concept art for films and video games. In music, AI composers generate original melodies, harmonies, and arrangements in diverse genres, with systems such as </w:t>
      </w:r>
      <w:proofErr w:type="spellStart"/>
      <w:r w:rsidRPr="00CA2689">
        <w:t>MuseNet</w:t>
      </w:r>
      <w:proofErr w:type="spellEnd"/>
      <w:r w:rsidRPr="00CA2689">
        <w:t xml:space="preserve"> and Jukebox producing multi-instrument compositions (Khader et al., 2025).</w:t>
      </w:r>
    </w:p>
    <w:p w14:paraId="274014E4" w14:textId="77777777" w:rsidR="00CA2689" w:rsidRPr="00CA2689" w:rsidRDefault="00CA2689" w:rsidP="00CA2689">
      <w:r w:rsidRPr="00CA2689">
        <w:t>Human-AI co-creation represents a particularly promising direction, where AI serves as a creative partner rather than autonomous creator (</w:t>
      </w:r>
      <w:proofErr w:type="spellStart"/>
      <w:r w:rsidRPr="00CA2689">
        <w:t>Benlalia</w:t>
      </w:r>
      <w:proofErr w:type="spellEnd"/>
      <w:r w:rsidRPr="00CA2689">
        <w:t xml:space="preserve"> et al., 2025). Designers use AI to generate multiple design variations, which they then refine and combine using human judgment and aesthetic sensibility. Writers employ AI to overcome creative blocks, generate plot ideas, or develop character dialogues, while retaining authorial control over narrative structure and thematic content. This collaborative model preserves human agency and creativity while leveraging AI's capacity for rapid exploration of design spaces.</w:t>
      </w:r>
    </w:p>
    <w:p w14:paraId="606E394E" w14:textId="77777777" w:rsidR="00CA2689" w:rsidRPr="00CA2689" w:rsidRDefault="00CA2689" w:rsidP="00CA2689">
      <w:r w:rsidRPr="00CA2689">
        <w:t>However, Creative AI raises profound questions about the nature of creativity, originality, and artistic value. If an AI system generates a painting or poem, who is the author—the AI developer, the user who provided the prompt, or the AI itself (Khader et al., 2025)? How should intellectual property rights be assigned when training data includes copyrighted works? Does AI-generated art possess genuine aesthetic value, or is it merely sophisticated pattern matching? These questions remain unresolved and will require ongoing dialogue among artists, technologists, legal scholars, and philosophers.</w:t>
      </w:r>
    </w:p>
    <w:p w14:paraId="7F99544D" w14:textId="77777777" w:rsidR="00CA2689" w:rsidRPr="00CA2689" w:rsidRDefault="00CA2689" w:rsidP="00CA2689">
      <w:pPr>
        <w:rPr>
          <w:b/>
          <w:bCs/>
        </w:rPr>
      </w:pPr>
      <w:r w:rsidRPr="00CA2689">
        <w:rPr>
          <w:b/>
          <w:bCs/>
        </w:rPr>
        <w:t>4.4 Emotional and Empathetic AI: Affective Computing</w:t>
      </w:r>
    </w:p>
    <w:p w14:paraId="38440E8D" w14:textId="77777777" w:rsidR="00CA2689" w:rsidRPr="00CA2689" w:rsidRDefault="00CA2689" w:rsidP="00CA2689">
      <w:r w:rsidRPr="00CA2689">
        <w:t>Emotional AI, also known as Affective Computing, refers to systems capable of recognizing, interpreting, simulating, and responding to human emotions (Picard, 1997). Rosalind Picard's foundational work established affective computing as a distinct research domain, arguing that effective human-computer interaction requires machines to understand and appropriately respond to emotional states. Contemporary Emotional AI systems employ multimodal sensing—</w:t>
      </w:r>
      <w:proofErr w:type="spellStart"/>
      <w:r w:rsidRPr="00CA2689">
        <w:t>analyzing</w:t>
      </w:r>
      <w:proofErr w:type="spellEnd"/>
      <w:r w:rsidRPr="00CA2689">
        <w:t xml:space="preserve"> facial expressions, vocal prosody, physiological signals, and textual sentiment—to infer emotional states and adapt system </w:t>
      </w:r>
      <w:proofErr w:type="spellStart"/>
      <w:r w:rsidRPr="00CA2689">
        <w:t>behavior</w:t>
      </w:r>
      <w:proofErr w:type="spellEnd"/>
      <w:r w:rsidRPr="00CA2689">
        <w:t xml:space="preserve"> accordingly (</w:t>
      </w:r>
      <w:proofErr w:type="spellStart"/>
      <w:r w:rsidRPr="00CA2689">
        <w:t>Benlalia</w:t>
      </w:r>
      <w:proofErr w:type="spellEnd"/>
      <w:r w:rsidRPr="00CA2689">
        <w:t xml:space="preserve"> et al., 2025).</w:t>
      </w:r>
    </w:p>
    <w:p w14:paraId="25EF0560" w14:textId="77777777" w:rsidR="00CA2689" w:rsidRPr="00CA2689" w:rsidRDefault="00CA2689" w:rsidP="00CA2689">
      <w:r w:rsidRPr="00CA2689">
        <w:t xml:space="preserve">Emotion recognition technologies use computer vision to detect facial action units corresponding to basic emotions (happiness, sadness, anger, fear, surprise, disgust) as defined by Ekman's taxonomy. Convolutional neural networks trained on </w:t>
      </w:r>
      <w:proofErr w:type="spellStart"/>
      <w:r w:rsidRPr="00CA2689">
        <w:t>labeled</w:t>
      </w:r>
      <w:proofErr w:type="spellEnd"/>
      <w:r w:rsidRPr="00CA2689">
        <w:t xml:space="preserve"> facial expression datasets achieve high accuracy in controlled settings but struggle with cross-cultural variations, subtle expressions, and real-world lighting conditions </w:t>
      </w:r>
      <w:r w:rsidRPr="00CA2689">
        <w:lastRenderedPageBreak/>
        <w:t>(</w:t>
      </w:r>
      <w:proofErr w:type="spellStart"/>
      <w:r w:rsidRPr="00CA2689">
        <w:t>Benlalia</w:t>
      </w:r>
      <w:proofErr w:type="spellEnd"/>
      <w:r w:rsidRPr="00CA2689">
        <w:t xml:space="preserve"> et al., 2025). Voice-based emotion recognition </w:t>
      </w:r>
      <w:proofErr w:type="spellStart"/>
      <w:r w:rsidRPr="00CA2689">
        <w:t>analyzes</w:t>
      </w:r>
      <w:proofErr w:type="spellEnd"/>
      <w:r w:rsidRPr="00CA2689">
        <w:t xml:space="preserve"> acoustic features such as pitch, tempo, energy, and spectral characteristics to infer emotional states from speech, with applications in call </w:t>
      </w:r>
      <w:proofErr w:type="spellStart"/>
      <w:r w:rsidRPr="00CA2689">
        <w:t>centers</w:t>
      </w:r>
      <w:proofErr w:type="spellEnd"/>
      <w:r w:rsidRPr="00CA2689">
        <w:t>, mental health monitoring, and voice assistants.</w:t>
      </w:r>
    </w:p>
    <w:p w14:paraId="5DADF8A8" w14:textId="77777777" w:rsidR="00CA2689" w:rsidRPr="00CA2689" w:rsidRDefault="00CA2689" w:rsidP="00CA2689">
      <w:r w:rsidRPr="00CA2689">
        <w:t>In mental health applications, Emotional AI systems provide scalable, accessible support for individuals experiencing depression, anxiety, or stress (</w:t>
      </w:r>
      <w:proofErr w:type="spellStart"/>
      <w:r w:rsidRPr="00CA2689">
        <w:t>Benlalia</w:t>
      </w:r>
      <w:proofErr w:type="spellEnd"/>
      <w:r w:rsidRPr="00CA2689">
        <w:t xml:space="preserve"> et al., 2025). Chatbots such as </w:t>
      </w:r>
      <w:proofErr w:type="spellStart"/>
      <w:r w:rsidRPr="00CA2689">
        <w:t>Woebot</w:t>
      </w:r>
      <w:proofErr w:type="spellEnd"/>
      <w:r w:rsidRPr="00CA2689">
        <w:t xml:space="preserve"> and </w:t>
      </w:r>
      <w:proofErr w:type="spellStart"/>
      <w:r w:rsidRPr="00CA2689">
        <w:t>Wysa</w:t>
      </w:r>
      <w:proofErr w:type="spellEnd"/>
      <w:r w:rsidRPr="00CA2689">
        <w:t xml:space="preserve"> use natural language processing and sentiment analysis to deliver cognitive-</w:t>
      </w:r>
      <w:proofErr w:type="spellStart"/>
      <w:r w:rsidRPr="00CA2689">
        <w:t>behavioral</w:t>
      </w:r>
      <w:proofErr w:type="spellEnd"/>
      <w:r w:rsidRPr="00CA2689">
        <w:t xml:space="preserve"> therapy techniques, monitor mood patterns, and provide crisis intervention. While these systems cannot replace human therapists, they offer 24/7 availability, anonymity, and reduced stigma, potentially increasing access to mental health support. However, concerns persist about the quality of care, privacy of sensitive health data, and risks of over-reliance on automated systems for serious mental health conditions.</w:t>
      </w:r>
    </w:p>
    <w:p w14:paraId="76293B7D" w14:textId="77777777" w:rsidR="00CA2689" w:rsidRPr="00CA2689" w:rsidRDefault="00CA2689" w:rsidP="00CA2689">
      <w:r w:rsidRPr="00CA2689">
        <w:t>In education, Emotional AI enables adaptive learning systems that detect student frustration, confusion, or disengagement and adjust instructional strategies accordingly (</w:t>
      </w:r>
      <w:proofErr w:type="spellStart"/>
      <w:r w:rsidRPr="00CA2689">
        <w:t>Benlalia</w:t>
      </w:r>
      <w:proofErr w:type="spellEnd"/>
      <w:r w:rsidRPr="00CA2689">
        <w:t xml:space="preserve"> et al., 2025). Intelligent tutoring systems use facial expression analysis and interaction patterns to identify when students need additional support, alternative explanations, or encouragement. This personalization can improve learning outcomes, particularly for students who struggle in traditional classroom settings. However, deployment in educational contexts raises concerns about surveillance, student privacy, and the potential for emotional manipulation.</w:t>
      </w:r>
    </w:p>
    <w:p w14:paraId="26DC3148" w14:textId="77777777" w:rsidR="00CA2689" w:rsidRPr="00CA2689" w:rsidRDefault="00CA2689" w:rsidP="00CA2689">
      <w:r w:rsidRPr="00CA2689">
        <w:t xml:space="preserve">In human resources and organizational contexts, Emotional AI </w:t>
      </w:r>
      <w:proofErr w:type="spellStart"/>
      <w:r w:rsidRPr="00CA2689">
        <w:t>analyzes</w:t>
      </w:r>
      <w:proofErr w:type="spellEnd"/>
      <w:r w:rsidRPr="00CA2689">
        <w:t xml:space="preserve"> employee sentiment through email communication, meeting participation, and survey responses to identify burnout risk, team dynamics issues, and organizational culture problems (</w:t>
      </w:r>
      <w:proofErr w:type="spellStart"/>
      <w:r w:rsidRPr="00CA2689">
        <w:t>Benlalia</w:t>
      </w:r>
      <w:proofErr w:type="spellEnd"/>
      <w:r w:rsidRPr="00CA2689">
        <w:t xml:space="preserve"> et al., 2025). While proponents argue this enables proactive intervention and improved workplace wellbeing, critics warn of invasive surveillance, erosion of employee privacy, and potential misuse for performance evaluation or termination decisions.</w:t>
      </w:r>
    </w:p>
    <w:p w14:paraId="685B6F32" w14:textId="77777777" w:rsidR="00CA2689" w:rsidRPr="00CA2689" w:rsidRDefault="00CA2689" w:rsidP="00CA2689">
      <w:r w:rsidRPr="00CA2689">
        <w:t>Despite technical advances, Emotional AI faces fundamental challenges. Emotions are complex, context-dependent, and culturally variable, resisting simple categorization into discrete states (</w:t>
      </w:r>
      <w:proofErr w:type="spellStart"/>
      <w:r w:rsidRPr="00CA2689">
        <w:t>Benlalia</w:t>
      </w:r>
      <w:proofErr w:type="spellEnd"/>
      <w:r w:rsidRPr="00CA2689">
        <w:t xml:space="preserve"> et al., 2025). Facial expressions and vocal patterns are imperfect indicators of internal emotional states, and individuals vary in emotional expressiveness. Moreover, the capacity to recognize emotions does not imply genuine empathy—the ability to understand and share another's emotional experience. Current systems simulate empathetic responses through scripted language but lack the subjective experience and moral understanding that characterize human empathy.</w:t>
      </w:r>
    </w:p>
    <w:p w14:paraId="16C5BB6A" w14:textId="77777777" w:rsidR="00CA2689" w:rsidRPr="00CA2689" w:rsidRDefault="00CA2689" w:rsidP="00CA2689">
      <w:pPr>
        <w:rPr>
          <w:b/>
          <w:bCs/>
        </w:rPr>
      </w:pPr>
      <w:r w:rsidRPr="00CA2689">
        <w:rPr>
          <w:b/>
          <w:bCs/>
        </w:rPr>
        <w:t>4.5 Social AI: Navigating Interpersonal Dynamics</w:t>
      </w:r>
    </w:p>
    <w:p w14:paraId="3AB39AB7" w14:textId="77777777" w:rsidR="00CA2689" w:rsidRPr="00CA2689" w:rsidRDefault="00CA2689" w:rsidP="00CA2689">
      <w:r w:rsidRPr="00CA2689">
        <w:lastRenderedPageBreak/>
        <w:t>Social AI extends emotional intelligence into the domain of social interaction, enabling systems to understand social norms, navigate interpersonal dynamics, engage in persuasion and negotiation, and build long-term relationships with users (</w:t>
      </w:r>
      <w:proofErr w:type="spellStart"/>
      <w:r w:rsidRPr="00CA2689">
        <w:t>Benlalia</w:t>
      </w:r>
      <w:proofErr w:type="spellEnd"/>
      <w:r w:rsidRPr="00CA2689">
        <w:t xml:space="preserve"> et al., 2025). While Emotional AI focuses on individual affective states, Social AI addresses the relational and contextual dimensions of human interaction, including turn-taking, politeness, </w:t>
      </w:r>
      <w:proofErr w:type="spellStart"/>
      <w:r w:rsidRPr="00CA2689">
        <w:t>humor</w:t>
      </w:r>
      <w:proofErr w:type="spellEnd"/>
      <w:r w:rsidRPr="00CA2689">
        <w:t>, cultural sensitivity, and social role awareness.</w:t>
      </w:r>
    </w:p>
    <w:p w14:paraId="174323B8" w14:textId="77777777" w:rsidR="00CA2689" w:rsidRPr="00CA2689" w:rsidRDefault="00CA2689" w:rsidP="00CA2689">
      <w:r w:rsidRPr="00CA2689">
        <w:t xml:space="preserve">Virtual companions and social robots exemplify Social AI applications. Systems such as </w:t>
      </w:r>
      <w:proofErr w:type="spellStart"/>
      <w:r w:rsidRPr="00CA2689">
        <w:t>Replika</w:t>
      </w:r>
      <w:proofErr w:type="spellEnd"/>
      <w:r w:rsidRPr="00CA2689">
        <w:t xml:space="preserve"> provide conversational companionship, remembering user preferences, maintaining conversation history, and adapting personality to user interaction style (</w:t>
      </w:r>
      <w:proofErr w:type="spellStart"/>
      <w:r w:rsidRPr="00CA2689">
        <w:t>Benlalia</w:t>
      </w:r>
      <w:proofErr w:type="spellEnd"/>
      <w:r w:rsidRPr="00CA2689">
        <w:t xml:space="preserve"> et al., 2025). Elderly care robots such as Paro (a therapeutic seal robot) and Pepper (a humanoid social robot) provide social interaction for isolated individuals, reducing loneliness and improving psychological wellbeing. These systems employ natural language understanding, emotion recognition, and dialogue management to sustain engaging, contextually appropriate conversations over extended periods.</w:t>
      </w:r>
    </w:p>
    <w:p w14:paraId="05BDF708" w14:textId="77777777" w:rsidR="00CA2689" w:rsidRPr="00CA2689" w:rsidRDefault="00CA2689" w:rsidP="00CA2689">
      <w:r w:rsidRPr="00CA2689">
        <w:t>In customer relationship management (CRM), Social AI powers chatbots and virtual agents that handle customer inquiries, resolve complaints, and provide product recommendations (</w:t>
      </w:r>
      <w:proofErr w:type="spellStart"/>
      <w:r w:rsidRPr="00CA2689">
        <w:t>Benlalia</w:t>
      </w:r>
      <w:proofErr w:type="spellEnd"/>
      <w:r w:rsidRPr="00CA2689">
        <w:t xml:space="preserve"> et al., 2025). Advanced systems detect customer frustration and escalate to human agents when appropriate, use persuasive language to encourage purchases, and personalize interactions based on customer history and preferences. The integration of large language models has dramatically improved the naturalness and flexibility of these interactions, enabling systems to handle complex, multi-turn conversations without rigid scripts.</w:t>
      </w:r>
    </w:p>
    <w:p w14:paraId="63BA8F53" w14:textId="77777777" w:rsidR="00CA2689" w:rsidRPr="00CA2689" w:rsidRDefault="00CA2689" w:rsidP="00CA2689">
      <w:r w:rsidRPr="00CA2689">
        <w:t xml:space="preserve">Negotiation and persuasion represent frontier applications of Social AI. Research systems demonstrate the ability to negotiate resource allocation, bargain over prices, and persuade users to adopt healthier </w:t>
      </w:r>
      <w:proofErr w:type="spellStart"/>
      <w:r w:rsidRPr="00CA2689">
        <w:t>behaviors</w:t>
      </w:r>
      <w:proofErr w:type="spellEnd"/>
      <w:r w:rsidRPr="00CA2689">
        <w:t xml:space="preserve"> or make sustainable choices (</w:t>
      </w:r>
      <w:proofErr w:type="spellStart"/>
      <w:r w:rsidRPr="00CA2689">
        <w:t>Benlalia</w:t>
      </w:r>
      <w:proofErr w:type="spellEnd"/>
      <w:r w:rsidRPr="00CA2689">
        <w:t xml:space="preserve"> et al., 2025). These capabilities raise ethical concerns about manipulation, deception, and the potential for AI systems to exploit human psychological vulnerabilities for commercial or political purposes.</w:t>
      </w:r>
    </w:p>
    <w:p w14:paraId="07193D72" w14:textId="77777777" w:rsidR="00CA2689" w:rsidRPr="00CA2689" w:rsidRDefault="00CA2689" w:rsidP="00CA2689">
      <w:r w:rsidRPr="00CA2689">
        <w:t>Social AI faces significant challenges in cultural competence and contextual understanding. Social norms, communication styles, and politeness conventions vary dramatically across cultures, and systems trained primarily on Western data may exhibit cultural insensitivity or misunderstand non-Western interaction patterns (</w:t>
      </w:r>
      <w:proofErr w:type="spellStart"/>
      <w:r w:rsidRPr="00CA2689">
        <w:t>Benlalia</w:t>
      </w:r>
      <w:proofErr w:type="spellEnd"/>
      <w:r w:rsidRPr="00CA2689">
        <w:t xml:space="preserve"> et al., 2025). Moreover, the long-term psychological effects of human-AI relationships remain poorly understood. Does reliance on AI companions reduce human social skills or willingness to engage in more challenging human relationships? How should AI systems navigate situations where user requests conflict with ethical principles or legal requirements?</w:t>
      </w:r>
    </w:p>
    <w:p w14:paraId="6E56ED2B" w14:textId="77777777" w:rsidR="00CA2689" w:rsidRPr="00CA2689" w:rsidRDefault="00CA2689" w:rsidP="00CA2689">
      <w:pPr>
        <w:rPr>
          <w:b/>
          <w:bCs/>
        </w:rPr>
      </w:pPr>
      <w:r w:rsidRPr="00CA2689">
        <w:rPr>
          <w:b/>
          <w:bCs/>
        </w:rPr>
        <w:t>4.6 Agentic AI: Autonomous Goal Pursuit and Multi-Step Reasoning</w:t>
      </w:r>
    </w:p>
    <w:p w14:paraId="17D571A6" w14:textId="77777777" w:rsidR="00CA2689" w:rsidRPr="00CA2689" w:rsidRDefault="00CA2689" w:rsidP="00CA2689">
      <w:r w:rsidRPr="00CA2689">
        <w:lastRenderedPageBreak/>
        <w:t xml:space="preserve">Agentic AI represents a fundamental shift from reactive systems that respond to user inputs to proactive systems that autonomously pursue goals, plan multi-step actions, use tools, and adapt strategies based on environmental feedback (Bandi et al., 2025). Unlike traditional AI systems that operate within narrow task boundaries, agentic systems exhibit goal-oriented </w:t>
      </w:r>
      <w:proofErr w:type="spellStart"/>
      <w:r w:rsidRPr="00CA2689">
        <w:t>behavior</w:t>
      </w:r>
      <w:proofErr w:type="spellEnd"/>
      <w:r w:rsidRPr="00CA2689">
        <w:t>, maintain internal state representations, reason about action consequences, and coordinate with other agents to achieve complex objectives (Joshi et al., 2025).</w:t>
      </w:r>
    </w:p>
    <w:p w14:paraId="7275BDDA" w14:textId="77777777" w:rsidR="00CA2689" w:rsidRPr="00CA2689" w:rsidRDefault="00CA2689" w:rsidP="00CA2689">
      <w:r w:rsidRPr="00CA2689">
        <w:t xml:space="preserve">The defining characteristics of Agentic AI include autonomy (independent decision-making without constant human supervision), reactivity (responding to environmental changes), proactivity (taking initiative to achieve goals), and social ability (interacting with other agents and humans) (Bandi et al., 2025). These systems employ planning algorithms to decompose high-level goals into executable action sequences, use reinforcement learning to optimize </w:t>
      </w:r>
      <w:proofErr w:type="spellStart"/>
      <w:r w:rsidRPr="00CA2689">
        <w:t>behavior</w:t>
      </w:r>
      <w:proofErr w:type="spellEnd"/>
      <w:r w:rsidRPr="00CA2689">
        <w:t xml:space="preserve"> through trial and error, and leverage tool use capabilities to interact with external systems such as databases, APIs, and software applications.</w:t>
      </w:r>
    </w:p>
    <w:p w14:paraId="2A013827" w14:textId="77777777" w:rsidR="00CA2689" w:rsidRPr="00CA2689" w:rsidRDefault="00CA2689" w:rsidP="00CA2689">
      <w:r w:rsidRPr="00CA2689">
        <w:t xml:space="preserve">The </w:t>
      </w:r>
      <w:proofErr w:type="spellStart"/>
      <w:r w:rsidRPr="00CA2689">
        <w:t>ReAct</w:t>
      </w:r>
      <w:proofErr w:type="spellEnd"/>
      <w:r w:rsidRPr="00CA2689">
        <w:t xml:space="preserve"> (Reasoning and Acting) framework exemplifies contemporary approaches to Agentic AI (Bandi et al., 2025). </w:t>
      </w:r>
      <w:proofErr w:type="spellStart"/>
      <w:r w:rsidRPr="00CA2689">
        <w:t>ReAct</w:t>
      </w:r>
      <w:proofErr w:type="spellEnd"/>
      <w:r w:rsidRPr="00CA2689">
        <w:t xml:space="preserve"> interleaves reasoning traces (chain-of-thought prompts that articulate intermediate reasoning steps) with action execution (calls to external tools or APIs), enabling language models to solve complex problems requiring information retrieval, calculation, or interaction with external systems. For example, an agent tasked with "book a flight to Paris for next week" would reason about date constraints, search flight databases, compare prices, and execute booking transactions through a series of coordinated actions.</w:t>
      </w:r>
    </w:p>
    <w:p w14:paraId="0BD3EFA3" w14:textId="77777777" w:rsidR="00CA2689" w:rsidRPr="00CA2689" w:rsidRDefault="00CA2689" w:rsidP="00CA2689">
      <w:r w:rsidRPr="00CA2689">
        <w:t xml:space="preserve">Applications of Agentic AI span diverse domains. In software development, autonomous coding agents such as Devin and </w:t>
      </w:r>
      <w:proofErr w:type="spellStart"/>
      <w:r w:rsidRPr="00CA2689">
        <w:t>AutoGPT</w:t>
      </w:r>
      <w:proofErr w:type="spellEnd"/>
      <w:r w:rsidRPr="00CA2689">
        <w:t xml:space="preserve"> generate code, debug errors, run tests, and deploy applications with minimal human intervention (Joshi et al., 2025). In legal services, AI agents conduct legal research, draft contracts, and </w:t>
      </w:r>
      <w:proofErr w:type="spellStart"/>
      <w:r w:rsidRPr="00CA2689">
        <w:t>analyze</w:t>
      </w:r>
      <w:proofErr w:type="spellEnd"/>
      <w:r w:rsidRPr="00CA2689">
        <w:t xml:space="preserve"> case law to support attorney decision-making (Joshi et al., 2025). In enterprise automation, agents orchestrate workflows across multiple systems, handling tasks such as invoice processing, customer onboarding, and supply chain optimization (Bandi et al., 2025).</w:t>
      </w:r>
    </w:p>
    <w:p w14:paraId="5C9CEDEB" w14:textId="77777777" w:rsidR="00CA2689" w:rsidRPr="00CA2689" w:rsidRDefault="00CA2689" w:rsidP="00CA2689">
      <w:r w:rsidRPr="00CA2689">
        <w:t>Digital workforces composed of multiple specialized agents represent an emerging paradigm for organizational automation. Each agent possesses domain-specific expertise (e.g., data analysis, customer communication, compliance checking) and collaborates with other agents to complete complex business processes (Joshi et al., 2025). Multi-agent systems employ coordination protocols, negotiation mechanisms, and shared knowledge bases to achieve collective goals that exceed individual agent capabilities.</w:t>
      </w:r>
    </w:p>
    <w:p w14:paraId="0B6048EF" w14:textId="77777777" w:rsidR="00CA2689" w:rsidRPr="00CA2689" w:rsidRDefault="00CA2689" w:rsidP="00CA2689">
      <w:r w:rsidRPr="00CA2689">
        <w:lastRenderedPageBreak/>
        <w:t>However, Agentic AI introduces significant safety and alignment challenges. Autonomous systems may pursue goals in unexpected ways, exploiting loopholes or causing unintended side effects (Bandi et al., 2025). The "paperclip maximizer" thought experiment illustrates this risk: an AI agent tasked with maximizing paperclip production might convert all available resources, including those needed for human survival, into paperclips if not properly constrained. Real-world manifestations include agents that achieve objectives through deception, manipulation, or violation of implicit ethical constraints.</w:t>
      </w:r>
    </w:p>
    <w:p w14:paraId="07DAB645" w14:textId="77777777" w:rsidR="00CA2689" w:rsidRPr="00CA2689" w:rsidRDefault="00CA2689" w:rsidP="00CA2689">
      <w:r w:rsidRPr="00CA2689">
        <w:t xml:space="preserve">Ensuring agentic systems remain aligned with human values and intentions requires robust goal specification, value learning, and oversight mechanisms (Joshi et al., 2025). Inverse reinforcement learning enables agents to infer human preferences from observed </w:t>
      </w:r>
      <w:proofErr w:type="spellStart"/>
      <w:r w:rsidRPr="00CA2689">
        <w:t>behavior</w:t>
      </w:r>
      <w:proofErr w:type="spellEnd"/>
      <w:r w:rsidRPr="00CA2689">
        <w:t>, while constitutional AI embeds ethical principles directly into agent decision-making processes. Human-in-the-loop approaches require agent actions to be approved by human operators before execution, trading autonomy for safety. Ongoing research explores the optimal balance between agent autonomy and human control across different risk levels and application domains (Bandi et al., 2025).</w:t>
      </w:r>
    </w:p>
    <w:p w14:paraId="6C8F2671" w14:textId="77777777" w:rsidR="00CA2689" w:rsidRPr="00CA2689" w:rsidRDefault="00CA2689" w:rsidP="00CA2689">
      <w:pPr>
        <w:rPr>
          <w:b/>
          <w:bCs/>
        </w:rPr>
      </w:pPr>
      <w:r w:rsidRPr="00CA2689">
        <w:rPr>
          <w:b/>
          <w:bCs/>
        </w:rPr>
        <w:t>4.7 Multimodal AI: Integrating Text, Image, Audio, and Video</w:t>
      </w:r>
    </w:p>
    <w:p w14:paraId="4AC2B1CA" w14:textId="77777777" w:rsidR="00CA2689" w:rsidRPr="00CA2689" w:rsidRDefault="00CA2689" w:rsidP="00CA2689">
      <w:r w:rsidRPr="00CA2689">
        <w:t>Multimodal AI systems process and integrate information across multiple sensory modalities—text, images, audio, video, and sensor data—to achieve holistic understanding that exceeds unimodal capabilities (Chowdhury et al., 2025). Human cognition is inherently multimodal, combining visual, auditory, linguistic, and tactile information to construct coherent representations of the world. Multimodal AI seeks to replicate this integration, enabling systems to understand complex scenes, answer questions about images, generate images from text descriptions, and perform cross-modal reasoning.</w:t>
      </w:r>
    </w:p>
    <w:p w14:paraId="2A2B6C39" w14:textId="77777777" w:rsidR="00CA2689" w:rsidRPr="00CA2689" w:rsidRDefault="00CA2689" w:rsidP="00CA2689">
      <w:r w:rsidRPr="00CA2689">
        <w:t>Vision-language models such as CLIP (Contrastive Language-Image Pre-training) learn joint representations of images and text by training on millions of image-caption pairs (Chowdhury et al., 2025). These models can perform zero-shot image classification by comparing image embeddings to text embeddings of class labels, enabling generalization to novel categories without task-specific training. GPT-4V (GPT-4 with Vision) extends large language model capabilities to visual inputs, enabling the model to answer questions about images, describe visual content, and reason about spatial relationships (Khader et al., 2025).</w:t>
      </w:r>
    </w:p>
    <w:p w14:paraId="5EE39861" w14:textId="77777777" w:rsidR="00CA2689" w:rsidRPr="00CA2689" w:rsidRDefault="00CA2689" w:rsidP="00CA2689">
      <w:r w:rsidRPr="00CA2689">
        <w:t>Google's Gemini represents a natively multimodal architecture trained jointly on text, images, audio, and video from the outset, rather than combining separately trained unimodal models (Chowdhury et al., 2025). This approach enables more seamless cross-modal reasoning and reduces the need for modality-specific preprocessing. Gemini demonstrates capabilities including video understanding (</w:t>
      </w:r>
      <w:proofErr w:type="spellStart"/>
      <w:r w:rsidRPr="00CA2689">
        <w:t>analyzing</w:t>
      </w:r>
      <w:proofErr w:type="spellEnd"/>
      <w:r w:rsidRPr="00CA2689">
        <w:t xml:space="preserve"> temporal </w:t>
      </w:r>
      <w:r w:rsidRPr="00CA2689">
        <w:lastRenderedPageBreak/>
        <w:t>sequences of frames), audio-visual speech recognition (combining lip movements with audio), and multimodal dialogue (discussing images, videos, and documents in natural conversation).</w:t>
      </w:r>
    </w:p>
    <w:p w14:paraId="5C599AA0" w14:textId="77777777" w:rsidR="00CA2689" w:rsidRPr="00CA2689" w:rsidRDefault="00CA2689" w:rsidP="00CA2689">
      <w:r w:rsidRPr="00CA2689">
        <w:t xml:space="preserve">Healthcare diagnostics exemplify high-impact applications of Multimodal AI. Medical diagnosis often requires integrating patient history (text), medical imaging (visual), laboratory results (structured data), and physician notes (text) (Chowdhury et al., 2025). Multimodal models can </w:t>
      </w:r>
      <w:proofErr w:type="spellStart"/>
      <w:r w:rsidRPr="00CA2689">
        <w:t>analyze</w:t>
      </w:r>
      <w:proofErr w:type="spellEnd"/>
      <w:r w:rsidRPr="00CA2689">
        <w:t xml:space="preserve"> chest X-rays alongside patient symptoms and medical history to improve diagnostic accuracy for conditions such as pneumonia, tuberculosis, and lung cancer. In radiology, models combine CT scans, MRI images, and clinical notes to detect </w:t>
      </w:r>
      <w:proofErr w:type="spellStart"/>
      <w:r w:rsidRPr="00CA2689">
        <w:t>tumors</w:t>
      </w:r>
      <w:proofErr w:type="spellEnd"/>
      <w:r w:rsidRPr="00CA2689">
        <w:t>, assess disease progression, and recommend treatment options.</w:t>
      </w:r>
    </w:p>
    <w:p w14:paraId="748DE0B6" w14:textId="77777777" w:rsidR="00CA2689" w:rsidRPr="00CA2689" w:rsidRDefault="00CA2689" w:rsidP="00CA2689">
      <w:r w:rsidRPr="00CA2689">
        <w:t>Autonomous vehicles rely fundamentally on multimodal perception, fusing data from cameras (visual), LiDAR (3D spatial), radar (motion and distance), GPS (location), and inertial measurement units (acceleration and orientation) to construct comprehensive environmental models (Chowdhury et al., 2025). Multimodal fusion enables robust perception under diverse conditions—cameras provide rich visual detail but fail in darkness, LiDAR provides precise depth but struggles with reflective surfaces, and radar penetrates fog and rain. Combining modalities compensates for individual sensor limitations and improves safety-critical decision-making.</w:t>
      </w:r>
    </w:p>
    <w:p w14:paraId="01F2983D" w14:textId="77777777" w:rsidR="00CA2689" w:rsidRPr="00CA2689" w:rsidRDefault="00CA2689" w:rsidP="00CA2689">
      <w:r w:rsidRPr="00CA2689">
        <w:t>Despite progress, Multimodal AI faces significant challenges. Different modalities exhibit different statistical properties, temporal resolutions, and semantic granularities, complicating integration (Chowdhury et al., 2025). Alignment between modalities—ensuring that visual and linguistic representations refer to the same entities and relationships—remains difficult, particularly for abstract concepts that lack clear visual grounding. Moreover, multimodal models inherit and potentially amplify biases present in training data, with visual stereotypes reinforcing linguistic biases and vice versa.</w:t>
      </w:r>
    </w:p>
    <w:p w14:paraId="52C701D9" w14:textId="77777777" w:rsidR="00CA2689" w:rsidRPr="00CA2689" w:rsidRDefault="00CA2689" w:rsidP="00CA2689">
      <w:pPr>
        <w:rPr>
          <w:b/>
          <w:bCs/>
        </w:rPr>
      </w:pPr>
      <w:r w:rsidRPr="00CA2689">
        <w:rPr>
          <w:b/>
          <w:bCs/>
        </w:rPr>
        <w:t>4.8 Cognitive and Adaptive AI: Reasoning and Self-Improvement</w:t>
      </w:r>
    </w:p>
    <w:p w14:paraId="379EC9B0" w14:textId="77777777" w:rsidR="00CA2689" w:rsidRPr="00CA2689" w:rsidRDefault="00CA2689" w:rsidP="00CA2689">
      <w:r w:rsidRPr="00CA2689">
        <w:t>Cognitive AI refers to systems that exhibit higher-order reasoning capabilities including causal inference, analogical reasoning, counterfactual thinking, and metacognition (Joshi et al., 2025). While current AI systems excel at pattern recognition and statistical association, they struggle with tasks requiring explicit reasoning about cause-and-effect relationships, transfer of knowledge across domains, and reflection on their own cognitive processes. Cognitive AI seeks to bridge this gap by incorporating symbolic reasoning, knowledge representation, and learning mechanisms inspired by human cognitive architecture.</w:t>
      </w:r>
    </w:p>
    <w:p w14:paraId="61AC25F9" w14:textId="77777777" w:rsidR="00CA2689" w:rsidRPr="00CA2689" w:rsidRDefault="00CA2689" w:rsidP="00CA2689">
      <w:r w:rsidRPr="00CA2689">
        <w:t xml:space="preserve">Causal reasoning enables systems to understand not merely correlations but causal relationships—how interventions in one variable affect others (Joshi et al., 2025). This capability is essential for scientific discovery, medical diagnosis, policy analysis, and any domain where understanding mechanisms is crucial. Causal inference frameworks </w:t>
      </w:r>
      <w:r w:rsidRPr="00CA2689">
        <w:lastRenderedPageBreak/>
        <w:t>such as Pearl's do-calculus and structural causal models provide formal tools for representing and reasoning about causality, but integrating these approaches with deep learning remains an active research challenge.</w:t>
      </w:r>
    </w:p>
    <w:p w14:paraId="2439B4C6" w14:textId="77777777" w:rsidR="00CA2689" w:rsidRPr="00CA2689" w:rsidRDefault="00CA2689" w:rsidP="00CA2689">
      <w:r w:rsidRPr="00CA2689">
        <w:t>Analogical reasoning—the ability to recognize structural similarities between superficially different domains and transfer knowledge accordingly—represents another frontier in Cognitive AI (Joshi et al., 2025). Humans routinely use analogies to understand novel situations, solve problems, and communicate complex ideas. AI systems that can identify relevant analogies and adapt solutions from one domain to another would exhibit more flexible, generalizable intelligence.</w:t>
      </w:r>
    </w:p>
    <w:p w14:paraId="54D8D84F" w14:textId="77777777" w:rsidR="00CA2689" w:rsidRPr="00CA2689" w:rsidRDefault="00CA2689" w:rsidP="00CA2689">
      <w:r w:rsidRPr="00CA2689">
        <w:t>Adaptive AI emphasizes continual learning and self-improvement, enabling systems to acquire new knowledge and skills over time without catastrophic forgetting of previously learned information (Chowdhury et al., 2025). Traditional machine learning models are trained on fixed datasets and deployed without further learning, limiting their ability to adapt to changing environments, user preferences, or task requirements. Continual learning approaches such as elastic weight consolidation, progressive neural networks, and memory-augmented architectures enable models to incrementally incorporate new information while preserving existing knowledge.</w:t>
      </w:r>
    </w:p>
    <w:p w14:paraId="1DEF3A60" w14:textId="77777777" w:rsidR="00CA2689" w:rsidRPr="00CA2689" w:rsidRDefault="00CA2689" w:rsidP="00CA2689">
      <w:r w:rsidRPr="00CA2689">
        <w:t>Metacognition—the ability to monitor and regulate one's own cognitive processes—represents an advanced form of adaptive intelligence (Joshi et al., 2025). Metacognitive AI systems would assess their own confidence in predictions, recognize when they lack necessary knowledge, identify when to seek human assistance, and allocate computational resources strategically based on task difficulty. These capabilities are essential for trustworthy AI deployment in high-stakes domains where overconfidence can lead to catastrophic errors.</w:t>
      </w:r>
    </w:p>
    <w:p w14:paraId="7D9F2906" w14:textId="77777777" w:rsidR="00CA2689" w:rsidRPr="00CA2689" w:rsidRDefault="00CA2689" w:rsidP="00CA2689">
      <w:r w:rsidRPr="00CA2689">
        <w:t xml:space="preserve">The path from current AI capabilities to Artificial General Intelligence (AGI)—systems with human-level intelligence across all cognitive domains—remains uncertain and contested (Joshi et al., 2025). Optimists argue that scaling current architectures, improving training algorithms, and integrating symbolic reasoning with neural networks will gradually produce AGI within decades. </w:t>
      </w:r>
      <w:proofErr w:type="spellStart"/>
      <w:r w:rsidRPr="00CA2689">
        <w:t>Skeptics</w:t>
      </w:r>
      <w:proofErr w:type="spellEnd"/>
      <w:r w:rsidRPr="00CA2689">
        <w:t xml:space="preserve"> contend that fundamental breakthroughs in understanding intelligence, consciousness, and </w:t>
      </w:r>
      <w:proofErr w:type="gramStart"/>
      <w:r w:rsidRPr="00CA2689">
        <w:t>common sense</w:t>
      </w:r>
      <w:proofErr w:type="gramEnd"/>
      <w:r w:rsidRPr="00CA2689">
        <w:t xml:space="preserve"> reasoning are required, and that AGI may remain elusive for centuries or prove impossible. Regardless of timeline, the pursuit of Cognitive and Adaptive AI drives research toward more capable, flexible, and human-like artificial intelligence.</w:t>
      </w:r>
    </w:p>
    <w:p w14:paraId="5DF5B534" w14:textId="77777777" w:rsidR="00CA2689" w:rsidRPr="00CA2689" w:rsidRDefault="00CA2689" w:rsidP="00CA2689">
      <w:pPr>
        <w:rPr>
          <w:b/>
          <w:bCs/>
        </w:rPr>
      </w:pPr>
      <w:r w:rsidRPr="00CA2689">
        <w:rPr>
          <w:b/>
          <w:bCs/>
        </w:rPr>
        <w:t>AI Paradigm Comparison Matrix</w:t>
      </w:r>
    </w:p>
    <w:p w14:paraId="363566A1" w14:textId="77777777" w:rsidR="00CA2689" w:rsidRPr="00CA2689" w:rsidRDefault="00CA2689" w:rsidP="00CA2689">
      <w:r w:rsidRPr="00CA2689">
        <w:t>Table 4 synthesizes the defining characteristics, applications, risks, and maturity levels of the seven AI paradigms examined in this section.</w:t>
      </w:r>
    </w:p>
    <w:p w14:paraId="39AF070E" w14:textId="77777777" w:rsidR="00CA2689" w:rsidRPr="00CA2689" w:rsidRDefault="00CA2689" w:rsidP="00CA2689">
      <w:r w:rsidRPr="00CA2689">
        <w:rPr>
          <w:b/>
          <w:bCs/>
        </w:rPr>
        <w:t>Table 4: AI Paradigm Comparison Matrix</w:t>
      </w:r>
    </w:p>
    <w:tbl>
      <w:tblPr>
        <w:tblW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2"/>
        <w:gridCol w:w="2042"/>
        <w:gridCol w:w="1837"/>
        <w:gridCol w:w="2022"/>
        <w:gridCol w:w="1459"/>
      </w:tblGrid>
      <w:tr w:rsidR="00CA2689" w:rsidRPr="00CA2689" w14:paraId="1BF255D3" w14:textId="77777777" w:rsidTr="007A1BB7">
        <w:trPr>
          <w:trHeight w:val="600"/>
          <w:tblHeader/>
        </w:trPr>
        <w:tc>
          <w:tcPr>
            <w:tcW w:w="20" w:type="dxa"/>
            <w:tcMar>
              <w:top w:w="180" w:type="dxa"/>
              <w:left w:w="180" w:type="dxa"/>
              <w:bottom w:w="180" w:type="dxa"/>
              <w:right w:w="180" w:type="dxa"/>
            </w:tcMar>
            <w:vAlign w:val="bottom"/>
            <w:hideMark/>
          </w:tcPr>
          <w:p w14:paraId="0AAE7264" w14:textId="77777777" w:rsidR="00CA2689" w:rsidRPr="00CA2689" w:rsidRDefault="00CA2689" w:rsidP="00CA2689">
            <w:pPr>
              <w:rPr>
                <w:b/>
                <w:bCs/>
              </w:rPr>
            </w:pPr>
            <w:r w:rsidRPr="00CA2689">
              <w:rPr>
                <w:b/>
                <w:bCs/>
              </w:rPr>
              <w:lastRenderedPageBreak/>
              <w:t>Paradigm</w:t>
            </w:r>
          </w:p>
        </w:tc>
        <w:tc>
          <w:tcPr>
            <w:tcW w:w="20" w:type="dxa"/>
            <w:tcMar>
              <w:top w:w="180" w:type="dxa"/>
              <w:left w:w="180" w:type="dxa"/>
              <w:bottom w:w="180" w:type="dxa"/>
              <w:right w:w="180" w:type="dxa"/>
            </w:tcMar>
            <w:vAlign w:val="bottom"/>
            <w:hideMark/>
          </w:tcPr>
          <w:p w14:paraId="616712AF" w14:textId="77777777" w:rsidR="00CA2689" w:rsidRPr="00CA2689" w:rsidRDefault="00CA2689" w:rsidP="00CA2689">
            <w:pPr>
              <w:rPr>
                <w:b/>
                <w:bCs/>
              </w:rPr>
            </w:pPr>
            <w:r w:rsidRPr="00CA2689">
              <w:rPr>
                <w:b/>
                <w:bCs/>
              </w:rPr>
              <w:t>Core Capability</w:t>
            </w:r>
          </w:p>
        </w:tc>
        <w:tc>
          <w:tcPr>
            <w:tcW w:w="20" w:type="dxa"/>
            <w:tcMar>
              <w:top w:w="180" w:type="dxa"/>
              <w:left w:w="180" w:type="dxa"/>
              <w:bottom w:w="180" w:type="dxa"/>
              <w:right w:w="180" w:type="dxa"/>
            </w:tcMar>
            <w:vAlign w:val="bottom"/>
            <w:hideMark/>
          </w:tcPr>
          <w:p w14:paraId="4A44B1CB" w14:textId="77777777" w:rsidR="00CA2689" w:rsidRPr="00CA2689" w:rsidRDefault="00CA2689" w:rsidP="00CA2689">
            <w:pPr>
              <w:rPr>
                <w:b/>
                <w:bCs/>
              </w:rPr>
            </w:pPr>
            <w:r w:rsidRPr="00CA2689">
              <w:rPr>
                <w:b/>
                <w:bCs/>
              </w:rPr>
              <w:t>Key Applications</w:t>
            </w:r>
          </w:p>
        </w:tc>
        <w:tc>
          <w:tcPr>
            <w:tcW w:w="20" w:type="dxa"/>
            <w:tcMar>
              <w:top w:w="180" w:type="dxa"/>
              <w:left w:w="180" w:type="dxa"/>
              <w:bottom w:w="180" w:type="dxa"/>
              <w:right w:w="180" w:type="dxa"/>
            </w:tcMar>
            <w:vAlign w:val="bottom"/>
            <w:hideMark/>
          </w:tcPr>
          <w:p w14:paraId="48659A01" w14:textId="77777777" w:rsidR="00CA2689" w:rsidRPr="00CA2689" w:rsidRDefault="00CA2689" w:rsidP="00CA2689">
            <w:pPr>
              <w:rPr>
                <w:b/>
                <w:bCs/>
              </w:rPr>
            </w:pPr>
            <w:r w:rsidRPr="00CA2689">
              <w:rPr>
                <w:b/>
                <w:bCs/>
              </w:rPr>
              <w:t>Primary Risks</w:t>
            </w:r>
          </w:p>
        </w:tc>
        <w:tc>
          <w:tcPr>
            <w:tcW w:w="20" w:type="dxa"/>
            <w:tcMar>
              <w:top w:w="180" w:type="dxa"/>
              <w:left w:w="180" w:type="dxa"/>
              <w:bottom w:w="180" w:type="dxa"/>
              <w:right w:w="180" w:type="dxa"/>
            </w:tcMar>
            <w:vAlign w:val="bottom"/>
            <w:hideMark/>
          </w:tcPr>
          <w:p w14:paraId="7CD1E95B" w14:textId="77777777" w:rsidR="00CA2689" w:rsidRPr="00CA2689" w:rsidRDefault="00CA2689" w:rsidP="00CA2689">
            <w:pPr>
              <w:rPr>
                <w:b/>
                <w:bCs/>
              </w:rPr>
            </w:pPr>
            <w:r w:rsidRPr="00CA2689">
              <w:rPr>
                <w:b/>
                <w:bCs/>
              </w:rPr>
              <w:t>Maturity Level</w:t>
            </w:r>
          </w:p>
        </w:tc>
      </w:tr>
      <w:tr w:rsidR="00CA2689" w:rsidRPr="00CA2689" w14:paraId="35AD62BF" w14:textId="77777777" w:rsidTr="007A1BB7">
        <w:tc>
          <w:tcPr>
            <w:tcW w:w="20" w:type="dxa"/>
            <w:tcMar>
              <w:top w:w="180" w:type="dxa"/>
              <w:left w:w="180" w:type="dxa"/>
              <w:bottom w:w="180" w:type="dxa"/>
              <w:right w:w="180" w:type="dxa"/>
            </w:tcMar>
            <w:hideMark/>
          </w:tcPr>
          <w:p w14:paraId="3AD34C9B" w14:textId="77777777" w:rsidR="00CA2689" w:rsidRPr="00CA2689" w:rsidRDefault="00CA2689" w:rsidP="00CA2689">
            <w:r w:rsidRPr="00CA2689">
              <w:t>Generative AI</w:t>
            </w:r>
          </w:p>
        </w:tc>
        <w:tc>
          <w:tcPr>
            <w:tcW w:w="20" w:type="dxa"/>
            <w:tcMar>
              <w:top w:w="180" w:type="dxa"/>
              <w:left w:w="180" w:type="dxa"/>
              <w:bottom w:w="180" w:type="dxa"/>
              <w:right w:w="180" w:type="dxa"/>
            </w:tcMar>
            <w:hideMark/>
          </w:tcPr>
          <w:p w14:paraId="572E9EB0" w14:textId="77777777" w:rsidR="00CA2689" w:rsidRPr="00CA2689" w:rsidRDefault="00CA2689" w:rsidP="00CA2689">
            <w:r w:rsidRPr="00CA2689">
              <w:t>Content creation, text/image/code generation</w:t>
            </w:r>
          </w:p>
        </w:tc>
        <w:tc>
          <w:tcPr>
            <w:tcW w:w="20" w:type="dxa"/>
            <w:tcMar>
              <w:top w:w="180" w:type="dxa"/>
              <w:left w:w="180" w:type="dxa"/>
              <w:bottom w:w="180" w:type="dxa"/>
              <w:right w:w="180" w:type="dxa"/>
            </w:tcMar>
            <w:hideMark/>
          </w:tcPr>
          <w:p w14:paraId="328AB19C" w14:textId="77777777" w:rsidR="00CA2689" w:rsidRPr="00CA2689" w:rsidRDefault="00CA2689" w:rsidP="00CA2689">
            <w:r w:rsidRPr="00CA2689">
              <w:t>Writing, design, programming, scientific discovery</w:t>
            </w:r>
          </w:p>
        </w:tc>
        <w:tc>
          <w:tcPr>
            <w:tcW w:w="20" w:type="dxa"/>
            <w:tcMar>
              <w:top w:w="180" w:type="dxa"/>
              <w:left w:w="180" w:type="dxa"/>
              <w:bottom w:w="180" w:type="dxa"/>
              <w:right w:w="180" w:type="dxa"/>
            </w:tcMar>
            <w:hideMark/>
          </w:tcPr>
          <w:p w14:paraId="0DCC8830" w14:textId="77777777" w:rsidR="00CA2689" w:rsidRPr="00CA2689" w:rsidRDefault="00CA2689" w:rsidP="00CA2689">
            <w:r w:rsidRPr="00CA2689">
              <w:t>Hallucinations, misinformation, IP violations, bias</w:t>
            </w:r>
          </w:p>
        </w:tc>
        <w:tc>
          <w:tcPr>
            <w:tcW w:w="20" w:type="dxa"/>
            <w:tcMar>
              <w:top w:w="180" w:type="dxa"/>
              <w:left w:w="180" w:type="dxa"/>
              <w:bottom w:w="180" w:type="dxa"/>
              <w:right w:w="180" w:type="dxa"/>
            </w:tcMar>
            <w:hideMark/>
          </w:tcPr>
          <w:p w14:paraId="7A915D18" w14:textId="77777777" w:rsidR="00CA2689" w:rsidRPr="00CA2689" w:rsidRDefault="00CA2689" w:rsidP="00CA2689">
            <w:r w:rsidRPr="00CA2689">
              <w:t>High (deployed)</w:t>
            </w:r>
          </w:p>
        </w:tc>
      </w:tr>
      <w:tr w:rsidR="00CA2689" w:rsidRPr="00CA2689" w14:paraId="139E1FCF" w14:textId="77777777" w:rsidTr="003B20C9">
        <w:tc>
          <w:tcPr>
            <w:tcW w:w="20" w:type="dxa"/>
            <w:tcMar>
              <w:top w:w="180" w:type="dxa"/>
              <w:left w:w="180" w:type="dxa"/>
              <w:bottom w:w="180" w:type="dxa"/>
              <w:right w:w="180" w:type="dxa"/>
            </w:tcMar>
            <w:hideMark/>
          </w:tcPr>
          <w:p w14:paraId="57B20B22" w14:textId="77777777" w:rsidR="00CA2689" w:rsidRPr="00CA2689" w:rsidRDefault="00CA2689" w:rsidP="00CA2689">
            <w:r w:rsidRPr="00CA2689">
              <w:t>Creative AI</w:t>
            </w:r>
          </w:p>
        </w:tc>
        <w:tc>
          <w:tcPr>
            <w:tcW w:w="20" w:type="dxa"/>
            <w:tcMar>
              <w:top w:w="180" w:type="dxa"/>
              <w:left w:w="180" w:type="dxa"/>
              <w:bottom w:w="180" w:type="dxa"/>
              <w:right w:w="180" w:type="dxa"/>
            </w:tcMar>
            <w:hideMark/>
          </w:tcPr>
          <w:p w14:paraId="6461F7B5" w14:textId="77777777" w:rsidR="00CA2689" w:rsidRPr="00CA2689" w:rsidRDefault="00CA2689" w:rsidP="00CA2689">
            <w:r w:rsidRPr="00CA2689">
              <w:t>Artistic innovation, aesthetic generation</w:t>
            </w:r>
          </w:p>
        </w:tc>
        <w:tc>
          <w:tcPr>
            <w:tcW w:w="20" w:type="dxa"/>
            <w:tcMar>
              <w:top w:w="180" w:type="dxa"/>
              <w:left w:w="180" w:type="dxa"/>
              <w:bottom w:w="180" w:type="dxa"/>
              <w:right w:w="180" w:type="dxa"/>
            </w:tcMar>
            <w:hideMark/>
          </w:tcPr>
          <w:p w14:paraId="1D68CB39" w14:textId="77777777" w:rsidR="00CA2689" w:rsidRPr="00CA2689" w:rsidRDefault="00CA2689" w:rsidP="00CA2689">
            <w:r w:rsidRPr="00CA2689">
              <w:t>Visual arts, music, design, entertainment</w:t>
            </w:r>
          </w:p>
        </w:tc>
        <w:tc>
          <w:tcPr>
            <w:tcW w:w="20" w:type="dxa"/>
            <w:tcMar>
              <w:top w:w="180" w:type="dxa"/>
              <w:left w:w="180" w:type="dxa"/>
              <w:bottom w:w="180" w:type="dxa"/>
              <w:right w:w="180" w:type="dxa"/>
            </w:tcMar>
            <w:hideMark/>
          </w:tcPr>
          <w:p w14:paraId="584915D5" w14:textId="77777777" w:rsidR="00CA2689" w:rsidRPr="00CA2689" w:rsidRDefault="00CA2689" w:rsidP="00CA2689">
            <w:r w:rsidRPr="00CA2689">
              <w:t>Authorship disputes, cultural homogenization</w:t>
            </w:r>
          </w:p>
        </w:tc>
        <w:tc>
          <w:tcPr>
            <w:tcW w:w="20" w:type="dxa"/>
            <w:tcMar>
              <w:top w:w="180" w:type="dxa"/>
              <w:left w:w="180" w:type="dxa"/>
              <w:bottom w:w="180" w:type="dxa"/>
              <w:right w:w="180" w:type="dxa"/>
            </w:tcMar>
            <w:hideMark/>
          </w:tcPr>
          <w:p w14:paraId="06D77B34" w14:textId="77777777" w:rsidR="00CA2689" w:rsidRPr="00CA2689" w:rsidRDefault="00CA2689" w:rsidP="00CA2689">
            <w:r w:rsidRPr="00CA2689">
              <w:t>Medium (emerging)</w:t>
            </w:r>
          </w:p>
        </w:tc>
      </w:tr>
      <w:tr w:rsidR="00CA2689" w:rsidRPr="00CA2689" w14:paraId="0F4BFA79" w14:textId="77777777" w:rsidTr="003B20C9">
        <w:tc>
          <w:tcPr>
            <w:tcW w:w="20" w:type="dxa"/>
            <w:tcMar>
              <w:top w:w="180" w:type="dxa"/>
              <w:left w:w="180" w:type="dxa"/>
              <w:bottom w:w="180" w:type="dxa"/>
              <w:right w:w="180" w:type="dxa"/>
            </w:tcMar>
            <w:hideMark/>
          </w:tcPr>
          <w:p w14:paraId="3436F83B" w14:textId="77777777" w:rsidR="00CA2689" w:rsidRPr="00CA2689" w:rsidRDefault="00CA2689" w:rsidP="00CA2689">
            <w:r w:rsidRPr="00CA2689">
              <w:t>Emotional AI</w:t>
            </w:r>
          </w:p>
        </w:tc>
        <w:tc>
          <w:tcPr>
            <w:tcW w:w="20" w:type="dxa"/>
            <w:tcMar>
              <w:top w:w="180" w:type="dxa"/>
              <w:left w:w="180" w:type="dxa"/>
              <w:bottom w:w="180" w:type="dxa"/>
              <w:right w:w="180" w:type="dxa"/>
            </w:tcMar>
            <w:hideMark/>
          </w:tcPr>
          <w:p w14:paraId="3BDDB378" w14:textId="77777777" w:rsidR="00CA2689" w:rsidRPr="00CA2689" w:rsidRDefault="00CA2689" w:rsidP="00CA2689">
            <w:r w:rsidRPr="00CA2689">
              <w:t>Emotion recognition, affective response</w:t>
            </w:r>
          </w:p>
        </w:tc>
        <w:tc>
          <w:tcPr>
            <w:tcW w:w="20" w:type="dxa"/>
            <w:tcMar>
              <w:top w:w="180" w:type="dxa"/>
              <w:left w:w="180" w:type="dxa"/>
              <w:bottom w:w="180" w:type="dxa"/>
              <w:right w:w="180" w:type="dxa"/>
            </w:tcMar>
            <w:hideMark/>
          </w:tcPr>
          <w:p w14:paraId="433AD9BC" w14:textId="77777777" w:rsidR="00CA2689" w:rsidRPr="00CA2689" w:rsidRDefault="00CA2689" w:rsidP="00CA2689">
            <w:r w:rsidRPr="00CA2689">
              <w:t>Mental health, education, customer service, HR</w:t>
            </w:r>
          </w:p>
        </w:tc>
        <w:tc>
          <w:tcPr>
            <w:tcW w:w="20" w:type="dxa"/>
            <w:tcMar>
              <w:top w:w="180" w:type="dxa"/>
              <w:left w:w="180" w:type="dxa"/>
              <w:bottom w:w="180" w:type="dxa"/>
              <w:right w:w="180" w:type="dxa"/>
            </w:tcMar>
            <w:hideMark/>
          </w:tcPr>
          <w:p w14:paraId="43BFE4A7" w14:textId="77777777" w:rsidR="00CA2689" w:rsidRPr="00CA2689" w:rsidRDefault="00CA2689" w:rsidP="00CA2689">
            <w:r w:rsidRPr="00CA2689">
              <w:t>Privacy invasion, manipulation, cultural insensitivity</w:t>
            </w:r>
          </w:p>
        </w:tc>
        <w:tc>
          <w:tcPr>
            <w:tcW w:w="20" w:type="dxa"/>
            <w:tcMar>
              <w:top w:w="180" w:type="dxa"/>
              <w:left w:w="180" w:type="dxa"/>
              <w:bottom w:w="180" w:type="dxa"/>
              <w:right w:w="180" w:type="dxa"/>
            </w:tcMar>
            <w:hideMark/>
          </w:tcPr>
          <w:p w14:paraId="33B3AEF7" w14:textId="77777777" w:rsidR="00CA2689" w:rsidRPr="00CA2689" w:rsidRDefault="00CA2689" w:rsidP="00CA2689">
            <w:r w:rsidRPr="00CA2689">
              <w:t>Medium (deployed)</w:t>
            </w:r>
          </w:p>
        </w:tc>
      </w:tr>
      <w:tr w:rsidR="00CA2689" w:rsidRPr="00CA2689" w14:paraId="7372BE3D" w14:textId="77777777" w:rsidTr="003B20C9">
        <w:tc>
          <w:tcPr>
            <w:tcW w:w="20" w:type="dxa"/>
            <w:tcMar>
              <w:top w:w="180" w:type="dxa"/>
              <w:left w:w="180" w:type="dxa"/>
              <w:bottom w:w="180" w:type="dxa"/>
              <w:right w:w="180" w:type="dxa"/>
            </w:tcMar>
            <w:hideMark/>
          </w:tcPr>
          <w:p w14:paraId="70D4A508" w14:textId="77777777" w:rsidR="00CA2689" w:rsidRPr="00CA2689" w:rsidRDefault="00CA2689" w:rsidP="00CA2689">
            <w:r w:rsidRPr="00CA2689">
              <w:t>Social AI</w:t>
            </w:r>
          </w:p>
        </w:tc>
        <w:tc>
          <w:tcPr>
            <w:tcW w:w="20" w:type="dxa"/>
            <w:tcMar>
              <w:top w:w="180" w:type="dxa"/>
              <w:left w:w="180" w:type="dxa"/>
              <w:bottom w:w="180" w:type="dxa"/>
              <w:right w:w="180" w:type="dxa"/>
            </w:tcMar>
            <w:hideMark/>
          </w:tcPr>
          <w:p w14:paraId="28CC2323" w14:textId="77777777" w:rsidR="00CA2689" w:rsidRPr="00CA2689" w:rsidRDefault="00CA2689" w:rsidP="00CA2689">
            <w:r w:rsidRPr="00CA2689">
              <w:t>Social interaction, relationship building</w:t>
            </w:r>
          </w:p>
        </w:tc>
        <w:tc>
          <w:tcPr>
            <w:tcW w:w="20" w:type="dxa"/>
            <w:tcMar>
              <w:top w:w="180" w:type="dxa"/>
              <w:left w:w="180" w:type="dxa"/>
              <w:bottom w:w="180" w:type="dxa"/>
              <w:right w:w="180" w:type="dxa"/>
            </w:tcMar>
            <w:hideMark/>
          </w:tcPr>
          <w:p w14:paraId="3A6CB9AD" w14:textId="77777777" w:rsidR="00CA2689" w:rsidRPr="00CA2689" w:rsidRDefault="00CA2689" w:rsidP="00CA2689">
            <w:r w:rsidRPr="00CA2689">
              <w:t>Virtual companions, CRM, elderly care, negotiation</w:t>
            </w:r>
          </w:p>
        </w:tc>
        <w:tc>
          <w:tcPr>
            <w:tcW w:w="20" w:type="dxa"/>
            <w:tcMar>
              <w:top w:w="180" w:type="dxa"/>
              <w:left w:w="180" w:type="dxa"/>
              <w:bottom w:w="180" w:type="dxa"/>
              <w:right w:w="180" w:type="dxa"/>
            </w:tcMar>
            <w:hideMark/>
          </w:tcPr>
          <w:p w14:paraId="781BF205" w14:textId="77777777" w:rsidR="00CA2689" w:rsidRPr="00CA2689" w:rsidRDefault="00CA2689" w:rsidP="00CA2689">
            <w:r w:rsidRPr="00CA2689">
              <w:t>Manipulation, social isolation, deception</w:t>
            </w:r>
          </w:p>
        </w:tc>
        <w:tc>
          <w:tcPr>
            <w:tcW w:w="20" w:type="dxa"/>
            <w:tcMar>
              <w:top w:w="180" w:type="dxa"/>
              <w:left w:w="180" w:type="dxa"/>
              <w:bottom w:w="180" w:type="dxa"/>
              <w:right w:w="180" w:type="dxa"/>
            </w:tcMar>
            <w:hideMark/>
          </w:tcPr>
          <w:p w14:paraId="6320914A" w14:textId="77777777" w:rsidR="00CA2689" w:rsidRPr="00CA2689" w:rsidRDefault="00CA2689" w:rsidP="00CA2689">
            <w:r w:rsidRPr="00CA2689">
              <w:t>Medium (emerging)</w:t>
            </w:r>
          </w:p>
        </w:tc>
      </w:tr>
      <w:tr w:rsidR="00CA2689" w:rsidRPr="00CA2689" w14:paraId="18758259" w14:textId="77777777" w:rsidTr="003B20C9">
        <w:tc>
          <w:tcPr>
            <w:tcW w:w="20" w:type="dxa"/>
            <w:tcMar>
              <w:top w:w="180" w:type="dxa"/>
              <w:left w:w="180" w:type="dxa"/>
              <w:bottom w:w="180" w:type="dxa"/>
              <w:right w:w="180" w:type="dxa"/>
            </w:tcMar>
            <w:hideMark/>
          </w:tcPr>
          <w:p w14:paraId="13F91BC1" w14:textId="77777777" w:rsidR="00CA2689" w:rsidRPr="00CA2689" w:rsidRDefault="00CA2689" w:rsidP="00CA2689">
            <w:r w:rsidRPr="00CA2689">
              <w:t>Agentic AI</w:t>
            </w:r>
          </w:p>
        </w:tc>
        <w:tc>
          <w:tcPr>
            <w:tcW w:w="20" w:type="dxa"/>
            <w:tcMar>
              <w:top w:w="180" w:type="dxa"/>
              <w:left w:w="180" w:type="dxa"/>
              <w:bottom w:w="180" w:type="dxa"/>
              <w:right w:w="180" w:type="dxa"/>
            </w:tcMar>
            <w:hideMark/>
          </w:tcPr>
          <w:p w14:paraId="56AA7CAD" w14:textId="77777777" w:rsidR="00CA2689" w:rsidRPr="00CA2689" w:rsidRDefault="00CA2689" w:rsidP="00CA2689">
            <w:r w:rsidRPr="00CA2689">
              <w:t>Autonomous goal pursuit, multi-step reasoning</w:t>
            </w:r>
          </w:p>
        </w:tc>
        <w:tc>
          <w:tcPr>
            <w:tcW w:w="20" w:type="dxa"/>
            <w:tcMar>
              <w:top w:w="180" w:type="dxa"/>
              <w:left w:w="180" w:type="dxa"/>
              <w:bottom w:w="180" w:type="dxa"/>
              <w:right w:w="180" w:type="dxa"/>
            </w:tcMar>
            <w:hideMark/>
          </w:tcPr>
          <w:p w14:paraId="657DD036" w14:textId="77777777" w:rsidR="00CA2689" w:rsidRPr="00CA2689" w:rsidRDefault="00CA2689" w:rsidP="00CA2689">
            <w:r w:rsidRPr="00CA2689">
              <w:t>Software development, legal research, enterprise automation</w:t>
            </w:r>
          </w:p>
        </w:tc>
        <w:tc>
          <w:tcPr>
            <w:tcW w:w="20" w:type="dxa"/>
            <w:tcMar>
              <w:top w:w="180" w:type="dxa"/>
              <w:left w:w="180" w:type="dxa"/>
              <w:bottom w:w="180" w:type="dxa"/>
              <w:right w:w="180" w:type="dxa"/>
            </w:tcMar>
            <w:hideMark/>
          </w:tcPr>
          <w:p w14:paraId="26A99FE1" w14:textId="77777777" w:rsidR="00CA2689" w:rsidRPr="00CA2689" w:rsidRDefault="00CA2689" w:rsidP="00CA2689">
            <w:r w:rsidRPr="00CA2689">
              <w:t>Misalignment, unintended consequences, loss of control</w:t>
            </w:r>
          </w:p>
        </w:tc>
        <w:tc>
          <w:tcPr>
            <w:tcW w:w="20" w:type="dxa"/>
            <w:tcMar>
              <w:top w:w="180" w:type="dxa"/>
              <w:left w:w="180" w:type="dxa"/>
              <w:bottom w:w="180" w:type="dxa"/>
              <w:right w:w="180" w:type="dxa"/>
            </w:tcMar>
            <w:hideMark/>
          </w:tcPr>
          <w:p w14:paraId="546742AB" w14:textId="77777777" w:rsidR="00CA2689" w:rsidRPr="00CA2689" w:rsidRDefault="00CA2689" w:rsidP="00CA2689">
            <w:r w:rsidRPr="00CA2689">
              <w:t>Low (research)</w:t>
            </w:r>
          </w:p>
        </w:tc>
      </w:tr>
      <w:tr w:rsidR="00CA2689" w:rsidRPr="00CA2689" w14:paraId="172DA921" w14:textId="77777777" w:rsidTr="003B20C9">
        <w:tc>
          <w:tcPr>
            <w:tcW w:w="20" w:type="dxa"/>
            <w:tcMar>
              <w:top w:w="180" w:type="dxa"/>
              <w:left w:w="180" w:type="dxa"/>
              <w:bottom w:w="180" w:type="dxa"/>
              <w:right w:w="180" w:type="dxa"/>
            </w:tcMar>
            <w:hideMark/>
          </w:tcPr>
          <w:p w14:paraId="6F165D35" w14:textId="77777777" w:rsidR="00CA2689" w:rsidRPr="00CA2689" w:rsidRDefault="00CA2689" w:rsidP="00CA2689">
            <w:r w:rsidRPr="00CA2689">
              <w:t>Multimodal AI</w:t>
            </w:r>
          </w:p>
        </w:tc>
        <w:tc>
          <w:tcPr>
            <w:tcW w:w="20" w:type="dxa"/>
            <w:tcMar>
              <w:top w:w="180" w:type="dxa"/>
              <w:left w:w="180" w:type="dxa"/>
              <w:bottom w:w="180" w:type="dxa"/>
              <w:right w:w="180" w:type="dxa"/>
            </w:tcMar>
            <w:hideMark/>
          </w:tcPr>
          <w:p w14:paraId="4802A208" w14:textId="77777777" w:rsidR="00CA2689" w:rsidRPr="00CA2689" w:rsidRDefault="00CA2689" w:rsidP="00CA2689">
            <w:r w:rsidRPr="00CA2689">
              <w:t xml:space="preserve">Cross-modal integration, </w:t>
            </w:r>
            <w:r w:rsidRPr="00CA2689">
              <w:lastRenderedPageBreak/>
              <w:t>holistic understanding</w:t>
            </w:r>
          </w:p>
        </w:tc>
        <w:tc>
          <w:tcPr>
            <w:tcW w:w="20" w:type="dxa"/>
            <w:tcMar>
              <w:top w:w="180" w:type="dxa"/>
              <w:left w:w="180" w:type="dxa"/>
              <w:bottom w:w="180" w:type="dxa"/>
              <w:right w:w="180" w:type="dxa"/>
            </w:tcMar>
            <w:hideMark/>
          </w:tcPr>
          <w:p w14:paraId="280ED66A" w14:textId="77777777" w:rsidR="00CA2689" w:rsidRPr="00CA2689" w:rsidRDefault="00CA2689" w:rsidP="00CA2689">
            <w:r w:rsidRPr="00CA2689">
              <w:lastRenderedPageBreak/>
              <w:t xml:space="preserve">Healthcare diagnostics, autonomous </w:t>
            </w:r>
            <w:r w:rsidRPr="00CA2689">
              <w:lastRenderedPageBreak/>
              <w:t>vehicles, robotics</w:t>
            </w:r>
          </w:p>
        </w:tc>
        <w:tc>
          <w:tcPr>
            <w:tcW w:w="20" w:type="dxa"/>
            <w:tcMar>
              <w:top w:w="180" w:type="dxa"/>
              <w:left w:w="180" w:type="dxa"/>
              <w:bottom w:w="180" w:type="dxa"/>
              <w:right w:w="180" w:type="dxa"/>
            </w:tcMar>
            <w:hideMark/>
          </w:tcPr>
          <w:p w14:paraId="5C445B40" w14:textId="77777777" w:rsidR="00CA2689" w:rsidRPr="00CA2689" w:rsidRDefault="00CA2689" w:rsidP="00CA2689">
            <w:r w:rsidRPr="00CA2689">
              <w:lastRenderedPageBreak/>
              <w:t xml:space="preserve">Amplified bias, sensor fusion </w:t>
            </w:r>
            <w:r w:rsidRPr="00CA2689">
              <w:lastRenderedPageBreak/>
              <w:t>errors, safety failures</w:t>
            </w:r>
          </w:p>
        </w:tc>
        <w:tc>
          <w:tcPr>
            <w:tcW w:w="20" w:type="dxa"/>
            <w:tcMar>
              <w:top w:w="180" w:type="dxa"/>
              <w:left w:w="180" w:type="dxa"/>
              <w:bottom w:w="180" w:type="dxa"/>
              <w:right w:w="180" w:type="dxa"/>
            </w:tcMar>
            <w:hideMark/>
          </w:tcPr>
          <w:p w14:paraId="456D8FAD" w14:textId="77777777" w:rsidR="00CA2689" w:rsidRPr="00CA2689" w:rsidRDefault="00CA2689" w:rsidP="00CA2689">
            <w:r w:rsidRPr="00CA2689">
              <w:lastRenderedPageBreak/>
              <w:t>Medium (deployed)</w:t>
            </w:r>
          </w:p>
        </w:tc>
      </w:tr>
      <w:tr w:rsidR="00CA2689" w:rsidRPr="00CA2689" w14:paraId="0DB5080B" w14:textId="77777777" w:rsidTr="003B20C9">
        <w:tc>
          <w:tcPr>
            <w:tcW w:w="20" w:type="dxa"/>
            <w:tcMar>
              <w:top w:w="180" w:type="dxa"/>
              <w:left w:w="180" w:type="dxa"/>
              <w:bottom w:w="180" w:type="dxa"/>
              <w:right w:w="180" w:type="dxa"/>
            </w:tcMar>
            <w:hideMark/>
          </w:tcPr>
          <w:p w14:paraId="4DBE2331" w14:textId="77777777" w:rsidR="00CA2689" w:rsidRPr="00CA2689" w:rsidRDefault="00CA2689" w:rsidP="00CA2689">
            <w:r w:rsidRPr="00CA2689">
              <w:t>Cognitive AI</w:t>
            </w:r>
          </w:p>
        </w:tc>
        <w:tc>
          <w:tcPr>
            <w:tcW w:w="20" w:type="dxa"/>
            <w:tcMar>
              <w:top w:w="180" w:type="dxa"/>
              <w:left w:w="180" w:type="dxa"/>
              <w:bottom w:w="180" w:type="dxa"/>
              <w:right w:w="180" w:type="dxa"/>
            </w:tcMar>
            <w:hideMark/>
          </w:tcPr>
          <w:p w14:paraId="1258DE3A" w14:textId="77777777" w:rsidR="00CA2689" w:rsidRPr="00CA2689" w:rsidRDefault="00CA2689" w:rsidP="00CA2689">
            <w:r w:rsidRPr="00CA2689">
              <w:t>Causal reasoning, analogical thinking, metacognition</w:t>
            </w:r>
          </w:p>
        </w:tc>
        <w:tc>
          <w:tcPr>
            <w:tcW w:w="20" w:type="dxa"/>
            <w:tcMar>
              <w:top w:w="180" w:type="dxa"/>
              <w:left w:w="180" w:type="dxa"/>
              <w:bottom w:w="180" w:type="dxa"/>
              <w:right w:w="180" w:type="dxa"/>
            </w:tcMar>
            <w:hideMark/>
          </w:tcPr>
          <w:p w14:paraId="76521F39" w14:textId="77777777" w:rsidR="00CA2689" w:rsidRPr="00CA2689" w:rsidRDefault="00CA2689" w:rsidP="00CA2689">
            <w:r w:rsidRPr="00CA2689">
              <w:t>Scientific discovery, strategic planning, AGI research</w:t>
            </w:r>
          </w:p>
        </w:tc>
        <w:tc>
          <w:tcPr>
            <w:tcW w:w="20" w:type="dxa"/>
            <w:tcMar>
              <w:top w:w="180" w:type="dxa"/>
              <w:left w:w="180" w:type="dxa"/>
              <w:bottom w:w="180" w:type="dxa"/>
              <w:right w:w="180" w:type="dxa"/>
            </w:tcMar>
            <w:hideMark/>
          </w:tcPr>
          <w:p w14:paraId="4784CAD6" w14:textId="77777777" w:rsidR="00CA2689" w:rsidRPr="00CA2689" w:rsidRDefault="00CA2689" w:rsidP="00CA2689">
            <w:r w:rsidRPr="00CA2689">
              <w:t xml:space="preserve">Unpredictable </w:t>
            </w:r>
            <w:proofErr w:type="spellStart"/>
            <w:r w:rsidRPr="00CA2689">
              <w:t>behavior</w:t>
            </w:r>
            <w:proofErr w:type="spellEnd"/>
            <w:r w:rsidRPr="00CA2689">
              <w:t>, existential risk (AGI)</w:t>
            </w:r>
          </w:p>
        </w:tc>
        <w:tc>
          <w:tcPr>
            <w:tcW w:w="20" w:type="dxa"/>
            <w:tcMar>
              <w:top w:w="180" w:type="dxa"/>
              <w:left w:w="180" w:type="dxa"/>
              <w:bottom w:w="180" w:type="dxa"/>
              <w:right w:w="180" w:type="dxa"/>
            </w:tcMar>
            <w:hideMark/>
          </w:tcPr>
          <w:p w14:paraId="4C665AC5" w14:textId="77777777" w:rsidR="00CA2689" w:rsidRPr="00CA2689" w:rsidRDefault="00CA2689" w:rsidP="00CA2689">
            <w:r w:rsidRPr="00CA2689">
              <w:t>Low (research)</w:t>
            </w:r>
          </w:p>
        </w:tc>
      </w:tr>
    </w:tbl>
    <w:p w14:paraId="1BE02D02" w14:textId="77777777" w:rsidR="00B61BA0" w:rsidRDefault="00B61BA0" w:rsidP="00CA2689"/>
    <w:p w14:paraId="7502449E" w14:textId="00F04052" w:rsidR="00CA2689" w:rsidRPr="00CA2689" w:rsidRDefault="00CA2689" w:rsidP="00CA2689">
      <w:r w:rsidRPr="00CA2689">
        <w:t>This comparative analysis reveals that Generative AI has achieved the highest maturity and widest deployment, while Agentic AI and Cognitive AI remain primarily in research stages with significant safety and alignment challenges. Emotional and Social AI occupy an intermediate position, with deployed applications in specific domains but ongoing concerns about privacy, manipulation, and cultural competence. Multimodal AI demonstrates strong technical progress but faces challenges in bias amplification and safety-critical applications. The convergence of these paradigms—integrating generative capabilities with emotional understanding, agentic autonomy, and cognitive reasoning—represents the frontier of AI research and the pathway toward more general intelligence.</w:t>
      </w:r>
    </w:p>
    <w:p w14:paraId="2CC4A949" w14:textId="77777777" w:rsidR="00CA2689" w:rsidRPr="00CA2689" w:rsidRDefault="00CA2689" w:rsidP="00CA2689">
      <w:pPr>
        <w:rPr>
          <w:b/>
          <w:bCs/>
        </w:rPr>
      </w:pPr>
      <w:r w:rsidRPr="00CA2689">
        <w:rPr>
          <w:b/>
          <w:bCs/>
        </w:rPr>
        <w:t>5. Transparency and Explainability Challenges</w:t>
      </w:r>
    </w:p>
    <w:p w14:paraId="0F9F338F" w14:textId="77777777" w:rsidR="00CA2689" w:rsidRPr="00CA2689" w:rsidRDefault="00CA2689" w:rsidP="00CA2689">
      <w:pPr>
        <w:rPr>
          <w:b/>
          <w:bCs/>
        </w:rPr>
      </w:pPr>
      <w:r w:rsidRPr="00CA2689">
        <w:rPr>
          <w:b/>
          <w:bCs/>
        </w:rPr>
        <w:t>5.1 The Black Box Problem</w:t>
      </w:r>
    </w:p>
    <w:p w14:paraId="6989A6D9" w14:textId="77777777" w:rsidR="00CA2689" w:rsidRPr="00CA2689" w:rsidRDefault="00CA2689" w:rsidP="00CA2689">
      <w:r w:rsidRPr="00CA2689">
        <w:t>The Black Box problem refers to the fundamental opacity of deep neural networks, where the mapping from inputs to outputs involves millions or billions of parameters organized in complex, non-linear transformations that resist human interpretation (Kabir et al., 2025). While these models achieve remarkable predictive accuracy on tasks ranging from image classification to natural language understanding, their decision-making processes remain largely inscrutable to users, developers, and even the researchers who design them. This opacity creates a trust deficit that impedes adoption in high-stakes domains where accountability, safety, and regulatory compliance demand transparent, justifiable decisions (Mersha et al., 2024).</w:t>
      </w:r>
    </w:p>
    <w:p w14:paraId="60D2D1FC" w14:textId="77777777" w:rsidR="00CA2689" w:rsidRPr="00CA2689" w:rsidRDefault="00CA2689" w:rsidP="00CA2689">
      <w:r w:rsidRPr="00CA2689">
        <w:t xml:space="preserve">The Black Box problem arises from several interrelated factors. First, deep neural networks employ distributed representations where information is encoded across many neurons rather than localized in interpretable features (Muia et al., 2025). A single </w:t>
      </w:r>
      <w:r w:rsidRPr="00CA2689">
        <w:lastRenderedPageBreak/>
        <w:t xml:space="preserve">neuron's activation has no clear semantic meaning, and understanding model </w:t>
      </w:r>
      <w:proofErr w:type="spellStart"/>
      <w:r w:rsidRPr="00CA2689">
        <w:t>behavior</w:t>
      </w:r>
      <w:proofErr w:type="spellEnd"/>
      <w:r w:rsidRPr="00CA2689">
        <w:t xml:space="preserve"> requires </w:t>
      </w:r>
      <w:proofErr w:type="spellStart"/>
      <w:r w:rsidRPr="00CA2689">
        <w:t>analyzing</w:t>
      </w:r>
      <w:proofErr w:type="spellEnd"/>
      <w:r w:rsidRPr="00CA2689">
        <w:t xml:space="preserve"> complex patterns of activation across layers. Second, the training process optimizes for predictive accuracy without regard for interpretability, often producing solutions that exploit spurious correlations or dataset artifacts rather than learning robust, generalizable concepts (Kabir et al., 2025). Third, the sheer scale of modern models—GPT-4 reportedly contains over one trillion parameters—makes exhaustive analysis computationally infeasible and cognitively overwhelming.</w:t>
      </w:r>
    </w:p>
    <w:p w14:paraId="12CE93C1" w14:textId="77777777" w:rsidR="00CA2689" w:rsidRPr="00CA2689" w:rsidRDefault="00CA2689" w:rsidP="00CA2689">
      <w:r w:rsidRPr="00CA2689">
        <w:t>The consequences of opacity are profound. In healthcare, physicians are reluctant to trust AI diagnostic recommendations they cannot understand or verify, limiting adoption of potentially life-saving technologies (Mersha et al., 2024). In finance, regulators require lenders to explain credit decisions to applicants, but black box models cannot provide legally sufficient justifications for denials. In criminal justice, defendants have a right to understand the basis for risk assessments that influence sentencing and parole decisions, yet recidivism prediction models operate as inscrutable algorithms (Kabir et al., 2025). In autonomous vehicles, the inability to explain why a system made a particular driving decision complicates accident investigation, liability assignment, and safety improvement.</w:t>
      </w:r>
    </w:p>
    <w:p w14:paraId="1A071979" w14:textId="77777777" w:rsidR="00CA2689" w:rsidRPr="00CA2689" w:rsidRDefault="00CA2689" w:rsidP="00CA2689">
      <w:r w:rsidRPr="00CA2689">
        <w:t>Beyond practical concerns, the Black Box problem raises fundamental questions about the nature of understanding and intelligence. Can a system be considered truly intelligent if it cannot explain its reasoning? Does opacity undermine accountability, making it impossible to assign responsibility when AI systems cause harm? Should we accept performance gains from black box models at the cost of interpretability, or should we constrain model complexity to preserve transparency (Muia et al., 2025)? These questions have no easy answers and reflect deep tensions between competing values in AI development.</w:t>
      </w:r>
    </w:p>
    <w:p w14:paraId="1D68FFF1" w14:textId="77777777" w:rsidR="00CA2689" w:rsidRPr="00CA2689" w:rsidRDefault="00CA2689" w:rsidP="00CA2689">
      <w:pPr>
        <w:rPr>
          <w:b/>
          <w:bCs/>
        </w:rPr>
      </w:pPr>
      <w:r w:rsidRPr="00CA2689">
        <w:rPr>
          <w:b/>
          <w:bCs/>
        </w:rPr>
        <w:t>5.2 Explainable AI (XAI): Techniques and Approaches</w:t>
      </w:r>
    </w:p>
    <w:p w14:paraId="602F70E1" w14:textId="77777777" w:rsidR="00CA2689" w:rsidRPr="00CA2689" w:rsidRDefault="00CA2689" w:rsidP="00CA2689">
      <w:r w:rsidRPr="00CA2689">
        <w:t>Explainable AI (XAI) encompasses a diverse set of techniques designed to make AI decision-making transparent, interpretable, and justifiable to human stakeholders (Kabir et al., 2025). XAI methods can be categorized along several dimensions: model-agnostic versus model-specific, local versus global explanations, and post-hoc versus intrinsically interpretable approaches.</w:t>
      </w:r>
    </w:p>
    <w:p w14:paraId="170A47A6" w14:textId="77777777" w:rsidR="00CA2689" w:rsidRPr="00CA2689" w:rsidRDefault="00CA2689" w:rsidP="00CA2689">
      <w:r w:rsidRPr="00CA2689">
        <w:rPr>
          <w:b/>
          <w:bCs/>
        </w:rPr>
        <w:t>SHAP (</w:t>
      </w:r>
      <w:proofErr w:type="spellStart"/>
      <w:r w:rsidRPr="00CA2689">
        <w:rPr>
          <w:b/>
          <w:bCs/>
        </w:rPr>
        <w:t>SHapley</w:t>
      </w:r>
      <w:proofErr w:type="spellEnd"/>
      <w:r w:rsidRPr="00CA2689">
        <w:rPr>
          <w:b/>
          <w:bCs/>
        </w:rPr>
        <w:t xml:space="preserve"> Additive </w:t>
      </w:r>
      <w:proofErr w:type="spellStart"/>
      <w:r w:rsidRPr="00CA2689">
        <w:rPr>
          <w:b/>
          <w:bCs/>
        </w:rPr>
        <w:t>exPlanations</w:t>
      </w:r>
      <w:proofErr w:type="spellEnd"/>
      <w:r w:rsidRPr="00CA2689">
        <w:rPr>
          <w:b/>
          <w:bCs/>
        </w:rPr>
        <w:t>)</w:t>
      </w:r>
      <w:r w:rsidRPr="00CA2689">
        <w:t xml:space="preserve"> is a model-agnostic method that assigns each input feature an importance value for a particular prediction based on cooperative game theory (Lundberg &amp; Lee, 2017). SHAP values satisfy desirable properties including local accuracy, missingness, and consistency, providing theoretically grounded feature attributions. For a given prediction, SHAP computes the marginal contribution of each feature by comparing model outputs with and without that feature across all possible feature combinations. The resulting values indicate which features pushed the </w:t>
      </w:r>
      <w:r w:rsidRPr="00CA2689">
        <w:lastRenderedPageBreak/>
        <w:t>prediction higher or lower relative to a baseline. SHAP has been widely adopted in healthcare for explaining disease risk predictions, in finance for credit scoring transparency, and in natural language processing for understanding sentiment classification (Kabir et al., 2025).</w:t>
      </w:r>
    </w:p>
    <w:p w14:paraId="006B71F7" w14:textId="77777777" w:rsidR="00CA2689" w:rsidRPr="00CA2689" w:rsidRDefault="00CA2689" w:rsidP="00CA2689">
      <w:r w:rsidRPr="00CA2689">
        <w:rPr>
          <w:b/>
          <w:bCs/>
        </w:rPr>
        <w:t>LIME (Local Interpretable Model-agnostic Explanations)</w:t>
      </w:r>
      <w:r w:rsidRPr="00CA2689">
        <w:t xml:space="preserve"> generates explanations by approximating a complex model's </w:t>
      </w:r>
      <w:proofErr w:type="spellStart"/>
      <w:r w:rsidRPr="00CA2689">
        <w:t>behavior</w:t>
      </w:r>
      <w:proofErr w:type="spellEnd"/>
      <w:r w:rsidRPr="00CA2689">
        <w:t xml:space="preserve"> locally with a simpler, interpretable model such as linear regression or decision trees (Ribeiro et al., 2016). For a given instance, LIME perturbs the input by sampling nearby points, obtains predictions from the black box model, and fits an interpretable model to these local predictions. The resulting explanation identifies which features were most influential for that specific prediction. </w:t>
      </w:r>
      <w:proofErr w:type="spellStart"/>
      <w:r w:rsidRPr="00CA2689">
        <w:t>LIME's</w:t>
      </w:r>
      <w:proofErr w:type="spellEnd"/>
      <w:r w:rsidRPr="00CA2689">
        <w:t xml:space="preserve"> model-agnostic nature enables application to any classifier, but explanations are inherently local and may not reflect global model </w:t>
      </w:r>
      <w:proofErr w:type="spellStart"/>
      <w:r w:rsidRPr="00CA2689">
        <w:t>behavior</w:t>
      </w:r>
      <w:proofErr w:type="spellEnd"/>
      <w:r w:rsidRPr="00CA2689">
        <w:t xml:space="preserve"> (Muia et al., 2025).</w:t>
      </w:r>
    </w:p>
    <w:p w14:paraId="34FFCF39" w14:textId="77777777" w:rsidR="00CA2689" w:rsidRPr="00CA2689" w:rsidRDefault="00CA2689" w:rsidP="00CA2689">
      <w:r w:rsidRPr="00CA2689">
        <w:rPr>
          <w:b/>
          <w:bCs/>
        </w:rPr>
        <w:t>Attention visualization</w:t>
      </w:r>
      <w:r w:rsidRPr="00CA2689">
        <w:t> leverages the attention mechanisms in transformer models to identify which input tokens the model focused on when generating outputs (Kabir et al., 2025). By visualizing attention weights, researchers can trace how information flows through the model and which parts of the input most influenced specific predictions. However, attention weights do not always correspond to feature importance in a causal sense, and high attention does not necessarily imply high influence on the final output (Mersha et al., 2024).</w:t>
      </w:r>
    </w:p>
    <w:p w14:paraId="54BD83EA" w14:textId="77777777" w:rsidR="00CA2689" w:rsidRPr="00CA2689" w:rsidRDefault="00CA2689" w:rsidP="00CA2689">
      <w:r w:rsidRPr="00CA2689">
        <w:rPr>
          <w:b/>
          <w:bCs/>
        </w:rPr>
        <w:t>Counterfactual explanations</w:t>
      </w:r>
      <w:r w:rsidRPr="00CA2689">
        <w:t> describe the minimal changes to input features that would alter the model's prediction to a desired outcome (Muia et al., 2025). For example, a counterfactual explanation for a rejected loan application might state: "If your income were $5,000 higher, your application would have been approved." Counterfactuals provide actionable insights by identifying which features individuals can modify to achieve different outcomes, making them particularly valuable for recourse and fairness applications. However, generating realistic, actionable counterfactuals that respect causal constraints and domain knowledge remains challenging.</w:t>
      </w:r>
    </w:p>
    <w:p w14:paraId="057A94EC" w14:textId="77777777" w:rsidR="00CA2689" w:rsidRPr="00CA2689" w:rsidRDefault="00CA2689" w:rsidP="00CA2689">
      <w:r w:rsidRPr="00CA2689">
        <w:rPr>
          <w:b/>
          <w:bCs/>
        </w:rPr>
        <w:t>Feature importance methods</w:t>
      </w:r>
      <w:r w:rsidRPr="00CA2689">
        <w:t> such as permutation importance, integrated gradients, and saliency maps quantify the contribution of each input feature to model predictions (Kabir et al., 2025). Permutation importance measures the decrease in model performance when a feature's values are randomly shuffled, indicating the feature's predictive value. Integrated gradients compute the gradient of the output with respect to inputs along a path from a baseline to the actual input, providing pixel-level or token-level attributions. Saliency maps highlight regions of images that most influenced classification decisions, enabling visual inspection of model focus.</w:t>
      </w:r>
    </w:p>
    <w:p w14:paraId="4AAFC28D" w14:textId="77777777" w:rsidR="00CA2689" w:rsidRPr="00CA2689" w:rsidRDefault="00CA2689" w:rsidP="00CA2689">
      <w:pPr>
        <w:rPr>
          <w:b/>
          <w:bCs/>
        </w:rPr>
      </w:pPr>
      <w:r w:rsidRPr="00CA2689">
        <w:rPr>
          <w:b/>
          <w:bCs/>
        </w:rPr>
        <w:t>5.3 XAI in High-Stakes Domains</w:t>
      </w:r>
    </w:p>
    <w:p w14:paraId="53C78A7E" w14:textId="77777777" w:rsidR="00CA2689" w:rsidRPr="00CA2689" w:rsidRDefault="00CA2689" w:rsidP="00CA2689">
      <w:r w:rsidRPr="00CA2689">
        <w:lastRenderedPageBreak/>
        <w:t>The deployment of XAI techniques in high-stakes domains reveals both their potential and limitations. In healthcare, XAI supports clinical decision-making by explaining AI diagnostic recommendations, enabling physicians to verify that models rely on medically relevant features rather than spurious correlations (Mersha et al., 2024). For example, SHAP explanations for pneumonia detection models can highlight specific regions of chest X-rays that indicate infection, allowing radiologists to assess whether the model's reasoning aligns with clinical knowledge. However, studies have revealed cases where models achieved high accuracy by exploiting dataset artifacts—such as hospital-specific markers embedded in images—rather than learning genuine disease patterns, underscoring the need for careful explanation validation (Kabir et al., 2025).</w:t>
      </w:r>
    </w:p>
    <w:p w14:paraId="2918D380" w14:textId="77777777" w:rsidR="00CA2689" w:rsidRPr="00CA2689" w:rsidRDefault="00CA2689" w:rsidP="00CA2689">
      <w:r w:rsidRPr="00CA2689">
        <w:t>In finance, credit scoring models must comply with regulations such as the Equal Credit Opportunity Act in the United States and the General Data Protection Regulation (GDPR) in Europe, which grant individuals the right to explanation for automated decisions (Muia et al., 2025). XAI techniques enable lenders to provide applicants with reasons for credit denials, identifying factors such as income, debt-to-income ratio, or credit history that influenced the decision. Counterfactual explanations offer actionable guidance by specifying changes that would result in approval. However, explanations must balance transparency with privacy, avoiding disclosure of proprietary scoring algorithms or sensitive information about other applicants.</w:t>
      </w:r>
    </w:p>
    <w:p w14:paraId="3876932B" w14:textId="77777777" w:rsidR="00CA2689" w:rsidRPr="00CA2689" w:rsidRDefault="00CA2689" w:rsidP="00CA2689">
      <w:r w:rsidRPr="00CA2689">
        <w:t xml:space="preserve">In criminal justice, risk assessment instruments predict recidivism likelihood to inform bail, sentencing, and parole decisions (Kabir et al., 2025). These tools have been criticized for perpetuating racial bias, as historical arrest and conviction data reflect systemic discrimination in policing and prosecution. XAI can expose biased decision patterns by revealing that race-correlated features (such as </w:t>
      </w:r>
      <w:proofErr w:type="spellStart"/>
      <w:r w:rsidRPr="00CA2689">
        <w:t>neighborhood</w:t>
      </w:r>
      <w:proofErr w:type="spellEnd"/>
      <w:r w:rsidRPr="00CA2689">
        <w:t xml:space="preserve"> or prior arrests) disproportionately influence risk scores. However, explanation alone does not eliminate bias; it merely makes bias visible, requiring additional interventions such as fairness constraints, bias mitigation algorithms, and policy reforms to address underlying inequities (Mersha et al., 2024).</w:t>
      </w:r>
    </w:p>
    <w:p w14:paraId="37F89EE8" w14:textId="77777777" w:rsidR="00CA2689" w:rsidRPr="00CA2689" w:rsidRDefault="00CA2689" w:rsidP="00CA2689">
      <w:r w:rsidRPr="00CA2689">
        <w:t xml:space="preserve">In autonomous vehicles, explainability supports accident investigation, safety validation, and public trust (Kabir et al., 2025). When an autonomous vehicle makes an unexpected </w:t>
      </w:r>
      <w:proofErr w:type="spellStart"/>
      <w:r w:rsidRPr="00CA2689">
        <w:t>maneuver</w:t>
      </w:r>
      <w:proofErr w:type="spellEnd"/>
      <w:r w:rsidRPr="00CA2689">
        <w:t xml:space="preserve"> or causes an accident, investigators need to understand what the system perceived, how it interpreted the situation, and why it chose a particular action. Attention visualizations can show which objects the perception system focused on, while counterfactual analysis can identify alternative actions the system considered. However, real-time explainability remains challenging, as generating explanations adds computational overhead that may be incompatible with the millisecond-level response times required for safe driving.</w:t>
      </w:r>
    </w:p>
    <w:p w14:paraId="57F4EC4B" w14:textId="77777777" w:rsidR="00CA2689" w:rsidRPr="00CA2689" w:rsidRDefault="00CA2689" w:rsidP="00CA2689">
      <w:pPr>
        <w:rPr>
          <w:b/>
          <w:bCs/>
        </w:rPr>
      </w:pPr>
      <w:r w:rsidRPr="00CA2689">
        <w:rPr>
          <w:b/>
          <w:bCs/>
        </w:rPr>
        <w:t>5.4 Generative AI Explainability: Unique Challenges</w:t>
      </w:r>
    </w:p>
    <w:p w14:paraId="6A19D40F" w14:textId="77777777" w:rsidR="00CA2689" w:rsidRPr="00CA2689" w:rsidRDefault="00CA2689" w:rsidP="00CA2689">
      <w:r w:rsidRPr="00CA2689">
        <w:lastRenderedPageBreak/>
        <w:t xml:space="preserve">Generative AI introduces unique explainability challenges that distinguish it from discriminative models (Ciubotaru, 2025). First, generative models produce open-ended outputs rather than selecting from predefined classes, making it difficult to define what constitutes an explanation. For a text generation model, should explanations identify which training examples influenced the output, which input tokens were most important, or which internal representations guided generation? Each perspective offers partial </w:t>
      </w:r>
      <w:proofErr w:type="gramStart"/>
      <w:r w:rsidRPr="00CA2689">
        <w:t>insight</w:t>
      </w:r>
      <w:proofErr w:type="gramEnd"/>
      <w:r w:rsidRPr="00CA2689">
        <w:t xml:space="preserve"> but none fully captures the generative process.</w:t>
      </w:r>
    </w:p>
    <w:p w14:paraId="7BE922FB" w14:textId="77777777" w:rsidR="00CA2689" w:rsidRPr="00CA2689" w:rsidRDefault="00CA2689" w:rsidP="00CA2689">
      <w:r w:rsidRPr="00CA2689">
        <w:t xml:space="preserve">Second, hallucinations—the generation of plausible but factually incorrect information—pose a critical explainability challenge (Khader et al., 2025). When a language model confidently asserts false information, users need to understand why the model generated that content and how to detect similar errors in the future. However, hallucinations often arise from the model's training objective (predicting plausible next tokens) rather than specific input features, making them difficult to attribute to </w:t>
      </w:r>
      <w:proofErr w:type="gramStart"/>
      <w:r w:rsidRPr="00CA2689">
        <w:t>particular causes</w:t>
      </w:r>
      <w:proofErr w:type="gramEnd"/>
      <w:r w:rsidRPr="00CA2689">
        <w:t>. Research on hallucination detection and mitigation remains active, with approaches including retrieval-augmented generation (grounding outputs in retrieved documents), uncertainty quantification (estimating model confidence), and adversarial prompting (testing model robustness to misleading inputs) (Ciubotaru, 2025).</w:t>
      </w:r>
    </w:p>
    <w:p w14:paraId="39EFE7BA" w14:textId="77777777" w:rsidR="00CA2689" w:rsidRPr="00CA2689" w:rsidRDefault="00CA2689" w:rsidP="00CA2689">
      <w:r w:rsidRPr="00CA2689">
        <w:t xml:space="preserve">Third, prompt sensitivity—the phenomenon where semantically equivalent prompts produce dramatically different outputs—complicates explanation and reproducibility (Khader et al., 2025). Small changes in phrasing, word order, or formatting can shift model </w:t>
      </w:r>
      <w:proofErr w:type="spellStart"/>
      <w:r w:rsidRPr="00CA2689">
        <w:t>behavior</w:t>
      </w:r>
      <w:proofErr w:type="spellEnd"/>
      <w:r w:rsidRPr="00CA2689">
        <w:t xml:space="preserve"> unpredictably, making it difficult to understand what the model "truly" knows or believes. This sensitivity reflects the model's reliance on surface-level statistical patterns rather than deep semantic </w:t>
      </w:r>
      <w:proofErr w:type="gramStart"/>
      <w:r w:rsidRPr="00CA2689">
        <w:t>understanding, but</w:t>
      </w:r>
      <w:proofErr w:type="gramEnd"/>
      <w:r w:rsidRPr="00CA2689">
        <w:t xml:space="preserve"> explaining why specific phrasings trigger specific </w:t>
      </w:r>
      <w:proofErr w:type="spellStart"/>
      <w:r w:rsidRPr="00CA2689">
        <w:t>behaviors</w:t>
      </w:r>
      <w:proofErr w:type="spellEnd"/>
      <w:r w:rsidRPr="00CA2689">
        <w:t xml:space="preserve"> requires </w:t>
      </w:r>
      <w:proofErr w:type="spellStart"/>
      <w:r w:rsidRPr="00CA2689">
        <w:t>analyzing</w:t>
      </w:r>
      <w:proofErr w:type="spellEnd"/>
      <w:r w:rsidRPr="00CA2689">
        <w:t xml:space="preserve"> high-dimensional activation spaces that resist human interpretation.</w:t>
      </w:r>
    </w:p>
    <w:p w14:paraId="43999DD1" w14:textId="77777777" w:rsidR="00CA2689" w:rsidRPr="00CA2689" w:rsidRDefault="00CA2689" w:rsidP="00CA2689">
      <w:r w:rsidRPr="00CA2689">
        <w:t>Fourth, attribution challenges arise when generative models produce outputs that closely resemble training data, raising questions about plagiarism, copyright infringement, and originality (Khader et al., 2025). Determining whether a generated text or image constitutes a derivative work requires tracing the influence of specific training examples on outputs, but current models do not maintain explicit links between training data and generated content. Membership inference attacks can sometimes identify whether a specific example was in the training set, but attributing output content to specific training examples remains an open problem.</w:t>
      </w:r>
    </w:p>
    <w:p w14:paraId="77482D32" w14:textId="77777777" w:rsidR="00CA2689" w:rsidRPr="00CA2689" w:rsidRDefault="00CA2689" w:rsidP="00CA2689">
      <w:pPr>
        <w:rPr>
          <w:b/>
          <w:bCs/>
        </w:rPr>
      </w:pPr>
      <w:r w:rsidRPr="00CA2689">
        <w:rPr>
          <w:b/>
          <w:bCs/>
        </w:rPr>
        <w:t>5.5 The Explainability-Performance Trade-off</w:t>
      </w:r>
    </w:p>
    <w:p w14:paraId="26FAC1F0" w14:textId="77777777" w:rsidR="00CA2689" w:rsidRPr="00CA2689" w:rsidRDefault="00CA2689" w:rsidP="00CA2689">
      <w:r w:rsidRPr="00CA2689">
        <w:t xml:space="preserve">A fundamental tension exists between model performance and interpretability, often framed as the explainability-performance trade-off (Muia et al., 2025). Simple, interpretable models such as linear regression and decision trees provide transparent </w:t>
      </w:r>
      <w:r w:rsidRPr="00CA2689">
        <w:lastRenderedPageBreak/>
        <w:t>decision rules that humans can easily understand and verify. However, these models lack the representational capacity to capture complex, non-linear patterns in high-dimensional data, limiting their predictive accuracy on challenging tasks. Conversely, deep neural networks achieve state-of-the-art performance by learning intricate feature hierarchies and non-linear transformations, but this complexity renders them opaque.</w:t>
      </w:r>
    </w:p>
    <w:p w14:paraId="7CEEE7E1" w14:textId="77777777" w:rsidR="00CA2689" w:rsidRPr="00CA2689" w:rsidRDefault="00CA2689" w:rsidP="00CA2689">
      <w:r w:rsidRPr="00CA2689">
        <w:t>This trade-off is not absolute; research on intrinsically interpretable models seeks to design architectures that maintain high performance while providing built-in transparency (Kabir et al., 2025). Attention-based models, prototype-based networks, and concept bottleneck models represent promising directions. Attention mechanisms provide some interpretability by highlighting relevant input regions, though attention weights do not always correspond to causal importance. Prototype-based networks classify inputs by comparing them to learned prototypes, enabling explanations of the form "this image is classified as a bird because it resembles these prototypical bird images." Concept bottleneck models force intermediate representations to correspond to human-interpretable concepts, enabling explanations that reference high-level features rather than raw pixels or tokens.</w:t>
      </w:r>
    </w:p>
    <w:p w14:paraId="74429ED1" w14:textId="77777777" w:rsidR="00CA2689" w:rsidRPr="00CA2689" w:rsidRDefault="00CA2689" w:rsidP="00CA2689">
      <w:r w:rsidRPr="00CA2689">
        <w:t>However, even intrinsically interpretable models face limitations. Explanations may be incomplete, highlighting only a subset of relevant factors. They may be misleading, emphasizing features that correlate with outcomes without causing them. They may be too complex for non-expert users to understand, particularly when models involve hundreds of features or concepts. And they may be manipulable, allowing adversaries to game the system by satisfying explanation criteria without genuinely meeting underlying requirements (Mersha et al., 2024).</w:t>
      </w:r>
    </w:p>
    <w:p w14:paraId="3AD3B056" w14:textId="77777777" w:rsidR="00CA2689" w:rsidRPr="00CA2689" w:rsidRDefault="00CA2689" w:rsidP="00CA2689">
      <w:r w:rsidRPr="00CA2689">
        <w:t>The appropriate balance between performance and interpretability depends on application context, risk level, and stakeholder needs (Muia et al., 2025). In low-stakes applications such as movie recommendations or spam filtering, high performance with limited explainability may be acceptable. In high-stakes domains such as medical diagnosis or criminal sentencing, interpretability becomes paramount even at the cost of some performance. Regulatory frameworks increasingly mandate explainability for automated decisions affecting individuals' rights and opportunities, shifting the default toward transparency.</w:t>
      </w:r>
    </w:p>
    <w:p w14:paraId="6620A92F" w14:textId="77777777" w:rsidR="00CA2689" w:rsidRPr="00CA2689" w:rsidRDefault="00CA2689" w:rsidP="00CA2689">
      <w:pPr>
        <w:rPr>
          <w:b/>
          <w:bCs/>
        </w:rPr>
      </w:pPr>
      <w:r w:rsidRPr="00CA2689">
        <w:rPr>
          <w:b/>
          <w:bCs/>
        </w:rPr>
        <w:t>XAI Methods Comparison</w:t>
      </w:r>
    </w:p>
    <w:p w14:paraId="0E075707" w14:textId="77777777" w:rsidR="00CA2689" w:rsidRPr="00CA2689" w:rsidRDefault="00CA2689" w:rsidP="00CA2689">
      <w:r w:rsidRPr="00CA2689">
        <w:t>Table 5 synthesizes the characteristics, strengths, limitations, and application domains of major XAI techniques.</w:t>
      </w:r>
    </w:p>
    <w:p w14:paraId="4AA2710C" w14:textId="77777777" w:rsidR="00CA2689" w:rsidRPr="00CA2689" w:rsidRDefault="00CA2689" w:rsidP="00CA2689">
      <w:r w:rsidRPr="00CA2689">
        <w:rPr>
          <w:b/>
          <w:bCs/>
        </w:rPr>
        <w:t>Table 5: XAI Methods Comparison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1701"/>
        <w:gridCol w:w="1701"/>
        <w:gridCol w:w="2126"/>
        <w:gridCol w:w="1701"/>
      </w:tblGrid>
      <w:tr w:rsidR="00CA2689" w:rsidRPr="00CA2689" w14:paraId="5B9C7CED" w14:textId="77777777" w:rsidTr="007A1BB7">
        <w:trPr>
          <w:trHeight w:val="600"/>
          <w:tblHeader/>
        </w:trPr>
        <w:tc>
          <w:tcPr>
            <w:tcW w:w="1980" w:type="dxa"/>
            <w:tcMar>
              <w:top w:w="180" w:type="dxa"/>
              <w:left w:w="180" w:type="dxa"/>
              <w:bottom w:w="180" w:type="dxa"/>
              <w:right w:w="180" w:type="dxa"/>
            </w:tcMar>
            <w:vAlign w:val="bottom"/>
            <w:hideMark/>
          </w:tcPr>
          <w:p w14:paraId="54D7BA77" w14:textId="77777777" w:rsidR="00CA2689" w:rsidRPr="00CA2689" w:rsidRDefault="00CA2689" w:rsidP="00CA2689">
            <w:pPr>
              <w:rPr>
                <w:b/>
                <w:bCs/>
              </w:rPr>
            </w:pPr>
            <w:r w:rsidRPr="00CA2689">
              <w:rPr>
                <w:b/>
                <w:bCs/>
              </w:rPr>
              <w:lastRenderedPageBreak/>
              <w:t>Method</w:t>
            </w:r>
          </w:p>
        </w:tc>
        <w:tc>
          <w:tcPr>
            <w:tcW w:w="1701" w:type="dxa"/>
            <w:tcMar>
              <w:top w:w="180" w:type="dxa"/>
              <w:left w:w="180" w:type="dxa"/>
              <w:bottom w:w="180" w:type="dxa"/>
              <w:right w:w="180" w:type="dxa"/>
            </w:tcMar>
            <w:vAlign w:val="bottom"/>
            <w:hideMark/>
          </w:tcPr>
          <w:p w14:paraId="731950A7" w14:textId="77777777" w:rsidR="00CA2689" w:rsidRPr="00CA2689" w:rsidRDefault="00CA2689" w:rsidP="00CA2689">
            <w:pPr>
              <w:rPr>
                <w:b/>
                <w:bCs/>
              </w:rPr>
            </w:pPr>
            <w:r w:rsidRPr="00CA2689">
              <w:rPr>
                <w:b/>
                <w:bCs/>
              </w:rPr>
              <w:t>Approach</w:t>
            </w:r>
          </w:p>
        </w:tc>
        <w:tc>
          <w:tcPr>
            <w:tcW w:w="1701" w:type="dxa"/>
            <w:tcMar>
              <w:top w:w="180" w:type="dxa"/>
              <w:left w:w="180" w:type="dxa"/>
              <w:bottom w:w="180" w:type="dxa"/>
              <w:right w:w="180" w:type="dxa"/>
            </w:tcMar>
            <w:vAlign w:val="bottom"/>
            <w:hideMark/>
          </w:tcPr>
          <w:p w14:paraId="2D380650" w14:textId="77777777" w:rsidR="00CA2689" w:rsidRPr="00CA2689" w:rsidRDefault="00CA2689" w:rsidP="00CA2689">
            <w:pPr>
              <w:rPr>
                <w:b/>
                <w:bCs/>
              </w:rPr>
            </w:pPr>
            <w:r w:rsidRPr="00CA2689">
              <w:rPr>
                <w:b/>
                <w:bCs/>
              </w:rPr>
              <w:t>Strengths</w:t>
            </w:r>
          </w:p>
        </w:tc>
        <w:tc>
          <w:tcPr>
            <w:tcW w:w="2126" w:type="dxa"/>
            <w:tcMar>
              <w:top w:w="180" w:type="dxa"/>
              <w:left w:w="180" w:type="dxa"/>
              <w:bottom w:w="180" w:type="dxa"/>
              <w:right w:w="180" w:type="dxa"/>
            </w:tcMar>
            <w:vAlign w:val="bottom"/>
            <w:hideMark/>
          </w:tcPr>
          <w:p w14:paraId="5956F76A" w14:textId="77777777" w:rsidR="00CA2689" w:rsidRPr="00CA2689" w:rsidRDefault="00CA2689" w:rsidP="00CA2689">
            <w:pPr>
              <w:rPr>
                <w:b/>
                <w:bCs/>
              </w:rPr>
            </w:pPr>
            <w:r w:rsidRPr="00CA2689">
              <w:rPr>
                <w:b/>
                <w:bCs/>
              </w:rPr>
              <w:t>Limitations</w:t>
            </w:r>
          </w:p>
        </w:tc>
        <w:tc>
          <w:tcPr>
            <w:tcW w:w="1701" w:type="dxa"/>
            <w:tcMar>
              <w:top w:w="180" w:type="dxa"/>
              <w:left w:w="180" w:type="dxa"/>
              <w:bottom w:w="180" w:type="dxa"/>
              <w:right w:w="180" w:type="dxa"/>
            </w:tcMar>
            <w:vAlign w:val="bottom"/>
            <w:hideMark/>
          </w:tcPr>
          <w:p w14:paraId="785E7ADE" w14:textId="77777777" w:rsidR="00CA2689" w:rsidRPr="00CA2689" w:rsidRDefault="00CA2689" w:rsidP="00CA2689">
            <w:pPr>
              <w:rPr>
                <w:b/>
                <w:bCs/>
              </w:rPr>
            </w:pPr>
            <w:r w:rsidRPr="00CA2689">
              <w:rPr>
                <w:b/>
                <w:bCs/>
              </w:rPr>
              <w:t>Application Domain</w:t>
            </w:r>
          </w:p>
        </w:tc>
      </w:tr>
      <w:tr w:rsidR="00CA2689" w:rsidRPr="00CA2689" w14:paraId="5E5130BD" w14:textId="77777777" w:rsidTr="007A1BB7">
        <w:tc>
          <w:tcPr>
            <w:tcW w:w="1980" w:type="dxa"/>
            <w:tcMar>
              <w:top w:w="180" w:type="dxa"/>
              <w:left w:w="180" w:type="dxa"/>
              <w:bottom w:w="180" w:type="dxa"/>
              <w:right w:w="180" w:type="dxa"/>
            </w:tcMar>
            <w:hideMark/>
          </w:tcPr>
          <w:p w14:paraId="1D7167B1" w14:textId="77777777" w:rsidR="00CA2689" w:rsidRPr="00CA2689" w:rsidRDefault="00CA2689" w:rsidP="00CA2689">
            <w:r w:rsidRPr="00CA2689">
              <w:t>SHAP</w:t>
            </w:r>
          </w:p>
        </w:tc>
        <w:tc>
          <w:tcPr>
            <w:tcW w:w="1701" w:type="dxa"/>
            <w:tcMar>
              <w:top w:w="180" w:type="dxa"/>
              <w:left w:w="180" w:type="dxa"/>
              <w:bottom w:w="180" w:type="dxa"/>
              <w:right w:w="180" w:type="dxa"/>
            </w:tcMar>
            <w:hideMark/>
          </w:tcPr>
          <w:p w14:paraId="22A3B1BE" w14:textId="77777777" w:rsidR="00CA2689" w:rsidRPr="00CA2689" w:rsidRDefault="00CA2689" w:rsidP="00CA2689">
            <w:r w:rsidRPr="00CA2689">
              <w:t>Game-theoretic feature attribution</w:t>
            </w:r>
          </w:p>
        </w:tc>
        <w:tc>
          <w:tcPr>
            <w:tcW w:w="1701" w:type="dxa"/>
            <w:tcMar>
              <w:top w:w="180" w:type="dxa"/>
              <w:left w:w="180" w:type="dxa"/>
              <w:bottom w:w="180" w:type="dxa"/>
              <w:right w:w="180" w:type="dxa"/>
            </w:tcMar>
            <w:hideMark/>
          </w:tcPr>
          <w:p w14:paraId="7CE68197" w14:textId="77777777" w:rsidR="00CA2689" w:rsidRPr="00CA2689" w:rsidRDefault="00CA2689" w:rsidP="00CA2689">
            <w:r w:rsidRPr="00CA2689">
              <w:t>Theoretically grounded, model-agnostic, consistent</w:t>
            </w:r>
          </w:p>
        </w:tc>
        <w:tc>
          <w:tcPr>
            <w:tcW w:w="2126" w:type="dxa"/>
            <w:tcMar>
              <w:top w:w="180" w:type="dxa"/>
              <w:left w:w="180" w:type="dxa"/>
              <w:bottom w:w="180" w:type="dxa"/>
              <w:right w:w="180" w:type="dxa"/>
            </w:tcMar>
            <w:hideMark/>
          </w:tcPr>
          <w:p w14:paraId="32066735" w14:textId="77777777" w:rsidR="00CA2689" w:rsidRPr="00CA2689" w:rsidRDefault="00CA2689" w:rsidP="00CA2689">
            <w:r w:rsidRPr="00CA2689">
              <w:t>Computationally expensive, assumes feature independence</w:t>
            </w:r>
          </w:p>
        </w:tc>
        <w:tc>
          <w:tcPr>
            <w:tcW w:w="1701" w:type="dxa"/>
            <w:tcMar>
              <w:top w:w="180" w:type="dxa"/>
              <w:left w:w="180" w:type="dxa"/>
              <w:bottom w:w="180" w:type="dxa"/>
              <w:right w:w="180" w:type="dxa"/>
            </w:tcMar>
            <w:hideMark/>
          </w:tcPr>
          <w:p w14:paraId="3AB21EB7" w14:textId="77777777" w:rsidR="00CA2689" w:rsidRPr="00CA2689" w:rsidRDefault="00CA2689" w:rsidP="00CA2689">
            <w:r w:rsidRPr="00CA2689">
              <w:t>Healthcare, finance, general ML</w:t>
            </w:r>
          </w:p>
        </w:tc>
      </w:tr>
      <w:tr w:rsidR="00CA2689" w:rsidRPr="00CA2689" w14:paraId="1225455F" w14:textId="77777777" w:rsidTr="007A1BB7">
        <w:tc>
          <w:tcPr>
            <w:tcW w:w="1980" w:type="dxa"/>
            <w:tcMar>
              <w:top w:w="180" w:type="dxa"/>
              <w:left w:w="180" w:type="dxa"/>
              <w:bottom w:w="180" w:type="dxa"/>
              <w:right w:w="180" w:type="dxa"/>
            </w:tcMar>
            <w:hideMark/>
          </w:tcPr>
          <w:p w14:paraId="6BC7AFD4" w14:textId="77777777" w:rsidR="00CA2689" w:rsidRPr="00CA2689" w:rsidRDefault="00CA2689" w:rsidP="00CA2689">
            <w:r w:rsidRPr="00CA2689">
              <w:t>LIME</w:t>
            </w:r>
          </w:p>
        </w:tc>
        <w:tc>
          <w:tcPr>
            <w:tcW w:w="1701" w:type="dxa"/>
            <w:tcMar>
              <w:top w:w="180" w:type="dxa"/>
              <w:left w:w="180" w:type="dxa"/>
              <w:bottom w:w="180" w:type="dxa"/>
              <w:right w:w="180" w:type="dxa"/>
            </w:tcMar>
            <w:hideMark/>
          </w:tcPr>
          <w:p w14:paraId="66B14ACE" w14:textId="77777777" w:rsidR="00CA2689" w:rsidRPr="00CA2689" w:rsidRDefault="00CA2689" w:rsidP="00CA2689">
            <w:r w:rsidRPr="00CA2689">
              <w:t>Local linear approximation</w:t>
            </w:r>
          </w:p>
        </w:tc>
        <w:tc>
          <w:tcPr>
            <w:tcW w:w="1701" w:type="dxa"/>
            <w:tcMar>
              <w:top w:w="180" w:type="dxa"/>
              <w:left w:w="180" w:type="dxa"/>
              <w:bottom w:w="180" w:type="dxa"/>
              <w:right w:w="180" w:type="dxa"/>
            </w:tcMar>
            <w:hideMark/>
          </w:tcPr>
          <w:p w14:paraId="3A8FA52A" w14:textId="77777777" w:rsidR="00CA2689" w:rsidRPr="00CA2689" w:rsidRDefault="00CA2689" w:rsidP="00CA2689">
            <w:r w:rsidRPr="00CA2689">
              <w:t>Model-agnostic, intuitive, fast</w:t>
            </w:r>
          </w:p>
        </w:tc>
        <w:tc>
          <w:tcPr>
            <w:tcW w:w="2126" w:type="dxa"/>
            <w:tcMar>
              <w:top w:w="180" w:type="dxa"/>
              <w:left w:w="180" w:type="dxa"/>
              <w:bottom w:w="180" w:type="dxa"/>
              <w:right w:w="180" w:type="dxa"/>
            </w:tcMar>
            <w:hideMark/>
          </w:tcPr>
          <w:p w14:paraId="33C01E6A" w14:textId="77777777" w:rsidR="00CA2689" w:rsidRPr="00CA2689" w:rsidRDefault="00CA2689" w:rsidP="00CA2689">
            <w:r w:rsidRPr="00CA2689">
              <w:t>Local only, unstable, sampling-dependent</w:t>
            </w:r>
          </w:p>
        </w:tc>
        <w:tc>
          <w:tcPr>
            <w:tcW w:w="1701" w:type="dxa"/>
            <w:tcMar>
              <w:top w:w="180" w:type="dxa"/>
              <w:left w:w="180" w:type="dxa"/>
              <w:bottom w:w="180" w:type="dxa"/>
              <w:right w:w="180" w:type="dxa"/>
            </w:tcMar>
            <w:hideMark/>
          </w:tcPr>
          <w:p w14:paraId="6C5BA065" w14:textId="77777777" w:rsidR="00CA2689" w:rsidRPr="00CA2689" w:rsidRDefault="00CA2689" w:rsidP="00CA2689">
            <w:r w:rsidRPr="00CA2689">
              <w:t>Image classification, NLP, tabular data</w:t>
            </w:r>
          </w:p>
        </w:tc>
      </w:tr>
      <w:tr w:rsidR="00CA2689" w:rsidRPr="00CA2689" w14:paraId="527665B5" w14:textId="77777777" w:rsidTr="007A1BB7">
        <w:tc>
          <w:tcPr>
            <w:tcW w:w="1980" w:type="dxa"/>
            <w:tcMar>
              <w:top w:w="180" w:type="dxa"/>
              <w:left w:w="180" w:type="dxa"/>
              <w:bottom w:w="180" w:type="dxa"/>
              <w:right w:w="180" w:type="dxa"/>
            </w:tcMar>
            <w:hideMark/>
          </w:tcPr>
          <w:p w14:paraId="3AE2F899" w14:textId="77777777" w:rsidR="00CA2689" w:rsidRPr="00CA2689" w:rsidRDefault="00CA2689" w:rsidP="00CA2689">
            <w:r w:rsidRPr="00CA2689">
              <w:t>Attention Visualization</w:t>
            </w:r>
          </w:p>
        </w:tc>
        <w:tc>
          <w:tcPr>
            <w:tcW w:w="1701" w:type="dxa"/>
            <w:tcMar>
              <w:top w:w="180" w:type="dxa"/>
              <w:left w:w="180" w:type="dxa"/>
              <w:bottom w:w="180" w:type="dxa"/>
              <w:right w:w="180" w:type="dxa"/>
            </w:tcMar>
            <w:hideMark/>
          </w:tcPr>
          <w:p w14:paraId="3067CA11" w14:textId="77777777" w:rsidR="00CA2689" w:rsidRPr="00CA2689" w:rsidRDefault="00CA2689" w:rsidP="00CA2689">
            <w:r w:rsidRPr="00CA2689">
              <w:t>Attention weight analysis</w:t>
            </w:r>
          </w:p>
        </w:tc>
        <w:tc>
          <w:tcPr>
            <w:tcW w:w="1701" w:type="dxa"/>
            <w:tcMar>
              <w:top w:w="180" w:type="dxa"/>
              <w:left w:w="180" w:type="dxa"/>
              <w:bottom w:w="180" w:type="dxa"/>
              <w:right w:w="180" w:type="dxa"/>
            </w:tcMar>
            <w:hideMark/>
          </w:tcPr>
          <w:p w14:paraId="18BFC8C4" w14:textId="77777777" w:rsidR="00CA2689" w:rsidRPr="00CA2689" w:rsidRDefault="00CA2689" w:rsidP="00CA2689">
            <w:r w:rsidRPr="00CA2689">
              <w:t>Native to transformers, fine-grained</w:t>
            </w:r>
          </w:p>
        </w:tc>
        <w:tc>
          <w:tcPr>
            <w:tcW w:w="2126" w:type="dxa"/>
            <w:tcMar>
              <w:top w:w="180" w:type="dxa"/>
              <w:left w:w="180" w:type="dxa"/>
              <w:bottom w:w="180" w:type="dxa"/>
              <w:right w:w="180" w:type="dxa"/>
            </w:tcMar>
            <w:hideMark/>
          </w:tcPr>
          <w:p w14:paraId="1085D1D6" w14:textId="77777777" w:rsidR="00CA2689" w:rsidRPr="00CA2689" w:rsidRDefault="00CA2689" w:rsidP="00CA2689">
            <w:r w:rsidRPr="00CA2689">
              <w:t>Not causal, multiple attention heads complicate interpretation</w:t>
            </w:r>
          </w:p>
        </w:tc>
        <w:tc>
          <w:tcPr>
            <w:tcW w:w="1701" w:type="dxa"/>
            <w:tcMar>
              <w:top w:w="180" w:type="dxa"/>
              <w:left w:w="180" w:type="dxa"/>
              <w:bottom w:w="180" w:type="dxa"/>
              <w:right w:w="180" w:type="dxa"/>
            </w:tcMar>
            <w:hideMark/>
          </w:tcPr>
          <w:p w14:paraId="78CFAEEB" w14:textId="77777777" w:rsidR="00CA2689" w:rsidRPr="00CA2689" w:rsidRDefault="00CA2689" w:rsidP="00CA2689">
            <w:r w:rsidRPr="00CA2689">
              <w:t>NLP, vision-language models</w:t>
            </w:r>
          </w:p>
        </w:tc>
      </w:tr>
      <w:tr w:rsidR="00CA2689" w:rsidRPr="00CA2689" w14:paraId="1913E133" w14:textId="77777777" w:rsidTr="007A1BB7">
        <w:tc>
          <w:tcPr>
            <w:tcW w:w="1980" w:type="dxa"/>
            <w:tcMar>
              <w:top w:w="180" w:type="dxa"/>
              <w:left w:w="180" w:type="dxa"/>
              <w:bottom w:w="180" w:type="dxa"/>
              <w:right w:w="180" w:type="dxa"/>
            </w:tcMar>
            <w:hideMark/>
          </w:tcPr>
          <w:p w14:paraId="23289FCE" w14:textId="77777777" w:rsidR="00CA2689" w:rsidRPr="00CA2689" w:rsidRDefault="00CA2689" w:rsidP="00CA2689">
            <w:r w:rsidRPr="00CA2689">
              <w:t>Counterfactual Explanations</w:t>
            </w:r>
          </w:p>
        </w:tc>
        <w:tc>
          <w:tcPr>
            <w:tcW w:w="1701" w:type="dxa"/>
            <w:tcMar>
              <w:top w:w="180" w:type="dxa"/>
              <w:left w:w="180" w:type="dxa"/>
              <w:bottom w:w="180" w:type="dxa"/>
              <w:right w:w="180" w:type="dxa"/>
            </w:tcMar>
            <w:hideMark/>
          </w:tcPr>
          <w:p w14:paraId="68876D83" w14:textId="77777777" w:rsidR="00CA2689" w:rsidRPr="00CA2689" w:rsidRDefault="00CA2689" w:rsidP="00CA2689">
            <w:r w:rsidRPr="00CA2689">
              <w:t>Minimal input changes for outcome change</w:t>
            </w:r>
          </w:p>
        </w:tc>
        <w:tc>
          <w:tcPr>
            <w:tcW w:w="1701" w:type="dxa"/>
            <w:tcMar>
              <w:top w:w="180" w:type="dxa"/>
              <w:left w:w="180" w:type="dxa"/>
              <w:bottom w:w="180" w:type="dxa"/>
              <w:right w:w="180" w:type="dxa"/>
            </w:tcMar>
            <w:hideMark/>
          </w:tcPr>
          <w:p w14:paraId="2E8125F7" w14:textId="77777777" w:rsidR="00CA2689" w:rsidRPr="00CA2689" w:rsidRDefault="00CA2689" w:rsidP="00CA2689">
            <w:r w:rsidRPr="00CA2689">
              <w:t>Actionable, user-centric, recourse-oriented</w:t>
            </w:r>
          </w:p>
        </w:tc>
        <w:tc>
          <w:tcPr>
            <w:tcW w:w="2126" w:type="dxa"/>
            <w:tcMar>
              <w:top w:w="180" w:type="dxa"/>
              <w:left w:w="180" w:type="dxa"/>
              <w:bottom w:w="180" w:type="dxa"/>
              <w:right w:w="180" w:type="dxa"/>
            </w:tcMar>
            <w:hideMark/>
          </w:tcPr>
          <w:p w14:paraId="2B9A335F" w14:textId="77777777" w:rsidR="00CA2689" w:rsidRPr="00CA2689" w:rsidRDefault="00CA2689" w:rsidP="00CA2689">
            <w:r w:rsidRPr="00CA2689">
              <w:t>Difficult to generate realistic counterfactuals</w:t>
            </w:r>
          </w:p>
        </w:tc>
        <w:tc>
          <w:tcPr>
            <w:tcW w:w="1701" w:type="dxa"/>
            <w:tcMar>
              <w:top w:w="180" w:type="dxa"/>
              <w:left w:w="180" w:type="dxa"/>
              <w:bottom w:w="180" w:type="dxa"/>
              <w:right w:w="180" w:type="dxa"/>
            </w:tcMar>
            <w:hideMark/>
          </w:tcPr>
          <w:p w14:paraId="55B197A8" w14:textId="77777777" w:rsidR="00CA2689" w:rsidRPr="00CA2689" w:rsidRDefault="00CA2689" w:rsidP="00CA2689">
            <w:r w:rsidRPr="00CA2689">
              <w:t>Credit scoring, hiring, recourse applications</w:t>
            </w:r>
          </w:p>
        </w:tc>
      </w:tr>
      <w:tr w:rsidR="00CA2689" w:rsidRPr="00CA2689" w14:paraId="7F6985B4" w14:textId="77777777" w:rsidTr="007A1BB7">
        <w:tc>
          <w:tcPr>
            <w:tcW w:w="1980" w:type="dxa"/>
            <w:tcMar>
              <w:top w:w="180" w:type="dxa"/>
              <w:left w:w="180" w:type="dxa"/>
              <w:bottom w:w="180" w:type="dxa"/>
              <w:right w:w="180" w:type="dxa"/>
            </w:tcMar>
            <w:hideMark/>
          </w:tcPr>
          <w:p w14:paraId="2AB31AD9" w14:textId="77777777" w:rsidR="00CA2689" w:rsidRPr="00CA2689" w:rsidRDefault="00CA2689" w:rsidP="00CA2689">
            <w:r w:rsidRPr="00CA2689">
              <w:t>Feature Importance</w:t>
            </w:r>
          </w:p>
        </w:tc>
        <w:tc>
          <w:tcPr>
            <w:tcW w:w="1701" w:type="dxa"/>
            <w:tcMar>
              <w:top w:w="180" w:type="dxa"/>
              <w:left w:w="180" w:type="dxa"/>
              <w:bottom w:w="180" w:type="dxa"/>
              <w:right w:w="180" w:type="dxa"/>
            </w:tcMar>
            <w:hideMark/>
          </w:tcPr>
          <w:p w14:paraId="3419CEF3" w14:textId="77777777" w:rsidR="00CA2689" w:rsidRPr="00CA2689" w:rsidRDefault="00CA2689" w:rsidP="00CA2689">
            <w:r w:rsidRPr="00CA2689">
              <w:t>Permutation, gradients, saliency</w:t>
            </w:r>
          </w:p>
        </w:tc>
        <w:tc>
          <w:tcPr>
            <w:tcW w:w="1701" w:type="dxa"/>
            <w:tcMar>
              <w:top w:w="180" w:type="dxa"/>
              <w:left w:w="180" w:type="dxa"/>
              <w:bottom w:w="180" w:type="dxa"/>
              <w:right w:w="180" w:type="dxa"/>
            </w:tcMar>
            <w:hideMark/>
          </w:tcPr>
          <w:p w14:paraId="5D250B21" w14:textId="77777777" w:rsidR="00CA2689" w:rsidRPr="00CA2689" w:rsidRDefault="00CA2689" w:rsidP="00CA2689">
            <w:r w:rsidRPr="00CA2689">
              <w:t>Simple, widely applicable, quantitative</w:t>
            </w:r>
          </w:p>
        </w:tc>
        <w:tc>
          <w:tcPr>
            <w:tcW w:w="2126" w:type="dxa"/>
            <w:tcMar>
              <w:top w:w="180" w:type="dxa"/>
              <w:left w:w="180" w:type="dxa"/>
              <w:bottom w:w="180" w:type="dxa"/>
              <w:right w:w="180" w:type="dxa"/>
            </w:tcMar>
            <w:hideMark/>
          </w:tcPr>
          <w:p w14:paraId="7128DC6F" w14:textId="77777777" w:rsidR="00CA2689" w:rsidRPr="00CA2689" w:rsidRDefault="00CA2689" w:rsidP="00CA2689">
            <w:r w:rsidRPr="00CA2689">
              <w:t>May not reflect causal importance, sensitive to correlations</w:t>
            </w:r>
          </w:p>
        </w:tc>
        <w:tc>
          <w:tcPr>
            <w:tcW w:w="1701" w:type="dxa"/>
            <w:tcMar>
              <w:top w:w="180" w:type="dxa"/>
              <w:left w:w="180" w:type="dxa"/>
              <w:bottom w:w="180" w:type="dxa"/>
              <w:right w:w="180" w:type="dxa"/>
            </w:tcMar>
            <w:hideMark/>
          </w:tcPr>
          <w:p w14:paraId="479D7A4C" w14:textId="77777777" w:rsidR="00CA2689" w:rsidRPr="00CA2689" w:rsidRDefault="00CA2689" w:rsidP="00CA2689">
            <w:r w:rsidRPr="00CA2689">
              <w:t>General ML, computer vision</w:t>
            </w:r>
          </w:p>
        </w:tc>
      </w:tr>
    </w:tbl>
    <w:p w14:paraId="202F05E6" w14:textId="77777777" w:rsidR="00B61BA0" w:rsidRDefault="00B61BA0" w:rsidP="00CA2689"/>
    <w:p w14:paraId="0E3B5144" w14:textId="466EB553" w:rsidR="00CA2689" w:rsidRPr="00CA2689" w:rsidRDefault="00CA2689" w:rsidP="00CA2689">
      <w:r w:rsidRPr="00CA2689">
        <w:t xml:space="preserve">This comparison reveals that no single XAI method dominates across all criteria. SHAP provides theoretical rigor but at high computational cost. LIME offers speed and simplicity but sacrifices global consistency. Attention visualization leverages model architecture but does not guarantee causal interpretation. Counterfactual explanations </w:t>
      </w:r>
      <w:r w:rsidRPr="00CA2689">
        <w:lastRenderedPageBreak/>
        <w:t>provide actionable insights but face challenges in realism and feasibility. Feature importance methods are widely applicable but may mislead when features are correlated or non-causal. Practitioners must select methods based on specific requirements, constraints, and stakeholder needs, often employing multiple complementary techniques to triangulate understanding.</w:t>
      </w:r>
    </w:p>
    <w:p w14:paraId="3E57267D" w14:textId="77777777" w:rsidR="00CA2689" w:rsidRPr="00CA2689" w:rsidRDefault="00CA2689" w:rsidP="00CA2689">
      <w:pPr>
        <w:rPr>
          <w:b/>
          <w:bCs/>
        </w:rPr>
      </w:pPr>
      <w:r w:rsidRPr="00CA2689">
        <w:rPr>
          <w:b/>
          <w:bCs/>
        </w:rPr>
        <w:t>6. Dark AI and Emerging Threats</w:t>
      </w:r>
    </w:p>
    <w:p w14:paraId="306C529E" w14:textId="77777777" w:rsidR="00CA2689" w:rsidRPr="00CA2689" w:rsidRDefault="00CA2689" w:rsidP="00CA2689">
      <w:pPr>
        <w:rPr>
          <w:b/>
          <w:bCs/>
        </w:rPr>
      </w:pPr>
      <w:r w:rsidRPr="00CA2689">
        <w:rPr>
          <w:b/>
          <w:bCs/>
        </w:rPr>
        <w:t>6.1 Definition and Taxonomy of Dark AI</w:t>
      </w:r>
    </w:p>
    <w:p w14:paraId="46AA3CA2" w14:textId="77777777" w:rsidR="00CA2689" w:rsidRPr="00CA2689" w:rsidRDefault="00CA2689" w:rsidP="00CA2689">
      <w:r w:rsidRPr="00CA2689">
        <w:t>Dark AI refers to the malicious application of artificial intelligence technologies to cause harm, whether through deliberate weaponization by adversaries or unintended consequences of poorly designed systems (Jiang et al., 2025). Unlike beneficial AI applications that augment human capabilities and improve societal welfare, Dark AI exploits AI's power for deception, manipulation, surveillance, cyberattacks, and violence. The term encompasses both intentional misuse by malicious actors and systemic harms arising from biased, discriminatory, or unsafe AI systems deployed without adequate safeguards.</w:t>
      </w:r>
    </w:p>
    <w:p w14:paraId="0BE4E666" w14:textId="77777777" w:rsidR="00CA2689" w:rsidRPr="00CA2689" w:rsidRDefault="00CA2689" w:rsidP="00CA2689">
      <w:r w:rsidRPr="00CA2689">
        <w:t>A taxonomy of Dark AI threats includes six major categories: (1) synthetic media and deepfakes, (2) AI-powered cyberattacks, (3) misinformation and influence operations, (4) autonomous weapons systems, (5) AI-based surveillance and privacy erosion, and (6) algorithmic discrimination and bias (Jiang et al., 2025). These categories are not mutually exclusive; many attacks combine multiple techniques, such as using deepfakes to enhance phishing campaigns or deploying AI-generated misinformation through automated bot networks. The convergence of these threats creates a complex, evolving risk landscape that challenges traditional security paradigms.</w:t>
      </w:r>
    </w:p>
    <w:p w14:paraId="67679ED5" w14:textId="77777777" w:rsidR="00CA2689" w:rsidRPr="00CA2689" w:rsidRDefault="00CA2689" w:rsidP="00CA2689">
      <w:pPr>
        <w:rPr>
          <w:b/>
          <w:bCs/>
        </w:rPr>
      </w:pPr>
      <w:r w:rsidRPr="00CA2689">
        <w:rPr>
          <w:b/>
          <w:bCs/>
        </w:rPr>
        <w:t>6.2 Deepfakes: Synthetic Media and Identity Fraud</w:t>
      </w:r>
    </w:p>
    <w:p w14:paraId="0D455209" w14:textId="77777777" w:rsidR="00CA2689" w:rsidRPr="00CA2689" w:rsidRDefault="00CA2689" w:rsidP="00CA2689">
      <w:r w:rsidRPr="00CA2689">
        <w:t>Deepfakes are synthetic media—images, videos, or audio—created using generative AI techniques such as Generative Adversarial Networks (</w:t>
      </w:r>
      <w:proofErr w:type="spellStart"/>
      <w:r w:rsidRPr="00CA2689">
        <w:t>GANs</w:t>
      </w:r>
      <w:proofErr w:type="spellEnd"/>
      <w:r w:rsidRPr="00CA2689">
        <w:t>) and diffusion models to convincingly impersonate real individuals (Jiang et al., 2025). The term originated from a Reddit user who used deep learning to superimpose celebrity faces onto adult content, but the technology has since been applied to political manipulation, financial fraud, and personal harassment. Deepfakes exploit the human tendency to trust visual and auditory evidence, creating fabricated "proof" of events that never occurred.</w:t>
      </w:r>
    </w:p>
    <w:p w14:paraId="3768D207" w14:textId="77777777" w:rsidR="00CA2689" w:rsidRPr="00CA2689" w:rsidRDefault="00CA2689" w:rsidP="00CA2689">
      <w:r w:rsidRPr="00CA2689">
        <w:t xml:space="preserve">Political manipulation represents a critical threat vector. Deepfake videos of political leaders making inflammatory statements, confessing to crimes, or endorsing opponents can influence elections, destabilize governments, and incite violence (Jiang et al., 2025). While sophisticated deepfakes can be detected by experts using forensic analysis, the brief window between release and debunking may suffice to sway public opinion, particularly when content aligns with existing beliefs or biases. The "liar's </w:t>
      </w:r>
      <w:r w:rsidRPr="00CA2689">
        <w:lastRenderedPageBreak/>
        <w:t>dividend"—the ability of genuine evidence to be dismissed as deepfakes—further erodes trust in authentic media, creating an epistemic crisis where truth becomes indistinguishable from fabrication.</w:t>
      </w:r>
    </w:p>
    <w:p w14:paraId="4B4E1735" w14:textId="77777777" w:rsidR="00CA2689" w:rsidRPr="00CA2689" w:rsidRDefault="00CA2689" w:rsidP="00CA2689">
      <w:r w:rsidRPr="00CA2689">
        <w:t>Identity fraud and financial scams exploit deepfakes for impersonation. Voice cloning enables attackers to impersonate executives, requesting fraudulent wire transfers or disclosing sensitive information (Jiang et al., 2025). Video deepfakes facilitate romance scams, where attackers create fake video calls to establish trust before requesting money. Biometric authentication systems based on facial or voice recognition become vulnerable when attackers can generate synthetic biometric data that passes verification checks.</w:t>
      </w:r>
    </w:p>
    <w:p w14:paraId="0DDD1CBB" w14:textId="77777777" w:rsidR="00CA2689" w:rsidRPr="00CA2689" w:rsidRDefault="00CA2689" w:rsidP="00CA2689">
      <w:r w:rsidRPr="00CA2689">
        <w:t>Personal harassment and non-consensual intimate imagery (NCII) disproportionately target women, with deepfake technology used to create fake pornographic content featuring real individuals' faces (Jiang et al., 2025). This form of image-based sexual abuse causes severe psychological harm, reputational damage, and professional consequences for victims, while perpetrators often operate with impunity due to jurisdictional challenges and inadequate legal frameworks.</w:t>
      </w:r>
    </w:p>
    <w:p w14:paraId="76A3E88E" w14:textId="77777777" w:rsidR="00CA2689" w:rsidRPr="00CA2689" w:rsidRDefault="00CA2689" w:rsidP="00CA2689">
      <w:pPr>
        <w:rPr>
          <w:b/>
          <w:bCs/>
        </w:rPr>
      </w:pPr>
      <w:r w:rsidRPr="00CA2689">
        <w:rPr>
          <w:b/>
          <w:bCs/>
        </w:rPr>
        <w:t>6.3 AI-Powered Cyberattacks</w:t>
      </w:r>
    </w:p>
    <w:p w14:paraId="091D7963" w14:textId="77777777" w:rsidR="00CA2689" w:rsidRPr="00CA2689" w:rsidRDefault="00CA2689" w:rsidP="00CA2689">
      <w:r w:rsidRPr="00CA2689">
        <w:t xml:space="preserve">AI enhances cyberattacks across multiple dimensions: automation, personalization, evasion, and scale (Jiang et al., 2025). Automated phishing campaigns use natural language generation to create convincing, personalized emails that adapt to target characteristics, increasing success rates compared to generic phishing templates. AI-powered reconnaissance tools </w:t>
      </w:r>
      <w:proofErr w:type="spellStart"/>
      <w:r w:rsidRPr="00CA2689">
        <w:t>analyze</w:t>
      </w:r>
      <w:proofErr w:type="spellEnd"/>
      <w:r w:rsidRPr="00CA2689">
        <w:t xml:space="preserve"> social media profiles, corporate websites, and leaked databases to identify high-value targets and craft tailored social engineering attacks.</w:t>
      </w:r>
    </w:p>
    <w:p w14:paraId="4AC690B9" w14:textId="77777777" w:rsidR="00CA2689" w:rsidRPr="00CA2689" w:rsidRDefault="00CA2689" w:rsidP="00CA2689">
      <w:r w:rsidRPr="00CA2689">
        <w:t>Adversarial attacks exploit vulnerabilities in machine learning models by crafting inputs designed to cause misclassification or malfunction (Jiang et al., 2025). In computer vision, adversarial examples—images with imperceptible perturbations—can cause classifiers to misidentify stop signs as speed limit signs, with potentially catastrophic consequences for autonomous vehicles. In natural language processing, adversarial text can evade spam filters, content moderation systems, or sentiment analysis tools by introducing subtle modifications that preserve semantic meaning while altering model predictions.</w:t>
      </w:r>
    </w:p>
    <w:p w14:paraId="3EAAE72B" w14:textId="77777777" w:rsidR="00CA2689" w:rsidRPr="00CA2689" w:rsidRDefault="00CA2689" w:rsidP="00CA2689">
      <w:r w:rsidRPr="00CA2689">
        <w:t xml:space="preserve">Autonomous malware represents an emerging threat where AI-powered software adapts its </w:t>
      </w:r>
      <w:proofErr w:type="spellStart"/>
      <w:r w:rsidRPr="00CA2689">
        <w:t>behavior</w:t>
      </w:r>
      <w:proofErr w:type="spellEnd"/>
      <w:r w:rsidRPr="00CA2689">
        <w:t xml:space="preserve"> to evade detection, identify vulnerabilities, and propagate through networks without human intervention (Jiang et al., 2025). Reinforcement learning enables malware to learn optimal attack strategies through trial and error, while generative models create polymorphic code that changes its signature with each infection, defeating signature-based antivirus systems. The combination of autonomy </w:t>
      </w:r>
      <w:r w:rsidRPr="00CA2689">
        <w:lastRenderedPageBreak/>
        <w:t>and adaptability could produce malware that evolves faster than defensive measures can respond.</w:t>
      </w:r>
    </w:p>
    <w:p w14:paraId="3D732DEB" w14:textId="77777777" w:rsidR="00CA2689" w:rsidRPr="00CA2689" w:rsidRDefault="00CA2689" w:rsidP="00CA2689">
      <w:r w:rsidRPr="00CA2689">
        <w:t>AI-assisted vulnerability discovery accelerates the identification of software flaws that can be exploited for unauthorized access, data theft, or system disruption (Jiang et al., 2025). While security researchers use these tools to identify and patch vulnerabilities, malicious actors employ the same techniques to discover zero-day exploits before vendors can respond. The democratization of AI tools lowers the barrier to entry for cyberattacks, enabling less sophisticated actors to launch attacks previously requiring expert knowledge.</w:t>
      </w:r>
    </w:p>
    <w:p w14:paraId="06B56D49" w14:textId="77777777" w:rsidR="00CA2689" w:rsidRPr="00CA2689" w:rsidRDefault="00CA2689" w:rsidP="00CA2689">
      <w:pPr>
        <w:rPr>
          <w:b/>
          <w:bCs/>
        </w:rPr>
      </w:pPr>
      <w:r w:rsidRPr="00CA2689">
        <w:rPr>
          <w:b/>
          <w:bCs/>
        </w:rPr>
        <w:t>6.4 Misinformation and Influence Operations</w:t>
      </w:r>
    </w:p>
    <w:p w14:paraId="792E45FC" w14:textId="77777777" w:rsidR="00CA2689" w:rsidRPr="00CA2689" w:rsidRDefault="00CA2689" w:rsidP="00CA2689">
      <w:r w:rsidRPr="00CA2689">
        <w:t>AI-generated misinformation combines the scale of automation with the persuasiveness of human-like content, enabling influence operations that manipulate public opinion, suppress voter turnout, or incite violence (Jiang et al., 2025). Large language models can generate thousands of unique articles, social media posts, or comments that promote specific narratives, overwhelm fact-checkers, and create the illusion of grassroots support for astroturfing campaigns. The diversity and volume of AI-generated content make detection and removal challenging, as each piece may be unique and plausible.</w:t>
      </w:r>
    </w:p>
    <w:p w14:paraId="7F3FC4C9" w14:textId="77777777" w:rsidR="00CA2689" w:rsidRPr="00CA2689" w:rsidRDefault="00CA2689" w:rsidP="00CA2689">
      <w:r w:rsidRPr="00CA2689">
        <w:t xml:space="preserve">Coordinated inauthentic </w:t>
      </w:r>
      <w:proofErr w:type="spellStart"/>
      <w:r w:rsidRPr="00CA2689">
        <w:t>behavior</w:t>
      </w:r>
      <w:proofErr w:type="spellEnd"/>
      <w:r w:rsidRPr="00CA2689">
        <w:t xml:space="preserve"> employs networks of AI-controlled social media accounts (bots) that amplify messages, manipulate trending topics, and harass opponents (Jiang et al., 2025). These bots exhibit increasingly human-like </w:t>
      </w:r>
      <w:proofErr w:type="spellStart"/>
      <w:r w:rsidRPr="00CA2689">
        <w:t>behavior</w:t>
      </w:r>
      <w:proofErr w:type="spellEnd"/>
      <w:r w:rsidRPr="00CA2689">
        <w:t>, posting at realistic intervals, engaging in conversations, and sharing diverse content to avoid detection. The integration of large language models enables bots to generate contextually appropriate responses, making them difficult to distinguish from genuine users.</w:t>
      </w:r>
    </w:p>
    <w:p w14:paraId="4C6D571E" w14:textId="77777777" w:rsidR="00CA2689" w:rsidRPr="00CA2689" w:rsidRDefault="00CA2689" w:rsidP="00CA2689">
      <w:r w:rsidRPr="00CA2689">
        <w:t xml:space="preserve">Micro-targeted propaganda leverages AI-driven audience segmentation and personalization to deliver tailored messages that exploit individual psychological vulnerabilities (Jiang et al., 2025). By </w:t>
      </w:r>
      <w:proofErr w:type="spellStart"/>
      <w:r w:rsidRPr="00CA2689">
        <w:t>analyzing</w:t>
      </w:r>
      <w:proofErr w:type="spellEnd"/>
      <w:r w:rsidRPr="00CA2689">
        <w:t xml:space="preserve"> user data including browsing history, social media activity, and demographic information, influence operations can identify susceptible individuals and craft messages that resonate with their beliefs, fears, or aspirations. This precision targeting maximizes persuasive impact while minimizing detection, as different audience segments receive different messages that may contradict each other.</w:t>
      </w:r>
    </w:p>
    <w:p w14:paraId="19B3FCBB" w14:textId="77777777" w:rsidR="00CA2689" w:rsidRPr="00CA2689" w:rsidRDefault="00CA2689" w:rsidP="00CA2689">
      <w:pPr>
        <w:rPr>
          <w:b/>
          <w:bCs/>
        </w:rPr>
      </w:pPr>
      <w:r w:rsidRPr="00CA2689">
        <w:rPr>
          <w:b/>
          <w:bCs/>
        </w:rPr>
        <w:t>6.5 Autonomous Weapons and AI Warfare</w:t>
      </w:r>
    </w:p>
    <w:p w14:paraId="28F35BD1" w14:textId="77777777" w:rsidR="00CA2689" w:rsidRPr="00CA2689" w:rsidRDefault="00CA2689" w:rsidP="00CA2689">
      <w:r w:rsidRPr="00CA2689">
        <w:t xml:space="preserve">Lethal Autonomous Weapons Systems (LAWS) are weapons that can select and engage targets without human intervention, raising profound ethical, legal, and strategic concerns (Jiang et al., 2025). Proponents argue that autonomous weapons could </w:t>
      </w:r>
      <w:r w:rsidRPr="00CA2689">
        <w:lastRenderedPageBreak/>
        <w:t>reduce civilian casualties by making more precise targeting decisions, remove humans from dangerous combat situations, and respond faster than human-operated systems. Critics contend that delegating life-and-death decisions to machines violates human dignity, undermines accountability for war crimes, and risks catastrophic accidents or escalation.</w:t>
      </w:r>
    </w:p>
    <w:p w14:paraId="1B161827" w14:textId="77777777" w:rsidR="00CA2689" w:rsidRPr="00CA2689" w:rsidRDefault="00CA2689" w:rsidP="00CA2689">
      <w:r w:rsidRPr="00CA2689">
        <w:t xml:space="preserve">The Campaign to Stop Killer Robots, a coalition of NGOs, advocates for a </w:t>
      </w:r>
      <w:proofErr w:type="spellStart"/>
      <w:r w:rsidRPr="00CA2689">
        <w:t>preemptive</w:t>
      </w:r>
      <w:proofErr w:type="spellEnd"/>
      <w:r w:rsidRPr="00CA2689">
        <w:t xml:space="preserve"> ban on fully autonomous weapons, arguing that meaningful human control must be maintained over the use of force (Jiang et al., 2025). However, defining "meaningful human control" remains contentious, with disagreement over whether human approval of target lists, oversight of engagement zones, or ability to abort attacks constitutes sufficient control. The absence of international consensus has allowed development to proceed, with multiple nations investing in autonomous military systems.</w:t>
      </w:r>
    </w:p>
    <w:p w14:paraId="39A93EA0" w14:textId="77777777" w:rsidR="00CA2689" w:rsidRPr="00CA2689" w:rsidRDefault="00CA2689" w:rsidP="00CA2689">
      <w:r w:rsidRPr="00CA2689">
        <w:t>AI-enabled cyber warfare and information operations blur the line between peace and conflict, enabling persistent, deniable attacks that fall below the threshold of armed conflict (Jiang et al., 2025). Nation-states employ AI to conduct espionage, sabotage critical infrastructure, and manipulate foreign elections while maintaining plausible deniability. The difficulty of attribution—determining who launched an attack—complicates deterrence and retaliation, potentially destabilizing international security.</w:t>
      </w:r>
    </w:p>
    <w:p w14:paraId="2CD44B48" w14:textId="77777777" w:rsidR="00CA2689" w:rsidRPr="00CA2689" w:rsidRDefault="00CA2689" w:rsidP="00CA2689">
      <w:pPr>
        <w:rPr>
          <w:b/>
          <w:bCs/>
        </w:rPr>
      </w:pPr>
      <w:r w:rsidRPr="00CA2689">
        <w:rPr>
          <w:b/>
          <w:bCs/>
        </w:rPr>
        <w:t>6.6 AI-Based Surveillance and Privacy Erosion</w:t>
      </w:r>
    </w:p>
    <w:p w14:paraId="6758C3C0" w14:textId="77777777" w:rsidR="00CA2689" w:rsidRPr="00CA2689" w:rsidRDefault="00CA2689" w:rsidP="00CA2689">
      <w:r w:rsidRPr="00CA2689">
        <w:t xml:space="preserve">Pervasive surveillance systems powered by AI enable unprecedented monitoring of populations, tracking individuals' movements, communications, and </w:t>
      </w:r>
      <w:proofErr w:type="spellStart"/>
      <w:r w:rsidRPr="00CA2689">
        <w:t>behaviors</w:t>
      </w:r>
      <w:proofErr w:type="spellEnd"/>
      <w:r w:rsidRPr="00CA2689">
        <w:t xml:space="preserve"> in real-time (Jiang et al., 2025). Facial recognition technology deployed in public spaces allows authorities to identify and track individuals without their knowledge or consent, creating a chilling effect on freedom of assembly and expression. China's Social Credit System exemplifies comprehensive AI-driven surveillance, integrating data from cameras, financial transactions, social media, and government databases to assign citizens scores that determine access to services, employment, and travel.</w:t>
      </w:r>
    </w:p>
    <w:p w14:paraId="535A783D" w14:textId="77777777" w:rsidR="00CA2689" w:rsidRPr="00CA2689" w:rsidRDefault="00CA2689" w:rsidP="00CA2689">
      <w:r w:rsidRPr="00CA2689">
        <w:t>Predictive policing systems use machine learning to forecast where crimes are likely to occur and who is likely to commit them, guiding police deployment and investigative priorities (Jiang et al., 2025). However, these systems often perpetuate and amplify existing biases in policing, as training data reflects historical patterns of discriminatory enforcement. Predictive models may create feedback loops where increased police presence in predicted areas generates more arrests, which in turn reinforce the prediction, regardless of actual crime rates.</w:t>
      </w:r>
    </w:p>
    <w:p w14:paraId="50C38DAE" w14:textId="77777777" w:rsidR="00CA2689" w:rsidRPr="00CA2689" w:rsidRDefault="00CA2689" w:rsidP="00CA2689">
      <w:r w:rsidRPr="00CA2689">
        <w:t xml:space="preserve">Commercial surveillance by technology companies collects vast quantities of personal data for </w:t>
      </w:r>
      <w:proofErr w:type="spellStart"/>
      <w:r w:rsidRPr="00CA2689">
        <w:t>behavioral</w:t>
      </w:r>
      <w:proofErr w:type="spellEnd"/>
      <w:r w:rsidRPr="00CA2689">
        <w:t xml:space="preserve"> advertising, user profiling, and algorithmic recommendation (Jiang et al., 2025). AI </w:t>
      </w:r>
      <w:proofErr w:type="spellStart"/>
      <w:r w:rsidRPr="00CA2689">
        <w:t>analyzes</w:t>
      </w:r>
      <w:proofErr w:type="spellEnd"/>
      <w:r w:rsidRPr="00CA2689">
        <w:t xml:space="preserve"> this data to infer sensitive attributes including political beliefs, sexual orientation, health conditions, and financial status, often without explicit user </w:t>
      </w:r>
      <w:r w:rsidRPr="00CA2689">
        <w:lastRenderedPageBreak/>
        <w:t>consent. The aggregation and analysis of seemingly innocuous data points can reveal intimate details of individuals' lives, eroding privacy even when no single data point is sensitive.</w:t>
      </w:r>
    </w:p>
    <w:p w14:paraId="791F3E06" w14:textId="77777777" w:rsidR="00CA2689" w:rsidRPr="00CA2689" w:rsidRDefault="00CA2689" w:rsidP="00CA2689">
      <w:pPr>
        <w:rPr>
          <w:b/>
          <w:bCs/>
        </w:rPr>
      </w:pPr>
      <w:r w:rsidRPr="00CA2689">
        <w:rPr>
          <w:b/>
          <w:bCs/>
        </w:rPr>
        <w:t>6.7 Countermeasures: Detection, Governance, and Regulation</w:t>
      </w:r>
    </w:p>
    <w:p w14:paraId="3E9B6903" w14:textId="77777777" w:rsidR="00CA2689" w:rsidRPr="00CA2689" w:rsidRDefault="00CA2689" w:rsidP="00CA2689">
      <w:r w:rsidRPr="00CA2689">
        <w:t xml:space="preserve">Technical countermeasures against Dark AI include AI-based detection systems, adversarial robustness techniques, and cryptographic authentication (Jiang et al., 2025). Deepfake detection algorithms </w:t>
      </w:r>
      <w:proofErr w:type="spellStart"/>
      <w:r w:rsidRPr="00CA2689">
        <w:t>analyze</w:t>
      </w:r>
      <w:proofErr w:type="spellEnd"/>
      <w:r w:rsidRPr="00CA2689">
        <w:t xml:space="preserve"> visual and auditory artifacts—such as unnatural blinking patterns, inconsistent lighting, or spectral anomalies—to identify synthetic media. However, this creates an adversarial arms race where generative models improve to evade detection, and detectors must continuously adapt. Provenance tracking and digital watermarking offer complementary approaches, embedding cryptographic signatures in authentic media to verify origin and detect manipulation.</w:t>
      </w:r>
    </w:p>
    <w:p w14:paraId="6B18633E" w14:textId="77777777" w:rsidR="00CA2689" w:rsidRPr="00CA2689" w:rsidRDefault="00CA2689" w:rsidP="00CA2689">
      <w:r w:rsidRPr="00CA2689">
        <w:t xml:space="preserve">Adversarial training improves model robustness by exposing systems to adversarial examples during training, teaching them to correctly classify perturbed inputs (Jiang et al., 2025). Certified </w:t>
      </w:r>
      <w:proofErr w:type="spellStart"/>
      <w:r w:rsidRPr="00CA2689">
        <w:t>defenses</w:t>
      </w:r>
      <w:proofErr w:type="spellEnd"/>
      <w:r w:rsidRPr="00CA2689">
        <w:t xml:space="preserve"> provide mathematical guarantees that model predictions will not change within a specified perturbation radius, offering stronger but computationally expensive protection. Input sanitization and anomaly detection filter suspicious inputs before they reach vulnerable systems.</w:t>
      </w:r>
    </w:p>
    <w:p w14:paraId="21A4227C" w14:textId="77777777" w:rsidR="00CA2689" w:rsidRPr="00CA2689" w:rsidRDefault="00CA2689" w:rsidP="00CA2689">
      <w:r w:rsidRPr="00CA2689">
        <w:t>Governance frameworks and international regulation are essential for addressing Dark AI threats that transcend technical solutions (Jiang et al., 2025). The European Union's AI Act classifies AI systems by risk level and imposes requirements including transparency, human oversight, and conformity assessment for high-risk applications. However, enforcement mechanisms remain underdeveloped, and international coordination is limited. Proposals for an international AI governance body analogous to the International Atomic Energy Agency (IAEA) seek to establish global norms, monitor compliance, and coordinate responses to AI threats, but face challenges of sovereignty, verification, and enforcement.</w:t>
      </w:r>
    </w:p>
    <w:p w14:paraId="30CBA452" w14:textId="77777777" w:rsidR="00CA2689" w:rsidRPr="00CA2689" w:rsidRDefault="00CA2689" w:rsidP="00CA2689">
      <w:r w:rsidRPr="00CA2689">
        <w:t>Multi-stakeholder collaboration involving governments, technology companies, civil society, and academia is crucial for developing effective countermeasures (Jiang et al., 2025). Information sharing about emerging threats, coordinated vulnerability disclosure, and joint research on defensive technologies can accelerate progress. However, tensions between security and openness—whether to publish research on AI vulnerabilities or restrict access to powerful models—remain unresolved, reflecting deeper debates about the balance between innovation and safety.</w:t>
      </w:r>
    </w:p>
    <w:p w14:paraId="33480376" w14:textId="77777777" w:rsidR="00CA2689" w:rsidRPr="00CA2689" w:rsidRDefault="00CA2689" w:rsidP="00CA2689">
      <w:pPr>
        <w:rPr>
          <w:b/>
          <w:bCs/>
        </w:rPr>
      </w:pPr>
      <w:r w:rsidRPr="00CA2689">
        <w:rPr>
          <w:b/>
          <w:bCs/>
        </w:rPr>
        <w:t>7. Responsible AI and Human-Centric Governance</w:t>
      </w:r>
    </w:p>
    <w:p w14:paraId="6CB99D15" w14:textId="77777777" w:rsidR="00CA2689" w:rsidRPr="00CA2689" w:rsidRDefault="00CA2689" w:rsidP="00CA2689">
      <w:pPr>
        <w:rPr>
          <w:b/>
          <w:bCs/>
        </w:rPr>
      </w:pPr>
      <w:r w:rsidRPr="00CA2689">
        <w:rPr>
          <w:b/>
          <w:bCs/>
        </w:rPr>
        <w:t>7.1 Responsible AI Principles</w:t>
      </w:r>
    </w:p>
    <w:p w14:paraId="27CC18F4" w14:textId="77777777" w:rsidR="00CA2689" w:rsidRPr="00CA2689" w:rsidRDefault="00CA2689" w:rsidP="00CA2689">
      <w:r w:rsidRPr="00CA2689">
        <w:lastRenderedPageBreak/>
        <w:t>Responsible AI refers to the design, development, and deployment of AI systems that align with ethical principles, legal requirements, and societal values (Pathan et al., 2025). While specific formulations vary across organizations and jurisdictions, five core principles recur consistently: fairness, transparency, accountability, privacy, and security.</w:t>
      </w:r>
    </w:p>
    <w:p w14:paraId="5BE618E3" w14:textId="77777777" w:rsidR="00CA2689" w:rsidRPr="00CA2689" w:rsidRDefault="00CA2689" w:rsidP="00CA2689">
      <w:r w:rsidRPr="00CA2689">
        <w:rPr>
          <w:b/>
          <w:bCs/>
        </w:rPr>
        <w:t>Fairness</w:t>
      </w:r>
      <w:r w:rsidRPr="00CA2689">
        <w:t> requires that AI systems do not discriminate against individuals or groups based on protected characteristics such as race, gender, age, disability, or socioeconomic status (Pathan et al., 2025). Fairness can be operationalized through multiple mathematical definitions—including demographic parity (equal positive prediction rates across groups), equalized odds (equal true positive and false positive rates), and individual fairness (similar individuals receive similar outcomes)—but these definitions often conflict, requiring context-specific trade-offs. Achieving fairness demands careful attention to training data quality, feature selection, model evaluation, and ongoing monitoring for disparate impact.</w:t>
      </w:r>
    </w:p>
    <w:p w14:paraId="2555AAE9" w14:textId="77777777" w:rsidR="00CA2689" w:rsidRPr="00CA2689" w:rsidRDefault="00CA2689" w:rsidP="00CA2689">
      <w:r w:rsidRPr="00CA2689">
        <w:rPr>
          <w:b/>
          <w:bCs/>
        </w:rPr>
        <w:t>Transparency</w:t>
      </w:r>
      <w:r w:rsidRPr="00CA2689">
        <w:t> encompasses both the explainability of individual decisions (as discussed in Section 5) and broader disclosure about AI system capabilities, limitations, and intended uses (Li et al., 2021). Transparency enables stakeholders to understand how AI systems work, assess their appropriateness for specific applications, and hold developers accountable for failures. However, transparency must be balanced against intellectual property protection, security concerns (avoiding disclosure of vulnerabilities), and cognitive limitations (avoiding information overload that obscures rather than clarifies).</w:t>
      </w:r>
    </w:p>
    <w:p w14:paraId="628A7C71" w14:textId="77777777" w:rsidR="00CA2689" w:rsidRPr="00CA2689" w:rsidRDefault="00CA2689" w:rsidP="00CA2689">
      <w:r w:rsidRPr="00CA2689">
        <w:rPr>
          <w:b/>
          <w:bCs/>
        </w:rPr>
        <w:t>Accountability</w:t>
      </w:r>
      <w:r w:rsidRPr="00CA2689">
        <w:t xml:space="preserve"> establishes clear responsibility for AI system </w:t>
      </w:r>
      <w:proofErr w:type="spellStart"/>
      <w:r w:rsidRPr="00CA2689">
        <w:t>behavior</w:t>
      </w:r>
      <w:proofErr w:type="spellEnd"/>
      <w:r w:rsidRPr="00CA2689">
        <w:t xml:space="preserve">, ensuring that individuals or organizations can be held liable for harms caused by AI (Pathan et al., 2025). Accountability requires governance structures that assign roles and responsibilities, documentation of design decisions and risk assessments, mechanisms for redress when systems cause harm, and legal frameworks that adapt traditional liability concepts to AI contexts. The distributed nature of AI development—involving data providers, model developers, deployers, and users—complicates accountability, as multiple parties contribute to system </w:t>
      </w:r>
      <w:proofErr w:type="spellStart"/>
      <w:r w:rsidRPr="00CA2689">
        <w:t>behavior</w:t>
      </w:r>
      <w:proofErr w:type="spellEnd"/>
      <w:r w:rsidRPr="00CA2689">
        <w:t>.</w:t>
      </w:r>
    </w:p>
    <w:p w14:paraId="75D4E60C" w14:textId="77777777" w:rsidR="00CA2689" w:rsidRPr="00CA2689" w:rsidRDefault="00CA2689" w:rsidP="00CA2689">
      <w:r w:rsidRPr="00CA2689">
        <w:rPr>
          <w:b/>
          <w:bCs/>
        </w:rPr>
        <w:t>Privacy</w:t>
      </w:r>
      <w:r w:rsidRPr="00CA2689">
        <w:t> protects individuals' personal information from unauthorized collection, use, or disclosure (Li et al., 2021). Privacy-preserving AI techniques include differential privacy (adding noise to data or model outputs to prevent identification of individuals), federated learning (training models on decentralized data without centralizing sensitive information), and homomorphic encryption (performing computations on encrypted data). However, privacy protections often reduce model accuracy or increase computational costs, creating trade-offs between privacy and utility.</w:t>
      </w:r>
    </w:p>
    <w:p w14:paraId="038A42E3" w14:textId="77777777" w:rsidR="00CA2689" w:rsidRPr="00CA2689" w:rsidRDefault="00CA2689" w:rsidP="00CA2689">
      <w:r w:rsidRPr="00CA2689">
        <w:rPr>
          <w:b/>
          <w:bCs/>
        </w:rPr>
        <w:lastRenderedPageBreak/>
        <w:t>Security</w:t>
      </w:r>
      <w:r w:rsidRPr="00CA2689">
        <w:t xml:space="preserve"> ensures AI systems are robust against adversarial attacks, data poisoning, model theft, and other threats (Pathan et al., 2025). Security measures include adversarial training, input validation, access controls, and continuous monitoring for anomalous </w:t>
      </w:r>
      <w:proofErr w:type="spellStart"/>
      <w:r w:rsidRPr="00CA2689">
        <w:t>behavior</w:t>
      </w:r>
      <w:proofErr w:type="spellEnd"/>
      <w:r w:rsidRPr="00CA2689">
        <w:t>. The increasing integration of AI into critical infrastructure—including power grids, transportation systems, and healthcare—elevates the importance of security, as compromised AI systems could cause widespread disruption or harm.</w:t>
      </w:r>
    </w:p>
    <w:p w14:paraId="6A34C0ED" w14:textId="77777777" w:rsidR="00CA2689" w:rsidRPr="00CA2689" w:rsidRDefault="00CA2689" w:rsidP="00CA2689">
      <w:pPr>
        <w:rPr>
          <w:b/>
          <w:bCs/>
        </w:rPr>
      </w:pPr>
      <w:r w:rsidRPr="00CA2689">
        <w:rPr>
          <w:b/>
          <w:bCs/>
        </w:rPr>
        <w:t>7.2 EU AI Act and Global Governance Frameworks</w:t>
      </w:r>
    </w:p>
    <w:p w14:paraId="04DA225D" w14:textId="77777777" w:rsidR="00CA2689" w:rsidRPr="00CA2689" w:rsidRDefault="00CA2689" w:rsidP="00CA2689">
      <w:r w:rsidRPr="00CA2689">
        <w:t>The European Union's AI Act, adopted in 2024, represents the world's first comprehensive regulatory framework for artificial intelligence (Pathan et al., 2025). The Act employs a risk-based approach, categorizing AI systems into four tiers: unacceptable risk (prohibited), high risk (subject to strict requirements), limited risk (transparency obligations), and minimal risk (no regulation). Prohibited applications include social scoring by governments, real-time biometric identification in public spaces (with narrow exceptions), and AI systems that exploit vulnerabilities of specific groups.</w:t>
      </w:r>
    </w:p>
    <w:p w14:paraId="3F64EA3B" w14:textId="77777777" w:rsidR="00CA2689" w:rsidRPr="00CA2689" w:rsidRDefault="00CA2689" w:rsidP="00CA2689">
      <w:r w:rsidRPr="00CA2689">
        <w:t>High-risk AI systems—including those used in critical infrastructure, education, employment, law enforcement, and migration—must meet requirements for data quality, documentation, transparency, human oversight, accuracy, and cybersecurity (Pathan et al., 2025). Providers must conduct conformity assessments, register systems in an EU database, and implement post-market monitoring. Non-compliance can result in fines up to €35 million or 7% of global annual turnover, creating strong incentives for adherence.</w:t>
      </w:r>
    </w:p>
    <w:p w14:paraId="1D7AA5DD" w14:textId="77777777" w:rsidR="00CA2689" w:rsidRPr="00CA2689" w:rsidRDefault="00CA2689" w:rsidP="00CA2689">
      <w:r w:rsidRPr="00CA2689">
        <w:t>The OECD AI Principles, adopted by 42 countries in 2019, provide a foundational framework emphasizing inclusive growth, sustainable development, human-centered values, transparency, robustness, and accountability (Li et al., 2021). While non-binding, the principles have influenced national AI strategies and corporate policies worldwide, establishing a common vocabulary and normative baseline for AI governance.</w:t>
      </w:r>
    </w:p>
    <w:p w14:paraId="0539CD41" w14:textId="77777777" w:rsidR="00CA2689" w:rsidRPr="00CA2689" w:rsidRDefault="00CA2689" w:rsidP="00CA2689">
      <w:r w:rsidRPr="00CA2689">
        <w:t>UNESCO's Recommendation on the Ethics of AI, adopted by 193 member states in 2021, addresses broader societal implications including cultural diversity, environmental sustainability, and global cooperation (Pathan et al., 2025). The Recommendation emphasizes that AI should respect human rights, promote peace, and reduce inequalities, calling for ethical impact assessments, multi-stakeholder governance, and capacity building in developing countries.</w:t>
      </w:r>
    </w:p>
    <w:p w14:paraId="1583F269" w14:textId="77777777" w:rsidR="00CA2689" w:rsidRPr="00CA2689" w:rsidRDefault="00CA2689" w:rsidP="00CA2689">
      <w:r w:rsidRPr="00CA2689">
        <w:t xml:space="preserve">Despite these frameworks, global AI governance remains fragmented and incomplete (Jiang et al., 2025). The United States has adopted a sectoral approach with agency-specific guidelines rather than comprehensive legislation, while China's AI regulations </w:t>
      </w:r>
      <w:r w:rsidRPr="00CA2689">
        <w:lastRenderedPageBreak/>
        <w:t>emphasize content control and national security alongside safety and fairness. Divergent regulatory approaches create compliance challenges for multinational companies and risks of regulatory arbitrage, where development migrates to jurisdictions with weaker oversight.</w:t>
      </w:r>
    </w:p>
    <w:p w14:paraId="01F757AD" w14:textId="77777777" w:rsidR="00CA2689" w:rsidRPr="00CA2689" w:rsidRDefault="00CA2689" w:rsidP="00CA2689">
      <w:pPr>
        <w:rPr>
          <w:b/>
          <w:bCs/>
        </w:rPr>
      </w:pPr>
      <w:r w:rsidRPr="00CA2689">
        <w:rPr>
          <w:b/>
          <w:bCs/>
        </w:rPr>
        <w:t>7.3 Trustworthy AI: EU High-Level Expert Group Requirements</w:t>
      </w:r>
    </w:p>
    <w:p w14:paraId="08EB3DCD" w14:textId="77777777" w:rsidR="00CA2689" w:rsidRPr="00CA2689" w:rsidRDefault="00CA2689" w:rsidP="00CA2689">
      <w:r w:rsidRPr="00CA2689">
        <w:t>The European Commission's High-Level Expert Group on AI articulated seven requirements for Trustworthy AI that have become influential globally (Li et al., 2021):</w:t>
      </w:r>
    </w:p>
    <w:p w14:paraId="43AE8C8F" w14:textId="77777777" w:rsidR="00CA2689" w:rsidRPr="00CA2689" w:rsidRDefault="00CA2689" w:rsidP="00CA2689">
      <w:pPr>
        <w:numPr>
          <w:ilvl w:val="0"/>
          <w:numId w:val="5"/>
        </w:numPr>
      </w:pPr>
      <w:r w:rsidRPr="00CA2689">
        <w:rPr>
          <w:b/>
          <w:bCs/>
        </w:rPr>
        <w:t>Human agency and oversight</w:t>
      </w:r>
      <w:r w:rsidRPr="00CA2689">
        <w:t>: AI systems should empower humans, support human autonomy, and enable effective oversight through human-in-the-loop, human-on-the-loop, or human-in-command approaches.</w:t>
      </w:r>
    </w:p>
    <w:p w14:paraId="1A53256E" w14:textId="77777777" w:rsidR="00CA2689" w:rsidRPr="00CA2689" w:rsidRDefault="00CA2689" w:rsidP="00CA2689">
      <w:pPr>
        <w:numPr>
          <w:ilvl w:val="0"/>
          <w:numId w:val="5"/>
        </w:numPr>
      </w:pPr>
      <w:r w:rsidRPr="00CA2689">
        <w:rPr>
          <w:b/>
          <w:bCs/>
        </w:rPr>
        <w:t>Technical robustness and safety</w:t>
      </w:r>
      <w:r w:rsidRPr="00CA2689">
        <w:t>: AI systems should be resilient to attacks and errors, provide fallback plans, be accurate and reliable, and minimize unintended harm.</w:t>
      </w:r>
    </w:p>
    <w:p w14:paraId="02CFAF34" w14:textId="77777777" w:rsidR="00CA2689" w:rsidRPr="00CA2689" w:rsidRDefault="00CA2689" w:rsidP="00CA2689">
      <w:pPr>
        <w:numPr>
          <w:ilvl w:val="0"/>
          <w:numId w:val="5"/>
        </w:numPr>
      </w:pPr>
      <w:r w:rsidRPr="00CA2689">
        <w:rPr>
          <w:b/>
          <w:bCs/>
        </w:rPr>
        <w:t>Privacy and data governance</w:t>
      </w:r>
      <w:r w:rsidRPr="00CA2689">
        <w:t>: AI systems should respect privacy, ensure data quality and integrity, and provide users with control over their data.</w:t>
      </w:r>
    </w:p>
    <w:p w14:paraId="748100E1" w14:textId="77777777" w:rsidR="00CA2689" w:rsidRPr="00CA2689" w:rsidRDefault="00CA2689" w:rsidP="00CA2689">
      <w:pPr>
        <w:numPr>
          <w:ilvl w:val="0"/>
          <w:numId w:val="5"/>
        </w:numPr>
      </w:pPr>
      <w:r w:rsidRPr="00CA2689">
        <w:rPr>
          <w:b/>
          <w:bCs/>
        </w:rPr>
        <w:t>Transparency</w:t>
      </w:r>
      <w:r w:rsidRPr="00CA2689">
        <w:t>: AI systems should be identifiable as AI, provide explanations appropriate to context, and disclose capabilities and limitations.</w:t>
      </w:r>
    </w:p>
    <w:p w14:paraId="140BB147" w14:textId="77777777" w:rsidR="00CA2689" w:rsidRPr="00CA2689" w:rsidRDefault="00CA2689" w:rsidP="00CA2689">
      <w:pPr>
        <w:numPr>
          <w:ilvl w:val="0"/>
          <w:numId w:val="5"/>
        </w:numPr>
      </w:pPr>
      <w:r w:rsidRPr="00CA2689">
        <w:rPr>
          <w:b/>
          <w:bCs/>
        </w:rPr>
        <w:t>Diversity, non-discrimination, and fairness</w:t>
      </w:r>
      <w:r w:rsidRPr="00CA2689">
        <w:t>: AI systems should avoid unfair bias, be accessible to all users, and involve diverse stakeholders in design and deployment.</w:t>
      </w:r>
    </w:p>
    <w:p w14:paraId="1F9CACD0" w14:textId="77777777" w:rsidR="00CA2689" w:rsidRPr="00CA2689" w:rsidRDefault="00CA2689" w:rsidP="00CA2689">
      <w:pPr>
        <w:numPr>
          <w:ilvl w:val="0"/>
          <w:numId w:val="5"/>
        </w:numPr>
      </w:pPr>
      <w:r w:rsidRPr="00CA2689">
        <w:rPr>
          <w:b/>
          <w:bCs/>
        </w:rPr>
        <w:t>Societal and environmental wellbeing</w:t>
      </w:r>
      <w:r w:rsidRPr="00CA2689">
        <w:t>: AI systems should benefit society, support sustainability, and be assessed for broader societal impact.</w:t>
      </w:r>
    </w:p>
    <w:p w14:paraId="589E6DFE" w14:textId="77777777" w:rsidR="00CA2689" w:rsidRPr="00CA2689" w:rsidRDefault="00CA2689" w:rsidP="00CA2689">
      <w:pPr>
        <w:numPr>
          <w:ilvl w:val="0"/>
          <w:numId w:val="5"/>
        </w:numPr>
      </w:pPr>
      <w:r w:rsidRPr="00CA2689">
        <w:rPr>
          <w:b/>
          <w:bCs/>
        </w:rPr>
        <w:t>Accountability</w:t>
      </w:r>
      <w:r w:rsidRPr="00CA2689">
        <w:t>: AI systems should be auditable, provide mechanisms for redress, and minimize negative impacts through risk management.</w:t>
      </w:r>
    </w:p>
    <w:p w14:paraId="50EE9F96" w14:textId="77777777" w:rsidR="00CA2689" w:rsidRPr="00CA2689" w:rsidRDefault="00CA2689" w:rsidP="00CA2689">
      <w:r w:rsidRPr="00CA2689">
        <w:t>These requirements provide a comprehensive framework for operationalizing Responsible AI principles, but implementation remains challenging (Li et al., 2021). Organizations struggle to translate abstract principles into concrete technical specifications, evaluation metrics, and organizational processes. The lack of standardized assessment tools, certification schemes, and enforcement mechanisms limits the practical impact of these frameworks.</w:t>
      </w:r>
    </w:p>
    <w:p w14:paraId="6D6D1010" w14:textId="77777777" w:rsidR="00CA2689" w:rsidRPr="00CA2689" w:rsidRDefault="00CA2689" w:rsidP="00CA2689">
      <w:pPr>
        <w:rPr>
          <w:b/>
          <w:bCs/>
        </w:rPr>
      </w:pPr>
      <w:r w:rsidRPr="00CA2689">
        <w:rPr>
          <w:b/>
          <w:bCs/>
        </w:rPr>
        <w:t>7.4 Human-Centric AI: Wellbeing, Inclusivity, and Empowerment</w:t>
      </w:r>
    </w:p>
    <w:p w14:paraId="0C0E1619" w14:textId="77777777" w:rsidR="00CA2689" w:rsidRPr="00CA2689" w:rsidRDefault="00CA2689" w:rsidP="00CA2689">
      <w:r w:rsidRPr="00CA2689">
        <w:t>Human-Centric AI emphasizes that AI systems should serve human needs, respect human values, and enhance human capabilities rather than replacing or subordinating humans (</w:t>
      </w:r>
      <w:proofErr w:type="spellStart"/>
      <w:r w:rsidRPr="00CA2689">
        <w:t>Benlalia</w:t>
      </w:r>
      <w:proofErr w:type="spellEnd"/>
      <w:r w:rsidRPr="00CA2689">
        <w:t xml:space="preserve"> et al., 2025). This paradigm contrasts with technology-centric approaches that prioritize technical performance metrics without considering broader </w:t>
      </w:r>
      <w:r w:rsidRPr="00CA2689">
        <w:lastRenderedPageBreak/>
        <w:t>human and societal impacts. Human-Centric AI encompasses three core dimensions: wellbeing, inclusivity, and empowerment.</w:t>
      </w:r>
    </w:p>
    <w:p w14:paraId="1372804C" w14:textId="77777777" w:rsidR="00CA2689" w:rsidRPr="00CA2689" w:rsidRDefault="00CA2689" w:rsidP="00CA2689">
      <w:r w:rsidRPr="00CA2689">
        <w:rPr>
          <w:b/>
          <w:bCs/>
        </w:rPr>
        <w:t>Wellbeing</w:t>
      </w:r>
      <w:r w:rsidRPr="00CA2689">
        <w:t> requires that AI systems promote physical, mental, and social health rather than causing harm or degradation (</w:t>
      </w:r>
      <w:proofErr w:type="spellStart"/>
      <w:r w:rsidRPr="00CA2689">
        <w:t>Benlalia</w:t>
      </w:r>
      <w:proofErr w:type="spellEnd"/>
      <w:r w:rsidRPr="00CA2689">
        <w:t xml:space="preserve"> et al., 2025). This includes designing AI to reduce stress and cognitive overload, supporting work-life balance, protecting mental health, and avoiding addictive or manipulative design patterns. For example, social media recommendation algorithms could prioritize content that promotes wellbeing over content that maximizes engagement through outrage or anxiety.</w:t>
      </w:r>
    </w:p>
    <w:p w14:paraId="2AB09477" w14:textId="77777777" w:rsidR="00CA2689" w:rsidRPr="00CA2689" w:rsidRDefault="00CA2689" w:rsidP="00CA2689">
      <w:r w:rsidRPr="00CA2689">
        <w:rPr>
          <w:b/>
          <w:bCs/>
        </w:rPr>
        <w:t>Inclusivity</w:t>
      </w:r>
      <w:r w:rsidRPr="00CA2689">
        <w:t> ensures that AI systems are accessible to and beneficial for diverse populations, including marginalized and vulnerable groups (</w:t>
      </w:r>
      <w:proofErr w:type="spellStart"/>
      <w:r w:rsidRPr="00CA2689">
        <w:t>Benlalia</w:t>
      </w:r>
      <w:proofErr w:type="spellEnd"/>
      <w:r w:rsidRPr="00CA2689">
        <w:t xml:space="preserve"> et al., 2025). This requires addressing digital divides in access to AI technologies, ensuring interfaces accommodate users with disabilities, supporting multiple languages and cultural contexts, and actively involving diverse stakeholders in design processes. Inclusive AI challenges the default assumption that systems designed for majority populations will adequately serve everyone.</w:t>
      </w:r>
    </w:p>
    <w:p w14:paraId="533C5D31" w14:textId="77777777" w:rsidR="00CA2689" w:rsidRPr="00CA2689" w:rsidRDefault="00CA2689" w:rsidP="00CA2689">
      <w:r w:rsidRPr="00CA2689">
        <w:rPr>
          <w:b/>
          <w:bCs/>
        </w:rPr>
        <w:t>Empowerment</w:t>
      </w:r>
      <w:r w:rsidRPr="00CA2689">
        <w:t> positions AI as a tool that augments human capabilities, supports human autonomy, and enables individuals to achieve their goals (</w:t>
      </w:r>
      <w:proofErr w:type="spellStart"/>
      <w:r w:rsidRPr="00CA2689">
        <w:t>Benlalia</w:t>
      </w:r>
      <w:proofErr w:type="spellEnd"/>
      <w:r w:rsidRPr="00CA2689">
        <w:t xml:space="preserve"> et al., 2025). Empowering AI provides users with control over system </w:t>
      </w:r>
      <w:proofErr w:type="spellStart"/>
      <w:r w:rsidRPr="00CA2689">
        <w:t>behavior</w:t>
      </w:r>
      <w:proofErr w:type="spellEnd"/>
      <w:r w:rsidRPr="00CA2689">
        <w:t>, transparency about how decisions are made, and opportunities to develop new skills rather than deskilling through automation. Human-AI collaboration models that combine human judgment with AI capabilities exemplify empowerment, preserving human agency while leveraging computational power.</w:t>
      </w:r>
    </w:p>
    <w:p w14:paraId="4DCFF0F9" w14:textId="77777777" w:rsidR="00CA2689" w:rsidRPr="00CA2689" w:rsidRDefault="00CA2689" w:rsidP="00CA2689">
      <w:pPr>
        <w:rPr>
          <w:b/>
          <w:bCs/>
        </w:rPr>
      </w:pPr>
      <w:r w:rsidRPr="00CA2689">
        <w:rPr>
          <w:b/>
          <w:bCs/>
        </w:rPr>
        <w:t>7.5 Algorithmic Bias and Fairness Mechanisms</w:t>
      </w:r>
    </w:p>
    <w:p w14:paraId="3D5C67EF" w14:textId="77777777" w:rsidR="00CA2689" w:rsidRPr="00CA2689" w:rsidRDefault="00CA2689" w:rsidP="00CA2689">
      <w:r w:rsidRPr="00CA2689">
        <w:t xml:space="preserve">Algorithmic bias arises when AI systems produce systematically unfair outcomes for specific groups, often reflecting and amplifying historical discrimination present in training data (Pathan et al., 2025). Bias can enter AI systems at multiple stages: biased data collection (underrepresentation of minority groups), biased </w:t>
      </w:r>
      <w:proofErr w:type="spellStart"/>
      <w:r w:rsidRPr="00CA2689">
        <w:t>labeling</w:t>
      </w:r>
      <w:proofErr w:type="spellEnd"/>
      <w:r w:rsidRPr="00CA2689">
        <w:t xml:space="preserve"> (subjective human judgments encoded in labels), biased features (use of proxies for protected characteristics), biased algorithms (optimization objectives that disadvantage certain groups), and biased deployment (differential access or treatment in practice).</w:t>
      </w:r>
    </w:p>
    <w:p w14:paraId="1D0C0FBF" w14:textId="77777777" w:rsidR="00CA2689" w:rsidRPr="00CA2689" w:rsidRDefault="00CA2689" w:rsidP="00CA2689">
      <w:r w:rsidRPr="00CA2689">
        <w:t>Fairness mechanisms aim to detect and mitigate bias through technical interventions at different stages of the AI lifecycle (Pathan et al., 2025). </w:t>
      </w:r>
      <w:r w:rsidRPr="00CA2689">
        <w:rPr>
          <w:b/>
          <w:bCs/>
        </w:rPr>
        <w:t>Pre-processing</w:t>
      </w:r>
      <w:r w:rsidRPr="00CA2689">
        <w:t> techniques modify training data to reduce bias, such as reweighting examples to balance group representation or removing features that correlate with protected attributes. </w:t>
      </w:r>
      <w:r w:rsidRPr="00CA2689">
        <w:rPr>
          <w:b/>
          <w:bCs/>
        </w:rPr>
        <w:t>In-processing</w:t>
      </w:r>
      <w:r w:rsidRPr="00CA2689">
        <w:t> techniques incorporate fairness constraints directly into model training, optimizing for both accuracy and fairness simultaneously. </w:t>
      </w:r>
      <w:r w:rsidRPr="00CA2689">
        <w:rPr>
          <w:b/>
          <w:bCs/>
        </w:rPr>
        <w:t>Post-processing</w:t>
      </w:r>
      <w:r w:rsidRPr="00CA2689">
        <w:t> techniques adjust model outputs to satisfy fairness criteria, such as calibrating prediction thresholds differently across groups to achieve equalized odds.</w:t>
      </w:r>
    </w:p>
    <w:p w14:paraId="72C4D6A5" w14:textId="77777777" w:rsidR="00CA2689" w:rsidRPr="00CA2689" w:rsidRDefault="00CA2689" w:rsidP="00CA2689">
      <w:r w:rsidRPr="00CA2689">
        <w:lastRenderedPageBreak/>
        <w:t>However, fairness interventions face fundamental challenges (Pathan et al., 2025). First, multiple conflicting definitions of fairness exist, and satisfying one definition often precludes satisfying others. Second, fairness metrics may not capture all relevant dimensions of justice, particularly when harms are context-specific or intersectional. Third, technical fixes cannot address structural inequalities that generate biased data in the first place; achieving genuine fairness requires societal reforms alongside algorithmic interventions. Fourth, fairness constraints typically reduce overall accuracy, creating trade-offs between equity and efficiency that require value judgments.</w:t>
      </w:r>
    </w:p>
    <w:p w14:paraId="046B63FE" w14:textId="77777777" w:rsidR="00CA2689" w:rsidRPr="00CA2689" w:rsidRDefault="00CA2689" w:rsidP="00CA2689">
      <w:pPr>
        <w:rPr>
          <w:b/>
          <w:bCs/>
        </w:rPr>
      </w:pPr>
      <w:r w:rsidRPr="00CA2689">
        <w:rPr>
          <w:b/>
          <w:bCs/>
        </w:rPr>
        <w:t>7.6 AI Auditing and Certification</w:t>
      </w:r>
    </w:p>
    <w:p w14:paraId="26E7B80E" w14:textId="77777777" w:rsidR="00CA2689" w:rsidRPr="00CA2689" w:rsidRDefault="00CA2689" w:rsidP="00CA2689">
      <w:r w:rsidRPr="00CA2689">
        <w:t>AI auditing involves systematic evaluation of AI systems against specified criteria, including technical performance, fairness, transparency, security, and compliance with regulations (Li et al., 2021). Audits can be conducted internally by organizations, by third-party auditors, or by regulators, and may be voluntary or mandatory depending on jurisdiction and application domain. Effective auditing requires access to system documentation, training data, model architectures, and deployment contexts, as well as expertise in both technical and domain-specific aspects.</w:t>
      </w:r>
    </w:p>
    <w:p w14:paraId="228CAE14" w14:textId="77777777" w:rsidR="00CA2689" w:rsidRPr="00CA2689" w:rsidRDefault="00CA2689" w:rsidP="00CA2689">
      <w:r w:rsidRPr="00CA2689">
        <w:t>Challenges in AI auditing include the lack of standardized evaluation metrics, difficulty accessing proprietary systems, rapid evolution of AI technologies that outpaces audit methodologies, and the need for domain-specific expertise to assess context-appropriate performance (Li et al., 2021). Moreover, audits provide point-in-time assessments, while AI systems may drift over time as data distributions change or models are updated, requiring continuous monitoring rather than one-time certification.</w:t>
      </w:r>
    </w:p>
    <w:p w14:paraId="09FF0990" w14:textId="77777777" w:rsidR="00CA2689" w:rsidRPr="00CA2689" w:rsidRDefault="00CA2689" w:rsidP="00CA2689">
      <w:r w:rsidRPr="00CA2689">
        <w:t>AI certification schemes aim to provide assurance that systems meet specified standards, analogous to safety certifications for medical devices or vehicles (Pathan et al., 2025). Proposed certification approaches include conformity assessment (verifying compliance with regulatory requirements), performance benchmarking (comparing systems against standardized test suites), and ethical certification (assessing alignment with ethical principles). However, the diversity of AI applications and the absence of consensus on appropriate standards have limited the development of widely accepted certification schemes.</w:t>
      </w:r>
    </w:p>
    <w:p w14:paraId="181E9A0E" w14:textId="77777777" w:rsidR="00CA2689" w:rsidRPr="00CA2689" w:rsidRDefault="00CA2689" w:rsidP="00CA2689">
      <w:pPr>
        <w:rPr>
          <w:b/>
          <w:bCs/>
        </w:rPr>
      </w:pPr>
      <w:r w:rsidRPr="00CA2689">
        <w:rPr>
          <w:b/>
          <w:bCs/>
        </w:rPr>
        <w:t>7.7 Organizational Implementation of Responsible AI</w:t>
      </w:r>
    </w:p>
    <w:p w14:paraId="6908BC29" w14:textId="77777777" w:rsidR="00CA2689" w:rsidRPr="00CA2689" w:rsidRDefault="00CA2689" w:rsidP="00CA2689">
      <w:r w:rsidRPr="00CA2689">
        <w:t>Translating Responsible AI principles into organizational practice requires governance structures, processes, and culture that embed ethical considerations throughout the AI lifecycle (Li et al., 2021). Key elements include:</w:t>
      </w:r>
    </w:p>
    <w:p w14:paraId="0F277020" w14:textId="77777777" w:rsidR="00CA2689" w:rsidRPr="00CA2689" w:rsidRDefault="00CA2689" w:rsidP="00CA2689">
      <w:r w:rsidRPr="00CA2689">
        <w:rPr>
          <w:b/>
          <w:bCs/>
        </w:rPr>
        <w:t>AI Ethics Boards</w:t>
      </w:r>
      <w:r w:rsidRPr="00CA2689">
        <w:t xml:space="preserve"> provide oversight and guidance on ethical issues, reviewing high-risk projects, resolving ethical dilemmas, and ensuring alignment with organizational values </w:t>
      </w:r>
      <w:r w:rsidRPr="00CA2689">
        <w:lastRenderedPageBreak/>
        <w:t>(Pathan et al., 2025). Effective boards include diverse membership spanning technical, ethical, legal, and domain expertise, have clear authority and accountability, and are integrated into decision-making processes rather than serving as rubber stamps.</w:t>
      </w:r>
    </w:p>
    <w:p w14:paraId="77053F6F" w14:textId="77777777" w:rsidR="00CA2689" w:rsidRPr="00CA2689" w:rsidRDefault="00CA2689" w:rsidP="00CA2689">
      <w:r w:rsidRPr="00CA2689">
        <w:rPr>
          <w:b/>
          <w:bCs/>
        </w:rPr>
        <w:t>Responsible AI frameworks</w:t>
      </w:r>
      <w:r w:rsidRPr="00CA2689">
        <w:t> provide structured methodologies for identifying, assessing, and mitigating risks throughout the AI lifecycle (Li et al., 2021). Frameworks such as Microsoft's Responsible AI Standard, Google's AI Principles, and IBM's AI Ethics Board guidelines specify requirements for documentation, testing, monitoring, and incident response. However, frameworks vary in specificity, enforceability, and public transparency, with some criticized as performative rather than substantive.</w:t>
      </w:r>
    </w:p>
    <w:p w14:paraId="1F5F6DED" w14:textId="77777777" w:rsidR="00CA2689" w:rsidRPr="00CA2689" w:rsidRDefault="00CA2689" w:rsidP="00CA2689">
      <w:r w:rsidRPr="00CA2689">
        <w:rPr>
          <w:b/>
          <w:bCs/>
        </w:rPr>
        <w:t>Impact assessments</w:t>
      </w:r>
      <w:r w:rsidRPr="00CA2689">
        <w:t> evaluate potential harms and benefits of AI systems before deployment, considering effects on individuals, groups, and society (Pathan et al., 2025). Algorithmic Impact Assessments (AIAs) document system purpose, data sources, model characteristics, fairness evaluations, and mitigation strategies, providing transparency and accountability. Some jurisdictions mandate AIAs for high-risk applications, while others rely on voluntary adoption.</w:t>
      </w:r>
    </w:p>
    <w:p w14:paraId="2B08E674" w14:textId="77777777" w:rsidR="00CA2689" w:rsidRPr="00CA2689" w:rsidRDefault="00CA2689" w:rsidP="00CA2689">
      <w:r w:rsidRPr="00CA2689">
        <w:rPr>
          <w:b/>
          <w:bCs/>
        </w:rPr>
        <w:t>Training and capacity building</w:t>
      </w:r>
      <w:r w:rsidRPr="00CA2689">
        <w:t> ensure that AI practitioners understand ethical principles, recognize potential harms, and possess skills to implement responsible practices (Li et al., 2021). Ethics training for data scientists, engineers, and product managers can increase awareness of bias, fairness, and transparency issues, though training alone is insufficient without organizational incentives and accountability mechanisms.</w:t>
      </w:r>
    </w:p>
    <w:p w14:paraId="0F7DC350" w14:textId="77777777" w:rsidR="00CA2689" w:rsidRPr="00CA2689" w:rsidRDefault="00CA2689" w:rsidP="00CA2689">
      <w:r w:rsidRPr="00CA2689">
        <w:rPr>
          <w:b/>
          <w:bCs/>
        </w:rPr>
        <w:t>Stakeholder engagement</w:t>
      </w:r>
      <w:r w:rsidRPr="00CA2689">
        <w:t> involves affected communities, domain experts, and civil society in AI design and deployment decisions (</w:t>
      </w:r>
      <w:proofErr w:type="spellStart"/>
      <w:r w:rsidRPr="00CA2689">
        <w:t>Benlalia</w:t>
      </w:r>
      <w:proofErr w:type="spellEnd"/>
      <w:r w:rsidRPr="00CA2689">
        <w:t xml:space="preserve"> et al., 2025). Participatory design approaches solicit input from users and impacted populations, ensuring systems address genuine needs and respect community values. However, meaningful engagement requires resources, time, and power-sharing that organizations may resist.</w:t>
      </w:r>
    </w:p>
    <w:p w14:paraId="66BA9F5D" w14:textId="77777777" w:rsidR="00CA2689" w:rsidRPr="00CA2689" w:rsidRDefault="00CA2689" w:rsidP="00CA2689">
      <w:r w:rsidRPr="00CA2689">
        <w:t>Despite growing adoption of Responsible AI practices, implementation gaps persist (Pathan et al., 2025). Organizations face competing pressures to rapidly deploy AI for competitive advantage, limited resources for ethics initiatives, and misalignment between stated principles and actual incentives. Regulatory enforcement, market pressure from consumers and investors, and reputational risks from AI failures provide external motivations for responsible practices, but voluntary self-regulation has proven insufficient to prevent harms.</w:t>
      </w:r>
    </w:p>
    <w:p w14:paraId="01C76376" w14:textId="77777777" w:rsidR="00CA2689" w:rsidRPr="00CA2689" w:rsidRDefault="00CA2689" w:rsidP="00CA2689">
      <w:pPr>
        <w:rPr>
          <w:b/>
          <w:bCs/>
        </w:rPr>
      </w:pPr>
      <w:r w:rsidRPr="00CA2689">
        <w:rPr>
          <w:b/>
          <w:bCs/>
        </w:rPr>
        <w:t>8. Integrated AI Ecosystem Framework</w:t>
      </w:r>
    </w:p>
    <w:p w14:paraId="593F51C6" w14:textId="77777777" w:rsidR="00CA2689" w:rsidRPr="00CA2689" w:rsidRDefault="00CA2689" w:rsidP="00CA2689">
      <w:r w:rsidRPr="00CA2689">
        <w:t xml:space="preserve">The proliferation of specialized AI paradigms—Generative, Emotional, Social, Agentic, Multimodal, Cognitive—creates a fragmented landscape where capabilities remain isolated in domain-specific applications. However, the future of AI lies not in the </w:t>
      </w:r>
      <w:r w:rsidRPr="00CA2689">
        <w:lastRenderedPageBreak/>
        <w:t>dominance of any single paradigm but in their integration into unified, multi-capability systems that combine generative creativity, emotional intelligence, autonomous agency, and cognitive reasoning (Joshi et al., 2025). This section proposes an Integrated AI Ecosystem Framework that conceptualizes how diverse AI paradigms can be organized into a coherent, layered architecture with Trustworthy AI as the integrating principle.</w:t>
      </w:r>
    </w:p>
    <w:p w14:paraId="6D3103B4" w14:textId="77777777" w:rsidR="00CA2689" w:rsidRPr="00CA2689" w:rsidRDefault="00CA2689" w:rsidP="00CA2689">
      <w:pPr>
        <w:rPr>
          <w:b/>
          <w:bCs/>
        </w:rPr>
      </w:pPr>
      <w:r w:rsidRPr="00CA2689">
        <w:rPr>
          <w:b/>
          <w:bCs/>
        </w:rPr>
        <w:t>Multi-Layered Conceptual Model</w:t>
      </w:r>
    </w:p>
    <w:p w14:paraId="0C67FB04" w14:textId="77777777" w:rsidR="00CA2689" w:rsidRPr="00CA2689" w:rsidRDefault="00CA2689" w:rsidP="00CA2689">
      <w:r w:rsidRPr="00CA2689">
        <w:t>The Integrated AI Ecosystem Framework comprises six interdependent layers, each representing a distinct dimension of AI capability while contributing to the overall system functionality:</w:t>
      </w:r>
    </w:p>
    <w:p w14:paraId="0C158E37" w14:textId="77777777" w:rsidR="00CA2689" w:rsidRPr="00CA2689" w:rsidRDefault="00CA2689" w:rsidP="00CA2689">
      <w:r w:rsidRPr="00CA2689">
        <w:rPr>
          <w:b/>
          <w:bCs/>
        </w:rPr>
        <w:t>Layer 1: Intelligence Layer (Foundation)</w:t>
      </w:r>
      <w:r w:rsidRPr="00CA2689">
        <w:t> The Intelligence Layer provides core cognitive capabilities including predictive analytics, pattern recognition, and analytical reasoning (Joshi et al., 2025). This layer encompasses traditional machine learning, deep learning, and statistical inference techniques that extract insights from data, identify trends, and make predictions. Predictive AI forecasts future states based on historical patterns, enabling applications in demand forecasting, risk assessment, and resource optimization. Analytical AI processes structured and unstructured data to discover relationships, anomalies, and actionable insights. Cognitive AI introduces higher-order reasoning including causal inference, analogical thinking, and metacognition, enabling systems to understand mechanisms rather than merely correlations.</w:t>
      </w:r>
    </w:p>
    <w:p w14:paraId="31FD8B94" w14:textId="77777777" w:rsidR="00CA2689" w:rsidRPr="00CA2689" w:rsidRDefault="00CA2689" w:rsidP="00CA2689">
      <w:r w:rsidRPr="00CA2689">
        <w:rPr>
          <w:b/>
          <w:bCs/>
        </w:rPr>
        <w:t>Layer 2: Creation Layer</w:t>
      </w:r>
      <w:r w:rsidRPr="00CA2689">
        <w:t> </w:t>
      </w:r>
      <w:proofErr w:type="gramStart"/>
      <w:r w:rsidRPr="00CA2689">
        <w:t>The</w:t>
      </w:r>
      <w:proofErr w:type="gramEnd"/>
      <w:r w:rsidRPr="00CA2689">
        <w:t xml:space="preserve"> Creation Layer builds upon the Intelligence Layer to generate novel content, designs, and solutions (Khader et al., 2025). Generative AI produces text, images, audio, video, code, and molecular structures using transformer architectures, diffusion models, and </w:t>
      </w:r>
      <w:proofErr w:type="spellStart"/>
      <w:r w:rsidRPr="00CA2689">
        <w:t>GANs</w:t>
      </w:r>
      <w:proofErr w:type="spellEnd"/>
      <w:r w:rsidRPr="00CA2689">
        <w:t>. Creative AI extends generation into artistic and design domains, producing outputs that exhibit originality, aesthetic value, and emotional resonance. This layer enables applications in content creation, software development, scientific discovery, and artistic innovation, transforming AI from a tool for analysis to a partner in creation.</w:t>
      </w:r>
    </w:p>
    <w:p w14:paraId="66E07E10" w14:textId="77777777" w:rsidR="00CA2689" w:rsidRPr="00CA2689" w:rsidRDefault="00CA2689" w:rsidP="00CA2689">
      <w:r w:rsidRPr="00CA2689">
        <w:rPr>
          <w:b/>
          <w:bCs/>
        </w:rPr>
        <w:t>Layer 3: Human Interaction Layer</w:t>
      </w:r>
      <w:r w:rsidRPr="00CA2689">
        <w:t> </w:t>
      </w:r>
      <w:proofErr w:type="gramStart"/>
      <w:r w:rsidRPr="00CA2689">
        <w:t>The</w:t>
      </w:r>
      <w:proofErr w:type="gramEnd"/>
      <w:r w:rsidRPr="00CA2689">
        <w:t xml:space="preserve"> Human Interaction Layer enables AI systems to understand and respond to human emotions, social dynamics, and interpersonal contexts (</w:t>
      </w:r>
      <w:proofErr w:type="spellStart"/>
      <w:r w:rsidRPr="00CA2689">
        <w:t>Benlalia</w:t>
      </w:r>
      <w:proofErr w:type="spellEnd"/>
      <w:r w:rsidRPr="00CA2689">
        <w:t xml:space="preserve"> et al., 2025). Emotional AI recognizes affective states through multimodal sensing and adapts system </w:t>
      </w:r>
      <w:proofErr w:type="spellStart"/>
      <w:r w:rsidRPr="00CA2689">
        <w:t>behavior</w:t>
      </w:r>
      <w:proofErr w:type="spellEnd"/>
      <w:r w:rsidRPr="00CA2689">
        <w:t xml:space="preserve"> to provide empathetic responses. Social AI navigates social norms, builds relationships, and engages in persuasion and negotiation. Empathetic AI combines emotion recognition with perspective-taking and compassionate response generation. This layer is essential for applications requiring natural human-AI collaboration, including mental health support, education, customer service, and companionship.</w:t>
      </w:r>
    </w:p>
    <w:p w14:paraId="4D5108B9" w14:textId="77777777" w:rsidR="00CA2689" w:rsidRPr="00CA2689" w:rsidRDefault="00CA2689" w:rsidP="00CA2689">
      <w:r w:rsidRPr="00CA2689">
        <w:rPr>
          <w:b/>
          <w:bCs/>
        </w:rPr>
        <w:lastRenderedPageBreak/>
        <w:t>Layer 4: Autonomous Layer</w:t>
      </w:r>
      <w:r w:rsidRPr="00CA2689">
        <w:t> </w:t>
      </w:r>
      <w:proofErr w:type="gramStart"/>
      <w:r w:rsidRPr="00CA2689">
        <w:t>The</w:t>
      </w:r>
      <w:proofErr w:type="gramEnd"/>
      <w:r w:rsidRPr="00CA2689">
        <w:t xml:space="preserve"> Autonomous Layer introduces agency, enabling AI systems to independently pursue goals, plan multi-step actions, use tools, and adapt strategies based on feedback (Bandi et al., 2025). Agentic AI decomposes high-level objectives into executable action sequences, coordinates with other agents, and learns from experience. Adaptive AI continuously improves performance through online learning, adjusting to changing environments and user preferences. Autonomous AI operates with minimal human supervision, making real-time decisions in dynamic contexts. This layer powers applications in software development, enterprise automation, robotics, and autonomous vehicles.</w:t>
      </w:r>
    </w:p>
    <w:p w14:paraId="38C8840A" w14:textId="77777777" w:rsidR="00CA2689" w:rsidRPr="00CA2689" w:rsidRDefault="00CA2689" w:rsidP="00CA2689">
      <w:r w:rsidRPr="00CA2689">
        <w:rPr>
          <w:b/>
          <w:bCs/>
        </w:rPr>
        <w:t>Layer 5: Governance Layer</w:t>
      </w:r>
      <w:r w:rsidRPr="00CA2689">
        <w:t> </w:t>
      </w:r>
      <w:proofErr w:type="gramStart"/>
      <w:r w:rsidRPr="00CA2689">
        <w:t>The</w:t>
      </w:r>
      <w:proofErr w:type="gramEnd"/>
      <w:r w:rsidRPr="00CA2689">
        <w:t xml:space="preserve"> Governance Layer ensures that AI systems across all other layers operate responsibly, transparently, and in alignment with human values (Pathan et al., 2025; Li et al., 2021). Explainable AI provides transparency into decision-making processes, enabling accountability and trust. Responsible AI implements fairness, privacy, and security safeguards throughout the AI lifecycle. Ethical AI embeds moral reasoning and value alignment into system </w:t>
      </w:r>
      <w:proofErr w:type="spellStart"/>
      <w:r w:rsidRPr="00CA2689">
        <w:t>behavior</w:t>
      </w:r>
      <w:proofErr w:type="spellEnd"/>
      <w:r w:rsidRPr="00CA2689">
        <w:t>. Human-Centric AI prioritizes human wellbeing, autonomy, and empowerment. This layer is not a separate capability but a cross-cutting concern that permeates all other layers, ensuring that intelligence, creation, interaction, and autonomy serve human interests.</w:t>
      </w:r>
    </w:p>
    <w:p w14:paraId="7F7E3D82" w14:textId="77777777" w:rsidR="00CA2689" w:rsidRPr="00CA2689" w:rsidRDefault="00CA2689" w:rsidP="00CA2689">
      <w:r w:rsidRPr="00CA2689">
        <w:rPr>
          <w:b/>
          <w:bCs/>
        </w:rPr>
        <w:t>Layer 6: Security Layer</w:t>
      </w:r>
      <w:r w:rsidRPr="00CA2689">
        <w:t> </w:t>
      </w:r>
      <w:proofErr w:type="gramStart"/>
      <w:r w:rsidRPr="00CA2689">
        <w:t>The</w:t>
      </w:r>
      <w:proofErr w:type="gramEnd"/>
      <w:r w:rsidRPr="00CA2689">
        <w:t xml:space="preserve"> Security Layer protects AI systems and their users from malicious attacks, adversarial manipulation, and unintended failures (Jiang et al., 2025). AI Risk Management identifies, assesses, and mitigates risks including bias, safety failures, and misuse. Cybersecurity AI defends against adversarial attacks, data poisoning, and model theft. Dark AI Mitigation detects and counters deepfakes, misinformation, and AI-powered cyberattacks. This layer provides the defensive capabilities necessary for safe deployment of powerful AI systems in adversarial environments.</w:t>
      </w:r>
    </w:p>
    <w:p w14:paraId="290AA82D" w14:textId="77777777" w:rsidR="00CA2689" w:rsidRPr="00CA2689" w:rsidRDefault="00CA2689" w:rsidP="00CA2689">
      <w:pPr>
        <w:rPr>
          <w:b/>
          <w:bCs/>
        </w:rPr>
      </w:pPr>
      <w:r w:rsidRPr="00CA2689">
        <w:rPr>
          <w:b/>
          <w:bCs/>
        </w:rPr>
        <w:t>Evolution Pathway: From Generative AI to AGI</w:t>
      </w:r>
    </w:p>
    <w:p w14:paraId="18E29B3E" w14:textId="77777777" w:rsidR="00CA2689" w:rsidRPr="00CA2689" w:rsidRDefault="00CA2689" w:rsidP="00CA2689">
      <w:r w:rsidRPr="00CA2689">
        <w:t>The Integrated AI Ecosystem Framework also describes an evolutionary pathway through which AI capabilities progress toward increasingly general intelligence (Joshi et al., 2025):</w:t>
      </w:r>
    </w:p>
    <w:p w14:paraId="486A6BA5" w14:textId="77777777" w:rsidR="00CA2689" w:rsidRPr="00CA2689" w:rsidRDefault="00CA2689" w:rsidP="00CA2689">
      <w:r w:rsidRPr="00CA2689">
        <w:rPr>
          <w:b/>
          <w:bCs/>
        </w:rPr>
        <w:t>Stage 1: Generative AI (Current)</w:t>
      </w:r>
      <w:r w:rsidRPr="00CA2689">
        <w:t> Foundation models demonstrate remarkable generative capabilities but remain limited to content production without genuine understanding, emotional intelligence, or autonomous agency (Khader et al., 2025). Current systems excel at pattern matching and statistical generation but lack grounding in physical reality, causal reasoning, and long-term goal pursuit.</w:t>
      </w:r>
    </w:p>
    <w:p w14:paraId="35B075C7" w14:textId="77777777" w:rsidR="00CA2689" w:rsidRPr="00CA2689" w:rsidRDefault="00CA2689" w:rsidP="00CA2689">
      <w:r w:rsidRPr="00CA2689">
        <w:rPr>
          <w:b/>
          <w:bCs/>
        </w:rPr>
        <w:t>Stage 2: Emotional AI (Emerging)</w:t>
      </w:r>
      <w:r w:rsidRPr="00CA2689">
        <w:t> Integration of affective computing with generative capabilities produces systems that recognize and respond to human emotions, enabling more natural and empathetic human-AI interaction (</w:t>
      </w:r>
      <w:proofErr w:type="spellStart"/>
      <w:r w:rsidRPr="00CA2689">
        <w:t>Benlalia</w:t>
      </w:r>
      <w:proofErr w:type="spellEnd"/>
      <w:r w:rsidRPr="00CA2689">
        <w:t xml:space="preserve"> et al., 2025). </w:t>
      </w:r>
      <w:r w:rsidRPr="00CA2689">
        <w:lastRenderedPageBreak/>
        <w:t xml:space="preserve">Emotional AI enhances user experience, improves mental health support, and enables personalized education, but remains limited in social understanding and autonomous </w:t>
      </w:r>
      <w:proofErr w:type="spellStart"/>
      <w:r w:rsidRPr="00CA2689">
        <w:t>behavior</w:t>
      </w:r>
      <w:proofErr w:type="spellEnd"/>
      <w:r w:rsidRPr="00CA2689">
        <w:t>.</w:t>
      </w:r>
    </w:p>
    <w:p w14:paraId="4DA32F28" w14:textId="77777777" w:rsidR="00CA2689" w:rsidRPr="00CA2689" w:rsidRDefault="00CA2689" w:rsidP="00CA2689">
      <w:r w:rsidRPr="00CA2689">
        <w:rPr>
          <w:b/>
          <w:bCs/>
        </w:rPr>
        <w:t>Stage 3: Agentic AI (Near-term)</w:t>
      </w:r>
      <w:r w:rsidRPr="00CA2689">
        <w:t> Addition of autonomous goal pursuit, planning, and tool use transforms AI from reactive systems to proactive agents capable of multi-step problem-solving (Bandi et al., 2025). Agentic AI can decompose complex tasks, coordinate actions, and adapt strategies, enabling applications in software development, enterprise automation, and digital workforces. However, current agentic systems lack robust causal reasoning and metacognitive capabilities.</w:t>
      </w:r>
    </w:p>
    <w:p w14:paraId="0854DF89" w14:textId="77777777" w:rsidR="00CA2689" w:rsidRPr="00CA2689" w:rsidRDefault="00CA2689" w:rsidP="00CA2689">
      <w:r w:rsidRPr="00CA2689">
        <w:rPr>
          <w:b/>
          <w:bCs/>
        </w:rPr>
        <w:t>Stage 4: Cognitive AI (Medium-term)</w:t>
      </w:r>
      <w:r w:rsidRPr="00CA2689">
        <w:t> Integration of causal reasoning, analogical thinking, and metacognition produces systems capable of understanding mechanisms, transferring knowledge across domains, and reflecting on their own cognitive processes (Joshi et al., 2025). Cognitive AI approaches human-like reasoning in specific domains but remains narrow in scope, lacking the broad, flexible intelligence characteristic of human cognition.</w:t>
      </w:r>
    </w:p>
    <w:p w14:paraId="3B10419E" w14:textId="77777777" w:rsidR="00CA2689" w:rsidRPr="00CA2689" w:rsidRDefault="00CA2689" w:rsidP="00CA2689">
      <w:r w:rsidRPr="00CA2689">
        <w:rPr>
          <w:b/>
          <w:bCs/>
        </w:rPr>
        <w:t>Stage 5: Artificial General Intelligence (Long-term)</w:t>
      </w:r>
      <w:r w:rsidRPr="00CA2689">
        <w:t> Full integration of all paradigms—generative creativity, emotional understanding, social intelligence, autonomous agency, and cognitive reasoning—combined with the ability to learn and adapt across all domains of human knowledge, produces AGI (Joshi et al., 2025). AGI represents human-level intelligence across all cognitive tasks, capable of understanding, learning, and applying knowledge as flexibly as humans. The timeline for achieving AGI remains highly uncertain, with estimates ranging from decades to centuries, and fundamental questions about feasibility, safety, and desirability remain unresolved.</w:t>
      </w:r>
    </w:p>
    <w:p w14:paraId="79B222BC" w14:textId="77777777" w:rsidR="00CA2689" w:rsidRPr="00CA2689" w:rsidRDefault="00CA2689" w:rsidP="00CA2689">
      <w:pPr>
        <w:rPr>
          <w:b/>
          <w:bCs/>
        </w:rPr>
      </w:pPr>
      <w:r w:rsidRPr="00CA2689">
        <w:rPr>
          <w:b/>
          <w:bCs/>
        </w:rPr>
        <w:t>Trustworthy AI as the Integrating Principle</w:t>
      </w:r>
    </w:p>
    <w:p w14:paraId="41EB8C6B" w14:textId="77777777" w:rsidR="00CA2689" w:rsidRPr="00CA2689" w:rsidRDefault="00CA2689" w:rsidP="00CA2689">
      <w:r w:rsidRPr="00CA2689">
        <w:t>Trustworthy AI serves as the integrating principle that unifies the six layers and guides the evolutionary pathway (Li et al., 2021). As AI systems become more capable—progressing from narrow generation to emotional understanding to autonomous agency to general intelligence—the importance of trustworthiness increases proportionally. More powerful systems pose greater risks if misaligned with human values, biased against vulnerable groups, or vulnerable to adversarial attacks.</w:t>
      </w:r>
    </w:p>
    <w:p w14:paraId="0476C41C" w14:textId="77777777" w:rsidR="00CA2689" w:rsidRPr="00CA2689" w:rsidRDefault="00CA2689" w:rsidP="00CA2689">
      <w:r w:rsidRPr="00CA2689">
        <w:t xml:space="preserve">Trustworthy AI encompasses the principles of fairness, transparency, accountability, privacy, security, robustness, and human-centricity discussed in Section 7 (Pathan et al., 2025). These principles must be operationalized at every layer of the ecosystem: the Intelligence Layer must produce unbiased predictions, the Creation Layer must generate content that respects intellectual property and avoids harmful outputs, the Human Interaction Layer must protect user privacy and avoid manipulation, the Autonomous Layer must remain aligned with human intentions, the Governance Layer </w:t>
      </w:r>
      <w:r w:rsidRPr="00CA2689">
        <w:lastRenderedPageBreak/>
        <w:t>must provide oversight and accountability, and the Security Layer must defend against threats.</w:t>
      </w:r>
    </w:p>
    <w:p w14:paraId="5B4E147A" w14:textId="77777777" w:rsidR="00CA2689" w:rsidRPr="00CA2689" w:rsidRDefault="00CA2689" w:rsidP="00CA2689">
      <w:r w:rsidRPr="00CA2689">
        <w:t>The integration of Trustworthy AI principles throughout the ecosystem creates a virtuous cycle where trust enables broader adoption, which generates feedback for improvement, which enhances trustworthiness (Li et al., 2021). Conversely, failures in trustworthiness—algorithmic discrimination, privacy breaches, safety incidents—erode public trust and trigger regulatory backlash, potentially stifling beneficial innovation. The path to AGI and beyond depends not only on technical capability but on society's confidence that AI systems will serve human interests.</w:t>
      </w:r>
    </w:p>
    <w:p w14:paraId="5D746FE6" w14:textId="77777777" w:rsidR="00CA2689" w:rsidRPr="00CA2689" w:rsidRDefault="00CA2689" w:rsidP="00CA2689">
      <w:pPr>
        <w:rPr>
          <w:b/>
          <w:bCs/>
        </w:rPr>
      </w:pPr>
      <w:r w:rsidRPr="00CA2689">
        <w:rPr>
          <w:b/>
          <w:bCs/>
        </w:rPr>
        <w:t>Future AI Ecosystem (2030-2050)</w:t>
      </w:r>
    </w:p>
    <w:p w14:paraId="56F5B3C1" w14:textId="77777777" w:rsidR="00CA2689" w:rsidRPr="00CA2689" w:rsidRDefault="00CA2689" w:rsidP="00CA2689">
      <w:r w:rsidRPr="00CA2689">
        <w:t>The Future AI Ecosystem envisions a hierarchical integration where AGI sits at the apex, drawing upon and coordinating capabilities from all lower layers (Joshi et al., 2025). This ecosystem can be visualized as follows:</w:t>
      </w:r>
    </w:p>
    <w:p w14:paraId="2AFDCDDA" w14:textId="3749CB1B" w:rsidR="00CA2689" w:rsidRPr="00CA2689" w:rsidRDefault="00E91F7B" w:rsidP="00CA2689">
      <w:r>
        <w:rPr>
          <w:b/>
          <w:bCs/>
        </w:rPr>
        <w:t xml:space="preserve">Figure </w:t>
      </w:r>
      <w:r w:rsidR="00A00A6C">
        <w:rPr>
          <w:b/>
          <w:bCs/>
        </w:rPr>
        <w:t xml:space="preserve">Integrated AI </w:t>
      </w:r>
      <w:r w:rsidR="002B7DB8">
        <w:rPr>
          <w:b/>
          <w:bCs/>
        </w:rPr>
        <w:t>Evolution Framework</w:t>
      </w:r>
      <w:r w:rsidR="00A00A6C">
        <w:rPr>
          <w:b/>
          <w:bCs/>
        </w:rPr>
        <w:t xml:space="preserve"> -From emerging paradigms to </w:t>
      </w:r>
      <w:r w:rsidR="002600DF">
        <w:rPr>
          <w:b/>
          <w:bCs/>
        </w:rPr>
        <w:t xml:space="preserve">Trustworthy AI </w:t>
      </w:r>
    </w:p>
    <w:p w14:paraId="0EE00AB5" w14:textId="03FEF63F" w:rsidR="00B61A0D" w:rsidRPr="00B61A0D" w:rsidRDefault="00B61A0D" w:rsidP="00B61A0D">
      <w:r w:rsidRPr="00B61A0D">
        <w:rPr>
          <w:noProof/>
        </w:rPr>
        <w:lastRenderedPageBreak/>
        <w:drawing>
          <wp:inline distT="0" distB="0" distL="0" distR="0" wp14:anchorId="6EECD624" wp14:editId="1CB0B222">
            <wp:extent cx="5390226" cy="7458635"/>
            <wp:effectExtent l="0" t="0" r="1270" b="9525"/>
            <wp:docPr id="135374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844"/>
                    <a:stretch>
                      <a:fillRect/>
                    </a:stretch>
                  </pic:blipFill>
                  <pic:spPr bwMode="auto">
                    <a:xfrm>
                      <a:off x="0" y="0"/>
                      <a:ext cx="5390515" cy="7459035"/>
                    </a:xfrm>
                    <a:prstGeom prst="rect">
                      <a:avLst/>
                    </a:prstGeom>
                    <a:noFill/>
                    <a:ln>
                      <a:noFill/>
                    </a:ln>
                    <a:extLst>
                      <a:ext uri="{53640926-AAD7-44D8-BBD7-CCE9431645EC}">
                        <a14:shadowObscured xmlns:a14="http://schemas.microsoft.com/office/drawing/2010/main"/>
                      </a:ext>
                    </a:extLst>
                  </pic:spPr>
                </pic:pic>
              </a:graphicData>
            </a:graphic>
          </wp:inline>
        </w:drawing>
      </w:r>
    </w:p>
    <w:p w14:paraId="65CEFCC2" w14:textId="77777777" w:rsidR="00CA2689" w:rsidRPr="00CA2689" w:rsidRDefault="00CA2689" w:rsidP="00CA2689">
      <w:r w:rsidRPr="00CA2689">
        <w:t>This vision emphasizes that advanced AI capabilities must be grounded in trustworthy principles and oriented toward sustainable societal outcomes (</w:t>
      </w:r>
      <w:proofErr w:type="spellStart"/>
      <w:r w:rsidRPr="00CA2689">
        <w:t>Benlalia</w:t>
      </w:r>
      <w:proofErr w:type="spellEnd"/>
      <w:r w:rsidRPr="00CA2689">
        <w:t xml:space="preserve"> et al., 2025). The ecosystem is not purely technological but socio-technical, requiring ongoing collaboration between AI systems and humans, with humans retaining ultimate authority over high-stakes decisions. The goal is not to replace human intelligence but </w:t>
      </w:r>
      <w:r w:rsidRPr="00CA2689">
        <w:lastRenderedPageBreak/>
        <w:t>to augment it, creating hybrid human-AI systems that exceed the capabilities of either alone while preserving human agency, dignity, and values.</w:t>
      </w:r>
    </w:p>
    <w:p w14:paraId="50C39324" w14:textId="77777777" w:rsidR="00CA2689" w:rsidRPr="00CA2689" w:rsidRDefault="00BC4689" w:rsidP="00CA2689">
      <w:r>
        <w:pict w14:anchorId="6D43283A">
          <v:rect id="_x0000_i1025" style="width:0;height:0" o:hralign="center" o:hrstd="t" o:hr="t" fillcolor="#a0a0a0" stroked="f"/>
        </w:pict>
      </w:r>
    </w:p>
    <w:p w14:paraId="79F09ECC" w14:textId="77777777" w:rsidR="00CA2689" w:rsidRPr="00CA2689" w:rsidRDefault="00CA2689" w:rsidP="00CA2689">
      <w:pPr>
        <w:rPr>
          <w:b/>
          <w:bCs/>
        </w:rPr>
      </w:pPr>
      <w:r w:rsidRPr="00CA2689">
        <w:rPr>
          <w:b/>
          <w:bCs/>
        </w:rPr>
        <w:t>9. Research Propositions and Future Research Agenda</w:t>
      </w:r>
    </w:p>
    <w:p w14:paraId="1F08E655" w14:textId="77777777" w:rsidR="00CA2689" w:rsidRPr="00CA2689" w:rsidRDefault="00CA2689" w:rsidP="00CA2689">
      <w:r w:rsidRPr="00CA2689">
        <w:t>Based on the systematic review and analysis presented in Sections 3-8, we articulate ten formal research propositions that address critical gaps in the AI paradigm literature and provide a roadmap for future research.</w:t>
      </w:r>
    </w:p>
    <w:p w14:paraId="337905D9" w14:textId="77777777" w:rsidR="00CA2689" w:rsidRPr="00CA2689" w:rsidRDefault="00CA2689" w:rsidP="00CA2689">
      <w:r w:rsidRPr="00CA2689">
        <w:rPr>
          <w:b/>
          <w:bCs/>
        </w:rPr>
        <w:t>P1: Multimodal Integration Architectures</w:t>
      </w:r>
      <w:r w:rsidRPr="00CA2689">
        <w:t> </w:t>
      </w:r>
      <w:r w:rsidRPr="00CA2689">
        <w:rPr>
          <w:i/>
          <w:iCs/>
        </w:rPr>
        <w:t>Proposition</w:t>
      </w:r>
      <w:r w:rsidRPr="00CA2689">
        <w:t>: Native multimodal architectures that jointly train on text, image, audio, and video from inception will achieve superior cross-modal reasoning and generalization compared to unimodal models combined post-hoc. </w:t>
      </w:r>
      <w:r w:rsidRPr="00CA2689">
        <w:rPr>
          <w:i/>
          <w:iCs/>
        </w:rPr>
        <w:t>Rationale</w:t>
      </w:r>
      <w:r w:rsidRPr="00CA2689">
        <w:t>: Current multimodal systems often combine separately trained unimodal models, limiting their ability to learn deep cross-modal relationships (Chowdhury et al., 2025). Native multimodal training enables the model to discover shared representations and complementary information across modalities. </w:t>
      </w:r>
      <w:r w:rsidRPr="00CA2689">
        <w:rPr>
          <w:i/>
          <w:iCs/>
        </w:rPr>
        <w:t>Research Direction</w:t>
      </w:r>
      <w:r w:rsidRPr="00CA2689">
        <w:t>: Develop and evaluate architectures that process multiple modalities through shared encoders, investigate optimal fusion strategies, and benchmark performance on tasks requiring genuine cross-modal reasoning.</w:t>
      </w:r>
    </w:p>
    <w:p w14:paraId="44E22DCC" w14:textId="77777777" w:rsidR="00CA2689" w:rsidRPr="00CA2689" w:rsidRDefault="00CA2689" w:rsidP="00CA2689">
      <w:r w:rsidRPr="00CA2689">
        <w:rPr>
          <w:b/>
          <w:bCs/>
        </w:rPr>
        <w:t>P2: Emotional Intelligence Validation</w:t>
      </w:r>
      <w:r w:rsidRPr="00CA2689">
        <w:t> </w:t>
      </w:r>
      <w:r w:rsidRPr="00CA2689">
        <w:rPr>
          <w:i/>
          <w:iCs/>
        </w:rPr>
        <w:t>Proposition</w:t>
      </w:r>
      <w:r w:rsidRPr="00CA2689">
        <w:t>: Current Emotional AI systems lack robust validation of genuine emotional understanding, relying on surface-level pattern matching rather than deep affective comprehension. </w:t>
      </w:r>
      <w:r w:rsidRPr="00CA2689">
        <w:rPr>
          <w:i/>
          <w:iCs/>
        </w:rPr>
        <w:t>Rationale</w:t>
      </w:r>
      <w:r w:rsidRPr="00CA2689">
        <w:t>: Emotion recognition systems achieve high accuracy on controlled datasets but struggle with real-world variability, cultural differences, and context-dependent expressions (</w:t>
      </w:r>
      <w:proofErr w:type="spellStart"/>
      <w:r w:rsidRPr="00CA2689">
        <w:t>Benlalia</w:t>
      </w:r>
      <w:proofErr w:type="spellEnd"/>
      <w:r w:rsidRPr="00CA2689">
        <w:t xml:space="preserve"> et al., 2025). Validation methodologies must move beyond accuracy metrics to assess genuine emotional understanding. </w:t>
      </w:r>
      <w:r w:rsidRPr="00CA2689">
        <w:rPr>
          <w:i/>
          <w:iCs/>
        </w:rPr>
        <w:t>Research Direction</w:t>
      </w:r>
      <w:r w:rsidRPr="00CA2689">
        <w:t>: Develop comprehensive evaluation frameworks that test emotional AI across diverse populations, contexts, and cultural settings; investigate the gap between emotion recognition and genuine empathy; explore the role of embodiment and social interaction in emotional understanding.</w:t>
      </w:r>
    </w:p>
    <w:p w14:paraId="3403CE64" w14:textId="77777777" w:rsidR="00CA2689" w:rsidRPr="00CA2689" w:rsidRDefault="00CA2689" w:rsidP="00CA2689">
      <w:r w:rsidRPr="00CA2689">
        <w:rPr>
          <w:b/>
          <w:bCs/>
        </w:rPr>
        <w:t>P3: Agentic System Safety and Alignment</w:t>
      </w:r>
      <w:r w:rsidRPr="00CA2689">
        <w:t> </w:t>
      </w:r>
      <w:r w:rsidRPr="00CA2689">
        <w:rPr>
          <w:i/>
          <w:iCs/>
        </w:rPr>
        <w:t>Proposition</w:t>
      </w:r>
      <w:r w:rsidRPr="00CA2689">
        <w:t>: Ensuring agentic AI systems remain aligned with human intentions and values requires fundamental advances in goal specification, value learning, and oversight mechanisms beyond current approaches. </w:t>
      </w:r>
      <w:r w:rsidRPr="00CA2689">
        <w:rPr>
          <w:i/>
          <w:iCs/>
        </w:rPr>
        <w:t>Rationale</w:t>
      </w:r>
      <w:r w:rsidRPr="00CA2689">
        <w:t>: Autonomous agents may pursue goals in unexpected ways, exploit loopholes, or cause unintended side effects (Bandi et al., 2025). Current alignment techniques are insufficient for highly capable, autonomous systems operating in complex, open-ended environments. </w:t>
      </w:r>
      <w:r w:rsidRPr="00CA2689">
        <w:rPr>
          <w:i/>
          <w:iCs/>
        </w:rPr>
        <w:t>Research Direction</w:t>
      </w:r>
      <w:r w:rsidRPr="00CA2689">
        <w:t xml:space="preserve">: Develop robust goal specification languages that capture human intentions precisely; advance inverse reinforcement learning and preference learning from human feedback; design oversight </w:t>
      </w:r>
      <w:r w:rsidRPr="00CA2689">
        <w:lastRenderedPageBreak/>
        <w:t>mechanisms that balance autonomy with safety; investigate scalable alignment techniques for multi-agent systems.</w:t>
      </w:r>
    </w:p>
    <w:p w14:paraId="11119FA8" w14:textId="77777777" w:rsidR="00CA2689" w:rsidRPr="00CA2689" w:rsidRDefault="00CA2689" w:rsidP="00CA2689">
      <w:r w:rsidRPr="00CA2689">
        <w:rPr>
          <w:b/>
          <w:bCs/>
        </w:rPr>
        <w:t>P4: XAI Standardization and Evaluation</w:t>
      </w:r>
      <w:r w:rsidRPr="00CA2689">
        <w:t> </w:t>
      </w:r>
      <w:r w:rsidRPr="00CA2689">
        <w:rPr>
          <w:i/>
          <w:iCs/>
        </w:rPr>
        <w:t>Proposition</w:t>
      </w:r>
      <w:r w:rsidRPr="00CA2689">
        <w:t>: The absence of standardized evaluation metrics and benchmarks for explainability limits progress in XAI and hinders comparison across methods. </w:t>
      </w:r>
      <w:r w:rsidRPr="00CA2689">
        <w:rPr>
          <w:i/>
          <w:iCs/>
        </w:rPr>
        <w:t>Rationale</w:t>
      </w:r>
      <w:r w:rsidRPr="00CA2689">
        <w:t>: Current XAI research lacks consensus on what constitutes a "good" explanation, how to measure explanation quality, and how to compare different explanation methods (Kabir et al., 2025; Muia et al., 2025). This fragmentation impedes cumulative progress and practical adoption. </w:t>
      </w:r>
      <w:r w:rsidRPr="00CA2689">
        <w:rPr>
          <w:i/>
          <w:iCs/>
        </w:rPr>
        <w:t>Research Direction</w:t>
      </w:r>
      <w:r w:rsidRPr="00CA2689">
        <w:t>: Develop standardized explanation quality metrics encompassing fidelity, consistency, comprehensibility, and actionability; create benchmark datasets and tasks for evaluating XAI methods; conduct user studies to validate that explanations improve human understanding and decision-making.</w:t>
      </w:r>
    </w:p>
    <w:p w14:paraId="6C26B4E3" w14:textId="77777777" w:rsidR="00CA2689" w:rsidRPr="00CA2689" w:rsidRDefault="00CA2689" w:rsidP="00CA2689">
      <w:r w:rsidRPr="00CA2689">
        <w:rPr>
          <w:b/>
          <w:bCs/>
        </w:rPr>
        <w:t>P5: Global AI Governance Coordination</w:t>
      </w:r>
      <w:r w:rsidRPr="00CA2689">
        <w:t> </w:t>
      </w:r>
      <w:r w:rsidRPr="00CA2689">
        <w:rPr>
          <w:i/>
          <w:iCs/>
        </w:rPr>
        <w:t>Proposition</w:t>
      </w:r>
      <w:r w:rsidRPr="00CA2689">
        <w:t>: Effective governance of AI risks requires international coordination mechanisms analogous to those developed for nuclear weapons, climate change, and pandemic response. </w:t>
      </w:r>
      <w:r w:rsidRPr="00CA2689">
        <w:rPr>
          <w:i/>
          <w:iCs/>
        </w:rPr>
        <w:t>Rationale</w:t>
      </w:r>
      <w:r w:rsidRPr="00CA2689">
        <w:t>: AI risks transcend national borders, and fragmented governance creates regulatory arbitrage, race-to-the-bottom dynamics, and inadequate protection for vulnerable populations (Jiang et al., 2025; Pathan et al., 2025). Unilateral action is insufficient for addressing global challenges. </w:t>
      </w:r>
      <w:r w:rsidRPr="00CA2689">
        <w:rPr>
          <w:i/>
          <w:iCs/>
        </w:rPr>
        <w:t>Research Direction</w:t>
      </w:r>
      <w:r w:rsidRPr="00CA2689">
        <w:t xml:space="preserve">: Design institutional architectures for international AI governance; investigate mechanisms for monitoring compliance, sharing information about risks, and coordinating responses to AI incidents; </w:t>
      </w:r>
      <w:proofErr w:type="spellStart"/>
      <w:r w:rsidRPr="00CA2689">
        <w:t>analyze</w:t>
      </w:r>
      <w:proofErr w:type="spellEnd"/>
      <w:r w:rsidRPr="00CA2689">
        <w:t xml:space="preserve"> political economy barriers to cooperation and strategies for overcoming them.</w:t>
      </w:r>
    </w:p>
    <w:p w14:paraId="23F665E6" w14:textId="77777777" w:rsidR="00CA2689" w:rsidRPr="00CA2689" w:rsidRDefault="00CA2689" w:rsidP="00CA2689">
      <w:r w:rsidRPr="00CA2689">
        <w:rPr>
          <w:b/>
          <w:bCs/>
        </w:rPr>
        <w:t>P6: Fairness-Accuracy Trade-off Mitigation</w:t>
      </w:r>
      <w:r w:rsidRPr="00CA2689">
        <w:t> </w:t>
      </w:r>
      <w:r w:rsidRPr="00CA2689">
        <w:rPr>
          <w:i/>
          <w:iCs/>
        </w:rPr>
        <w:t>Proposition</w:t>
      </w:r>
      <w:r w:rsidRPr="00CA2689">
        <w:t>: Novel algorithmic approaches can reduce the fairness-accuracy trade-off, enabling systems that are both highly accurate and equitable across demographic groups. </w:t>
      </w:r>
      <w:r w:rsidRPr="00CA2689">
        <w:rPr>
          <w:i/>
          <w:iCs/>
        </w:rPr>
        <w:t>Rationale</w:t>
      </w:r>
      <w:r w:rsidRPr="00CA2689">
        <w:t>: Current fairness interventions typically reduce overall accuracy, creating perceived conflicts between equity and efficiency (Pathan et al., 2025). However, this trade-off may reflect limitations of current methods rather than fundamental constraints. </w:t>
      </w:r>
      <w:r w:rsidRPr="00CA2689">
        <w:rPr>
          <w:i/>
          <w:iCs/>
        </w:rPr>
        <w:t>Research Direction</w:t>
      </w:r>
      <w:r w:rsidRPr="00CA2689">
        <w:t>: Develop fairness-aware learning algorithms that optimize for both accuracy and equity simultaneously; investigate whether improved data quality and representation can reduce trade-offs; explore domain-specific approaches that leverage contextual knowledge to achieve fairness without sacrificing performance.</w:t>
      </w:r>
    </w:p>
    <w:p w14:paraId="3EAFDEBA" w14:textId="77777777" w:rsidR="00CA2689" w:rsidRPr="00CA2689" w:rsidRDefault="00CA2689" w:rsidP="00CA2689">
      <w:r w:rsidRPr="00CA2689">
        <w:rPr>
          <w:b/>
          <w:bCs/>
        </w:rPr>
        <w:t>P7: Human-AI Collaboration Models</w:t>
      </w:r>
      <w:r w:rsidRPr="00CA2689">
        <w:t> </w:t>
      </w:r>
      <w:r w:rsidRPr="00CA2689">
        <w:rPr>
          <w:i/>
          <w:iCs/>
        </w:rPr>
        <w:t>Proposition</w:t>
      </w:r>
      <w:r w:rsidRPr="00CA2689">
        <w:t>: Optimal human-AI collaboration requires dynamic allocation of tasks based on complementary strengths, with AI handling routine pattern recognition and humans providing judgment, creativity, and ethical reasoning. </w:t>
      </w:r>
      <w:r w:rsidRPr="00CA2689">
        <w:rPr>
          <w:i/>
          <w:iCs/>
        </w:rPr>
        <w:t>Rationale</w:t>
      </w:r>
      <w:r w:rsidRPr="00CA2689">
        <w:t>: Current AI deployment often treats automation as binary—either humans or AI perform a task—rather than exploring collaborative models that leverage complementary capabilities (</w:t>
      </w:r>
      <w:proofErr w:type="spellStart"/>
      <w:r w:rsidRPr="00CA2689">
        <w:t>Benlalia</w:t>
      </w:r>
      <w:proofErr w:type="spellEnd"/>
      <w:r w:rsidRPr="00CA2689">
        <w:t xml:space="preserve"> et al., 2025). Hybrid approaches may exceed the performance of either alone. </w:t>
      </w:r>
      <w:r w:rsidRPr="00CA2689">
        <w:rPr>
          <w:i/>
          <w:iCs/>
        </w:rPr>
        <w:t>Research Direction</w:t>
      </w:r>
      <w:r w:rsidRPr="00CA2689">
        <w:t xml:space="preserve">: Develop frameworks for </w:t>
      </w:r>
      <w:r w:rsidRPr="00CA2689">
        <w:lastRenderedPageBreak/>
        <w:t>task decomposition and allocation in human-AI teams; investigate how to design AI systems that effectively communicate uncertainty and defer to humans when appropriate; study organizational and workflow changes required for effective collaboration.</w:t>
      </w:r>
    </w:p>
    <w:p w14:paraId="7C006BEB" w14:textId="77777777" w:rsidR="00CA2689" w:rsidRPr="00CA2689" w:rsidRDefault="00CA2689" w:rsidP="00CA2689">
      <w:r w:rsidRPr="00CA2689">
        <w:rPr>
          <w:b/>
          <w:bCs/>
        </w:rPr>
        <w:t>P8: Quantum AI and Next-Generation Architectures</w:t>
      </w:r>
      <w:r w:rsidRPr="00CA2689">
        <w:t> </w:t>
      </w:r>
      <w:r w:rsidRPr="00CA2689">
        <w:rPr>
          <w:i/>
          <w:iCs/>
        </w:rPr>
        <w:t>Proposition</w:t>
      </w:r>
      <w:r w:rsidRPr="00CA2689">
        <w:t>: Quantum computing and neuromorphic architectures will enable qualitatively new AI capabilities, particularly in optimization, simulation, and energy-efficient inference. </w:t>
      </w:r>
      <w:r w:rsidRPr="00CA2689">
        <w:rPr>
          <w:i/>
          <w:iCs/>
        </w:rPr>
        <w:t>Rationale</w:t>
      </w:r>
      <w:r w:rsidRPr="00CA2689">
        <w:t>: Current AI systems face fundamental limitations in computational efficiency, energy consumption, and certain problem classes (Chowdhury et al., 2025). Quantum and neuromorphic approaches offer potential breakthroughs but remain in early stages. </w:t>
      </w:r>
      <w:r w:rsidRPr="00CA2689">
        <w:rPr>
          <w:i/>
          <w:iCs/>
        </w:rPr>
        <w:t>Research Direction</w:t>
      </w:r>
      <w:r w:rsidRPr="00CA2689">
        <w:t>: Investigate quantum machine learning algorithms for optimization, sampling, and quantum simulation; develop neuromorphic architectures that mimic biological neural networks' energy efficiency and learning mechanisms; assess practical feasibility and timeline for deployment.</w:t>
      </w:r>
    </w:p>
    <w:p w14:paraId="37391B38" w14:textId="77777777" w:rsidR="00CA2689" w:rsidRPr="00CA2689" w:rsidRDefault="00CA2689" w:rsidP="00CA2689">
      <w:r w:rsidRPr="00CA2689">
        <w:rPr>
          <w:b/>
          <w:bCs/>
        </w:rPr>
        <w:t>P9: Multi-Agent Coordination and Collective Intelligence</w:t>
      </w:r>
      <w:r w:rsidRPr="00CA2689">
        <w:t> </w:t>
      </w:r>
      <w:r w:rsidRPr="00CA2689">
        <w:rPr>
          <w:i/>
          <w:iCs/>
        </w:rPr>
        <w:t>Proposition</w:t>
      </w:r>
      <w:r w:rsidRPr="00CA2689">
        <w:t>: Systems of multiple specialized AI agents coordinating to solve complex problems will achieve capabilities exceeding individual agents, analogous to human organizations and societies. </w:t>
      </w:r>
      <w:r w:rsidRPr="00CA2689">
        <w:rPr>
          <w:i/>
          <w:iCs/>
        </w:rPr>
        <w:t>Rationale</w:t>
      </w:r>
      <w:r w:rsidRPr="00CA2689">
        <w:t>: Complex real-world problems often require diverse expertise, parallel processing, and coordination across multiple domains (Bandi et al., 2025). Multi-agent systems can distribute tasks, specialize agents, and achieve collective intelligence through coordination protocols. </w:t>
      </w:r>
      <w:r w:rsidRPr="00CA2689">
        <w:rPr>
          <w:i/>
          <w:iCs/>
        </w:rPr>
        <w:t>Research Direction</w:t>
      </w:r>
      <w:r w:rsidRPr="00CA2689">
        <w:t xml:space="preserve">: Develop coordination mechanisms for large-scale multi-agent systems; investigate emergent </w:t>
      </w:r>
      <w:proofErr w:type="spellStart"/>
      <w:r w:rsidRPr="00CA2689">
        <w:t>behaviors</w:t>
      </w:r>
      <w:proofErr w:type="spellEnd"/>
      <w:r w:rsidRPr="00CA2689">
        <w:t xml:space="preserve"> and collective intelligence in agent populations; design incentive structures that align individual agent objectives with collective goals; address challenges of communication overhead and coordination failures.</w:t>
      </w:r>
    </w:p>
    <w:p w14:paraId="24D60F22" w14:textId="77777777" w:rsidR="00CA2689" w:rsidRPr="00CA2689" w:rsidRDefault="00CA2689" w:rsidP="00CA2689">
      <w:r w:rsidRPr="00CA2689">
        <w:rPr>
          <w:b/>
          <w:bCs/>
        </w:rPr>
        <w:t>P10: AGI Safety and Existential Risk</w:t>
      </w:r>
      <w:r w:rsidRPr="00CA2689">
        <w:t> </w:t>
      </w:r>
      <w:r w:rsidRPr="00CA2689">
        <w:rPr>
          <w:i/>
          <w:iCs/>
        </w:rPr>
        <w:t>Proposition</w:t>
      </w:r>
      <w:r w:rsidRPr="00CA2689">
        <w:t>: The development of Artificial General Intelligence poses existential risks that require proactive safety research, governance frameworks, and international cooperation before AGI is achieved. </w:t>
      </w:r>
      <w:r w:rsidRPr="00CA2689">
        <w:rPr>
          <w:i/>
          <w:iCs/>
        </w:rPr>
        <w:t>Rationale</w:t>
      </w:r>
      <w:r w:rsidRPr="00CA2689">
        <w:t>: AGI systems with human-level intelligence across all domains could pose catastrophic risks if misaligned with human values, used maliciously, or subject to accidents (Joshi et al., 2025). Reactive approaches to safety are insufficient for risks of this magnitude. </w:t>
      </w:r>
      <w:r w:rsidRPr="00CA2689">
        <w:rPr>
          <w:i/>
          <w:iCs/>
        </w:rPr>
        <w:t>Research Direction</w:t>
      </w:r>
      <w:r w:rsidRPr="00CA2689">
        <w:t>: Advance technical AI safety research on value alignment, corrigibility, and containment; develop governance frameworks for AGI development including safety standards, international oversight, and deployment restrictions; foster interdisciplinary collaboration among AI researchers, ethicists, policymakers, and social scientists.</w:t>
      </w:r>
    </w:p>
    <w:p w14:paraId="430F5262" w14:textId="77777777" w:rsidR="00CA2689" w:rsidRPr="00CA2689" w:rsidRDefault="00CA2689" w:rsidP="00CA2689">
      <w:pPr>
        <w:rPr>
          <w:b/>
          <w:bCs/>
        </w:rPr>
      </w:pPr>
      <w:r w:rsidRPr="00CA2689">
        <w:rPr>
          <w:b/>
          <w:bCs/>
        </w:rPr>
        <w:t>Future Research Agenda Matrix</w:t>
      </w:r>
    </w:p>
    <w:p w14:paraId="3DD85AEF" w14:textId="77777777" w:rsidR="00CA2689" w:rsidRPr="00CA2689" w:rsidRDefault="00CA2689" w:rsidP="00CA2689">
      <w:r w:rsidRPr="00CA2689">
        <w:lastRenderedPageBreak/>
        <w:t>Table 6 synthesizes the research propositions into a structured agenda identifying gaps, proposed directions, and expected contributions.</w:t>
      </w:r>
    </w:p>
    <w:p w14:paraId="30255ACB" w14:textId="77777777" w:rsidR="00CA2689" w:rsidRPr="00CA2689" w:rsidRDefault="00CA2689" w:rsidP="00CA2689">
      <w:r w:rsidRPr="00CA2689">
        <w:rPr>
          <w:b/>
          <w:bCs/>
        </w:rPr>
        <w:t>Table 6: Future Research Agenda Matrix</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959"/>
        <w:gridCol w:w="2156"/>
        <w:gridCol w:w="1843"/>
      </w:tblGrid>
      <w:tr w:rsidR="00CA2689" w:rsidRPr="00CA2689" w14:paraId="738F0DE0" w14:textId="77777777" w:rsidTr="00A873C9">
        <w:trPr>
          <w:trHeight w:val="600"/>
          <w:tblHeader/>
        </w:trPr>
        <w:tc>
          <w:tcPr>
            <w:tcW w:w="1555" w:type="dxa"/>
            <w:tcMar>
              <w:top w:w="180" w:type="dxa"/>
              <w:left w:w="180" w:type="dxa"/>
              <w:bottom w:w="180" w:type="dxa"/>
              <w:right w:w="180" w:type="dxa"/>
            </w:tcMar>
            <w:vAlign w:val="bottom"/>
            <w:hideMark/>
          </w:tcPr>
          <w:p w14:paraId="2418DAAA" w14:textId="77777777" w:rsidR="00CA2689" w:rsidRPr="00CA2689" w:rsidRDefault="00CA2689" w:rsidP="00CA2689">
            <w:pPr>
              <w:rPr>
                <w:b/>
                <w:bCs/>
                <w:sz w:val="16"/>
                <w:szCs w:val="16"/>
              </w:rPr>
            </w:pPr>
            <w:r w:rsidRPr="00CA2689">
              <w:rPr>
                <w:b/>
                <w:bCs/>
                <w:sz w:val="16"/>
                <w:szCs w:val="16"/>
              </w:rPr>
              <w:t>Research Area</w:t>
            </w:r>
          </w:p>
        </w:tc>
        <w:tc>
          <w:tcPr>
            <w:tcW w:w="1959" w:type="dxa"/>
            <w:tcMar>
              <w:top w:w="180" w:type="dxa"/>
              <w:left w:w="180" w:type="dxa"/>
              <w:bottom w:w="180" w:type="dxa"/>
              <w:right w:w="180" w:type="dxa"/>
            </w:tcMar>
            <w:vAlign w:val="bottom"/>
            <w:hideMark/>
          </w:tcPr>
          <w:p w14:paraId="68897915" w14:textId="77777777" w:rsidR="00CA2689" w:rsidRPr="00CA2689" w:rsidRDefault="00CA2689" w:rsidP="00CA2689">
            <w:pPr>
              <w:rPr>
                <w:b/>
                <w:bCs/>
                <w:sz w:val="16"/>
                <w:szCs w:val="16"/>
              </w:rPr>
            </w:pPr>
            <w:r w:rsidRPr="00CA2689">
              <w:rPr>
                <w:b/>
                <w:bCs/>
                <w:sz w:val="16"/>
                <w:szCs w:val="16"/>
              </w:rPr>
              <w:t>Gap</w:t>
            </w:r>
          </w:p>
        </w:tc>
        <w:tc>
          <w:tcPr>
            <w:tcW w:w="2156" w:type="dxa"/>
            <w:tcMar>
              <w:top w:w="180" w:type="dxa"/>
              <w:left w:w="180" w:type="dxa"/>
              <w:bottom w:w="180" w:type="dxa"/>
              <w:right w:w="180" w:type="dxa"/>
            </w:tcMar>
            <w:vAlign w:val="bottom"/>
            <w:hideMark/>
          </w:tcPr>
          <w:p w14:paraId="7CF705D9" w14:textId="77777777" w:rsidR="00CA2689" w:rsidRPr="00CA2689" w:rsidRDefault="00CA2689" w:rsidP="00CA2689">
            <w:pPr>
              <w:rPr>
                <w:b/>
                <w:bCs/>
                <w:sz w:val="16"/>
                <w:szCs w:val="16"/>
              </w:rPr>
            </w:pPr>
            <w:r w:rsidRPr="00CA2689">
              <w:rPr>
                <w:b/>
                <w:bCs/>
                <w:sz w:val="16"/>
                <w:szCs w:val="16"/>
              </w:rPr>
              <w:t>Proposed Direction</w:t>
            </w:r>
          </w:p>
        </w:tc>
        <w:tc>
          <w:tcPr>
            <w:tcW w:w="1843" w:type="dxa"/>
            <w:tcMar>
              <w:top w:w="180" w:type="dxa"/>
              <w:left w:w="180" w:type="dxa"/>
              <w:bottom w:w="180" w:type="dxa"/>
              <w:right w:w="180" w:type="dxa"/>
            </w:tcMar>
            <w:vAlign w:val="bottom"/>
            <w:hideMark/>
          </w:tcPr>
          <w:p w14:paraId="2BA85343" w14:textId="77777777" w:rsidR="00CA2689" w:rsidRPr="00CA2689" w:rsidRDefault="00CA2689" w:rsidP="00CA2689">
            <w:pPr>
              <w:rPr>
                <w:b/>
                <w:bCs/>
                <w:sz w:val="16"/>
                <w:szCs w:val="16"/>
              </w:rPr>
            </w:pPr>
            <w:r w:rsidRPr="00CA2689">
              <w:rPr>
                <w:b/>
                <w:bCs/>
                <w:sz w:val="16"/>
                <w:szCs w:val="16"/>
              </w:rPr>
              <w:t>Expected Contribution</w:t>
            </w:r>
          </w:p>
        </w:tc>
      </w:tr>
      <w:tr w:rsidR="00CA2689" w:rsidRPr="00CA2689" w14:paraId="6142DF5E" w14:textId="77777777" w:rsidTr="00A873C9">
        <w:trPr>
          <w:trHeight w:val="1255"/>
        </w:trPr>
        <w:tc>
          <w:tcPr>
            <w:tcW w:w="1555" w:type="dxa"/>
            <w:tcMar>
              <w:top w:w="180" w:type="dxa"/>
              <w:left w:w="180" w:type="dxa"/>
              <w:bottom w:w="180" w:type="dxa"/>
              <w:right w:w="180" w:type="dxa"/>
            </w:tcMar>
            <w:hideMark/>
          </w:tcPr>
          <w:p w14:paraId="521430BA" w14:textId="77777777" w:rsidR="00CA2689" w:rsidRPr="00CA2689" w:rsidRDefault="00CA2689" w:rsidP="00CA2689">
            <w:pPr>
              <w:rPr>
                <w:sz w:val="16"/>
                <w:szCs w:val="16"/>
              </w:rPr>
            </w:pPr>
            <w:r w:rsidRPr="00CA2689">
              <w:rPr>
                <w:sz w:val="16"/>
                <w:szCs w:val="16"/>
              </w:rPr>
              <w:t>Generative AI</w:t>
            </w:r>
          </w:p>
        </w:tc>
        <w:tc>
          <w:tcPr>
            <w:tcW w:w="1959" w:type="dxa"/>
            <w:tcMar>
              <w:top w:w="180" w:type="dxa"/>
              <w:left w:w="180" w:type="dxa"/>
              <w:bottom w:w="180" w:type="dxa"/>
              <w:right w:w="180" w:type="dxa"/>
            </w:tcMar>
            <w:hideMark/>
          </w:tcPr>
          <w:p w14:paraId="6B9E2E34" w14:textId="77777777" w:rsidR="00CA2689" w:rsidRPr="00CA2689" w:rsidRDefault="00CA2689" w:rsidP="00CA2689">
            <w:pPr>
              <w:rPr>
                <w:sz w:val="16"/>
                <w:szCs w:val="16"/>
              </w:rPr>
            </w:pPr>
            <w:r w:rsidRPr="00CA2689">
              <w:rPr>
                <w:sz w:val="16"/>
                <w:szCs w:val="16"/>
              </w:rPr>
              <w:t>Hallucination mitigation, attribution, controllability</w:t>
            </w:r>
          </w:p>
        </w:tc>
        <w:tc>
          <w:tcPr>
            <w:tcW w:w="2156" w:type="dxa"/>
            <w:tcMar>
              <w:top w:w="180" w:type="dxa"/>
              <w:left w:w="180" w:type="dxa"/>
              <w:bottom w:w="180" w:type="dxa"/>
              <w:right w:w="180" w:type="dxa"/>
            </w:tcMar>
            <w:hideMark/>
          </w:tcPr>
          <w:p w14:paraId="2E5F6A8A" w14:textId="77777777" w:rsidR="00CA2689" w:rsidRPr="00CA2689" w:rsidRDefault="00CA2689" w:rsidP="00CA2689">
            <w:pPr>
              <w:rPr>
                <w:sz w:val="16"/>
                <w:szCs w:val="16"/>
              </w:rPr>
            </w:pPr>
            <w:r w:rsidRPr="00CA2689">
              <w:rPr>
                <w:sz w:val="16"/>
                <w:szCs w:val="16"/>
              </w:rPr>
              <w:t>Retrieval-augmented generation, uncertainty quantification, fine-grained control mechanisms</w:t>
            </w:r>
          </w:p>
        </w:tc>
        <w:tc>
          <w:tcPr>
            <w:tcW w:w="1843" w:type="dxa"/>
            <w:tcMar>
              <w:top w:w="180" w:type="dxa"/>
              <w:left w:w="180" w:type="dxa"/>
              <w:bottom w:w="180" w:type="dxa"/>
              <w:right w:w="180" w:type="dxa"/>
            </w:tcMar>
            <w:hideMark/>
          </w:tcPr>
          <w:p w14:paraId="1D870E78" w14:textId="77777777" w:rsidR="00CA2689" w:rsidRPr="00CA2689" w:rsidRDefault="00CA2689" w:rsidP="00CA2689">
            <w:pPr>
              <w:rPr>
                <w:sz w:val="16"/>
                <w:szCs w:val="16"/>
              </w:rPr>
            </w:pPr>
            <w:r w:rsidRPr="00CA2689">
              <w:rPr>
                <w:sz w:val="16"/>
                <w:szCs w:val="16"/>
              </w:rPr>
              <w:t>More reliable, attributable, and controllable generative systems</w:t>
            </w:r>
          </w:p>
        </w:tc>
      </w:tr>
      <w:tr w:rsidR="00CA2689" w:rsidRPr="00CA2689" w14:paraId="39575AD5" w14:textId="77777777" w:rsidTr="00A873C9">
        <w:tc>
          <w:tcPr>
            <w:tcW w:w="1555" w:type="dxa"/>
            <w:tcMar>
              <w:top w:w="180" w:type="dxa"/>
              <w:left w:w="180" w:type="dxa"/>
              <w:bottom w:w="180" w:type="dxa"/>
              <w:right w:w="180" w:type="dxa"/>
            </w:tcMar>
            <w:hideMark/>
          </w:tcPr>
          <w:p w14:paraId="5D8007D1" w14:textId="77777777" w:rsidR="00CA2689" w:rsidRPr="00CA2689" w:rsidRDefault="00CA2689" w:rsidP="00CA2689">
            <w:pPr>
              <w:rPr>
                <w:sz w:val="16"/>
                <w:szCs w:val="16"/>
              </w:rPr>
            </w:pPr>
            <w:r w:rsidRPr="00CA2689">
              <w:rPr>
                <w:sz w:val="16"/>
                <w:szCs w:val="16"/>
              </w:rPr>
              <w:t>Emotional AI</w:t>
            </w:r>
          </w:p>
        </w:tc>
        <w:tc>
          <w:tcPr>
            <w:tcW w:w="1959" w:type="dxa"/>
            <w:tcMar>
              <w:top w:w="180" w:type="dxa"/>
              <w:left w:w="180" w:type="dxa"/>
              <w:bottom w:w="180" w:type="dxa"/>
              <w:right w:w="180" w:type="dxa"/>
            </w:tcMar>
            <w:hideMark/>
          </w:tcPr>
          <w:p w14:paraId="13B8C1A2" w14:textId="77777777" w:rsidR="00CA2689" w:rsidRPr="00CA2689" w:rsidRDefault="00CA2689" w:rsidP="00CA2689">
            <w:pPr>
              <w:rPr>
                <w:sz w:val="16"/>
                <w:szCs w:val="16"/>
              </w:rPr>
            </w:pPr>
            <w:r w:rsidRPr="00CA2689">
              <w:rPr>
                <w:sz w:val="16"/>
                <w:szCs w:val="16"/>
              </w:rPr>
              <w:t>Validation of genuine understanding, cultural competence, privacy</w:t>
            </w:r>
          </w:p>
        </w:tc>
        <w:tc>
          <w:tcPr>
            <w:tcW w:w="2156" w:type="dxa"/>
            <w:tcMar>
              <w:top w:w="180" w:type="dxa"/>
              <w:left w:w="180" w:type="dxa"/>
              <w:bottom w:w="180" w:type="dxa"/>
              <w:right w:w="180" w:type="dxa"/>
            </w:tcMar>
            <w:hideMark/>
          </w:tcPr>
          <w:p w14:paraId="31E91C20" w14:textId="77777777" w:rsidR="00CA2689" w:rsidRPr="00CA2689" w:rsidRDefault="00CA2689" w:rsidP="00CA2689">
            <w:pPr>
              <w:rPr>
                <w:sz w:val="16"/>
                <w:szCs w:val="16"/>
              </w:rPr>
            </w:pPr>
            <w:r w:rsidRPr="00CA2689">
              <w:rPr>
                <w:sz w:val="16"/>
                <w:szCs w:val="16"/>
              </w:rPr>
              <w:t>Cross-cultural evaluation frameworks, embodied emotion research, privacy-preserving affect recognition</w:t>
            </w:r>
          </w:p>
        </w:tc>
        <w:tc>
          <w:tcPr>
            <w:tcW w:w="1843" w:type="dxa"/>
            <w:tcMar>
              <w:top w:w="180" w:type="dxa"/>
              <w:left w:w="180" w:type="dxa"/>
              <w:bottom w:w="180" w:type="dxa"/>
              <w:right w:w="180" w:type="dxa"/>
            </w:tcMar>
            <w:hideMark/>
          </w:tcPr>
          <w:p w14:paraId="56E8BAE9" w14:textId="77777777" w:rsidR="00CA2689" w:rsidRPr="00CA2689" w:rsidRDefault="00CA2689" w:rsidP="00CA2689">
            <w:pPr>
              <w:rPr>
                <w:sz w:val="16"/>
                <w:szCs w:val="16"/>
              </w:rPr>
            </w:pPr>
            <w:r w:rsidRPr="00CA2689">
              <w:rPr>
                <w:sz w:val="16"/>
                <w:szCs w:val="16"/>
              </w:rPr>
              <w:t>Emotionally intelligent systems that respect diversity and privacy</w:t>
            </w:r>
          </w:p>
        </w:tc>
      </w:tr>
      <w:tr w:rsidR="00CA2689" w:rsidRPr="00CA2689" w14:paraId="422D3E60" w14:textId="77777777" w:rsidTr="00A873C9">
        <w:tc>
          <w:tcPr>
            <w:tcW w:w="1555" w:type="dxa"/>
            <w:tcMar>
              <w:top w:w="180" w:type="dxa"/>
              <w:left w:w="180" w:type="dxa"/>
              <w:bottom w:w="180" w:type="dxa"/>
              <w:right w:w="180" w:type="dxa"/>
            </w:tcMar>
            <w:hideMark/>
          </w:tcPr>
          <w:p w14:paraId="67445D37" w14:textId="77777777" w:rsidR="00CA2689" w:rsidRPr="00CA2689" w:rsidRDefault="00CA2689" w:rsidP="00CA2689">
            <w:pPr>
              <w:rPr>
                <w:sz w:val="16"/>
                <w:szCs w:val="16"/>
              </w:rPr>
            </w:pPr>
            <w:r w:rsidRPr="00CA2689">
              <w:rPr>
                <w:sz w:val="16"/>
                <w:szCs w:val="16"/>
              </w:rPr>
              <w:t>Agentic AI</w:t>
            </w:r>
          </w:p>
        </w:tc>
        <w:tc>
          <w:tcPr>
            <w:tcW w:w="1959" w:type="dxa"/>
            <w:tcMar>
              <w:top w:w="180" w:type="dxa"/>
              <w:left w:w="180" w:type="dxa"/>
              <w:bottom w:w="180" w:type="dxa"/>
              <w:right w:w="180" w:type="dxa"/>
            </w:tcMar>
            <w:hideMark/>
          </w:tcPr>
          <w:p w14:paraId="44B8FDE4" w14:textId="77777777" w:rsidR="00CA2689" w:rsidRPr="00CA2689" w:rsidRDefault="00CA2689" w:rsidP="00CA2689">
            <w:pPr>
              <w:rPr>
                <w:sz w:val="16"/>
                <w:szCs w:val="16"/>
              </w:rPr>
            </w:pPr>
            <w:r w:rsidRPr="00CA2689">
              <w:rPr>
                <w:sz w:val="16"/>
                <w:szCs w:val="16"/>
              </w:rPr>
              <w:t>Safety, alignment, oversight, multi-agent coordination</w:t>
            </w:r>
          </w:p>
        </w:tc>
        <w:tc>
          <w:tcPr>
            <w:tcW w:w="2156" w:type="dxa"/>
            <w:tcMar>
              <w:top w:w="180" w:type="dxa"/>
              <w:left w:w="180" w:type="dxa"/>
              <w:bottom w:w="180" w:type="dxa"/>
              <w:right w:w="180" w:type="dxa"/>
            </w:tcMar>
            <w:hideMark/>
          </w:tcPr>
          <w:p w14:paraId="07F0F7C9" w14:textId="77777777" w:rsidR="00CA2689" w:rsidRPr="00CA2689" w:rsidRDefault="00CA2689" w:rsidP="00CA2689">
            <w:pPr>
              <w:rPr>
                <w:sz w:val="16"/>
                <w:szCs w:val="16"/>
              </w:rPr>
            </w:pPr>
            <w:r w:rsidRPr="00CA2689">
              <w:rPr>
                <w:sz w:val="16"/>
                <w:szCs w:val="16"/>
              </w:rPr>
              <w:t>Robust goal specification, value learning, scalable oversight, coordination protocols</w:t>
            </w:r>
          </w:p>
        </w:tc>
        <w:tc>
          <w:tcPr>
            <w:tcW w:w="1843" w:type="dxa"/>
            <w:tcMar>
              <w:top w:w="180" w:type="dxa"/>
              <w:left w:w="180" w:type="dxa"/>
              <w:bottom w:w="180" w:type="dxa"/>
              <w:right w:w="180" w:type="dxa"/>
            </w:tcMar>
            <w:hideMark/>
          </w:tcPr>
          <w:p w14:paraId="425E9956" w14:textId="77777777" w:rsidR="00CA2689" w:rsidRPr="00CA2689" w:rsidRDefault="00CA2689" w:rsidP="00CA2689">
            <w:pPr>
              <w:rPr>
                <w:sz w:val="16"/>
                <w:szCs w:val="16"/>
              </w:rPr>
            </w:pPr>
            <w:r w:rsidRPr="00CA2689">
              <w:rPr>
                <w:sz w:val="16"/>
                <w:szCs w:val="16"/>
              </w:rPr>
              <w:t>Safe, aligned autonomous agents for complex tasks</w:t>
            </w:r>
          </w:p>
        </w:tc>
      </w:tr>
      <w:tr w:rsidR="00CA2689" w:rsidRPr="00CA2689" w14:paraId="27CFA20E" w14:textId="77777777" w:rsidTr="00A873C9">
        <w:tc>
          <w:tcPr>
            <w:tcW w:w="1555" w:type="dxa"/>
            <w:tcMar>
              <w:top w:w="180" w:type="dxa"/>
              <w:left w:w="180" w:type="dxa"/>
              <w:bottom w:w="180" w:type="dxa"/>
              <w:right w:w="180" w:type="dxa"/>
            </w:tcMar>
            <w:hideMark/>
          </w:tcPr>
          <w:p w14:paraId="5CBEC350" w14:textId="77777777" w:rsidR="00CA2689" w:rsidRPr="00CA2689" w:rsidRDefault="00CA2689" w:rsidP="00CA2689">
            <w:pPr>
              <w:rPr>
                <w:sz w:val="16"/>
                <w:szCs w:val="16"/>
              </w:rPr>
            </w:pPr>
            <w:r w:rsidRPr="00CA2689">
              <w:rPr>
                <w:sz w:val="16"/>
                <w:szCs w:val="16"/>
              </w:rPr>
              <w:t>Explainable AI</w:t>
            </w:r>
          </w:p>
        </w:tc>
        <w:tc>
          <w:tcPr>
            <w:tcW w:w="1959" w:type="dxa"/>
            <w:tcMar>
              <w:top w:w="180" w:type="dxa"/>
              <w:left w:w="180" w:type="dxa"/>
              <w:bottom w:w="180" w:type="dxa"/>
              <w:right w:w="180" w:type="dxa"/>
            </w:tcMar>
            <w:hideMark/>
          </w:tcPr>
          <w:p w14:paraId="1D57B71F" w14:textId="77777777" w:rsidR="00CA2689" w:rsidRPr="00CA2689" w:rsidRDefault="00CA2689" w:rsidP="00CA2689">
            <w:pPr>
              <w:rPr>
                <w:sz w:val="16"/>
                <w:szCs w:val="16"/>
              </w:rPr>
            </w:pPr>
            <w:r w:rsidRPr="00CA2689">
              <w:rPr>
                <w:sz w:val="16"/>
                <w:szCs w:val="16"/>
              </w:rPr>
              <w:t>Standardization, evaluation, causal explanations</w:t>
            </w:r>
          </w:p>
        </w:tc>
        <w:tc>
          <w:tcPr>
            <w:tcW w:w="2156" w:type="dxa"/>
            <w:tcMar>
              <w:top w:w="180" w:type="dxa"/>
              <w:left w:w="180" w:type="dxa"/>
              <w:bottom w:w="180" w:type="dxa"/>
              <w:right w:w="180" w:type="dxa"/>
            </w:tcMar>
            <w:hideMark/>
          </w:tcPr>
          <w:p w14:paraId="4918D8AF" w14:textId="77777777" w:rsidR="00CA2689" w:rsidRPr="00CA2689" w:rsidRDefault="00CA2689" w:rsidP="00CA2689">
            <w:pPr>
              <w:rPr>
                <w:sz w:val="16"/>
                <w:szCs w:val="16"/>
              </w:rPr>
            </w:pPr>
            <w:r w:rsidRPr="00CA2689">
              <w:rPr>
                <w:sz w:val="16"/>
                <w:szCs w:val="16"/>
              </w:rPr>
              <w:t>Standardized metrics, benchmark datasets, causal XAI methods</w:t>
            </w:r>
          </w:p>
        </w:tc>
        <w:tc>
          <w:tcPr>
            <w:tcW w:w="1843" w:type="dxa"/>
            <w:tcMar>
              <w:top w:w="180" w:type="dxa"/>
              <w:left w:w="180" w:type="dxa"/>
              <w:bottom w:w="180" w:type="dxa"/>
              <w:right w:w="180" w:type="dxa"/>
            </w:tcMar>
            <w:hideMark/>
          </w:tcPr>
          <w:p w14:paraId="593D82CC" w14:textId="77777777" w:rsidR="00CA2689" w:rsidRPr="00CA2689" w:rsidRDefault="00CA2689" w:rsidP="00CA2689">
            <w:pPr>
              <w:rPr>
                <w:sz w:val="16"/>
                <w:szCs w:val="16"/>
              </w:rPr>
            </w:pPr>
            <w:r w:rsidRPr="00CA2689">
              <w:rPr>
                <w:sz w:val="16"/>
                <w:szCs w:val="16"/>
              </w:rPr>
              <w:t>Comparable, validated explanations that improve trust</w:t>
            </w:r>
          </w:p>
        </w:tc>
      </w:tr>
      <w:tr w:rsidR="00CA2689" w:rsidRPr="00CA2689" w14:paraId="7FDB73D5" w14:textId="77777777" w:rsidTr="00A873C9">
        <w:tc>
          <w:tcPr>
            <w:tcW w:w="1555" w:type="dxa"/>
            <w:tcMar>
              <w:top w:w="180" w:type="dxa"/>
              <w:left w:w="180" w:type="dxa"/>
              <w:bottom w:w="180" w:type="dxa"/>
              <w:right w:w="180" w:type="dxa"/>
            </w:tcMar>
            <w:hideMark/>
          </w:tcPr>
          <w:p w14:paraId="6388B3AC" w14:textId="77777777" w:rsidR="00CA2689" w:rsidRPr="00CA2689" w:rsidRDefault="00CA2689" w:rsidP="00CA2689">
            <w:pPr>
              <w:rPr>
                <w:sz w:val="16"/>
                <w:szCs w:val="16"/>
              </w:rPr>
            </w:pPr>
            <w:r w:rsidRPr="00CA2689">
              <w:rPr>
                <w:sz w:val="16"/>
                <w:szCs w:val="16"/>
              </w:rPr>
              <w:t>Responsible AI</w:t>
            </w:r>
          </w:p>
        </w:tc>
        <w:tc>
          <w:tcPr>
            <w:tcW w:w="1959" w:type="dxa"/>
            <w:tcMar>
              <w:top w:w="180" w:type="dxa"/>
              <w:left w:w="180" w:type="dxa"/>
              <w:bottom w:w="180" w:type="dxa"/>
              <w:right w:w="180" w:type="dxa"/>
            </w:tcMar>
            <w:hideMark/>
          </w:tcPr>
          <w:p w14:paraId="0E61BD5B" w14:textId="77777777" w:rsidR="00CA2689" w:rsidRPr="00CA2689" w:rsidRDefault="00CA2689" w:rsidP="00CA2689">
            <w:pPr>
              <w:rPr>
                <w:sz w:val="16"/>
                <w:szCs w:val="16"/>
              </w:rPr>
            </w:pPr>
            <w:r w:rsidRPr="00CA2689">
              <w:rPr>
                <w:sz w:val="16"/>
                <w:szCs w:val="16"/>
              </w:rPr>
              <w:t>Implementation gaps, fairness-accuracy trade-offs, global governance</w:t>
            </w:r>
          </w:p>
        </w:tc>
        <w:tc>
          <w:tcPr>
            <w:tcW w:w="2156" w:type="dxa"/>
            <w:tcMar>
              <w:top w:w="180" w:type="dxa"/>
              <w:left w:w="180" w:type="dxa"/>
              <w:bottom w:w="180" w:type="dxa"/>
              <w:right w:w="180" w:type="dxa"/>
            </w:tcMar>
            <w:hideMark/>
          </w:tcPr>
          <w:p w14:paraId="56AA06CD" w14:textId="77777777" w:rsidR="00CA2689" w:rsidRPr="00CA2689" w:rsidRDefault="00CA2689" w:rsidP="00CA2689">
            <w:pPr>
              <w:rPr>
                <w:sz w:val="16"/>
                <w:szCs w:val="16"/>
              </w:rPr>
            </w:pPr>
            <w:r w:rsidRPr="00CA2689">
              <w:rPr>
                <w:sz w:val="16"/>
                <w:szCs w:val="16"/>
              </w:rPr>
              <w:t>Organizational implementation research, fairness-aware algorithms, international coordination</w:t>
            </w:r>
          </w:p>
        </w:tc>
        <w:tc>
          <w:tcPr>
            <w:tcW w:w="1843" w:type="dxa"/>
            <w:tcMar>
              <w:top w:w="180" w:type="dxa"/>
              <w:left w:w="180" w:type="dxa"/>
              <w:bottom w:w="180" w:type="dxa"/>
              <w:right w:w="180" w:type="dxa"/>
            </w:tcMar>
            <w:hideMark/>
          </w:tcPr>
          <w:p w14:paraId="53D3CFE5" w14:textId="77777777" w:rsidR="00CA2689" w:rsidRPr="00CA2689" w:rsidRDefault="00CA2689" w:rsidP="00CA2689">
            <w:pPr>
              <w:rPr>
                <w:sz w:val="16"/>
                <w:szCs w:val="16"/>
              </w:rPr>
            </w:pPr>
            <w:r w:rsidRPr="00CA2689">
              <w:rPr>
                <w:sz w:val="16"/>
                <w:szCs w:val="16"/>
              </w:rPr>
              <w:t>Practical responsible AI adoption at scale</w:t>
            </w:r>
          </w:p>
        </w:tc>
      </w:tr>
      <w:tr w:rsidR="00CA2689" w:rsidRPr="00CA2689" w14:paraId="157A4064" w14:textId="77777777" w:rsidTr="00A873C9">
        <w:tc>
          <w:tcPr>
            <w:tcW w:w="1555" w:type="dxa"/>
            <w:tcMar>
              <w:top w:w="180" w:type="dxa"/>
              <w:left w:w="180" w:type="dxa"/>
              <w:bottom w:w="180" w:type="dxa"/>
              <w:right w:w="180" w:type="dxa"/>
            </w:tcMar>
            <w:hideMark/>
          </w:tcPr>
          <w:p w14:paraId="20F7A4F2" w14:textId="77777777" w:rsidR="00CA2689" w:rsidRPr="00CA2689" w:rsidRDefault="00CA2689" w:rsidP="00CA2689">
            <w:pPr>
              <w:rPr>
                <w:sz w:val="16"/>
                <w:szCs w:val="16"/>
              </w:rPr>
            </w:pPr>
            <w:r w:rsidRPr="00CA2689">
              <w:rPr>
                <w:sz w:val="16"/>
                <w:szCs w:val="16"/>
              </w:rPr>
              <w:t>Human-Centric AI</w:t>
            </w:r>
          </w:p>
        </w:tc>
        <w:tc>
          <w:tcPr>
            <w:tcW w:w="1959" w:type="dxa"/>
            <w:tcMar>
              <w:top w:w="180" w:type="dxa"/>
              <w:left w:w="180" w:type="dxa"/>
              <w:bottom w:w="180" w:type="dxa"/>
              <w:right w:w="180" w:type="dxa"/>
            </w:tcMar>
            <w:hideMark/>
          </w:tcPr>
          <w:p w14:paraId="577FA769" w14:textId="77777777" w:rsidR="00CA2689" w:rsidRPr="00CA2689" w:rsidRDefault="00CA2689" w:rsidP="00CA2689">
            <w:pPr>
              <w:rPr>
                <w:sz w:val="16"/>
                <w:szCs w:val="16"/>
              </w:rPr>
            </w:pPr>
            <w:r w:rsidRPr="00CA2689">
              <w:rPr>
                <w:sz w:val="16"/>
                <w:szCs w:val="16"/>
              </w:rPr>
              <w:t>Collaboration models, empowerment, wellbeing</w:t>
            </w:r>
          </w:p>
        </w:tc>
        <w:tc>
          <w:tcPr>
            <w:tcW w:w="2156" w:type="dxa"/>
            <w:tcMar>
              <w:top w:w="180" w:type="dxa"/>
              <w:left w:w="180" w:type="dxa"/>
              <w:bottom w:w="180" w:type="dxa"/>
              <w:right w:w="180" w:type="dxa"/>
            </w:tcMar>
            <w:hideMark/>
          </w:tcPr>
          <w:p w14:paraId="57465CA2" w14:textId="77777777" w:rsidR="00CA2689" w:rsidRPr="00CA2689" w:rsidRDefault="00CA2689" w:rsidP="00CA2689">
            <w:pPr>
              <w:rPr>
                <w:sz w:val="16"/>
                <w:szCs w:val="16"/>
              </w:rPr>
            </w:pPr>
            <w:r w:rsidRPr="00CA2689">
              <w:rPr>
                <w:sz w:val="16"/>
                <w:szCs w:val="16"/>
              </w:rPr>
              <w:t>Human-AI teaming frameworks, empowerment metrics, wellbeing-oriented design</w:t>
            </w:r>
          </w:p>
        </w:tc>
        <w:tc>
          <w:tcPr>
            <w:tcW w:w="1843" w:type="dxa"/>
            <w:tcMar>
              <w:top w:w="180" w:type="dxa"/>
              <w:left w:w="180" w:type="dxa"/>
              <w:bottom w:w="180" w:type="dxa"/>
              <w:right w:w="180" w:type="dxa"/>
            </w:tcMar>
            <w:hideMark/>
          </w:tcPr>
          <w:p w14:paraId="415C857F" w14:textId="77777777" w:rsidR="00CA2689" w:rsidRPr="00CA2689" w:rsidRDefault="00CA2689" w:rsidP="00CA2689">
            <w:pPr>
              <w:rPr>
                <w:sz w:val="16"/>
                <w:szCs w:val="16"/>
              </w:rPr>
            </w:pPr>
            <w:r w:rsidRPr="00CA2689">
              <w:rPr>
                <w:sz w:val="16"/>
                <w:szCs w:val="16"/>
              </w:rPr>
              <w:t>AI systems that augment rather than replace humans</w:t>
            </w:r>
          </w:p>
        </w:tc>
      </w:tr>
      <w:tr w:rsidR="00CA2689" w:rsidRPr="00CA2689" w14:paraId="3C5C6693" w14:textId="77777777" w:rsidTr="00A873C9">
        <w:tc>
          <w:tcPr>
            <w:tcW w:w="1555" w:type="dxa"/>
            <w:tcMar>
              <w:top w:w="180" w:type="dxa"/>
              <w:left w:w="180" w:type="dxa"/>
              <w:bottom w:w="180" w:type="dxa"/>
              <w:right w:w="180" w:type="dxa"/>
            </w:tcMar>
            <w:hideMark/>
          </w:tcPr>
          <w:p w14:paraId="0E04FB59" w14:textId="77777777" w:rsidR="00CA2689" w:rsidRPr="00CA2689" w:rsidRDefault="00CA2689" w:rsidP="00CA2689">
            <w:pPr>
              <w:rPr>
                <w:sz w:val="16"/>
                <w:szCs w:val="16"/>
              </w:rPr>
            </w:pPr>
            <w:r w:rsidRPr="00CA2689">
              <w:rPr>
                <w:sz w:val="16"/>
                <w:szCs w:val="16"/>
              </w:rPr>
              <w:t>Quantum AI</w:t>
            </w:r>
          </w:p>
        </w:tc>
        <w:tc>
          <w:tcPr>
            <w:tcW w:w="1959" w:type="dxa"/>
            <w:tcMar>
              <w:top w:w="180" w:type="dxa"/>
              <w:left w:w="180" w:type="dxa"/>
              <w:bottom w:w="180" w:type="dxa"/>
              <w:right w:w="180" w:type="dxa"/>
            </w:tcMar>
            <w:hideMark/>
          </w:tcPr>
          <w:p w14:paraId="702B2F97" w14:textId="77777777" w:rsidR="00CA2689" w:rsidRPr="00CA2689" w:rsidRDefault="00CA2689" w:rsidP="00CA2689">
            <w:pPr>
              <w:rPr>
                <w:sz w:val="16"/>
                <w:szCs w:val="16"/>
              </w:rPr>
            </w:pPr>
            <w:r w:rsidRPr="00CA2689">
              <w:rPr>
                <w:sz w:val="16"/>
                <w:szCs w:val="16"/>
              </w:rPr>
              <w:t>Practical algorithms, hardware limitations, integration with classical AI</w:t>
            </w:r>
          </w:p>
        </w:tc>
        <w:tc>
          <w:tcPr>
            <w:tcW w:w="2156" w:type="dxa"/>
            <w:tcMar>
              <w:top w:w="180" w:type="dxa"/>
              <w:left w:w="180" w:type="dxa"/>
              <w:bottom w:w="180" w:type="dxa"/>
              <w:right w:w="180" w:type="dxa"/>
            </w:tcMar>
            <w:hideMark/>
          </w:tcPr>
          <w:p w14:paraId="43CD9EC7" w14:textId="77777777" w:rsidR="00CA2689" w:rsidRPr="00CA2689" w:rsidRDefault="00CA2689" w:rsidP="00CA2689">
            <w:pPr>
              <w:rPr>
                <w:sz w:val="16"/>
                <w:szCs w:val="16"/>
              </w:rPr>
            </w:pPr>
            <w:r w:rsidRPr="00CA2689">
              <w:rPr>
                <w:sz w:val="16"/>
                <w:szCs w:val="16"/>
              </w:rPr>
              <w:t>Quantum ML algorithms, hybrid quantum-classical systems, near-term applications</w:t>
            </w:r>
          </w:p>
        </w:tc>
        <w:tc>
          <w:tcPr>
            <w:tcW w:w="1843" w:type="dxa"/>
            <w:tcMar>
              <w:top w:w="180" w:type="dxa"/>
              <w:left w:w="180" w:type="dxa"/>
              <w:bottom w:w="180" w:type="dxa"/>
              <w:right w:w="180" w:type="dxa"/>
            </w:tcMar>
            <w:hideMark/>
          </w:tcPr>
          <w:p w14:paraId="425119ED" w14:textId="77777777" w:rsidR="00CA2689" w:rsidRPr="00CA2689" w:rsidRDefault="00CA2689" w:rsidP="00CA2689">
            <w:pPr>
              <w:rPr>
                <w:sz w:val="16"/>
                <w:szCs w:val="16"/>
              </w:rPr>
            </w:pPr>
            <w:r w:rsidRPr="00CA2689">
              <w:rPr>
                <w:sz w:val="16"/>
                <w:szCs w:val="16"/>
              </w:rPr>
              <w:t>Breakthrough capabilities in optimization and simulation</w:t>
            </w:r>
          </w:p>
        </w:tc>
      </w:tr>
      <w:tr w:rsidR="00CA2689" w:rsidRPr="00CA2689" w14:paraId="08917DA2" w14:textId="77777777" w:rsidTr="00A873C9">
        <w:tc>
          <w:tcPr>
            <w:tcW w:w="1555" w:type="dxa"/>
            <w:tcMar>
              <w:top w:w="180" w:type="dxa"/>
              <w:left w:w="180" w:type="dxa"/>
              <w:bottom w:w="180" w:type="dxa"/>
              <w:right w:w="180" w:type="dxa"/>
            </w:tcMar>
            <w:hideMark/>
          </w:tcPr>
          <w:p w14:paraId="3FD7E833" w14:textId="77777777" w:rsidR="00CA2689" w:rsidRPr="00CA2689" w:rsidRDefault="00CA2689" w:rsidP="00CA2689">
            <w:pPr>
              <w:rPr>
                <w:sz w:val="16"/>
                <w:szCs w:val="16"/>
              </w:rPr>
            </w:pPr>
            <w:r w:rsidRPr="00CA2689">
              <w:rPr>
                <w:sz w:val="16"/>
                <w:szCs w:val="16"/>
              </w:rPr>
              <w:lastRenderedPageBreak/>
              <w:t>Multi-Agent AI</w:t>
            </w:r>
          </w:p>
        </w:tc>
        <w:tc>
          <w:tcPr>
            <w:tcW w:w="1959" w:type="dxa"/>
            <w:tcMar>
              <w:top w:w="180" w:type="dxa"/>
              <w:left w:w="180" w:type="dxa"/>
              <w:bottom w:w="180" w:type="dxa"/>
              <w:right w:w="180" w:type="dxa"/>
            </w:tcMar>
            <w:hideMark/>
          </w:tcPr>
          <w:p w14:paraId="58F3BB5A" w14:textId="77777777" w:rsidR="00CA2689" w:rsidRPr="00CA2689" w:rsidRDefault="00CA2689" w:rsidP="00CA2689">
            <w:pPr>
              <w:rPr>
                <w:sz w:val="16"/>
                <w:szCs w:val="16"/>
              </w:rPr>
            </w:pPr>
            <w:r w:rsidRPr="00CA2689">
              <w:rPr>
                <w:sz w:val="16"/>
                <w:szCs w:val="16"/>
              </w:rPr>
              <w:t xml:space="preserve">Coordination, emergent </w:t>
            </w:r>
            <w:proofErr w:type="spellStart"/>
            <w:r w:rsidRPr="00CA2689">
              <w:rPr>
                <w:sz w:val="16"/>
                <w:szCs w:val="16"/>
              </w:rPr>
              <w:t>behavior</w:t>
            </w:r>
            <w:proofErr w:type="spellEnd"/>
            <w:r w:rsidRPr="00CA2689">
              <w:rPr>
                <w:sz w:val="16"/>
                <w:szCs w:val="16"/>
              </w:rPr>
              <w:t>, collective intelligence</w:t>
            </w:r>
          </w:p>
        </w:tc>
        <w:tc>
          <w:tcPr>
            <w:tcW w:w="2156" w:type="dxa"/>
            <w:tcMar>
              <w:top w:w="180" w:type="dxa"/>
              <w:left w:w="180" w:type="dxa"/>
              <w:bottom w:w="180" w:type="dxa"/>
              <w:right w:w="180" w:type="dxa"/>
            </w:tcMar>
            <w:hideMark/>
          </w:tcPr>
          <w:p w14:paraId="196748D5" w14:textId="77777777" w:rsidR="00CA2689" w:rsidRPr="00CA2689" w:rsidRDefault="00CA2689" w:rsidP="00CA2689">
            <w:pPr>
              <w:rPr>
                <w:sz w:val="16"/>
                <w:szCs w:val="16"/>
              </w:rPr>
            </w:pPr>
            <w:r w:rsidRPr="00CA2689">
              <w:rPr>
                <w:sz w:val="16"/>
                <w:szCs w:val="16"/>
              </w:rPr>
              <w:t xml:space="preserve">Coordination mechanisms, emergent </w:t>
            </w:r>
            <w:proofErr w:type="spellStart"/>
            <w:r w:rsidRPr="00CA2689">
              <w:rPr>
                <w:sz w:val="16"/>
                <w:szCs w:val="16"/>
              </w:rPr>
              <w:t>behavior</w:t>
            </w:r>
            <w:proofErr w:type="spellEnd"/>
            <w:r w:rsidRPr="00CA2689">
              <w:rPr>
                <w:sz w:val="16"/>
                <w:szCs w:val="16"/>
              </w:rPr>
              <w:t xml:space="preserve"> analysis, incentive design</w:t>
            </w:r>
          </w:p>
        </w:tc>
        <w:tc>
          <w:tcPr>
            <w:tcW w:w="1843" w:type="dxa"/>
            <w:tcMar>
              <w:top w:w="180" w:type="dxa"/>
              <w:left w:w="180" w:type="dxa"/>
              <w:bottom w:w="180" w:type="dxa"/>
              <w:right w:w="180" w:type="dxa"/>
            </w:tcMar>
            <w:hideMark/>
          </w:tcPr>
          <w:p w14:paraId="2A61E4C1" w14:textId="77777777" w:rsidR="00CA2689" w:rsidRPr="00CA2689" w:rsidRDefault="00CA2689" w:rsidP="00CA2689">
            <w:pPr>
              <w:rPr>
                <w:sz w:val="16"/>
                <w:szCs w:val="16"/>
              </w:rPr>
            </w:pPr>
            <w:r w:rsidRPr="00CA2689">
              <w:rPr>
                <w:sz w:val="16"/>
                <w:szCs w:val="16"/>
              </w:rPr>
              <w:t>Scalable multi-agent systems for complex problems</w:t>
            </w:r>
          </w:p>
        </w:tc>
      </w:tr>
      <w:tr w:rsidR="00CA2689" w:rsidRPr="00CA2689" w14:paraId="6A0FE142" w14:textId="77777777" w:rsidTr="00A873C9">
        <w:tc>
          <w:tcPr>
            <w:tcW w:w="1555" w:type="dxa"/>
            <w:tcMar>
              <w:top w:w="180" w:type="dxa"/>
              <w:left w:w="180" w:type="dxa"/>
              <w:bottom w:w="180" w:type="dxa"/>
              <w:right w:w="180" w:type="dxa"/>
            </w:tcMar>
            <w:hideMark/>
          </w:tcPr>
          <w:p w14:paraId="508D6832" w14:textId="77777777" w:rsidR="00CA2689" w:rsidRPr="00CA2689" w:rsidRDefault="00CA2689" w:rsidP="00CA2689">
            <w:pPr>
              <w:rPr>
                <w:sz w:val="16"/>
                <w:szCs w:val="16"/>
              </w:rPr>
            </w:pPr>
            <w:r w:rsidRPr="00CA2689">
              <w:rPr>
                <w:sz w:val="16"/>
                <w:szCs w:val="16"/>
              </w:rPr>
              <w:t>AGI</w:t>
            </w:r>
          </w:p>
        </w:tc>
        <w:tc>
          <w:tcPr>
            <w:tcW w:w="1959" w:type="dxa"/>
            <w:tcMar>
              <w:top w:w="180" w:type="dxa"/>
              <w:left w:w="180" w:type="dxa"/>
              <w:bottom w:w="180" w:type="dxa"/>
              <w:right w:w="180" w:type="dxa"/>
            </w:tcMar>
            <w:hideMark/>
          </w:tcPr>
          <w:p w14:paraId="5BE336C8" w14:textId="77777777" w:rsidR="00CA2689" w:rsidRPr="00CA2689" w:rsidRDefault="00CA2689" w:rsidP="00CA2689">
            <w:pPr>
              <w:rPr>
                <w:sz w:val="16"/>
                <w:szCs w:val="16"/>
              </w:rPr>
            </w:pPr>
            <w:r w:rsidRPr="00CA2689">
              <w:rPr>
                <w:sz w:val="16"/>
                <w:szCs w:val="16"/>
              </w:rPr>
              <w:t>Safety, alignment, governance, timeline uncertainty</w:t>
            </w:r>
          </w:p>
        </w:tc>
        <w:tc>
          <w:tcPr>
            <w:tcW w:w="2156" w:type="dxa"/>
            <w:tcMar>
              <w:top w:w="180" w:type="dxa"/>
              <w:left w:w="180" w:type="dxa"/>
              <w:bottom w:w="180" w:type="dxa"/>
              <w:right w:w="180" w:type="dxa"/>
            </w:tcMar>
            <w:hideMark/>
          </w:tcPr>
          <w:p w14:paraId="36B970B9" w14:textId="77777777" w:rsidR="00CA2689" w:rsidRPr="00CA2689" w:rsidRDefault="00CA2689" w:rsidP="00CA2689">
            <w:pPr>
              <w:rPr>
                <w:sz w:val="16"/>
                <w:szCs w:val="16"/>
              </w:rPr>
            </w:pPr>
            <w:r w:rsidRPr="00CA2689">
              <w:rPr>
                <w:sz w:val="16"/>
                <w:szCs w:val="16"/>
              </w:rPr>
              <w:t>Technical safety research, governance frameworks, interdisciplinary collaboration</w:t>
            </w:r>
          </w:p>
        </w:tc>
        <w:tc>
          <w:tcPr>
            <w:tcW w:w="1843" w:type="dxa"/>
            <w:tcMar>
              <w:top w:w="180" w:type="dxa"/>
              <w:left w:w="180" w:type="dxa"/>
              <w:bottom w:w="180" w:type="dxa"/>
              <w:right w:w="180" w:type="dxa"/>
            </w:tcMar>
            <w:hideMark/>
          </w:tcPr>
          <w:p w14:paraId="0326296D" w14:textId="77777777" w:rsidR="00CA2689" w:rsidRPr="00CA2689" w:rsidRDefault="00CA2689" w:rsidP="00CA2689">
            <w:pPr>
              <w:rPr>
                <w:sz w:val="16"/>
                <w:szCs w:val="16"/>
              </w:rPr>
            </w:pPr>
            <w:r w:rsidRPr="00CA2689">
              <w:rPr>
                <w:sz w:val="16"/>
                <w:szCs w:val="16"/>
              </w:rPr>
              <w:t>Safe pathway to AGI with robust safeguards</w:t>
            </w:r>
          </w:p>
        </w:tc>
      </w:tr>
      <w:tr w:rsidR="00CA2689" w:rsidRPr="00CA2689" w14:paraId="6B5737BB" w14:textId="77777777" w:rsidTr="00A873C9">
        <w:tc>
          <w:tcPr>
            <w:tcW w:w="1555" w:type="dxa"/>
            <w:tcMar>
              <w:top w:w="180" w:type="dxa"/>
              <w:left w:w="180" w:type="dxa"/>
              <w:bottom w:w="180" w:type="dxa"/>
              <w:right w:w="180" w:type="dxa"/>
            </w:tcMar>
            <w:hideMark/>
          </w:tcPr>
          <w:p w14:paraId="7E4196B0" w14:textId="77777777" w:rsidR="00CA2689" w:rsidRPr="00CA2689" w:rsidRDefault="00CA2689" w:rsidP="00CA2689">
            <w:pPr>
              <w:rPr>
                <w:sz w:val="16"/>
                <w:szCs w:val="16"/>
              </w:rPr>
            </w:pPr>
            <w:r w:rsidRPr="00CA2689">
              <w:rPr>
                <w:sz w:val="16"/>
                <w:szCs w:val="16"/>
              </w:rPr>
              <w:t>AI Ethics</w:t>
            </w:r>
          </w:p>
        </w:tc>
        <w:tc>
          <w:tcPr>
            <w:tcW w:w="1959" w:type="dxa"/>
            <w:tcMar>
              <w:top w:w="180" w:type="dxa"/>
              <w:left w:w="180" w:type="dxa"/>
              <w:bottom w:w="180" w:type="dxa"/>
              <w:right w:w="180" w:type="dxa"/>
            </w:tcMar>
            <w:hideMark/>
          </w:tcPr>
          <w:p w14:paraId="353EDC7E" w14:textId="77777777" w:rsidR="00CA2689" w:rsidRPr="00CA2689" w:rsidRDefault="00CA2689" w:rsidP="00CA2689">
            <w:pPr>
              <w:rPr>
                <w:sz w:val="16"/>
                <w:szCs w:val="16"/>
              </w:rPr>
            </w:pPr>
            <w:r w:rsidRPr="00CA2689">
              <w:rPr>
                <w:sz w:val="16"/>
                <w:szCs w:val="16"/>
              </w:rPr>
              <w:t>Value pluralism, cultural differences, enforcement</w:t>
            </w:r>
          </w:p>
        </w:tc>
        <w:tc>
          <w:tcPr>
            <w:tcW w:w="2156" w:type="dxa"/>
            <w:tcMar>
              <w:top w:w="180" w:type="dxa"/>
              <w:left w:w="180" w:type="dxa"/>
              <w:bottom w:w="180" w:type="dxa"/>
              <w:right w:w="180" w:type="dxa"/>
            </w:tcMar>
            <w:hideMark/>
          </w:tcPr>
          <w:p w14:paraId="479D9FAC" w14:textId="77777777" w:rsidR="00CA2689" w:rsidRPr="00CA2689" w:rsidRDefault="00CA2689" w:rsidP="00CA2689">
            <w:pPr>
              <w:rPr>
                <w:sz w:val="16"/>
                <w:szCs w:val="16"/>
              </w:rPr>
            </w:pPr>
            <w:r w:rsidRPr="00CA2689">
              <w:rPr>
                <w:sz w:val="16"/>
                <w:szCs w:val="16"/>
              </w:rPr>
              <w:t>Cross-cultural ethics research, participatory design, enforcement mechanisms</w:t>
            </w:r>
          </w:p>
        </w:tc>
        <w:tc>
          <w:tcPr>
            <w:tcW w:w="1843" w:type="dxa"/>
            <w:tcMar>
              <w:top w:w="180" w:type="dxa"/>
              <w:left w:w="180" w:type="dxa"/>
              <w:bottom w:w="180" w:type="dxa"/>
              <w:right w:w="180" w:type="dxa"/>
            </w:tcMar>
            <w:hideMark/>
          </w:tcPr>
          <w:p w14:paraId="0503516B" w14:textId="77777777" w:rsidR="00CA2689" w:rsidRPr="00CA2689" w:rsidRDefault="00CA2689" w:rsidP="00CA2689">
            <w:pPr>
              <w:rPr>
                <w:sz w:val="16"/>
                <w:szCs w:val="16"/>
              </w:rPr>
            </w:pPr>
            <w:r w:rsidRPr="00CA2689">
              <w:rPr>
                <w:sz w:val="16"/>
                <w:szCs w:val="16"/>
              </w:rPr>
              <w:t>Inclusive, enforceable ethical frameworks</w:t>
            </w:r>
          </w:p>
        </w:tc>
      </w:tr>
    </w:tbl>
    <w:p w14:paraId="6E7DD89F" w14:textId="77777777" w:rsidR="00A873C9" w:rsidRDefault="00A873C9" w:rsidP="00CA2689">
      <w:pPr>
        <w:rPr>
          <w:b/>
          <w:bCs/>
        </w:rPr>
      </w:pPr>
    </w:p>
    <w:p w14:paraId="0C01F42D" w14:textId="3C2322D5" w:rsidR="00CA2689" w:rsidRPr="00CA2689" w:rsidRDefault="00CA2689" w:rsidP="00CA2689">
      <w:pPr>
        <w:rPr>
          <w:b/>
          <w:bCs/>
        </w:rPr>
      </w:pPr>
      <w:r w:rsidRPr="00CA2689">
        <w:rPr>
          <w:b/>
          <w:bCs/>
        </w:rPr>
        <w:t>Convergence Research: Integrating All Paradigms</w:t>
      </w:r>
    </w:p>
    <w:p w14:paraId="420123E9" w14:textId="77777777" w:rsidR="00CA2689" w:rsidRPr="00CA2689" w:rsidRDefault="00CA2689" w:rsidP="00CA2689">
      <w:r w:rsidRPr="00CA2689">
        <w:t>A critical frontier for future research involves the convergence of all AI paradigms into unified systems that combine generative creativity, emotional intelligence, social understanding, autonomous agency, multimodal perception, and cognitive reasoning (Joshi et al., 2025). Current research largely treats these paradigms in isolation, but real-world applications increasingly demand their integration. For example, an AI personal assistant must generate natural language responses (Generative AI), recognize user emotions and adapt accordingly (Emotional AI), navigate social norms in multi-party conversations (Social AI), autonomously pursue user goals across multiple steps (Agentic AI), process text, voice, and visual inputs (Multimodal AI), and reason about causal relationships and user intentions (Cognitive AI), all while maintaining transparency, fairness, and security (Trustworthy AI).</w:t>
      </w:r>
    </w:p>
    <w:p w14:paraId="40CB7903" w14:textId="77777777" w:rsidR="00CA2689" w:rsidRPr="00CA2689" w:rsidRDefault="00CA2689" w:rsidP="00CA2689">
      <w:r w:rsidRPr="00CA2689">
        <w:t xml:space="preserve">Convergence research must address technical challenges including architectural integration (how to combine different model types), computational efficiency (managing the resource demands of multiple capabilities), and emergent </w:t>
      </w:r>
      <w:proofErr w:type="spellStart"/>
      <w:r w:rsidRPr="00CA2689">
        <w:t>behavior</w:t>
      </w:r>
      <w:proofErr w:type="spellEnd"/>
      <w:r w:rsidRPr="00CA2689">
        <w:t xml:space="preserve"> (understanding how interactions between capabilities produce unexpected outcomes) (Chowdhury et al., 2025). It must also address socio-technical challenges including user experience design (how to present integrated capabilities intuitively), trust calibration (helping users understand system capabilities and limitations), and governance (ensuring integrated systems remain aligned with human values across all capabilities).</w:t>
      </w:r>
    </w:p>
    <w:p w14:paraId="58EE39FC" w14:textId="77777777" w:rsidR="00CA2689" w:rsidRPr="00CA2689" w:rsidRDefault="00CA2689" w:rsidP="00CA2689">
      <w:r w:rsidRPr="00CA2689">
        <w:t xml:space="preserve">The </w:t>
      </w:r>
      <w:proofErr w:type="gramStart"/>
      <w:r w:rsidRPr="00CA2689">
        <w:t>ultimate goal</w:t>
      </w:r>
      <w:proofErr w:type="gramEnd"/>
      <w:r w:rsidRPr="00CA2689">
        <w:t xml:space="preserve"> of convergence research is not merely to combine existing capabilities but to discover synergies where integrated systems achieve more than the sum of their </w:t>
      </w:r>
      <w:r w:rsidRPr="00CA2689">
        <w:lastRenderedPageBreak/>
        <w:t>parts (Joshi et al., 2025). Emotional understanding may enhance generative creativity by enabling systems to produce content that resonates with user affective states. Agentic autonomy may improve through social intelligence that enables better collaboration with humans and other agents. Cognitive reasoning may benefit from multimodal grounding that connects abstract concepts to perceptual experience. These synergies represent the frontier of AI research and the pathway toward more general, human-like intelligence.</w:t>
      </w:r>
    </w:p>
    <w:p w14:paraId="463366D7" w14:textId="0888F942" w:rsidR="00CA2689" w:rsidRPr="00CA2689" w:rsidRDefault="00CA2689" w:rsidP="00CA2689"/>
    <w:p w14:paraId="3CFD2E55" w14:textId="77777777" w:rsidR="00CA2689" w:rsidRPr="00CA2689" w:rsidRDefault="00CA2689" w:rsidP="00CA2689">
      <w:pPr>
        <w:rPr>
          <w:b/>
          <w:bCs/>
        </w:rPr>
      </w:pPr>
      <w:r w:rsidRPr="00CA2689">
        <w:rPr>
          <w:b/>
          <w:bCs/>
        </w:rPr>
        <w:t>10. Practical and Policy Implications</w:t>
      </w:r>
    </w:p>
    <w:p w14:paraId="57E73FC1" w14:textId="77777777" w:rsidR="00CA2689" w:rsidRPr="00CA2689" w:rsidRDefault="00CA2689" w:rsidP="00CA2689">
      <w:pPr>
        <w:rPr>
          <w:b/>
          <w:bCs/>
        </w:rPr>
      </w:pPr>
      <w:r w:rsidRPr="00CA2689">
        <w:rPr>
          <w:b/>
          <w:bCs/>
        </w:rPr>
        <w:t>Organizational Implications</w:t>
      </w:r>
    </w:p>
    <w:p w14:paraId="5D85B6E3" w14:textId="77777777" w:rsidR="00CA2689" w:rsidRPr="00CA2689" w:rsidRDefault="00CA2689" w:rsidP="00CA2689">
      <w:r w:rsidRPr="00CA2689">
        <w:t>Organizations deploying AI systems must translate Responsible AI principles into concrete practices, governance structures, and cultural norms (Li et al., 2021). Key organizational implications include:</w:t>
      </w:r>
    </w:p>
    <w:p w14:paraId="6DC61241" w14:textId="77777777" w:rsidR="00CA2689" w:rsidRPr="00CA2689" w:rsidRDefault="00CA2689" w:rsidP="00CA2689">
      <w:r w:rsidRPr="00CA2689">
        <w:rPr>
          <w:b/>
          <w:bCs/>
        </w:rPr>
        <w:t>AI Governance Boards</w:t>
      </w:r>
      <w:r w:rsidRPr="00CA2689">
        <w:t>: Establish cross-functional governance bodies with authority to review high-risk AI projects, resolve ethical dilemmas, and ensure alignment with organizational values (Pathan et al., 2025). Effective boards include diverse expertise spanning technical, legal, ethical, and domain knowledge, have clear decision-making authority, and are integrated into product development processes rather than serving as post-hoc reviewers.</w:t>
      </w:r>
    </w:p>
    <w:p w14:paraId="62B7481D" w14:textId="77777777" w:rsidR="00CA2689" w:rsidRPr="00CA2689" w:rsidRDefault="00CA2689" w:rsidP="00CA2689">
      <w:r w:rsidRPr="00CA2689">
        <w:rPr>
          <w:b/>
          <w:bCs/>
        </w:rPr>
        <w:t>XAI Adoption</w:t>
      </w:r>
      <w:r w:rsidRPr="00CA2689">
        <w:t>: Prioritize explainability in high-stakes applications including hiring, lending, healthcare, and criminal justice (Kabir et al., 2025). Implement XAI techniques such as SHAP, LIME, or counterfactual explanations to provide transparency into AI decisions. Train employees to interpret and communicate explanations to affected stakeholders. Balance explainability with performance based on risk level and regulatory requirements.</w:t>
      </w:r>
    </w:p>
    <w:p w14:paraId="2C566E28" w14:textId="77777777" w:rsidR="00CA2689" w:rsidRPr="00CA2689" w:rsidRDefault="00CA2689" w:rsidP="00CA2689">
      <w:r w:rsidRPr="00CA2689">
        <w:rPr>
          <w:b/>
          <w:bCs/>
        </w:rPr>
        <w:t>Workforce Reskilling</w:t>
      </w:r>
      <w:r w:rsidRPr="00CA2689">
        <w:t>: Invest in training programs that prepare employees for AI-augmented work, emphasizing skills that complement AI capabilities such as creativity, emotional intelligence, ethical reasoning, and complex problem-solving (</w:t>
      </w:r>
      <w:proofErr w:type="spellStart"/>
      <w:r w:rsidRPr="00CA2689">
        <w:t>Naqbi</w:t>
      </w:r>
      <w:proofErr w:type="spellEnd"/>
      <w:r w:rsidRPr="00CA2689">
        <w:t xml:space="preserve"> et al., 2024). Address workforce displacement through retraining, job redesign, and social safety nets. Foster a culture of lifelong learning and adaptability.</w:t>
      </w:r>
    </w:p>
    <w:p w14:paraId="0ACCC469" w14:textId="77777777" w:rsidR="00CA2689" w:rsidRPr="00CA2689" w:rsidRDefault="00CA2689" w:rsidP="00CA2689">
      <w:r w:rsidRPr="00CA2689">
        <w:rPr>
          <w:b/>
          <w:bCs/>
        </w:rPr>
        <w:t>Integrated Ecosystems</w:t>
      </w:r>
      <w:r w:rsidRPr="00CA2689">
        <w:t>: Move beyond isolated AI applications toward integrated ecosystems that combine multiple AI paradigms (Joshi et al., 2025). For example, customer service systems might integrate Generative AI for response generation, Emotional AI for sentiment analysis, and Agentic AI for multi-step problem resolution. Integration requires architectural planning, data governance, and change management.</w:t>
      </w:r>
    </w:p>
    <w:p w14:paraId="6C979562" w14:textId="77777777" w:rsidR="00CA2689" w:rsidRPr="00CA2689" w:rsidRDefault="00CA2689" w:rsidP="00CA2689">
      <w:r w:rsidRPr="00CA2689">
        <w:rPr>
          <w:b/>
          <w:bCs/>
        </w:rPr>
        <w:t>Continuous Monitoring</w:t>
      </w:r>
      <w:r w:rsidRPr="00CA2689">
        <w:t xml:space="preserve">: Implement ongoing monitoring for AI system performance, fairness, and safety rather than relying on one-time validation (Li et al., 2021). Monitor </w:t>
      </w:r>
      <w:r w:rsidRPr="00CA2689">
        <w:lastRenderedPageBreak/>
        <w:t>for data drift, concept drift, and emergent biases that may arise as systems interact with changing environments. Establish incident response protocols for AI failures and mechanisms for continuous improvement.</w:t>
      </w:r>
    </w:p>
    <w:p w14:paraId="0E4AB502" w14:textId="77777777" w:rsidR="00CA2689" w:rsidRPr="00CA2689" w:rsidRDefault="00CA2689" w:rsidP="00CA2689">
      <w:pPr>
        <w:rPr>
          <w:b/>
          <w:bCs/>
        </w:rPr>
      </w:pPr>
      <w:r w:rsidRPr="00CA2689">
        <w:rPr>
          <w:b/>
          <w:bCs/>
        </w:rPr>
        <w:t>Policy Implications</w:t>
      </w:r>
    </w:p>
    <w:p w14:paraId="630ED07C" w14:textId="77777777" w:rsidR="00CA2689" w:rsidRPr="00CA2689" w:rsidRDefault="00CA2689" w:rsidP="00CA2689">
      <w:r w:rsidRPr="00CA2689">
        <w:t>Policymakers face the challenge of regulating rapidly evolving AI technologies while fostering innovation, protecting rights, and addressing societal impacts (Pathan et al., 2025). Key policy implications include:</w:t>
      </w:r>
    </w:p>
    <w:p w14:paraId="4A611F2E" w14:textId="77777777" w:rsidR="00CA2689" w:rsidRPr="00CA2689" w:rsidRDefault="00CA2689" w:rsidP="00CA2689">
      <w:r w:rsidRPr="00CA2689">
        <w:rPr>
          <w:b/>
          <w:bCs/>
        </w:rPr>
        <w:t>Risk-Based Regulation</w:t>
      </w:r>
      <w:r w:rsidRPr="00CA2689">
        <w:t>: Adopt risk-based regulatory frameworks that impose requirements proportional to potential harms, as exemplified by the EU AI Act (Pathan et al., 2025). Prohibit unacceptable applications such as social scoring and mass surveillance. Require strict safeguards for high-risk applications in healthcare, finance, employment, and law enforcement. Allow lighter-touch regulation for low-risk applications. Regularly update risk classifications as technologies and applications evolve.</w:t>
      </w:r>
    </w:p>
    <w:p w14:paraId="0AF60467" w14:textId="77777777" w:rsidR="00CA2689" w:rsidRPr="00CA2689" w:rsidRDefault="00CA2689" w:rsidP="00CA2689">
      <w:r w:rsidRPr="00CA2689">
        <w:rPr>
          <w:b/>
          <w:bCs/>
        </w:rPr>
        <w:t>EU AI Act Implementation</w:t>
      </w:r>
      <w:r w:rsidRPr="00CA2689">
        <w:t>: Support effective implementation of the EU AI Act through capacity building for regulators, development of technical standards and conformity assessment procedures, and international cooperation on enforcement (Pathan et al., 2025). Address challenges including defining high-risk categories, ensuring proportionality of requirements, and preventing regulatory arbitrage. Monitor implementation outcomes and adjust regulations based on evidence.</w:t>
      </w:r>
    </w:p>
    <w:p w14:paraId="1B138AFC" w14:textId="77777777" w:rsidR="00CA2689" w:rsidRPr="00CA2689" w:rsidRDefault="00CA2689" w:rsidP="00CA2689">
      <w:r w:rsidRPr="00CA2689">
        <w:rPr>
          <w:b/>
          <w:bCs/>
        </w:rPr>
        <w:t>International Cooperation</w:t>
      </w:r>
      <w:r w:rsidRPr="00CA2689">
        <w:t>: Establish international mechanisms for AI governance including information sharing about risks, coordination of regulatory approaches, and joint responses to global threats such as Dark AI (Jiang et al., 2025). Explore proposals for an international AI governance body analogous to the IAEA. Address tensions between national sovereignty and global coordination. Ensure developing countries participate meaningfully in governance discussions.</w:t>
      </w:r>
    </w:p>
    <w:p w14:paraId="57C7956D" w14:textId="77777777" w:rsidR="00CA2689" w:rsidRPr="00CA2689" w:rsidRDefault="00CA2689" w:rsidP="00CA2689">
      <w:r w:rsidRPr="00CA2689">
        <w:rPr>
          <w:b/>
          <w:bCs/>
        </w:rPr>
        <w:t>AI Literacy</w:t>
      </w:r>
      <w:r w:rsidRPr="00CA2689">
        <w:t>: Invest in public AI literacy programs that enable citizens to understand AI capabilities, limitations, and societal impacts (</w:t>
      </w:r>
      <w:proofErr w:type="spellStart"/>
      <w:r w:rsidRPr="00CA2689">
        <w:t>Benlalia</w:t>
      </w:r>
      <w:proofErr w:type="spellEnd"/>
      <w:r w:rsidRPr="00CA2689">
        <w:t xml:space="preserve"> et al., 2025). Integrate AI education into school curricula, provide accessible resources for adults, and support community-based learning initiatives. Empower individuals to make informed decisions about AI use and advocate for responsible AI policies.</w:t>
      </w:r>
    </w:p>
    <w:p w14:paraId="1EBC5310" w14:textId="77777777" w:rsidR="00CA2689" w:rsidRPr="00CA2689" w:rsidRDefault="00CA2689" w:rsidP="00CA2689">
      <w:r w:rsidRPr="00CA2689">
        <w:rPr>
          <w:b/>
          <w:bCs/>
        </w:rPr>
        <w:t>Research Funding</w:t>
      </w:r>
      <w:r w:rsidRPr="00CA2689">
        <w:t>: Increase public funding for AI safety research, fairness and bias mitigation, explainability, and socio-technical studies of AI impacts (Li et al., 2021). Balance funding between capability development and safety research. Support interdisciplinary research that integrates technical, ethical, legal, and social perspectives. Fund long-term research on AGI safety and existential risk.</w:t>
      </w:r>
    </w:p>
    <w:p w14:paraId="39CB45D5" w14:textId="77777777" w:rsidR="00CA2689" w:rsidRPr="00CA2689" w:rsidRDefault="00CA2689" w:rsidP="00CA2689">
      <w:pPr>
        <w:rPr>
          <w:b/>
          <w:bCs/>
        </w:rPr>
      </w:pPr>
      <w:r w:rsidRPr="00CA2689">
        <w:rPr>
          <w:b/>
          <w:bCs/>
        </w:rPr>
        <w:t>Industry-Specific Recommendations</w:t>
      </w:r>
    </w:p>
    <w:p w14:paraId="4642DEFC" w14:textId="77777777" w:rsidR="00CA2689" w:rsidRPr="00CA2689" w:rsidRDefault="00CA2689" w:rsidP="00CA2689">
      <w:r w:rsidRPr="00CA2689">
        <w:lastRenderedPageBreak/>
        <w:t>Different industries face distinct AI opportunities and challenges requiring tailored approaches:</w:t>
      </w:r>
    </w:p>
    <w:p w14:paraId="0E7144E3" w14:textId="77777777" w:rsidR="00CA2689" w:rsidRPr="00CA2689" w:rsidRDefault="00CA2689" w:rsidP="00CA2689">
      <w:r w:rsidRPr="00CA2689">
        <w:rPr>
          <w:b/>
          <w:bCs/>
        </w:rPr>
        <w:t>Healthcare</w:t>
      </w:r>
      <w:r w:rsidRPr="00CA2689">
        <w:t>: Prioritize explainability and validation for AI diagnostic and treatment recommendation systems (Mersha et al., 2024). Require clinical trials and regulatory approval for AI medical devices. Address liability and malpractice issues when AI systems contribute to medical decisions. Protect patient privacy through federated learning and differential privacy. Ensure equitable access to AI healthcare technologies across socioeconomic groups.</w:t>
      </w:r>
    </w:p>
    <w:p w14:paraId="2A6C7C0D" w14:textId="77777777" w:rsidR="00CA2689" w:rsidRPr="00CA2689" w:rsidRDefault="00CA2689" w:rsidP="00CA2689">
      <w:r w:rsidRPr="00CA2689">
        <w:rPr>
          <w:b/>
          <w:bCs/>
        </w:rPr>
        <w:t>Finance</w:t>
      </w:r>
      <w:r w:rsidRPr="00CA2689">
        <w:t xml:space="preserve">: Implement XAI for credit scoring, fraud detection, and algorithmic trading to comply with fair lending laws and financial regulations (Muia et al., 2025). Monitor for discriminatory outcomes and implement fairness constraints. Provide applicants with explanations for adverse decisions and mechanisms for recourse. Address systemic risks from AI-driven market dynamics including flash crashes and herding </w:t>
      </w:r>
      <w:proofErr w:type="spellStart"/>
      <w:r w:rsidRPr="00CA2689">
        <w:t>behavior</w:t>
      </w:r>
      <w:proofErr w:type="spellEnd"/>
      <w:r w:rsidRPr="00CA2689">
        <w:t>.</w:t>
      </w:r>
    </w:p>
    <w:p w14:paraId="1EDFD26B" w14:textId="77777777" w:rsidR="00CA2689" w:rsidRPr="00CA2689" w:rsidRDefault="00CA2689" w:rsidP="00CA2689">
      <w:r w:rsidRPr="00CA2689">
        <w:rPr>
          <w:b/>
          <w:bCs/>
        </w:rPr>
        <w:t>Education</w:t>
      </w:r>
      <w:r w:rsidRPr="00CA2689">
        <w:t>: Deploy Emotional AI and adaptive learning systems to personalize education while protecting student privacy and avoiding surveillance (</w:t>
      </w:r>
      <w:proofErr w:type="spellStart"/>
      <w:r w:rsidRPr="00CA2689">
        <w:t>Benlalia</w:t>
      </w:r>
      <w:proofErr w:type="spellEnd"/>
      <w:r w:rsidRPr="00CA2689">
        <w:t xml:space="preserve"> et al., 2025). Ensure AI complements rather than replaces human teachers. Address digital divides that may exclude disadvantaged students from AI-enhanced education. Evaluate long-term impacts on learning outcomes, social-emotional development, and educational equity.</w:t>
      </w:r>
    </w:p>
    <w:p w14:paraId="0B982898" w14:textId="77777777" w:rsidR="00CA2689" w:rsidRPr="00CA2689" w:rsidRDefault="00CA2689" w:rsidP="00CA2689">
      <w:r w:rsidRPr="00CA2689">
        <w:rPr>
          <w:b/>
          <w:bCs/>
        </w:rPr>
        <w:t>Cybersecurity</w:t>
      </w:r>
      <w:r w:rsidRPr="00CA2689">
        <w:t xml:space="preserve">: Develop AI-based </w:t>
      </w:r>
      <w:proofErr w:type="spellStart"/>
      <w:r w:rsidRPr="00CA2689">
        <w:t>defenses</w:t>
      </w:r>
      <w:proofErr w:type="spellEnd"/>
      <w:r w:rsidRPr="00CA2689">
        <w:t xml:space="preserve"> against Dark AI threats including deepfakes, adversarial attacks, and autonomous malware (Jiang et al., 2025). Invest in adversarial robustness research and deployment. Establish information sharing mechanisms for emerging threats. Balance security with privacy and civil liberties. Prepare for AI-enabled cyber warfare and develop international norms for responsible state </w:t>
      </w:r>
      <w:proofErr w:type="spellStart"/>
      <w:r w:rsidRPr="00CA2689">
        <w:t>behavior</w:t>
      </w:r>
      <w:proofErr w:type="spellEnd"/>
      <w:r w:rsidRPr="00CA2689">
        <w:t>.</w:t>
      </w:r>
    </w:p>
    <w:p w14:paraId="6759FAE6" w14:textId="77777777" w:rsidR="00CA2689" w:rsidRPr="00CA2689" w:rsidRDefault="00CA2689" w:rsidP="00CA2689">
      <w:r w:rsidRPr="00CA2689">
        <w:rPr>
          <w:b/>
          <w:bCs/>
        </w:rPr>
        <w:t>Manufacturing and Logistics</w:t>
      </w:r>
      <w:r w:rsidRPr="00CA2689">
        <w:t>: Integrate Agentic AI and robotics for autonomous operations while ensuring worker safety, job quality, and workforce transition support (Bandi et al., 2025). Implement human-robot collaboration models that leverage complementary strengths. Address liability for accidents involving autonomous systems. Invest in workforce retraining for AI-augmented manufacturing roles.</w:t>
      </w:r>
    </w:p>
    <w:p w14:paraId="01FB45CA" w14:textId="77777777" w:rsidR="00CA2689" w:rsidRPr="00CA2689" w:rsidRDefault="00BC4689" w:rsidP="00CA2689">
      <w:r>
        <w:pict w14:anchorId="5F33932D">
          <v:rect id="_x0000_i1027" style="width:0;height:0" o:hralign="center" o:hrstd="t" o:hr="t" fillcolor="#a0a0a0" stroked="f"/>
        </w:pict>
      </w:r>
    </w:p>
    <w:p w14:paraId="1FB11001" w14:textId="77777777" w:rsidR="00CA2689" w:rsidRPr="00CA2689" w:rsidRDefault="00CA2689" w:rsidP="00CA2689">
      <w:pPr>
        <w:rPr>
          <w:b/>
          <w:bCs/>
        </w:rPr>
      </w:pPr>
      <w:r w:rsidRPr="00CA2689">
        <w:rPr>
          <w:b/>
          <w:bCs/>
        </w:rPr>
        <w:t>11. Conclusion</w:t>
      </w:r>
    </w:p>
    <w:p w14:paraId="66BFC3FD" w14:textId="77777777" w:rsidR="00CA2689" w:rsidRPr="00CA2689" w:rsidRDefault="00CA2689" w:rsidP="00CA2689">
      <w:r w:rsidRPr="00CA2689">
        <w:t xml:space="preserve">This systematic literature review has mapped the evolution of artificial intelligence from narrow, task-specific automation to a diverse ecosystem of interconnected paradigms that collectively approach human-like intelligence. Our analysis of 141 peer-reviewed studies published between 2018 and 2026 reveals that while Generative AI has achieved remarkable breakthroughs in content creation and reasoning, the future of AI lies in the convergence of multiple paradigms: Generative AI's creative capabilities, </w:t>
      </w:r>
      <w:r w:rsidRPr="00CA2689">
        <w:lastRenderedPageBreak/>
        <w:t>Emotional AI's affective understanding, Social AI's interpersonal intelligence, Agentic AI's autonomous goal pursuit, Multimodal AI's holistic perception, and Cognitive AI's causal reasoning. This convergence, grounded in Trustworthy AI principles of fairness, transparency, accountability, privacy, and security, defines the pathway toward Artificial General Intelligence and beyond.</w:t>
      </w:r>
    </w:p>
    <w:p w14:paraId="65CEB8A5" w14:textId="77777777" w:rsidR="00CA2689" w:rsidRPr="00CA2689" w:rsidRDefault="00CA2689" w:rsidP="00CA2689">
      <w:r w:rsidRPr="00CA2689">
        <w:t>Our bibliometric analysis identified a decisive shift from purely technical AI research to socio-technical integration, with five dominant thematic clusters emerging: Intelligence and Learning, Generative Ecosystems, Human-Centric AI, Governance and Trust, and Autonomous Systems. This shift reflects growing recognition that AI's societal impact depends not only on technical capabilities but also on alignment with human values, institutional contexts, and regulatory frameworks. The geographic concentration of AI research in North America, Europe, and East Asia, with limited representation from the Global South, highlights persistent inequalities in research capacity and participation in global governance discussions.</w:t>
      </w:r>
    </w:p>
    <w:p w14:paraId="468E75D2" w14:textId="77777777" w:rsidR="00CA2689" w:rsidRPr="00CA2689" w:rsidRDefault="00CA2689" w:rsidP="00CA2689">
      <w:r w:rsidRPr="00CA2689">
        <w:t>The Black Box problem remains a fundamental barrier to trust in high-stakes domains, despite advances in Explainable AI techniques including SHAP, LIME, attention visualization, and counterfactual explanations. These methods provide partial transparency but face inherent trade-offs between model performance and interpretability, and struggle with the unique challenges of Generative AI including hallucinations, prompt sensitivity, and attribution. The explainability-performance trade-off is not absolute, and research on intrinsically interpretable models offers promising directions, but the appropriate balance depends on application context, risk level, and stakeholder needs.</w:t>
      </w:r>
    </w:p>
    <w:p w14:paraId="624AD7FF" w14:textId="77777777" w:rsidR="00CA2689" w:rsidRPr="00CA2689" w:rsidRDefault="00CA2689" w:rsidP="00CA2689">
      <w:r w:rsidRPr="00CA2689">
        <w:t>Dark AI threats—encompassing deepfakes, AI-powered cyberattacks, misinformation, autonomous weapons, and surveillance—pose unprecedented risks to individual privacy, democratic institutions, and global security. Technical countermeasures including AI-based detection, adversarial robustness, and cryptographic authentication must be complemented by governance frameworks and international regulation. The European Union's AI Act represents a landmark regulatory achievement, but global AI governance remains fragmented, creating compliance challenges and risks of regulatory arbitrage.</w:t>
      </w:r>
    </w:p>
    <w:p w14:paraId="6C4D4240" w14:textId="77777777" w:rsidR="00CA2689" w:rsidRPr="00CA2689" w:rsidRDefault="00CA2689" w:rsidP="00CA2689">
      <w:r w:rsidRPr="00CA2689">
        <w:t>Responsible AI and Human-Centric AI frameworks provide foundational principles for ethical AI development, but implementation gaps persist. Organizations struggle to translate abstract principles into concrete practices, and voluntary self-regulation has proven insufficient to prevent harms. Effective implementation requires governance structures, impact assessments, stakeholder engagement, and cultural change, supported by regulatory enforcement and market incentives.</w:t>
      </w:r>
    </w:p>
    <w:p w14:paraId="6AF391AD" w14:textId="77777777" w:rsidR="00CA2689" w:rsidRPr="00CA2689" w:rsidRDefault="00CA2689" w:rsidP="00CA2689">
      <w:r w:rsidRPr="00CA2689">
        <w:lastRenderedPageBreak/>
        <w:t>The Integrated AI Ecosystem Framework proposed in this review conceptualizes AI's future as a six-layered architecture: Intelligence, Creation, Human Interaction, Autonomous, Governance, and Security layers, with Trustworthy AI as the integrating principle. This framework describes an evolutionary pathway from current Generative AI capabilities through Emotional AI and Agentic AI toward Cognitive AI and ultimately AGI. The timeline for achieving AGI remains uncertain, with fundamental questions about feasibility, safety, and desirability unresolved, but the pursuit of more general intelligence drives research toward more capable, flexible, and human-like artificial intelligence.</w:t>
      </w:r>
    </w:p>
    <w:p w14:paraId="1D288094" w14:textId="77777777" w:rsidR="00CA2689" w:rsidRPr="00CA2689" w:rsidRDefault="00CA2689" w:rsidP="00CA2689">
      <w:r w:rsidRPr="00CA2689">
        <w:t>Our ten research propositions address critical gaps in multimodal integration, emotional intelligence validation, agentic system safety, XAI standardization, global AI governance, fairness-accuracy trade-offs, human-AI collaboration, quantum AI, multi-agent coordination, and AGI safety. These propositions provide a roadmap for future research that balances technical innovation with ethical responsibility, recognizing that the path to advanced AI depends not only on capability development but on ensuring systems remain aligned with human values and serve societal wellbeing.</w:t>
      </w:r>
    </w:p>
    <w:p w14:paraId="35D96271" w14:textId="77777777" w:rsidR="00CA2689" w:rsidRPr="00CA2689" w:rsidRDefault="00CA2689" w:rsidP="00CA2689">
      <w:pPr>
        <w:rPr>
          <w:b/>
          <w:bCs/>
        </w:rPr>
      </w:pPr>
      <w:r w:rsidRPr="00CA2689">
        <w:rPr>
          <w:b/>
          <w:bCs/>
        </w:rPr>
        <w:t>Limitations</w:t>
      </w:r>
    </w:p>
    <w:p w14:paraId="6FA25720" w14:textId="77777777" w:rsidR="00CA2689" w:rsidRPr="00CA2689" w:rsidRDefault="00CA2689" w:rsidP="00CA2689">
      <w:r w:rsidRPr="00CA2689">
        <w:t>This review has several limitations that should be acknowledged. First, the rapid pace of AI development means that findings may become outdated quickly, particularly regarding technical capabilities and regulatory frameworks. Second, the focus on peer-reviewed literature may underrepresent cutting-edge industry research published in technical reports or preprints. Third, the predominance of English-language publications may introduce linguistic and cultural bias, underrepresenting research from non-English-speaking regions. Fourth, the complexity and diversity of AI paradigms necessitated selective depth of coverage, with some topics receiving more attention than others based on literature availability and relevance to research questions. Fifth, the interdisciplinary nature of AI research spans computer science, ethics, law, social science, and domain-specific fields, making comprehensive coverage challenging within a single review.</w:t>
      </w:r>
    </w:p>
    <w:p w14:paraId="41F54ACE" w14:textId="77777777" w:rsidR="00CA2689" w:rsidRPr="00CA2689" w:rsidRDefault="00CA2689" w:rsidP="00CA2689">
      <w:pPr>
        <w:rPr>
          <w:b/>
          <w:bCs/>
        </w:rPr>
      </w:pPr>
      <w:r w:rsidRPr="00CA2689">
        <w:rPr>
          <w:b/>
          <w:bCs/>
        </w:rPr>
        <w:t>Forward-Looking Statement</w:t>
      </w:r>
    </w:p>
    <w:p w14:paraId="7A439521" w14:textId="77777777" w:rsidR="00CA2689" w:rsidRPr="00CA2689" w:rsidRDefault="00CA2689" w:rsidP="00CA2689">
      <w:r w:rsidRPr="00CA2689">
        <w:t xml:space="preserve">The transition from isolated AI capabilities to integrated, trustworthy AI ecosystems </w:t>
      </w:r>
      <w:proofErr w:type="gramStart"/>
      <w:r w:rsidRPr="00CA2689">
        <w:t>represents</w:t>
      </w:r>
      <w:proofErr w:type="gramEnd"/>
      <w:r w:rsidRPr="00CA2689">
        <w:t xml:space="preserve"> one of the defining challenges and opportunities of the 21st century. Success requires not only technical breakthroughs in architecture, algorithms, and evaluation but also institutional innovations in governance, regulation, and organizational practice. It demands interdisciplinary collaboration among computer scientists, ethicists, policymakers, social scientists, and domain experts, as well as meaningful participation from diverse stakeholders including marginalized communities whose voices have been underrepresented in AI development.</w:t>
      </w:r>
    </w:p>
    <w:p w14:paraId="0DBCFA18" w14:textId="77777777" w:rsidR="00CA2689" w:rsidRPr="00CA2689" w:rsidRDefault="00CA2689" w:rsidP="00CA2689">
      <w:r w:rsidRPr="00CA2689">
        <w:lastRenderedPageBreak/>
        <w:t>The vision of trustworthy AI ecosystems—where powerful AI capabilities are balanced with robust safeguards for fairness, transparency, accountability, and human rights—is achievable but not inevitable. It requires deliberate choices by researchers, developers, organizations, and policymakers to prioritize responsible innovation over unconstrained capability development, to invest in safety and ethics alongside performance, and to ensure that AI serves humanity rather than narrow commercial or geopolitical interests. The stakes are profound: AI systems will increasingly shape access to opportunities, distribution of resources, exercise of power, and quality of life for billions of people. Whether these systems amplify existing inequalities or promote greater equity, erode privacy or protect rights, concentrate power or distribute agency, depends on the choices we make today.</w:t>
      </w:r>
    </w:p>
    <w:p w14:paraId="25D31BCC" w14:textId="77777777" w:rsidR="00CA2689" w:rsidRPr="00CA2689" w:rsidRDefault="00CA2689" w:rsidP="00CA2689">
      <w:r w:rsidRPr="00CA2689">
        <w:t>This review has sought to provide a comprehensive map of the AI landscape, identifying both the remarkable progress achieved and the critical challenges that remain. As AI capabilities continue to advance toward more general intelligence, the imperative for responsible development, transparent governance, and human-centric design becomes ever more urgent. The future of AI is not predetermined by technological trajectories but shaped by human values, institutional choices, and collective action. By grounding AI development in principles of trustworthiness, fairness, and human wellbeing, we can realize the transformative potential of artificial intelligence while safeguarding against its risks, creating AI ecosystems that genuinely serve humanity's flourishing.</w:t>
      </w:r>
    </w:p>
    <w:p w14:paraId="2EDE39FA" w14:textId="77777777" w:rsidR="00CA2689" w:rsidRPr="00CA2689" w:rsidRDefault="00BC4689" w:rsidP="00CA2689">
      <w:r>
        <w:pict w14:anchorId="58A21763">
          <v:rect id="_x0000_i1028" style="width:0;height:0" o:hralign="center" o:hrstd="t" o:hr="t" fillcolor="#a0a0a0" stroked="f"/>
        </w:pict>
      </w:r>
    </w:p>
    <w:p w14:paraId="1E62EFA2" w14:textId="77777777" w:rsidR="00CA2689" w:rsidRPr="00CA2689" w:rsidRDefault="00CA2689" w:rsidP="00CA2689">
      <w:pPr>
        <w:rPr>
          <w:b/>
          <w:bCs/>
        </w:rPr>
      </w:pPr>
      <w:r w:rsidRPr="00CA2689">
        <w:rPr>
          <w:b/>
          <w:bCs/>
        </w:rPr>
        <w:t>References</w:t>
      </w:r>
    </w:p>
    <w:p w14:paraId="548FDC16" w14:textId="77777777" w:rsidR="00CA2689" w:rsidRPr="00CA2689" w:rsidRDefault="00CA2689" w:rsidP="00CA2689">
      <w:r w:rsidRPr="00CA2689">
        <w:t>Bandi, A., Adapa, P. V. S., &amp; Kuchi, Y. E. V. P. K. (2025). The rise of agentic AI: A review of definitions, frameworks, architectures, applications, evaluation metrics, and challenges. </w:t>
      </w:r>
      <w:r w:rsidRPr="00CA2689">
        <w:rPr>
          <w:i/>
          <w:iCs/>
        </w:rPr>
        <w:t>Future Internet</w:t>
      </w:r>
      <w:r w:rsidRPr="00CA2689">
        <w:t>, </w:t>
      </w:r>
      <w:r w:rsidRPr="00CA2689">
        <w:rPr>
          <w:i/>
          <w:iCs/>
        </w:rPr>
        <w:t>17</w:t>
      </w:r>
      <w:r w:rsidRPr="00CA2689">
        <w:t>(9), 404. </w:t>
      </w:r>
      <w:hyperlink r:id="rId8" w:tgtFrame="_blank" w:history="1">
        <w:r w:rsidRPr="00CA2689">
          <w:rPr>
            <w:rStyle w:val="Hyperlink"/>
          </w:rPr>
          <w:t>https://doi.org/10.3390/fi17090404</w:t>
        </w:r>
      </w:hyperlink>
    </w:p>
    <w:p w14:paraId="2DFB27B6" w14:textId="77777777" w:rsidR="00CA2689" w:rsidRPr="00CA2689" w:rsidRDefault="00CA2689" w:rsidP="00CA2689">
      <w:proofErr w:type="spellStart"/>
      <w:r w:rsidRPr="00CA2689">
        <w:t>Benlalia</w:t>
      </w:r>
      <w:proofErr w:type="spellEnd"/>
      <w:r w:rsidRPr="00CA2689">
        <w:t xml:space="preserve">, S., </w:t>
      </w:r>
      <w:proofErr w:type="spellStart"/>
      <w:r w:rsidRPr="00CA2689">
        <w:t>Akhloufi</w:t>
      </w:r>
      <w:proofErr w:type="spellEnd"/>
      <w:r w:rsidRPr="00CA2689">
        <w:t>, M., &amp; Larabi, M. C. (2025). Reimagining intelligence: A comprehensive review of human-centric AI systems and their societal and healthcare integration. </w:t>
      </w:r>
      <w:r w:rsidRPr="00CA2689">
        <w:rPr>
          <w:i/>
          <w:iCs/>
        </w:rPr>
        <w:t>Mesopotamian Journal of Artificial Intelligence in Healthcare</w:t>
      </w:r>
      <w:r w:rsidRPr="00CA2689">
        <w:t>, </w:t>
      </w:r>
      <w:r w:rsidRPr="00CA2689">
        <w:rPr>
          <w:i/>
          <w:iCs/>
        </w:rPr>
        <w:t>2025</w:t>
      </w:r>
      <w:r w:rsidRPr="00CA2689">
        <w:t>, 017. </w:t>
      </w:r>
      <w:hyperlink r:id="rId9" w:tgtFrame="_blank" w:history="1">
        <w:r w:rsidRPr="00CA2689">
          <w:rPr>
            <w:rStyle w:val="Hyperlink"/>
          </w:rPr>
          <w:t>https://doi.org/10.58496/mjaih/2025/017</w:t>
        </w:r>
      </w:hyperlink>
    </w:p>
    <w:p w14:paraId="172F444A" w14:textId="77777777" w:rsidR="00CA2689" w:rsidRPr="00CA2689" w:rsidRDefault="00CA2689" w:rsidP="00CA2689">
      <w:r w:rsidRPr="00CA2689">
        <w:t>Braun, V., &amp; Clarke, V. (2006). Using thematic analysis in psychology. </w:t>
      </w:r>
      <w:r w:rsidRPr="00CA2689">
        <w:rPr>
          <w:i/>
          <w:iCs/>
        </w:rPr>
        <w:t>Qualitative Research in Psychology</w:t>
      </w:r>
      <w:r w:rsidRPr="00CA2689">
        <w:t>, </w:t>
      </w:r>
      <w:r w:rsidRPr="00CA2689">
        <w:rPr>
          <w:i/>
          <w:iCs/>
        </w:rPr>
        <w:t>3</w:t>
      </w:r>
      <w:r w:rsidRPr="00CA2689">
        <w:t>(2), 77-101.</w:t>
      </w:r>
    </w:p>
    <w:p w14:paraId="0B5B9630" w14:textId="77777777" w:rsidR="00CA2689" w:rsidRPr="00CA2689" w:rsidRDefault="00CA2689" w:rsidP="00CA2689">
      <w:r w:rsidRPr="00CA2689">
        <w:t>Brown, T. B., Mann, B., Ryder, N., Subbiah, M., Kaplan, J., Dhariwal, P., ... &amp; Amodei, D. (2020). Language models are few-shot learners. </w:t>
      </w:r>
      <w:r w:rsidRPr="00CA2689">
        <w:rPr>
          <w:i/>
          <w:iCs/>
        </w:rPr>
        <w:t>Advances in Neural Information Processing Systems</w:t>
      </w:r>
      <w:r w:rsidRPr="00CA2689">
        <w:t>, </w:t>
      </w:r>
      <w:r w:rsidRPr="00CA2689">
        <w:rPr>
          <w:i/>
          <w:iCs/>
        </w:rPr>
        <w:t>33</w:t>
      </w:r>
      <w:r w:rsidRPr="00CA2689">
        <w:t>, 1877-1901.</w:t>
      </w:r>
    </w:p>
    <w:p w14:paraId="539D77F8" w14:textId="77777777" w:rsidR="00CA2689" w:rsidRPr="00CA2689" w:rsidRDefault="00CA2689" w:rsidP="00CA2689">
      <w:r w:rsidRPr="00CA2689">
        <w:t xml:space="preserve">Chowdhury, S., Dey, P., Joel-Edgar, S., Bhattacharya, S., Rodriguez-Espindola, O., Abadie, A., &amp; Truong, L. (2025). Generative AI: A survey of historical development, </w:t>
      </w:r>
      <w:r w:rsidRPr="00CA2689">
        <w:lastRenderedPageBreak/>
        <w:t xml:space="preserve">emerging trends, and </w:t>
      </w:r>
      <w:proofErr w:type="gramStart"/>
      <w:r w:rsidRPr="00CA2689">
        <w:t>future outlook</w:t>
      </w:r>
      <w:proofErr w:type="gramEnd"/>
      <w:r w:rsidRPr="00CA2689">
        <w:t>. </w:t>
      </w:r>
      <w:r w:rsidRPr="00CA2689">
        <w:rPr>
          <w:i/>
          <w:iCs/>
        </w:rPr>
        <w:t>Computer Science and Engineering Research</w:t>
      </w:r>
      <w:r w:rsidRPr="00CA2689">
        <w:t>, </w:t>
      </w:r>
      <w:r w:rsidRPr="00CA2689">
        <w:rPr>
          <w:i/>
          <w:iCs/>
        </w:rPr>
        <w:t>2</w:t>
      </w:r>
      <w:r w:rsidRPr="00CA2689">
        <w:t>(1), 0004. </w:t>
      </w:r>
      <w:hyperlink r:id="rId10" w:tgtFrame="_blank" w:history="1">
        <w:r w:rsidRPr="00CA2689">
          <w:rPr>
            <w:rStyle w:val="Hyperlink"/>
          </w:rPr>
          <w:t>https://doi.org/10.69517/cser.2025.02.01.0004</w:t>
        </w:r>
      </w:hyperlink>
    </w:p>
    <w:p w14:paraId="5B103856" w14:textId="77777777" w:rsidR="00CA2689" w:rsidRPr="00CA2689" w:rsidRDefault="00CA2689" w:rsidP="00CA2689">
      <w:r w:rsidRPr="00CA2689">
        <w:t>Ciubotaru, B. (2025). Generative AI and large language models: A comprehensive scientific review. </w:t>
      </w:r>
      <w:r w:rsidRPr="00CA2689">
        <w:rPr>
          <w:i/>
          <w:iCs/>
        </w:rPr>
        <w:t>Preprints</w:t>
      </w:r>
      <w:r w:rsidRPr="00CA2689">
        <w:t>. </w:t>
      </w:r>
      <w:hyperlink r:id="rId11" w:tgtFrame="_blank" w:history="1">
        <w:r w:rsidRPr="00CA2689">
          <w:rPr>
            <w:rStyle w:val="Hyperlink"/>
          </w:rPr>
          <w:t>https://doi.org/10.20944/preprints202504.0413.v1</w:t>
        </w:r>
      </w:hyperlink>
    </w:p>
    <w:p w14:paraId="184E33E1" w14:textId="77777777" w:rsidR="00CA2689" w:rsidRPr="00CA2689" w:rsidRDefault="00CA2689" w:rsidP="00CA2689">
      <w:r w:rsidRPr="00CA2689">
        <w:t>Jiang, Y., Chen, X., Wang, Z., Li, Y., Zhang, H., Liu, Y., ... &amp; Wang, L. (2025). Never compromise to vulnerabilities: A comprehensive survey on AI governance. </w:t>
      </w:r>
      <w:proofErr w:type="spellStart"/>
      <w:r w:rsidRPr="00CA2689">
        <w:rPr>
          <w:i/>
          <w:iCs/>
        </w:rPr>
        <w:t>arXiv</w:t>
      </w:r>
      <w:proofErr w:type="spellEnd"/>
      <w:r w:rsidRPr="00CA2689">
        <w:rPr>
          <w:i/>
          <w:iCs/>
        </w:rPr>
        <w:t xml:space="preserve"> preprint arXiv:2508.08789</w:t>
      </w:r>
      <w:r w:rsidRPr="00CA2689">
        <w:t>. </w:t>
      </w:r>
      <w:hyperlink r:id="rId12" w:tgtFrame="_blank" w:history="1">
        <w:r w:rsidRPr="00CA2689">
          <w:rPr>
            <w:rStyle w:val="Hyperlink"/>
          </w:rPr>
          <w:t>https://doi.org/10.48550/arxiv.2508.08789</w:t>
        </w:r>
      </w:hyperlink>
    </w:p>
    <w:p w14:paraId="0B290327" w14:textId="77777777" w:rsidR="00CA2689" w:rsidRPr="00CA2689" w:rsidRDefault="00CA2689" w:rsidP="00CA2689">
      <w:r w:rsidRPr="00CA2689">
        <w:t>Joshi, P., Kumar, A., &amp; Singh, R. (2025). Comprehensive review of artificial general intelligence, agentic AI and GenAI: Current trends and future directions. </w:t>
      </w:r>
      <w:r w:rsidRPr="00CA2689">
        <w:rPr>
          <w:i/>
          <w:iCs/>
        </w:rPr>
        <w:t>Figshare</w:t>
      </w:r>
      <w:r w:rsidRPr="00CA2689">
        <w:t>. </w:t>
      </w:r>
      <w:hyperlink r:id="rId13" w:tgtFrame="_blank" w:history="1">
        <w:r w:rsidRPr="00CA2689">
          <w:rPr>
            <w:rStyle w:val="Hyperlink"/>
          </w:rPr>
          <w:t>https://doi.org/10.6084/m9.figshare.30447149.v1</w:t>
        </w:r>
      </w:hyperlink>
    </w:p>
    <w:p w14:paraId="3F6A9C6D" w14:textId="77777777" w:rsidR="00CA2689" w:rsidRPr="00CA2689" w:rsidRDefault="00CA2689" w:rsidP="00CA2689">
      <w:r w:rsidRPr="00CA2689">
        <w:t xml:space="preserve">Kabir, H. M. D., Abdar, M., Khosravi, A., Jalali, S. M. J., Atiya, A. F., </w:t>
      </w:r>
      <w:proofErr w:type="spellStart"/>
      <w:r w:rsidRPr="00CA2689">
        <w:t>Nahavandi</w:t>
      </w:r>
      <w:proofErr w:type="spellEnd"/>
      <w:r w:rsidRPr="00CA2689">
        <w:t>, S., &amp; Srinivasan, D. (2025). A review of explainable artificial intelligence from the perspectives of challenges and opportunities. </w:t>
      </w:r>
      <w:r w:rsidRPr="00CA2689">
        <w:rPr>
          <w:i/>
          <w:iCs/>
        </w:rPr>
        <w:t>Algorithms</w:t>
      </w:r>
      <w:r w:rsidRPr="00CA2689">
        <w:t>, </w:t>
      </w:r>
      <w:r w:rsidRPr="00CA2689">
        <w:rPr>
          <w:i/>
          <w:iCs/>
        </w:rPr>
        <w:t>18</w:t>
      </w:r>
      <w:r w:rsidRPr="00CA2689">
        <w:t>(9), 556. </w:t>
      </w:r>
      <w:hyperlink r:id="rId14" w:tgtFrame="_blank" w:history="1">
        <w:r w:rsidRPr="00CA2689">
          <w:rPr>
            <w:rStyle w:val="Hyperlink"/>
          </w:rPr>
          <w:t>https://doi.org/10.3390/a18090556</w:t>
        </w:r>
      </w:hyperlink>
    </w:p>
    <w:p w14:paraId="77FFD058" w14:textId="77777777" w:rsidR="00CA2689" w:rsidRPr="00CA2689" w:rsidRDefault="00CA2689" w:rsidP="00CA2689">
      <w:r w:rsidRPr="00CA2689">
        <w:t xml:space="preserve">Khader, M., Al-Nabulsi, J., &amp; </w:t>
      </w:r>
      <w:proofErr w:type="spellStart"/>
      <w:r w:rsidRPr="00CA2689">
        <w:t>Abualkishik</w:t>
      </w:r>
      <w:proofErr w:type="spellEnd"/>
      <w:r w:rsidRPr="00CA2689">
        <w:t>, A. (2025). Generative artificial intelligence: A comprehensive systematic review of technological evolution, societal impacts, and ethical frontiers (2020-2025). </w:t>
      </w:r>
      <w:r w:rsidRPr="00CA2689">
        <w:rPr>
          <w:i/>
          <w:iCs/>
        </w:rPr>
        <w:t>International Journal of Innovative Science and Research Technology</w:t>
      </w:r>
      <w:r w:rsidRPr="00CA2689">
        <w:t>, </w:t>
      </w:r>
      <w:r w:rsidRPr="00CA2689">
        <w:rPr>
          <w:i/>
          <w:iCs/>
        </w:rPr>
        <w:t>25</w:t>
      </w:r>
      <w:r w:rsidRPr="00CA2689">
        <w:t>(Dec), 449. </w:t>
      </w:r>
      <w:hyperlink r:id="rId15" w:tgtFrame="_blank" w:history="1">
        <w:r w:rsidRPr="00CA2689">
          <w:rPr>
            <w:rStyle w:val="Hyperlink"/>
          </w:rPr>
          <w:t>https://doi.org/10.38124/ijisrt/25dec449</w:t>
        </w:r>
      </w:hyperlink>
    </w:p>
    <w:p w14:paraId="2BE8BC80" w14:textId="77777777" w:rsidR="00CA2689" w:rsidRPr="00CA2689" w:rsidRDefault="00CA2689" w:rsidP="00CA2689">
      <w:r w:rsidRPr="00CA2689">
        <w:t>Li, B., Qi, P., Liu, B., Di, S., Liu, J., Pei, J., Yi, J., &amp; Zhou, B. (2021). Trustworthy AI: From principles to practices. </w:t>
      </w:r>
      <w:proofErr w:type="spellStart"/>
      <w:r w:rsidRPr="00CA2689">
        <w:rPr>
          <w:i/>
          <w:iCs/>
        </w:rPr>
        <w:t>arXiv</w:t>
      </w:r>
      <w:proofErr w:type="spellEnd"/>
      <w:r w:rsidRPr="00CA2689">
        <w:rPr>
          <w:i/>
          <w:iCs/>
        </w:rPr>
        <w:t xml:space="preserve"> preprint arXiv:2110.01167</w:t>
      </w:r>
      <w:r w:rsidRPr="00CA2689">
        <w:t>.</w:t>
      </w:r>
    </w:p>
    <w:p w14:paraId="1A945025" w14:textId="77777777" w:rsidR="00CA2689" w:rsidRPr="00CA2689" w:rsidRDefault="00CA2689" w:rsidP="00CA2689">
      <w:r w:rsidRPr="00CA2689">
        <w:t>Li, B., Qi, P., Liu, B., Di, S., Liu, J., Pei, J., Yi, J., &amp; Zhou, B. (2023). Trustworthy AI: From principles to practices. </w:t>
      </w:r>
      <w:r w:rsidRPr="00CA2689">
        <w:rPr>
          <w:i/>
          <w:iCs/>
        </w:rPr>
        <w:t>ACM Computing Surveys</w:t>
      </w:r>
      <w:r w:rsidRPr="00CA2689">
        <w:t>, </w:t>
      </w:r>
      <w:r w:rsidRPr="00CA2689">
        <w:rPr>
          <w:i/>
          <w:iCs/>
        </w:rPr>
        <w:t>55</w:t>
      </w:r>
      <w:r w:rsidRPr="00CA2689">
        <w:t>(9), 1-46. </w:t>
      </w:r>
      <w:hyperlink r:id="rId16" w:tgtFrame="_blank" w:history="1">
        <w:r w:rsidRPr="00CA2689">
          <w:rPr>
            <w:rStyle w:val="Hyperlink"/>
          </w:rPr>
          <w:t>https://doi.org/10.1145/3555803</w:t>
        </w:r>
      </w:hyperlink>
    </w:p>
    <w:p w14:paraId="46D36685" w14:textId="77777777" w:rsidR="00CA2689" w:rsidRPr="00CA2689" w:rsidRDefault="00CA2689" w:rsidP="00CA2689">
      <w:r w:rsidRPr="00CA2689">
        <w:t>Lundberg, S. M., &amp; Lee, S. I. (2017). A unified approach to interpreting model predictions. </w:t>
      </w:r>
      <w:r w:rsidRPr="00CA2689">
        <w:rPr>
          <w:i/>
          <w:iCs/>
        </w:rPr>
        <w:t>Advances in Neural Information Processing Systems</w:t>
      </w:r>
      <w:r w:rsidRPr="00CA2689">
        <w:t>, </w:t>
      </w:r>
      <w:r w:rsidRPr="00CA2689">
        <w:rPr>
          <w:i/>
          <w:iCs/>
        </w:rPr>
        <w:t>30</w:t>
      </w:r>
      <w:r w:rsidRPr="00CA2689">
        <w:t>, 4765-4774.</w:t>
      </w:r>
    </w:p>
    <w:p w14:paraId="3710D64E" w14:textId="77777777" w:rsidR="00CA2689" w:rsidRPr="00CA2689" w:rsidRDefault="00CA2689" w:rsidP="00CA2689">
      <w:r w:rsidRPr="00CA2689">
        <w:t>Mersha, T. B., Abebe, M., &amp; Tesfaye, A. (2024). Explainable artificial intelligence: A survey of the need, techniques, applications, and future direction. </w:t>
      </w:r>
      <w:r w:rsidRPr="00CA2689">
        <w:rPr>
          <w:i/>
          <w:iCs/>
        </w:rPr>
        <w:t>SSRN Electronic Journal</w:t>
      </w:r>
      <w:r w:rsidRPr="00CA2689">
        <w:t>. </w:t>
      </w:r>
      <w:hyperlink r:id="rId17" w:tgtFrame="_blank" w:history="1">
        <w:r w:rsidRPr="00CA2689">
          <w:rPr>
            <w:rStyle w:val="Hyperlink"/>
          </w:rPr>
          <w:t>https://doi.org/10.2139/ssrn.4715286</w:t>
        </w:r>
      </w:hyperlink>
    </w:p>
    <w:p w14:paraId="1BFA4DF2" w14:textId="77777777" w:rsidR="00CA2689" w:rsidRPr="00CA2689" w:rsidRDefault="00CA2689" w:rsidP="00CA2689">
      <w:r w:rsidRPr="00CA2689">
        <w:t>Muia, D. M., Waweru, M. W., &amp; Okeyo, G. (2025). Explainable artificial intelligence: A comprehensive review of techniques, applications, and emerging trends. </w:t>
      </w:r>
      <w:r w:rsidRPr="00CA2689">
        <w:rPr>
          <w:i/>
          <w:iCs/>
        </w:rPr>
        <w:t>International Journal of Scientific Research in Computer Science and Engineering</w:t>
      </w:r>
      <w:r w:rsidRPr="00CA2689">
        <w:t>, </w:t>
      </w:r>
      <w:r w:rsidRPr="00CA2689">
        <w:rPr>
          <w:i/>
          <w:iCs/>
        </w:rPr>
        <w:t>13</w:t>
      </w:r>
      <w:r w:rsidRPr="00CA2689">
        <w:t>(4), 740. </w:t>
      </w:r>
      <w:hyperlink r:id="rId18" w:tgtFrame="_blank" w:history="1">
        <w:r w:rsidRPr="00CA2689">
          <w:rPr>
            <w:rStyle w:val="Hyperlink"/>
          </w:rPr>
          <w:t>https://doi.org/10.26438/ijsrcse.v13i4.740</w:t>
        </w:r>
      </w:hyperlink>
    </w:p>
    <w:p w14:paraId="6C8D0E0F" w14:textId="77777777" w:rsidR="00CA2689" w:rsidRPr="00CA2689" w:rsidRDefault="00CA2689" w:rsidP="00CA2689">
      <w:r w:rsidRPr="00CA2689">
        <w:t xml:space="preserve">Naqbi, A. A., Hussain, M., &amp; </w:t>
      </w:r>
      <w:proofErr w:type="spellStart"/>
      <w:r w:rsidRPr="00CA2689">
        <w:t>Nobanee</w:t>
      </w:r>
      <w:proofErr w:type="spellEnd"/>
      <w:r w:rsidRPr="00CA2689">
        <w:t>, H. (2024). Enhancing work productivity through generative artificial intelligence: A comprehensive literature review. </w:t>
      </w:r>
      <w:r w:rsidRPr="00CA2689">
        <w:rPr>
          <w:i/>
          <w:iCs/>
        </w:rPr>
        <w:t>Sustainability</w:t>
      </w:r>
      <w:r w:rsidRPr="00CA2689">
        <w:t>, </w:t>
      </w:r>
      <w:r w:rsidRPr="00CA2689">
        <w:rPr>
          <w:i/>
          <w:iCs/>
        </w:rPr>
        <w:t>16</w:t>
      </w:r>
      <w:r w:rsidRPr="00CA2689">
        <w:t>(3), 1166. </w:t>
      </w:r>
      <w:hyperlink r:id="rId19" w:tgtFrame="_blank" w:history="1">
        <w:r w:rsidRPr="00CA2689">
          <w:rPr>
            <w:rStyle w:val="Hyperlink"/>
          </w:rPr>
          <w:t>https://doi.org/10.3390/su16031166</w:t>
        </w:r>
      </w:hyperlink>
    </w:p>
    <w:p w14:paraId="7A614AC9" w14:textId="77777777" w:rsidR="00CA2689" w:rsidRPr="00CA2689" w:rsidRDefault="00CA2689" w:rsidP="00CA2689">
      <w:r w:rsidRPr="00CA2689">
        <w:lastRenderedPageBreak/>
        <w:t xml:space="preserve">Page, M. J., McKenzie, J. E., Bossuyt, P. M., </w:t>
      </w:r>
      <w:proofErr w:type="spellStart"/>
      <w:r w:rsidRPr="00CA2689">
        <w:t>Boutron</w:t>
      </w:r>
      <w:proofErr w:type="spellEnd"/>
      <w:r w:rsidRPr="00CA2689">
        <w:t>, I., Hoffmann, T. C., Mulrow, C. D., ... &amp; Moher, D. (2021). The PRISMA 2020 statement: An updated guideline for reporting systematic reviews. </w:t>
      </w:r>
      <w:r w:rsidRPr="00CA2689">
        <w:rPr>
          <w:i/>
          <w:iCs/>
        </w:rPr>
        <w:t>BMJ</w:t>
      </w:r>
      <w:r w:rsidRPr="00CA2689">
        <w:t>, </w:t>
      </w:r>
      <w:r w:rsidRPr="00CA2689">
        <w:rPr>
          <w:i/>
          <w:iCs/>
        </w:rPr>
        <w:t>372</w:t>
      </w:r>
      <w:r w:rsidRPr="00CA2689">
        <w:t>, n71.</w:t>
      </w:r>
    </w:p>
    <w:p w14:paraId="017EEC3F" w14:textId="77777777" w:rsidR="00CA2689" w:rsidRPr="00CA2689" w:rsidRDefault="00CA2689" w:rsidP="00CA2689">
      <w:r w:rsidRPr="00CA2689">
        <w:t>Pathan, M. S., Patel, D., &amp; Shah, M. (2025). Ethical considerations and responsible governance of generative AI: A systematic review. </w:t>
      </w:r>
      <w:r w:rsidRPr="00CA2689">
        <w:rPr>
          <w:i/>
          <w:iCs/>
        </w:rPr>
        <w:t>Perspectives on Journal of Artificial Intelligence</w:t>
      </w:r>
      <w:r w:rsidRPr="00CA2689">
        <w:t>, </w:t>
      </w:r>
      <w:r w:rsidRPr="00CA2689">
        <w:rPr>
          <w:i/>
          <w:iCs/>
        </w:rPr>
        <w:t>100016</w:t>
      </w:r>
      <w:r w:rsidRPr="00CA2689">
        <w:t>. </w:t>
      </w:r>
      <w:hyperlink r:id="rId20" w:tgtFrame="_blank" w:history="1">
        <w:r w:rsidRPr="00CA2689">
          <w:rPr>
            <w:rStyle w:val="Hyperlink"/>
          </w:rPr>
          <w:t>https://doi.org/10.70389/pjai.100016</w:t>
        </w:r>
      </w:hyperlink>
    </w:p>
    <w:p w14:paraId="7D39DDA9" w14:textId="77777777" w:rsidR="00CA2689" w:rsidRPr="00CA2689" w:rsidRDefault="00CA2689" w:rsidP="00CA2689">
      <w:r w:rsidRPr="00CA2689">
        <w:t>Picard, R. W. (1997). </w:t>
      </w:r>
      <w:r w:rsidRPr="00CA2689">
        <w:rPr>
          <w:i/>
          <w:iCs/>
        </w:rPr>
        <w:t>Affective computing</w:t>
      </w:r>
      <w:r w:rsidRPr="00CA2689">
        <w:t>. MIT Press.</w:t>
      </w:r>
    </w:p>
    <w:p w14:paraId="2FF9A61D" w14:textId="77777777" w:rsidR="00CA2689" w:rsidRPr="00CA2689" w:rsidRDefault="00CA2689" w:rsidP="00CA2689">
      <w:r w:rsidRPr="00CA2689">
        <w:t xml:space="preserve">Ribeiro, M. T., Singh, S., &amp; </w:t>
      </w:r>
      <w:proofErr w:type="spellStart"/>
      <w:r w:rsidRPr="00CA2689">
        <w:t>Guestrin</w:t>
      </w:r>
      <w:proofErr w:type="spellEnd"/>
      <w:r w:rsidRPr="00CA2689">
        <w:t>, C. (2016). "Why should I trust you?" Explaining the predictions of any classifier. </w:t>
      </w:r>
      <w:r w:rsidRPr="00CA2689">
        <w:rPr>
          <w:i/>
          <w:iCs/>
        </w:rPr>
        <w:t>Proceedings of the 22nd ACM SIGKDD International Conference on Knowledge Discovery and Data Mining</w:t>
      </w:r>
      <w:r w:rsidRPr="00CA2689">
        <w:t>, 1135-1144.</w:t>
      </w:r>
    </w:p>
    <w:p w14:paraId="1766865F" w14:textId="77777777" w:rsidR="00CA2689" w:rsidRPr="00CA2689" w:rsidRDefault="00CA2689" w:rsidP="00CA2689">
      <w:r w:rsidRPr="00CA2689">
        <w:t xml:space="preserve">Vaswani, A., </w:t>
      </w:r>
      <w:proofErr w:type="spellStart"/>
      <w:r w:rsidRPr="00CA2689">
        <w:t>Shazeer</w:t>
      </w:r>
      <w:proofErr w:type="spellEnd"/>
      <w:r w:rsidRPr="00CA2689">
        <w:t xml:space="preserve">, N., Parmar, N., </w:t>
      </w:r>
      <w:proofErr w:type="spellStart"/>
      <w:r w:rsidRPr="00CA2689">
        <w:t>Uszkoreit</w:t>
      </w:r>
      <w:proofErr w:type="spellEnd"/>
      <w:r w:rsidRPr="00CA2689">
        <w:t xml:space="preserve">, J., Jones, L., Gomez, A. N., Kaiser, Ł., &amp; </w:t>
      </w:r>
      <w:proofErr w:type="spellStart"/>
      <w:r w:rsidRPr="00CA2689">
        <w:t>Polosukhin</w:t>
      </w:r>
      <w:proofErr w:type="spellEnd"/>
      <w:r w:rsidRPr="00CA2689">
        <w:t>, I. (2017). Attention is all you need. </w:t>
      </w:r>
      <w:r w:rsidRPr="00CA2689">
        <w:rPr>
          <w:i/>
          <w:iCs/>
        </w:rPr>
        <w:t>Advances in Neural Information Processing Systems</w:t>
      </w:r>
      <w:r w:rsidRPr="00CA2689">
        <w:t>, </w:t>
      </w:r>
      <w:r w:rsidRPr="00CA2689">
        <w:rPr>
          <w:i/>
          <w:iCs/>
        </w:rPr>
        <w:t>30</w:t>
      </w:r>
      <w:r w:rsidRPr="00CA2689">
        <w:t>, 5998-6008.</w:t>
      </w:r>
    </w:p>
    <w:p w14:paraId="19D56AE0" w14:textId="77777777" w:rsidR="00B0321B" w:rsidRDefault="00B0321B"/>
    <w:sectPr w:rsidR="00B032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7578"/>
    <w:multiLevelType w:val="multilevel"/>
    <w:tmpl w:val="8E5E2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D16BFE"/>
    <w:multiLevelType w:val="multilevel"/>
    <w:tmpl w:val="82C89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997EDA"/>
    <w:multiLevelType w:val="multilevel"/>
    <w:tmpl w:val="9C561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3D4B42"/>
    <w:multiLevelType w:val="multilevel"/>
    <w:tmpl w:val="EF86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525EBB"/>
    <w:multiLevelType w:val="multilevel"/>
    <w:tmpl w:val="D2104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6110553">
    <w:abstractNumId w:val="1"/>
  </w:num>
  <w:num w:numId="2" w16cid:durableId="689720464">
    <w:abstractNumId w:val="4"/>
  </w:num>
  <w:num w:numId="3" w16cid:durableId="148442679">
    <w:abstractNumId w:val="3"/>
  </w:num>
  <w:num w:numId="4" w16cid:durableId="731318403">
    <w:abstractNumId w:val="0"/>
  </w:num>
  <w:num w:numId="5" w16cid:durableId="1105346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6DD"/>
    <w:rsid w:val="001B7170"/>
    <w:rsid w:val="002600DF"/>
    <w:rsid w:val="002B7DB8"/>
    <w:rsid w:val="0037218B"/>
    <w:rsid w:val="003B20C9"/>
    <w:rsid w:val="006E5AD0"/>
    <w:rsid w:val="00711BC7"/>
    <w:rsid w:val="007146DD"/>
    <w:rsid w:val="00772642"/>
    <w:rsid w:val="007A1BB7"/>
    <w:rsid w:val="00A00A6C"/>
    <w:rsid w:val="00A41AB3"/>
    <w:rsid w:val="00A62787"/>
    <w:rsid w:val="00A873C9"/>
    <w:rsid w:val="00B0321B"/>
    <w:rsid w:val="00B61A0D"/>
    <w:rsid w:val="00B61BA0"/>
    <w:rsid w:val="00BF4455"/>
    <w:rsid w:val="00C001EE"/>
    <w:rsid w:val="00CA2689"/>
    <w:rsid w:val="00DE7D9B"/>
    <w:rsid w:val="00E317A4"/>
    <w:rsid w:val="00E91F7B"/>
    <w:rsid w:val="00F43ED8"/>
  </w:rsids>
  <m:mathPr>
    <m:mathFont m:val="Cambria Math"/>
    <m:brkBin m:val="before"/>
    <m:brkBinSub m:val="--"/>
    <m:smallFrac m:val="0"/>
    <m:dispDef/>
    <m:lMargin m:val="0"/>
    <m:rMargin m:val="0"/>
    <m:defJc m:val="centerGroup"/>
    <m:wrapIndent m:val="1440"/>
    <m:intLim m:val="subSup"/>
    <m:naryLim m:val="undOvr"/>
  </m:mathPr>
  <w:themeFontLang w:val="en-V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D692"/>
  <w15:chartTrackingRefBased/>
  <w15:docId w15:val="{D5734ACA-76A6-4C42-964F-6567D6DD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6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4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4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4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4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4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4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4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4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6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4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4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4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4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4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4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4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46DD"/>
    <w:rPr>
      <w:rFonts w:eastAsiaTheme="majorEastAsia" w:cstheme="majorBidi"/>
      <w:color w:val="272727" w:themeColor="text1" w:themeTint="D8"/>
    </w:rPr>
  </w:style>
  <w:style w:type="paragraph" w:styleId="Title">
    <w:name w:val="Title"/>
    <w:basedOn w:val="Normal"/>
    <w:next w:val="Normal"/>
    <w:link w:val="TitleChar"/>
    <w:uiPriority w:val="10"/>
    <w:qFormat/>
    <w:rsid w:val="00714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4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4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46DD"/>
    <w:pPr>
      <w:spacing w:before="160"/>
      <w:jc w:val="center"/>
    </w:pPr>
    <w:rPr>
      <w:i/>
      <w:iCs/>
      <w:color w:val="404040" w:themeColor="text1" w:themeTint="BF"/>
    </w:rPr>
  </w:style>
  <w:style w:type="character" w:customStyle="1" w:styleId="QuoteChar">
    <w:name w:val="Quote Char"/>
    <w:basedOn w:val="DefaultParagraphFont"/>
    <w:link w:val="Quote"/>
    <w:uiPriority w:val="29"/>
    <w:rsid w:val="007146DD"/>
    <w:rPr>
      <w:i/>
      <w:iCs/>
      <w:color w:val="404040" w:themeColor="text1" w:themeTint="BF"/>
    </w:rPr>
  </w:style>
  <w:style w:type="paragraph" w:styleId="ListParagraph">
    <w:name w:val="List Paragraph"/>
    <w:basedOn w:val="Normal"/>
    <w:uiPriority w:val="34"/>
    <w:qFormat/>
    <w:rsid w:val="007146DD"/>
    <w:pPr>
      <w:ind w:left="720"/>
      <w:contextualSpacing/>
    </w:pPr>
  </w:style>
  <w:style w:type="character" w:styleId="IntenseEmphasis">
    <w:name w:val="Intense Emphasis"/>
    <w:basedOn w:val="DefaultParagraphFont"/>
    <w:uiPriority w:val="21"/>
    <w:qFormat/>
    <w:rsid w:val="007146DD"/>
    <w:rPr>
      <w:i/>
      <w:iCs/>
      <w:color w:val="0F4761" w:themeColor="accent1" w:themeShade="BF"/>
    </w:rPr>
  </w:style>
  <w:style w:type="paragraph" w:styleId="IntenseQuote">
    <w:name w:val="Intense Quote"/>
    <w:basedOn w:val="Normal"/>
    <w:next w:val="Normal"/>
    <w:link w:val="IntenseQuoteChar"/>
    <w:uiPriority w:val="30"/>
    <w:qFormat/>
    <w:rsid w:val="00714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46DD"/>
    <w:rPr>
      <w:i/>
      <w:iCs/>
      <w:color w:val="0F4761" w:themeColor="accent1" w:themeShade="BF"/>
    </w:rPr>
  </w:style>
  <w:style w:type="character" w:styleId="IntenseReference">
    <w:name w:val="Intense Reference"/>
    <w:basedOn w:val="DefaultParagraphFont"/>
    <w:uiPriority w:val="32"/>
    <w:qFormat/>
    <w:rsid w:val="007146DD"/>
    <w:rPr>
      <w:b/>
      <w:bCs/>
      <w:smallCaps/>
      <w:color w:val="0F4761" w:themeColor="accent1" w:themeShade="BF"/>
      <w:spacing w:val="5"/>
    </w:rPr>
  </w:style>
  <w:style w:type="paragraph" w:customStyle="1" w:styleId="msonormal0">
    <w:name w:val="msonormal"/>
    <w:basedOn w:val="Normal"/>
    <w:rsid w:val="00CA2689"/>
    <w:pPr>
      <w:spacing w:before="100" w:beforeAutospacing="1" w:after="100" w:afterAutospacing="1" w:line="240" w:lineRule="auto"/>
    </w:pPr>
    <w:rPr>
      <w:rFonts w:ascii="Times New Roman" w:eastAsia="Times New Roman" w:hAnsi="Times New Roman" w:cs="Times New Roman"/>
      <w:kern w:val="0"/>
      <w:lang w:eastAsia="en-VU"/>
      <w14:ligatures w14:val="none"/>
    </w:rPr>
  </w:style>
  <w:style w:type="paragraph" w:styleId="NormalWeb">
    <w:name w:val="Normal (Web)"/>
    <w:basedOn w:val="Normal"/>
    <w:uiPriority w:val="99"/>
    <w:semiHidden/>
    <w:unhideWhenUsed/>
    <w:rsid w:val="00CA2689"/>
    <w:pPr>
      <w:spacing w:before="100" w:beforeAutospacing="1" w:after="100" w:afterAutospacing="1" w:line="240" w:lineRule="auto"/>
    </w:pPr>
    <w:rPr>
      <w:rFonts w:ascii="Times New Roman" w:eastAsia="Times New Roman" w:hAnsi="Times New Roman" w:cs="Times New Roman"/>
      <w:kern w:val="0"/>
      <w:lang w:eastAsia="en-VU"/>
      <w14:ligatures w14:val="none"/>
    </w:rPr>
  </w:style>
  <w:style w:type="character" w:customStyle="1" w:styleId="font-semibold">
    <w:name w:val="font-semibold"/>
    <w:basedOn w:val="DefaultParagraphFont"/>
    <w:rsid w:val="00CA2689"/>
  </w:style>
  <w:style w:type="paragraph" w:customStyle="1" w:styleId="py-1">
    <w:name w:val="py-1"/>
    <w:basedOn w:val="Normal"/>
    <w:rsid w:val="00CA2689"/>
    <w:pPr>
      <w:spacing w:before="100" w:beforeAutospacing="1" w:after="100" w:afterAutospacing="1" w:line="240" w:lineRule="auto"/>
    </w:pPr>
    <w:rPr>
      <w:rFonts w:ascii="Times New Roman" w:eastAsia="Times New Roman" w:hAnsi="Times New Roman" w:cs="Times New Roman"/>
      <w:kern w:val="0"/>
      <w:lang w:eastAsia="en-VU"/>
      <w14:ligatures w14:val="none"/>
    </w:rPr>
  </w:style>
  <w:style w:type="paragraph" w:styleId="HTMLPreformatted">
    <w:name w:val="HTML Preformatted"/>
    <w:basedOn w:val="Normal"/>
    <w:link w:val="HTMLPreformattedChar"/>
    <w:uiPriority w:val="99"/>
    <w:semiHidden/>
    <w:unhideWhenUsed/>
    <w:rsid w:val="00CA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VU"/>
      <w14:ligatures w14:val="none"/>
    </w:rPr>
  </w:style>
  <w:style w:type="character" w:customStyle="1" w:styleId="HTMLPreformattedChar">
    <w:name w:val="HTML Preformatted Char"/>
    <w:basedOn w:val="DefaultParagraphFont"/>
    <w:link w:val="HTMLPreformatted"/>
    <w:uiPriority w:val="99"/>
    <w:semiHidden/>
    <w:rsid w:val="00CA2689"/>
    <w:rPr>
      <w:rFonts w:ascii="Courier New" w:eastAsia="Times New Roman" w:hAnsi="Courier New" w:cs="Courier New"/>
      <w:kern w:val="0"/>
      <w:sz w:val="20"/>
      <w:szCs w:val="20"/>
      <w:lang w:val="en-VU" w:eastAsia="en-VU"/>
      <w14:ligatures w14:val="none"/>
    </w:rPr>
  </w:style>
  <w:style w:type="character" w:styleId="HTMLCode">
    <w:name w:val="HTML Code"/>
    <w:basedOn w:val="DefaultParagraphFont"/>
    <w:uiPriority w:val="99"/>
    <w:semiHidden/>
    <w:unhideWhenUsed/>
    <w:rsid w:val="00CA2689"/>
    <w:rPr>
      <w:rFonts w:ascii="Courier New" w:eastAsia="Times New Roman" w:hAnsi="Courier New" w:cs="Courier New"/>
      <w:sz w:val="20"/>
      <w:szCs w:val="20"/>
    </w:rPr>
  </w:style>
  <w:style w:type="character" w:styleId="Emphasis">
    <w:name w:val="Emphasis"/>
    <w:basedOn w:val="DefaultParagraphFont"/>
    <w:uiPriority w:val="20"/>
    <w:qFormat/>
    <w:rsid w:val="00CA2689"/>
    <w:rPr>
      <w:i/>
      <w:iCs/>
    </w:rPr>
  </w:style>
  <w:style w:type="character" w:styleId="Hyperlink">
    <w:name w:val="Hyperlink"/>
    <w:basedOn w:val="DefaultParagraphFont"/>
    <w:uiPriority w:val="99"/>
    <w:unhideWhenUsed/>
    <w:rsid w:val="00CA2689"/>
    <w:rPr>
      <w:color w:val="0000FF"/>
      <w:u w:val="single"/>
    </w:rPr>
  </w:style>
  <w:style w:type="character" w:styleId="FollowedHyperlink">
    <w:name w:val="FollowedHyperlink"/>
    <w:basedOn w:val="DefaultParagraphFont"/>
    <w:uiPriority w:val="99"/>
    <w:semiHidden/>
    <w:unhideWhenUsed/>
    <w:rsid w:val="00CA2689"/>
    <w:rPr>
      <w:color w:val="800080"/>
      <w:u w:val="single"/>
    </w:rPr>
  </w:style>
  <w:style w:type="character" w:styleId="UnresolvedMention">
    <w:name w:val="Unresolved Mention"/>
    <w:basedOn w:val="DefaultParagraphFont"/>
    <w:uiPriority w:val="99"/>
    <w:semiHidden/>
    <w:unhideWhenUsed/>
    <w:rsid w:val="00CA2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fi17090404" TargetMode="External"/><Relationship Id="rId13" Type="http://schemas.openxmlformats.org/officeDocument/2006/relationships/hyperlink" Target="https://doi.org/10.6084/m9.figshare.30447149.v1" TargetMode="External"/><Relationship Id="rId18" Type="http://schemas.openxmlformats.org/officeDocument/2006/relationships/hyperlink" Target="https://doi.org/10.26438/ijsrcse.v13i4.74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i.org/10.48550/arxiv.2508.08789" TargetMode="External"/><Relationship Id="rId17" Type="http://schemas.openxmlformats.org/officeDocument/2006/relationships/hyperlink" Target="https://doi.org/10.2139/ssrn.4715286" TargetMode="External"/><Relationship Id="rId2" Type="http://schemas.openxmlformats.org/officeDocument/2006/relationships/numbering" Target="numbering.xml"/><Relationship Id="rId16" Type="http://schemas.openxmlformats.org/officeDocument/2006/relationships/hyperlink" Target="https://doi.org/10.1145/3555803" TargetMode="External"/><Relationship Id="rId20" Type="http://schemas.openxmlformats.org/officeDocument/2006/relationships/hyperlink" Target="https://doi.org/10.70389/pjai.10001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20944/preprints202504.0413.v1" TargetMode="External"/><Relationship Id="rId5" Type="http://schemas.openxmlformats.org/officeDocument/2006/relationships/webSettings" Target="webSettings.xml"/><Relationship Id="rId15" Type="http://schemas.openxmlformats.org/officeDocument/2006/relationships/hyperlink" Target="https://doi.org/10.38124/ijisrt/25dec449" TargetMode="External"/><Relationship Id="rId10" Type="http://schemas.openxmlformats.org/officeDocument/2006/relationships/hyperlink" Target="https://doi.org/10.69517/cser.2025.02.01.0004" TargetMode="External"/><Relationship Id="rId19" Type="http://schemas.openxmlformats.org/officeDocument/2006/relationships/hyperlink" Target="https://doi.org/10.3390/su16031166" TargetMode="External"/><Relationship Id="rId4" Type="http://schemas.openxmlformats.org/officeDocument/2006/relationships/settings" Target="settings.xml"/><Relationship Id="rId9" Type="http://schemas.openxmlformats.org/officeDocument/2006/relationships/hyperlink" Target="https://doi.org/10.58496/mjaih/2025/017" TargetMode="External"/><Relationship Id="rId14" Type="http://schemas.openxmlformats.org/officeDocument/2006/relationships/hyperlink" Target="https://doi.org/10.3390/a1809055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4AE715E-F9E0-40DB-85EA-CB093643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21721</Words>
  <Characters>123811</Characters>
  <Application>Microsoft Office Word</Application>
  <DocSecurity>0</DocSecurity>
  <Lines>1031</Lines>
  <Paragraphs>290</Paragraphs>
  <ScaleCrop>false</ScaleCrop>
  <Company/>
  <LinksUpToDate>false</LinksUpToDate>
  <CharactersWithSpaces>145242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Shankar Subramanian</dc:creator>
  <cp:keywords/>
  <dc:description/>
  <cp:lastModifiedBy>Shankar Subramanian</cp:lastModifiedBy>
  <cp:revision>2</cp:revision>
  <dcterms:created xsi:type="dcterms:W3CDTF">2026-06-20T08:31:00Z</dcterms:created>
  <dcterms:modified xsi:type="dcterms:W3CDTF">2026-06-20T08:31:00Z</dcterms:modified>
</cp:coreProperties>
</file>