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72551EE" w:rsidR="00D13F24" w:rsidRDefault="5A88AFFE" w:rsidP="65467104">
      <w:pPr>
        <w:spacing w:before="240" w:after="240" w:line="240" w:lineRule="auto"/>
        <w:jc w:val="center"/>
        <w:rPr>
          <w:rFonts w:ascii="Times New Roman" w:eastAsia="Times New Roman" w:hAnsi="Times New Roman" w:cs="Times New Roman"/>
          <w:b/>
          <w:bCs/>
          <w:sz w:val="36"/>
          <w:szCs w:val="36"/>
        </w:rPr>
      </w:pPr>
      <w:r w:rsidRPr="45B4C46D">
        <w:rPr>
          <w:rFonts w:ascii="Times New Roman" w:eastAsia="Times New Roman" w:hAnsi="Times New Roman" w:cs="Times New Roman"/>
          <w:b/>
          <w:bCs/>
          <w:sz w:val="36"/>
          <w:szCs w:val="36"/>
        </w:rPr>
        <w:t>Evaluating the Voltage Stability and Reliability of a 12-cell Saltwater Galvanic Battery</w:t>
      </w:r>
    </w:p>
    <w:p w14:paraId="19D9A7C7" w14:textId="1FFE6F94" w:rsidR="672F377D" w:rsidRDefault="009255E8" w:rsidP="45B4C46D">
      <w:pPr>
        <w:spacing w:before="240" w:after="240" w:line="240" w:lineRule="auto"/>
        <w:jc w:val="center"/>
        <w:rPr>
          <w:rFonts w:ascii="Times New Roman" w:eastAsia="Times New Roman" w:hAnsi="Times New Roman" w:cs="Times New Roman"/>
          <w:b/>
          <w:bCs/>
        </w:rPr>
      </w:pPr>
      <w:r>
        <w:rPr>
          <w:rFonts w:ascii="Times New Roman" w:eastAsia="Times New Roman" w:hAnsi="Times New Roman" w:cs="Times New Roman"/>
          <w:b/>
          <w:bCs/>
          <w:color w:val="000000" w:themeColor="text1"/>
        </w:rPr>
        <w:t xml:space="preserve"/>
      </w:r>
      <w:proofErr w:type="spellStart"/>
      <w:r w:rsidR="672F377D" w:rsidRPr="45B4C46D">
        <w:rPr>
          <w:rFonts w:ascii="Times New Roman" w:eastAsia="Times New Roman" w:hAnsi="Times New Roman" w:cs="Times New Roman"/>
          <w:b/>
          <w:bCs/>
          <w:color w:val="000000" w:themeColor="text1"/>
        </w:rPr>
        <w:t/>
      </w:r>
      <w:proofErr w:type="spellEnd"/>
      <w:r w:rsidR="672F377D" w:rsidRPr="45B4C46D">
        <w:rPr>
          <w:rFonts w:ascii="Times New Roman" w:eastAsia="Times New Roman" w:hAnsi="Times New Roman" w:cs="Times New Roman"/>
          <w:b/>
          <w:bCs/>
          <w:color w:val="000000" w:themeColor="text1"/>
        </w:rPr>
        <w:t xml:space="preserve"/>
      </w:r>
      <w:proofErr w:type="spellStart"/>
      <w:r w:rsidR="672F377D" w:rsidRPr="45B4C46D">
        <w:rPr>
          <w:rFonts w:ascii="Times New Roman" w:eastAsia="Times New Roman" w:hAnsi="Times New Roman" w:cs="Times New Roman"/>
          <w:b/>
          <w:bCs/>
          <w:color w:val="000000" w:themeColor="text1"/>
        </w:rPr>
        <w:t/>
      </w:r>
      <w:proofErr w:type="spellEnd"/>
      <w:r w:rsidR="672F377D" w:rsidRPr="45B4C46D">
        <w:rPr>
          <w:rFonts w:ascii="Times New Roman" w:eastAsia="Times New Roman" w:hAnsi="Times New Roman" w:cs="Times New Roman"/>
          <w:b/>
          <w:bCs/>
          <w:color w:val="000000" w:themeColor="text1"/>
        </w:rPr>
        <w:t xml:space="preserve"/>
      </w:r>
      <w:proofErr w:type="spellStart"/>
      <w:r w:rsidR="672F377D" w:rsidRPr="45B4C46D">
        <w:rPr>
          <w:rFonts w:ascii="Times New Roman" w:eastAsia="Times New Roman" w:hAnsi="Times New Roman" w:cs="Times New Roman"/>
          <w:b/>
          <w:bCs/>
          <w:color w:val="000000" w:themeColor="text1"/>
        </w:rPr>
        <w:t/>
      </w:r>
      <w:proofErr w:type="spellEnd"/>
      <w:r w:rsidR="672F377D" w:rsidRPr="45B4C46D">
        <w:rPr>
          <w:rFonts w:ascii="Times New Roman" w:eastAsia="Times New Roman" w:hAnsi="Times New Roman" w:cs="Times New Roman"/>
          <w:b/>
          <w:bCs/>
          <w:color w:val="000000" w:themeColor="text1"/>
        </w:rPr>
        <w:t xml:space="preserve"/>
      </w:r>
      <w:proofErr w:type="spellStart"/>
      <w:r w:rsidR="672F377D" w:rsidRPr="45B4C46D">
        <w:rPr>
          <w:rFonts w:ascii="Times New Roman" w:eastAsia="Times New Roman" w:hAnsi="Times New Roman" w:cs="Times New Roman"/>
          <w:b/>
          <w:bCs/>
          <w:color w:val="000000" w:themeColor="text1"/>
        </w:rPr>
        <w:t/>
      </w:r>
      <w:proofErr w:type="spellEnd"/>
      <w:r w:rsidR="672F377D" w:rsidRPr="45B4C46D">
        <w:rPr>
          <w:rFonts w:ascii="Times New Roman" w:eastAsia="Times New Roman" w:hAnsi="Times New Roman" w:cs="Times New Roman"/>
          <w:b/>
          <w:bCs/>
          <w:color w:val="000000" w:themeColor="text1"/>
        </w:rPr>
        <w:t xml:space="preserve"/>
      </w:r>
      <w:proofErr w:type="spellStart"/>
      <w:r w:rsidR="672F377D" w:rsidRPr="45B4C46D">
        <w:rPr>
          <w:rFonts w:ascii="Times New Roman" w:eastAsia="Times New Roman" w:hAnsi="Times New Roman" w:cs="Times New Roman"/>
          <w:b/>
          <w:bCs/>
          <w:color w:val="000000" w:themeColor="text1"/>
        </w:rPr>
        <w:t/>
      </w:r>
      <w:proofErr w:type="spellEnd"/>
      <w:r>
        <w:rPr>
          <w:rFonts w:ascii="Times New Roman" w:eastAsia="Times New Roman" w:hAnsi="Times New Roman" w:cs="Times New Roman"/>
          <w:b/>
          <w:bCs/>
          <w:color w:val="000000" w:themeColor="text1"/>
        </w:rPr>
        <w:t xml:space="preserve"/>
      </w:r>
      <w:r w:rsidR="672F377D" w:rsidRPr="45B4C46D">
        <w:rPr>
          <w:rFonts w:ascii="Times New Roman" w:eastAsia="Times New Roman" w:hAnsi="Times New Roman" w:cs="Times New Roman"/>
          <w:b/>
          <w:bCs/>
          <w:color w:val="000000" w:themeColor="text1"/>
        </w:rPr>
        <w:t xml:space="preserve"/>
      </w:r>
      <w:proofErr w:type="spellStart"/>
      <w:r w:rsidR="672F377D" w:rsidRPr="45B4C46D">
        <w:rPr>
          <w:rFonts w:ascii="Times New Roman" w:eastAsia="Times New Roman" w:hAnsi="Times New Roman" w:cs="Times New Roman"/>
          <w:b/>
          <w:bCs/>
          <w:color w:val="000000" w:themeColor="text1"/>
        </w:rPr>
        <w:t/>
      </w:r>
      <w:proofErr w:type="spellEnd"/>
    </w:p>
    <w:p w14:paraId="2EB62F1E" w14:textId="49F6F1DA" w:rsidR="65467104" w:rsidRDefault="2A911817" w:rsidP="45B4C46D">
      <w:pPr>
        <w:spacing w:before="240" w:after="240" w:line="240" w:lineRule="auto"/>
        <w:jc w:val="center"/>
        <w:rPr>
          <w:rFonts w:ascii="Times New Roman" w:eastAsia="Times New Roman" w:hAnsi="Times New Roman" w:cs="Times New Roman"/>
        </w:rPr>
      </w:pPr>
      <w:r w:rsidRPr="45B4C46D">
        <w:rPr>
          <w:rFonts w:ascii="Times New Roman" w:eastAsia="Times New Roman" w:hAnsi="Times New Roman" w:cs="Times New Roman"/>
        </w:rPr>
        <w:t/>
      </w:r>
    </w:p>
    <w:p w14:paraId="1AEF00F8" w14:textId="48B1491B" w:rsidR="13899413" w:rsidRDefault="13899413" w:rsidP="65467104">
      <w:pPr>
        <w:spacing w:before="240" w:after="240" w:line="240" w:lineRule="auto"/>
        <w:rPr>
          <w:rFonts w:ascii="Times New Roman" w:eastAsia="Times New Roman" w:hAnsi="Times New Roman" w:cs="Times New Roman"/>
          <w:b/>
          <w:bCs/>
          <w:sz w:val="28"/>
          <w:szCs w:val="28"/>
        </w:rPr>
      </w:pPr>
      <w:r w:rsidRPr="45B4C46D">
        <w:rPr>
          <w:rFonts w:ascii="Times New Roman" w:eastAsia="Times New Roman" w:hAnsi="Times New Roman" w:cs="Times New Roman"/>
          <w:b/>
          <w:bCs/>
          <w:sz w:val="28"/>
          <w:szCs w:val="28"/>
        </w:rPr>
        <w:t>A</w:t>
      </w:r>
      <w:r w:rsidR="6CE15505" w:rsidRPr="45B4C46D">
        <w:rPr>
          <w:rFonts w:ascii="Times New Roman" w:eastAsia="Times New Roman" w:hAnsi="Times New Roman" w:cs="Times New Roman"/>
          <w:b/>
          <w:bCs/>
          <w:sz w:val="28"/>
          <w:szCs w:val="28"/>
        </w:rPr>
        <w:t>BSTRACT</w:t>
      </w:r>
    </w:p>
    <w:p w14:paraId="09FFADCC" w14:textId="5CBE4100" w:rsidR="5306FC16" w:rsidRDefault="5306FC16" w:rsidP="45B4C46D">
      <w:pPr>
        <w:spacing w:after="240" w:line="240" w:lineRule="auto"/>
        <w:jc w:val="both"/>
        <w:rPr>
          <w:rFonts w:ascii="Times New Roman" w:eastAsia="Times New Roman" w:hAnsi="Times New Roman" w:cs="Times New Roman"/>
          <w:color w:val="000000" w:themeColor="text1"/>
        </w:rPr>
      </w:pPr>
      <w:r w:rsidRPr="45B4C46D">
        <w:rPr>
          <w:rFonts w:ascii="Times New Roman" w:eastAsia="Times New Roman" w:hAnsi="Times New Roman" w:cs="Times New Roman"/>
          <w:color w:val="000000" w:themeColor="text1"/>
        </w:rPr>
        <w:t>The transition toward Net Zero energy frameworks demands immediate investment in sustainable alternatives to lithium-ion storage. Currently, high economic costs and ecologically damaging mineral extraction chains restrict lithium-ion infrastructure, threatening the long-term viability of global decarbonization efforts. Open-system aqueous saline batteries offer a safe, non-toxic, and geographically abundant alternative for decentralized, emergency energy deployment. However, low energy densities and severe voltage decay under active loads traditionally limit their practical integration. This study evaluates the technical optimization, performance boundaries, and temporal voltage stability of a primary zinc-copper (Zn-Cu) galvanic powerbank array. We engineered individual cell units using a compact, multi-laminate parallel-plate architecture, containing five electrode pairs per cell; to maximize active surface area and minimize internal resistance. High-absorbency polymer and cellulose separator membranes saturated with a 30% wet aqueous sodium chloride (NaCl) electrolyte isolated the cells. To stabilize the output, we integrated an active XH-M411 DC-DC step-up boost converter downstream. Although prototyping resource constraints restricted physical testing to low-order configurations, our data collection successfully tracked open-circuit voltage (OCV) and structural voltage sag. Individual cell blocks yielded a steady baseline OCV of 0.845 V, a value mathematically insufficient to trigger the boost converter. Series scaling followed additive electromotive force laws; while a 3-cell array established an experimental baseline of 2.45 V, the fully integrated 12-cell series configuration generated an experimental raw potential of 9.6 V under zero-load conditions (against a theoretical potential of 10.14 V). This elevated initial potential serves as an essential voltage buffer against rapid anodic passivation and internal ohmic losses. Ultimately, the 9.6 V configuration maintains the working input above the regulator's critical 4.0 V activation threshold, enabling sustained 5.0 V USB-standard power delivery and validating a minimal-infrastructure emergency energy framework aligned with Sustainable Development Goal 7 (SDG 7).</w:t>
      </w:r>
    </w:p>
    <w:p w14:paraId="46C5B6DA" w14:textId="451A1A71" w:rsidR="76766339" w:rsidRDefault="76766339" w:rsidP="65467104">
      <w:pPr>
        <w:spacing w:before="240" w:after="240" w:line="240" w:lineRule="auto"/>
        <w:jc w:val="both"/>
        <w:rPr>
          <w:rFonts w:ascii="Times New Roman" w:eastAsia="Times New Roman" w:hAnsi="Times New Roman" w:cs="Times New Roman"/>
        </w:rPr>
      </w:pPr>
      <w:r w:rsidRPr="65467104">
        <w:rPr>
          <w:rFonts w:ascii="Times New Roman" w:eastAsia="Times New Roman" w:hAnsi="Times New Roman" w:cs="Times New Roman"/>
          <w:b/>
          <w:bCs/>
        </w:rPr>
        <w:t>Keywords</w:t>
      </w:r>
      <w:r w:rsidR="086BFE98" w:rsidRPr="65467104">
        <w:rPr>
          <w:rFonts w:ascii="Times New Roman" w:eastAsia="Times New Roman" w:hAnsi="Times New Roman" w:cs="Times New Roman"/>
          <w:b/>
          <w:bCs/>
        </w:rPr>
        <w:t xml:space="preserve">: </w:t>
      </w:r>
      <w:r w:rsidRPr="65467104">
        <w:rPr>
          <w:rFonts w:ascii="Times New Roman" w:eastAsia="Times New Roman" w:hAnsi="Times New Roman" w:cs="Times New Roman"/>
        </w:rPr>
        <w:t>Galvanic Cells, Saline Electrolyte, Voltage Stability, Zinc-Copper Redox.</w:t>
      </w:r>
    </w:p>
    <w:p w14:paraId="38FF5CDE" w14:textId="74ACCDD3" w:rsidR="58947C6F" w:rsidRDefault="58947C6F" w:rsidP="65467104">
      <w:pPr>
        <w:spacing w:before="240" w:after="240" w:line="240" w:lineRule="auto"/>
        <w:jc w:val="both"/>
        <w:rPr>
          <w:rFonts w:ascii="Times New Roman" w:eastAsia="Times New Roman" w:hAnsi="Times New Roman" w:cs="Times New Roman"/>
          <w:b/>
          <w:bCs/>
          <w:sz w:val="28"/>
          <w:szCs w:val="28"/>
        </w:rPr>
      </w:pPr>
      <w:r w:rsidRPr="45B4C46D">
        <w:rPr>
          <w:rFonts w:ascii="Times New Roman" w:eastAsia="Times New Roman" w:hAnsi="Times New Roman" w:cs="Times New Roman"/>
          <w:b/>
          <w:bCs/>
          <w:sz w:val="28"/>
          <w:szCs w:val="28"/>
        </w:rPr>
        <w:t>INTRODUCTION</w:t>
      </w:r>
    </w:p>
    <w:p w14:paraId="3EEC5743" w14:textId="2F482D57" w:rsidR="79A7E02B" w:rsidRDefault="75AE68F9" w:rsidP="45B4C46D">
      <w:pPr>
        <w:spacing w:after="240" w:line="240" w:lineRule="auto"/>
        <w:jc w:val="both"/>
        <w:rPr>
          <w:rFonts w:ascii="Times New Roman" w:eastAsia="Times New Roman" w:hAnsi="Times New Roman" w:cs="Times New Roman"/>
        </w:rPr>
      </w:pPr>
      <w:r w:rsidRPr="45B4C46D">
        <w:rPr>
          <w:rFonts w:ascii="Times New Roman" w:eastAsia="Times New Roman" w:hAnsi="Times New Roman" w:cs="Times New Roman"/>
        </w:rPr>
        <w:t>Global Net Zero initiatives require scalable energy storage alternatives to conventional lithium-ion batteries. Volatile material costs, thermal runaway hazards, and ecologically damaging supply chains severely limit current lithium-ion technology, driving the search for cleaner alternatives (Chen et al., 2024). Value analysis margins demonstrate that transitioning to decentralized stationary arrays leveraging abundant sodium chloride (NaCl) structures offers radical economic and resource scaling benefits over conventional critical mineral dependency chains (Nurohmah et al., 2022). Open-system aqueous saline batteries offer a non-toxic, safe, and abundant alternative for decentralized power. However, traditional designs suffer from low energy density and rapid voltage decay under continuous load. Recent work highlights that optimizing internal cell geometry and leveraging paper-based architectures for resource-limited settings can mitigate these performance boundaries (Fraiwan et al., 2016).</w:t>
      </w:r>
    </w:p>
    <w:p w14:paraId="7BD68983" w14:textId="1229B283" w:rsidR="79A7E02B" w:rsidRDefault="1BC02CE9" w:rsidP="45B4C46D">
      <w:pPr>
        <w:spacing w:after="240" w:line="240" w:lineRule="auto"/>
        <w:jc w:val="both"/>
      </w:pPr>
      <w:r w:rsidRPr="45B4C46D">
        <w:rPr>
          <w:rFonts w:ascii="Times New Roman" w:eastAsia="Times New Roman" w:hAnsi="Times New Roman" w:cs="Times New Roman"/>
        </w:rPr>
        <w:t xml:space="preserve">The application of alternative galvanic configurations, such as seawater-activated networks, has shown promise in specialized, low-power marine applications (Anwar et al., 2025). Furthermore, historical precedents like the </w:t>
      </w:r>
      <w:r w:rsidRPr="45B4C46D">
        <w:rPr>
          <w:rFonts w:ascii="Times New Roman" w:eastAsia="Times New Roman" w:hAnsi="Times New Roman" w:cs="Times New Roman"/>
        </w:rPr>
        <w:lastRenderedPageBreak/>
        <w:t>foundational Voltaic Pile demonstrate that stacking alternating metallic profiles is a viable approach to multiplying lower chemical potentials into highly functional electromotive forces (National High Magnetic Field Laboratory, 2025). This study evaluates the performance boundaries and voltage stability of a portable, value-engineered zinc-copper (Zn-Cu) galvanic powerbank. Using an Input-Process-Output (IPO) experimental model, we isolate the impact of cell scaling, surface area maximization, and active power electronics regulation to establish a reproducible deployment profile for emergency electrical applications.</w:t>
      </w:r>
    </w:p>
    <w:p w14:paraId="3DD22902" w14:textId="7BB5E7B8" w:rsidR="79A7E02B" w:rsidRDefault="79A7E02B" w:rsidP="45B4C46D">
      <w:pPr>
        <w:spacing w:after="240" w:line="240" w:lineRule="auto"/>
        <w:jc w:val="both"/>
        <w:rPr>
          <w:rFonts w:ascii="Times New Roman" w:eastAsia="Times New Roman" w:hAnsi="Times New Roman" w:cs="Times New Roman"/>
          <w:b/>
          <w:bCs/>
        </w:rPr>
      </w:pPr>
      <w:r w:rsidRPr="45B4C46D">
        <w:rPr>
          <w:rFonts w:ascii="Times New Roman" w:eastAsia="Times New Roman" w:hAnsi="Times New Roman" w:cs="Times New Roman"/>
          <w:b/>
          <w:bCs/>
          <w:sz w:val="28"/>
          <w:szCs w:val="28"/>
        </w:rPr>
        <w:t>METHODOLOGY</w:t>
      </w:r>
    </w:p>
    <w:p w14:paraId="597AB533" w14:textId="3E3A5689" w:rsidR="3FE45BBD" w:rsidRDefault="3FE45BBD" w:rsidP="65467104">
      <w:pPr>
        <w:spacing w:before="240" w:after="240" w:line="240" w:lineRule="auto"/>
        <w:jc w:val="both"/>
        <w:rPr>
          <w:rFonts w:ascii="Times New Roman" w:eastAsia="Times New Roman" w:hAnsi="Times New Roman" w:cs="Times New Roman"/>
          <w:b/>
          <w:bCs/>
        </w:rPr>
      </w:pPr>
      <w:r w:rsidRPr="45B4C46D">
        <w:rPr>
          <w:rFonts w:ascii="Times New Roman" w:eastAsia="Times New Roman" w:hAnsi="Times New Roman" w:cs="Times New Roman"/>
          <w:b/>
          <w:bCs/>
        </w:rPr>
        <w:t>Research Design and Quantitative Framework</w:t>
      </w:r>
    </w:p>
    <w:p w14:paraId="43B44B84" w14:textId="2D56D189" w:rsidR="6AC27857" w:rsidRDefault="6AC27857" w:rsidP="45B4C46D">
      <w:pPr>
        <w:spacing w:after="240" w:line="240" w:lineRule="auto"/>
        <w:jc w:val="both"/>
        <w:rPr>
          <w:rFonts w:ascii="Times New Roman" w:eastAsia="Times New Roman" w:hAnsi="Times New Roman" w:cs="Times New Roman"/>
        </w:rPr>
      </w:pPr>
      <w:r w:rsidRPr="45B4C46D">
        <w:rPr>
          <w:rFonts w:ascii="Times New Roman" w:eastAsia="Times New Roman" w:hAnsi="Times New Roman" w:cs="Times New Roman"/>
        </w:rPr>
        <w:t>This study utilizes a quantitative experimental engineering design focused on a modular galvanic array, building on established quantitative research methodologies (Creswell, 2023) and rigorous experimental tracking protocols (Mcleod, 2023). Individual cell blocks were engineered using a multi-laminate, 10-layer sandwich vertical stack (5 Cu cathodes and 5 Zn anodes per cell block) compressed inside a rigid thermoplastic electrical molding chassis to maintain consistent interfacial contact and minimize internal resistance.</w:t>
      </w:r>
    </w:p>
    <w:p w14:paraId="3E3F4AEF" w14:textId="2733BB8A" w:rsidR="6AC27857" w:rsidRDefault="6AC27857" w:rsidP="45B4C46D">
      <w:pPr>
        <w:spacing w:after="240" w:line="240" w:lineRule="auto"/>
        <w:jc w:val="both"/>
        <w:rPr>
          <w:rFonts w:ascii="Times New Roman" w:eastAsia="Times New Roman" w:hAnsi="Times New Roman" w:cs="Times New Roman"/>
        </w:rPr>
      </w:pPr>
      <w:r w:rsidRPr="45B4C46D">
        <w:rPr>
          <w:rFonts w:ascii="Times New Roman" w:eastAsia="Times New Roman" w:hAnsi="Times New Roman" w:cs="Times New Roman"/>
        </w:rPr>
        <w:t xml:space="preserve">Sacrificial Zn anodes and Cu cathodes were mechanically thinned via uniform hammering to standardize thickness and polished with sandpaper to remove non-conductive passivation layers. High-conductivity nickel strips were spot-welded to the top margins of the zinc plates for low-resistance current collection, and copper leads were soldered to the cathodes. This structure </w:t>
      </w:r>
      <w:r w:rsidR="1BC8E87A" w:rsidRPr="45B4C46D">
        <w:rPr>
          <w:rFonts w:ascii="Times New Roman" w:eastAsia="Times New Roman" w:hAnsi="Times New Roman" w:cs="Times New Roman"/>
        </w:rPr>
        <w:t>builds</w:t>
      </w:r>
      <w:r w:rsidRPr="45B4C46D">
        <w:rPr>
          <w:rFonts w:ascii="Times New Roman" w:eastAsia="Times New Roman" w:hAnsi="Times New Roman" w:cs="Times New Roman"/>
        </w:rPr>
        <w:t xml:space="preserve"> parallel-plate configurations found in modern secondary storage designs, expanding active electrochemical surface boundaries (Lionetto et al., 2024).</w:t>
      </w:r>
    </w:p>
    <w:p w14:paraId="17C55565" w14:textId="7FB959FF" w:rsidR="2B7796A0" w:rsidRDefault="2B7796A0" w:rsidP="45B4C46D">
      <w:pPr>
        <w:spacing w:after="240" w:line="240" w:lineRule="auto"/>
        <w:jc w:val="both"/>
      </w:pPr>
      <w:r w:rsidRPr="45B4C46D">
        <w:rPr>
          <w:rFonts w:ascii="Times New Roman" w:eastAsia="Times New Roman" w:hAnsi="Times New Roman" w:cs="Times New Roman"/>
        </w:rPr>
        <w:t>The assembled modular chassis stacks were housed within transparent glass jars acting as isolated cell compartments, hydrostatically saturated with an aqueous sodium chloride (NaC</w:t>
      </w:r>
      <w:r w:rsidR="31F422D2" w:rsidRPr="45B4C46D">
        <w:rPr>
          <w:rFonts w:ascii="Times New Roman" w:eastAsia="Times New Roman" w:hAnsi="Times New Roman" w:cs="Times New Roman"/>
        </w:rPr>
        <w:t>l</w:t>
      </w:r>
      <w:r w:rsidRPr="45B4C46D">
        <w:rPr>
          <w:rFonts w:ascii="Times New Roman" w:eastAsia="Times New Roman" w:hAnsi="Times New Roman" w:cs="Times New Roman"/>
        </w:rPr>
        <w:t>) electrolyte standardized to exactly 30% salinity using an automatic temperature-compensated (ATC) optical refractometer. This high-concentration saline setup avoids early solution saturation while maximizing macro-scale charge carrier profiles (Gomez Vazquez et al., 2025). To regulate the output, the series array was wired downstream to an active XH-M411 DC-DC step-up boost converter equipped with a manual potentiometer to drive standard USB-compatible loads.</w:t>
      </w:r>
    </w:p>
    <w:p w14:paraId="6BFEB163" w14:textId="0FA1414E" w:rsidR="0CC4833D" w:rsidRDefault="0CC4833D" w:rsidP="45B4C46D">
      <w:pPr>
        <w:spacing w:before="240" w:after="240" w:line="240" w:lineRule="auto"/>
        <w:jc w:val="both"/>
        <w:rPr>
          <w:rFonts w:ascii="Times New Roman" w:eastAsia="Times New Roman" w:hAnsi="Times New Roman" w:cs="Times New Roman"/>
          <w:b/>
          <w:bCs/>
        </w:rPr>
      </w:pPr>
      <w:r w:rsidRPr="45B4C46D">
        <w:rPr>
          <w:rFonts w:ascii="Times New Roman" w:eastAsia="Times New Roman" w:hAnsi="Times New Roman" w:cs="Times New Roman"/>
          <w:b/>
          <w:bCs/>
        </w:rPr>
        <w:t>Data Acquisition and Analy</w:t>
      </w:r>
      <w:r w:rsidR="20ABD260" w:rsidRPr="45B4C46D">
        <w:rPr>
          <w:rFonts w:ascii="Times New Roman" w:eastAsia="Times New Roman" w:hAnsi="Times New Roman" w:cs="Times New Roman"/>
          <w:b/>
          <w:bCs/>
        </w:rPr>
        <w:t>sis</w:t>
      </w:r>
    </w:p>
    <w:p w14:paraId="56A29E1F" w14:textId="08C49E42" w:rsidR="0F61DA18" w:rsidRDefault="0468A93E" w:rsidP="45B4C46D">
      <w:pPr>
        <w:spacing w:after="240" w:line="240" w:lineRule="auto"/>
        <w:jc w:val="both"/>
        <w:rPr>
          <w:rFonts w:ascii="Times New Roman" w:eastAsia="Times New Roman" w:hAnsi="Times New Roman" w:cs="Times New Roman"/>
        </w:rPr>
      </w:pPr>
      <w:r w:rsidRPr="45B4C46D">
        <w:rPr>
          <w:rFonts w:ascii="Times New Roman" w:eastAsia="Times New Roman" w:hAnsi="Times New Roman" w:cs="Times New Roman"/>
        </w:rPr>
        <w:t>Electrical metrics were captured using a pre-calibrated DT-830D digital multimeter (±0.5% accuracy) configured for high input impedance to eliminate parasitic meter load. The testing routine was strictly bound to track open-circuit voltage (OCV) and dynamic voltage sag under load, adhering to standardized factor-isolation guidelines for industrial cell matrices (Montgomery, 2020). Due to high baseline chemical volatility across early trials, short-circuit current (SCC) tracking and material mass-loss degradation metrics were excluded from the final analytical scope.</w:t>
      </w:r>
    </w:p>
    <w:p w14:paraId="4E9FBB5C" w14:textId="2EEA387A" w:rsidR="0F61DA18" w:rsidRDefault="0468A93E" w:rsidP="45B4C46D">
      <w:pPr>
        <w:spacing w:after="240" w:line="240" w:lineRule="auto"/>
        <w:jc w:val="both"/>
        <w:rPr>
          <w:rFonts w:ascii="Times New Roman" w:eastAsia="Times New Roman" w:hAnsi="Times New Roman" w:cs="Times New Roman"/>
        </w:rPr>
      </w:pPr>
      <w:r w:rsidRPr="45B4C46D">
        <w:rPr>
          <w:rFonts w:ascii="Times New Roman" w:eastAsia="Times New Roman" w:hAnsi="Times New Roman" w:cs="Times New Roman"/>
        </w:rPr>
        <w:t xml:space="preserve">Empirical voltage data was evaluated against a standardized interpretation framework (Table 1) derived from the thermodynamic boundaries of the traditional </w:t>
      </w:r>
      <w:r w:rsidR="3B0AACAF" w:rsidRPr="45B4C46D">
        <w:rPr>
          <w:rFonts w:ascii="Times New Roman" w:eastAsia="Times New Roman" w:hAnsi="Times New Roman" w:cs="Times New Roman"/>
        </w:rPr>
        <w:t>Daniell Cell model (</w:t>
      </w:r>
      <w:r w:rsidR="1144E9D7" w:rsidRPr="45B4C46D">
        <w:rPr>
          <w:rFonts w:ascii="Times New Roman" w:eastAsia="Times New Roman" w:hAnsi="Times New Roman" w:cs="Times New Roman"/>
        </w:rPr>
        <w:t>Atkins &amp; de Paula, 2006; Da Rosa, 2013), the Nernst Equation (Bard &amp; Faulkner, 2001; LibreTexts, 2023), and the additive laws of the Voltaic Pile (National High Magnetic Field Laboratory, 2025).</w:t>
      </w:r>
    </w:p>
    <w:p w14:paraId="0C3EB939" w14:textId="052C48DE" w:rsidR="0F61DA18" w:rsidRDefault="16F3AA89" w:rsidP="45B4C46D">
      <w:pPr>
        <w:spacing w:after="240" w:line="240" w:lineRule="auto"/>
        <w:jc w:val="both"/>
        <w:rPr>
          <w:rFonts w:ascii="Times New Roman" w:eastAsia="Times New Roman" w:hAnsi="Times New Roman" w:cs="Times New Roman"/>
          <w:b/>
          <w:bCs/>
        </w:rPr>
      </w:pPr>
      <w:r w:rsidRPr="45B4C46D">
        <w:rPr>
          <w:rFonts w:ascii="Times New Roman" w:eastAsia="Times New Roman" w:hAnsi="Times New Roman" w:cs="Times New Roman"/>
          <w:b/>
          <w:bCs/>
        </w:rPr>
        <w:t>Table 1</w:t>
      </w:r>
      <w:r w:rsidR="2E5E6CA9" w:rsidRPr="45B4C46D">
        <w:rPr>
          <w:rFonts w:ascii="Times New Roman" w:eastAsia="Times New Roman" w:hAnsi="Times New Roman" w:cs="Times New Roman"/>
          <w:b/>
          <w:bCs/>
        </w:rPr>
        <w:t>. Interpretation Table</w:t>
      </w:r>
    </w:p>
    <w:tbl>
      <w:tblPr>
        <w:tblW w:w="0" w:type="auto"/>
        <w:tblInd w:w="15" w:type="dxa"/>
        <w:tblLook w:val="06A0" w:firstRow="1" w:lastRow="0" w:firstColumn="1" w:lastColumn="0" w:noHBand="1" w:noVBand="1"/>
      </w:tblPr>
      <w:tblGrid>
        <w:gridCol w:w="2267"/>
        <w:gridCol w:w="2103"/>
        <w:gridCol w:w="6312"/>
      </w:tblGrid>
      <w:tr w:rsidR="45B4C46D" w14:paraId="0D3DEF6E" w14:textId="77777777" w:rsidTr="45B4C46D">
        <w:trPr>
          <w:trHeight w:val="302"/>
        </w:trPr>
        <w:tc>
          <w:tcPr>
            <w:tcW w:w="2378" w:type="dxa"/>
            <w:tcBorders>
              <w:top w:val="single" w:sz="12" w:space="0" w:color="000000" w:themeColor="text1"/>
              <w:left w:val="nil"/>
              <w:bottom w:val="single" w:sz="12" w:space="0" w:color="000000" w:themeColor="text1"/>
              <w:right w:val="nil"/>
            </w:tcBorders>
            <w:tcMar>
              <w:top w:w="100" w:type="dxa"/>
              <w:left w:w="100" w:type="dxa"/>
              <w:bottom w:w="100" w:type="dxa"/>
              <w:right w:w="100" w:type="dxa"/>
            </w:tcMar>
          </w:tcPr>
          <w:p w14:paraId="1C6C1F73" w14:textId="6D981C96" w:rsidR="45B4C46D" w:rsidRDefault="45B4C46D" w:rsidP="45B4C46D">
            <w:pPr>
              <w:spacing w:after="0" w:line="240" w:lineRule="auto"/>
            </w:pPr>
            <w:r w:rsidRPr="45B4C46D">
              <w:rPr>
                <w:rFonts w:ascii="Times New Roman" w:eastAsia="Times New Roman" w:hAnsi="Times New Roman" w:cs="Times New Roman"/>
                <w:b/>
                <w:bCs/>
              </w:rPr>
              <w:t>Voltage Range (</w:t>
            </w:r>
            <w:r w:rsidRPr="45B4C46D">
              <w:rPr>
                <w:rFonts w:ascii="Times New Roman" w:eastAsia="Times New Roman" w:hAnsi="Times New Roman" w:cs="Times New Roman"/>
                <w:b/>
                <w:bCs/>
                <w:i/>
                <w:iCs/>
              </w:rPr>
              <w:t>v</w:t>
            </w:r>
            <w:r w:rsidRPr="45B4C46D">
              <w:rPr>
                <w:rFonts w:ascii="Times New Roman" w:eastAsia="Times New Roman" w:hAnsi="Times New Roman" w:cs="Times New Roman"/>
                <w:b/>
                <w:bCs/>
              </w:rPr>
              <w:t>)</w:t>
            </w:r>
          </w:p>
        </w:tc>
        <w:tc>
          <w:tcPr>
            <w:tcW w:w="2141" w:type="dxa"/>
            <w:tcBorders>
              <w:top w:val="single" w:sz="12" w:space="0" w:color="000000" w:themeColor="text1"/>
              <w:left w:val="nil"/>
              <w:bottom w:val="single" w:sz="12" w:space="0" w:color="000000" w:themeColor="text1"/>
              <w:right w:val="nil"/>
            </w:tcBorders>
            <w:tcMar>
              <w:top w:w="100" w:type="dxa"/>
              <w:left w:w="100" w:type="dxa"/>
              <w:bottom w:w="100" w:type="dxa"/>
              <w:right w:w="100" w:type="dxa"/>
            </w:tcMar>
          </w:tcPr>
          <w:p w14:paraId="720FB0BA" w14:textId="1FDB27FB" w:rsidR="45B4C46D" w:rsidRDefault="45B4C46D" w:rsidP="45B4C46D">
            <w:pPr>
              <w:spacing w:after="0" w:line="240" w:lineRule="auto"/>
            </w:pPr>
            <w:r w:rsidRPr="45B4C46D">
              <w:rPr>
                <w:rFonts w:ascii="Times New Roman" w:eastAsia="Times New Roman" w:hAnsi="Times New Roman" w:cs="Times New Roman"/>
                <w:b/>
                <w:bCs/>
                <w:color w:val="000000" w:themeColor="text1"/>
              </w:rPr>
              <w:t xml:space="preserve">Interpretation </w:t>
            </w:r>
          </w:p>
        </w:tc>
        <w:tc>
          <w:tcPr>
            <w:tcW w:w="6713" w:type="dxa"/>
            <w:tcBorders>
              <w:top w:val="single" w:sz="12" w:space="0" w:color="000000" w:themeColor="text1"/>
              <w:left w:val="nil"/>
              <w:bottom w:val="single" w:sz="12" w:space="0" w:color="000000" w:themeColor="text1"/>
              <w:right w:val="nil"/>
            </w:tcBorders>
            <w:tcMar>
              <w:top w:w="100" w:type="dxa"/>
              <w:left w:w="100" w:type="dxa"/>
              <w:bottom w:w="100" w:type="dxa"/>
              <w:right w:w="100" w:type="dxa"/>
            </w:tcMar>
          </w:tcPr>
          <w:p w14:paraId="252E3A5E" w14:textId="29E23FEF" w:rsidR="45B4C46D" w:rsidRDefault="45B4C46D" w:rsidP="45B4C46D">
            <w:pPr>
              <w:spacing w:after="0" w:line="240" w:lineRule="auto"/>
            </w:pPr>
            <w:r w:rsidRPr="45B4C46D">
              <w:rPr>
                <w:rFonts w:ascii="Times New Roman" w:eastAsia="Times New Roman" w:hAnsi="Times New Roman" w:cs="Times New Roman"/>
                <w:b/>
                <w:bCs/>
                <w:color w:val="000000" w:themeColor="text1"/>
              </w:rPr>
              <w:t>Description / Meaning</w:t>
            </w:r>
          </w:p>
        </w:tc>
      </w:tr>
      <w:tr w:rsidR="45B4C46D" w14:paraId="4063C516" w14:textId="77777777" w:rsidTr="45B4C46D">
        <w:trPr>
          <w:trHeight w:val="302"/>
        </w:trPr>
        <w:tc>
          <w:tcPr>
            <w:tcW w:w="2378" w:type="dxa"/>
            <w:tcBorders>
              <w:top w:val="single" w:sz="12" w:space="0" w:color="000000" w:themeColor="text1"/>
              <w:left w:val="nil"/>
              <w:bottom w:val="nil"/>
              <w:right w:val="nil"/>
            </w:tcBorders>
            <w:tcMar>
              <w:top w:w="100" w:type="dxa"/>
              <w:left w:w="100" w:type="dxa"/>
              <w:bottom w:w="100" w:type="dxa"/>
              <w:right w:w="100" w:type="dxa"/>
            </w:tcMar>
          </w:tcPr>
          <w:p w14:paraId="3A0DEED1" w14:textId="6DFF7B3D" w:rsidR="45B4C46D" w:rsidRDefault="45B4C46D" w:rsidP="45B4C46D">
            <w:pPr>
              <w:spacing w:after="0" w:line="240" w:lineRule="auto"/>
            </w:pPr>
            <w:r w:rsidRPr="45B4C46D">
              <w:rPr>
                <w:rFonts w:ascii="Times New Roman" w:eastAsia="Times New Roman" w:hAnsi="Times New Roman" w:cs="Times New Roman"/>
              </w:rPr>
              <w:t>0.0 - 0.3 V</w:t>
            </w:r>
          </w:p>
        </w:tc>
        <w:tc>
          <w:tcPr>
            <w:tcW w:w="2141" w:type="dxa"/>
            <w:tcBorders>
              <w:top w:val="single" w:sz="12" w:space="0" w:color="000000" w:themeColor="text1"/>
              <w:left w:val="nil"/>
              <w:bottom w:val="nil"/>
              <w:right w:val="nil"/>
            </w:tcBorders>
            <w:tcMar>
              <w:top w:w="100" w:type="dxa"/>
              <w:left w:w="100" w:type="dxa"/>
              <w:bottom w:w="100" w:type="dxa"/>
              <w:right w:w="100" w:type="dxa"/>
            </w:tcMar>
          </w:tcPr>
          <w:p w14:paraId="7739085C" w14:textId="4F9B265A" w:rsidR="45B4C46D" w:rsidRDefault="45B4C46D" w:rsidP="45B4C46D">
            <w:pPr>
              <w:spacing w:after="0" w:line="240" w:lineRule="auto"/>
            </w:pPr>
            <w:r w:rsidRPr="45B4C46D">
              <w:rPr>
                <w:rFonts w:ascii="Times New Roman" w:eastAsia="Times New Roman" w:hAnsi="Times New Roman" w:cs="Times New Roman"/>
              </w:rPr>
              <w:t>Insufficient</w:t>
            </w:r>
          </w:p>
        </w:tc>
        <w:tc>
          <w:tcPr>
            <w:tcW w:w="6713" w:type="dxa"/>
            <w:tcBorders>
              <w:top w:val="single" w:sz="12" w:space="0" w:color="000000" w:themeColor="text1"/>
              <w:left w:val="nil"/>
              <w:bottom w:val="nil"/>
              <w:right w:val="nil"/>
            </w:tcBorders>
            <w:tcMar>
              <w:top w:w="100" w:type="dxa"/>
              <w:left w:w="100" w:type="dxa"/>
              <w:bottom w:w="100" w:type="dxa"/>
              <w:right w:w="100" w:type="dxa"/>
            </w:tcMar>
          </w:tcPr>
          <w:p w14:paraId="05EF2DEE" w14:textId="34625389" w:rsidR="45B4C46D" w:rsidRDefault="45B4C46D" w:rsidP="45B4C46D">
            <w:pPr>
              <w:spacing w:after="0" w:line="240" w:lineRule="auto"/>
            </w:pPr>
            <w:r w:rsidRPr="45B4C46D">
              <w:rPr>
                <w:rFonts w:ascii="Times New Roman" w:eastAsia="Times New Roman" w:hAnsi="Times New Roman" w:cs="Times New Roman"/>
                <w:i/>
                <w:iCs/>
              </w:rPr>
              <w:t>Inadequate</w:t>
            </w:r>
            <w:r w:rsidRPr="45B4C46D">
              <w:rPr>
                <w:rFonts w:ascii="Times New Roman" w:eastAsia="Times New Roman" w:hAnsi="Times New Roman" w:cs="Times New Roman"/>
              </w:rPr>
              <w:t xml:space="preserve"> for electron flow; indicates high internal resistance or electrolyte exhaustion.</w:t>
            </w:r>
          </w:p>
        </w:tc>
      </w:tr>
      <w:tr w:rsidR="45B4C46D" w14:paraId="7DA3CCA9" w14:textId="77777777" w:rsidTr="45B4C46D">
        <w:trPr>
          <w:trHeight w:val="302"/>
        </w:trPr>
        <w:tc>
          <w:tcPr>
            <w:tcW w:w="2378" w:type="dxa"/>
            <w:tcBorders>
              <w:top w:val="nil"/>
              <w:left w:val="nil"/>
              <w:bottom w:val="nil"/>
              <w:right w:val="nil"/>
            </w:tcBorders>
            <w:tcMar>
              <w:top w:w="100" w:type="dxa"/>
              <w:left w:w="100" w:type="dxa"/>
              <w:bottom w:w="100" w:type="dxa"/>
              <w:right w:w="100" w:type="dxa"/>
            </w:tcMar>
          </w:tcPr>
          <w:p w14:paraId="4E22BD52" w14:textId="5DC92B69" w:rsidR="45B4C46D" w:rsidRDefault="45B4C46D" w:rsidP="45B4C46D">
            <w:pPr>
              <w:spacing w:after="0" w:line="240" w:lineRule="auto"/>
            </w:pPr>
            <w:r w:rsidRPr="45B4C46D">
              <w:rPr>
                <w:rFonts w:ascii="Times New Roman" w:eastAsia="Times New Roman" w:hAnsi="Times New Roman" w:cs="Times New Roman"/>
              </w:rPr>
              <w:lastRenderedPageBreak/>
              <w:t>0.4 - 0.6 V</w:t>
            </w:r>
          </w:p>
        </w:tc>
        <w:tc>
          <w:tcPr>
            <w:tcW w:w="2141" w:type="dxa"/>
            <w:tcBorders>
              <w:top w:val="nil"/>
              <w:left w:val="nil"/>
              <w:bottom w:val="nil"/>
              <w:right w:val="nil"/>
            </w:tcBorders>
            <w:tcMar>
              <w:top w:w="100" w:type="dxa"/>
              <w:left w:w="100" w:type="dxa"/>
              <w:bottom w:w="100" w:type="dxa"/>
              <w:right w:w="100" w:type="dxa"/>
            </w:tcMar>
          </w:tcPr>
          <w:p w14:paraId="3FA0E189" w14:textId="5B2AC54B" w:rsidR="45B4C46D" w:rsidRDefault="45B4C46D" w:rsidP="45B4C46D">
            <w:pPr>
              <w:spacing w:after="0" w:line="240" w:lineRule="auto"/>
            </w:pPr>
            <w:r w:rsidRPr="45B4C46D">
              <w:rPr>
                <w:rFonts w:ascii="Times New Roman" w:eastAsia="Times New Roman" w:hAnsi="Times New Roman" w:cs="Times New Roman"/>
              </w:rPr>
              <w:t>Threshold</w:t>
            </w:r>
          </w:p>
        </w:tc>
        <w:tc>
          <w:tcPr>
            <w:tcW w:w="6713" w:type="dxa"/>
            <w:tcBorders>
              <w:top w:val="nil"/>
              <w:left w:val="nil"/>
              <w:bottom w:val="nil"/>
              <w:right w:val="nil"/>
            </w:tcBorders>
            <w:tcMar>
              <w:top w:w="100" w:type="dxa"/>
              <w:left w:w="100" w:type="dxa"/>
              <w:bottom w:w="100" w:type="dxa"/>
              <w:right w:w="100" w:type="dxa"/>
            </w:tcMar>
          </w:tcPr>
          <w:p w14:paraId="769583EB" w14:textId="17AFBEC4" w:rsidR="45B4C46D" w:rsidRDefault="45B4C46D" w:rsidP="45B4C46D">
            <w:pPr>
              <w:spacing w:after="0" w:line="240" w:lineRule="auto"/>
            </w:pPr>
            <w:r w:rsidRPr="45B4C46D">
              <w:rPr>
                <w:rFonts w:ascii="Times New Roman" w:eastAsia="Times New Roman" w:hAnsi="Times New Roman" w:cs="Times New Roman"/>
                <w:i/>
                <w:iCs/>
              </w:rPr>
              <w:t>Functional</w:t>
            </w:r>
            <w:r w:rsidRPr="45B4C46D">
              <w:rPr>
                <w:rFonts w:ascii="Times New Roman" w:eastAsia="Times New Roman" w:hAnsi="Times New Roman" w:cs="Times New Roman"/>
              </w:rPr>
              <w:t xml:space="preserve"> range for individual </w:t>
            </w:r>
            <w:r w:rsidRPr="45B4C46D">
              <w:rPr>
                <w:rFonts w:ascii="Times New Roman" w:eastAsia="Times New Roman" w:hAnsi="Times New Roman" w:cs="Times New Roman"/>
                <w:b/>
                <w:bCs/>
              </w:rPr>
              <w:t>Sandwich-Method</w:t>
            </w:r>
            <w:r w:rsidRPr="45B4C46D">
              <w:rPr>
                <w:rFonts w:ascii="Times New Roman" w:eastAsia="Times New Roman" w:hAnsi="Times New Roman" w:cs="Times New Roman"/>
              </w:rPr>
              <w:t xml:space="preserve"> cells; indicates successful ion migration but requires series-summation for regulation.</w:t>
            </w:r>
          </w:p>
        </w:tc>
      </w:tr>
      <w:tr w:rsidR="45B4C46D" w14:paraId="31A65404" w14:textId="77777777" w:rsidTr="45B4C46D">
        <w:trPr>
          <w:trHeight w:val="302"/>
        </w:trPr>
        <w:tc>
          <w:tcPr>
            <w:tcW w:w="2378" w:type="dxa"/>
            <w:tcBorders>
              <w:top w:val="nil"/>
              <w:left w:val="nil"/>
              <w:bottom w:val="nil"/>
              <w:right w:val="nil"/>
            </w:tcBorders>
            <w:tcMar>
              <w:top w:w="100" w:type="dxa"/>
              <w:left w:w="100" w:type="dxa"/>
              <w:bottom w:w="100" w:type="dxa"/>
              <w:right w:w="100" w:type="dxa"/>
            </w:tcMar>
          </w:tcPr>
          <w:p w14:paraId="48F9C751" w14:textId="34768D0F" w:rsidR="45B4C46D" w:rsidRDefault="45B4C46D" w:rsidP="45B4C46D">
            <w:pPr>
              <w:spacing w:after="0" w:line="240" w:lineRule="auto"/>
            </w:pPr>
            <w:r w:rsidRPr="45B4C46D">
              <w:rPr>
                <w:rFonts w:ascii="Times New Roman" w:eastAsia="Times New Roman" w:hAnsi="Times New Roman" w:cs="Times New Roman"/>
              </w:rPr>
              <w:t>0.7 - 0.9 V</w:t>
            </w:r>
          </w:p>
        </w:tc>
        <w:tc>
          <w:tcPr>
            <w:tcW w:w="2141" w:type="dxa"/>
            <w:tcBorders>
              <w:top w:val="nil"/>
              <w:left w:val="nil"/>
              <w:bottom w:val="nil"/>
              <w:right w:val="nil"/>
            </w:tcBorders>
            <w:tcMar>
              <w:top w:w="100" w:type="dxa"/>
              <w:left w:w="100" w:type="dxa"/>
              <w:bottom w:w="100" w:type="dxa"/>
              <w:right w:w="100" w:type="dxa"/>
            </w:tcMar>
          </w:tcPr>
          <w:p w14:paraId="60A3D4C2" w14:textId="7C3E6733" w:rsidR="45B4C46D" w:rsidRDefault="45B4C46D" w:rsidP="45B4C46D">
            <w:pPr>
              <w:spacing w:after="0" w:line="240" w:lineRule="auto"/>
            </w:pPr>
            <w:r w:rsidRPr="45B4C46D">
              <w:rPr>
                <w:rFonts w:ascii="Times New Roman" w:eastAsia="Times New Roman" w:hAnsi="Times New Roman" w:cs="Times New Roman"/>
              </w:rPr>
              <w:t>Functional</w:t>
            </w:r>
          </w:p>
        </w:tc>
        <w:tc>
          <w:tcPr>
            <w:tcW w:w="6713" w:type="dxa"/>
            <w:tcBorders>
              <w:top w:val="nil"/>
              <w:left w:val="nil"/>
              <w:bottom w:val="nil"/>
              <w:right w:val="nil"/>
            </w:tcBorders>
            <w:tcMar>
              <w:top w:w="100" w:type="dxa"/>
              <w:left w:w="100" w:type="dxa"/>
              <w:bottom w:w="100" w:type="dxa"/>
              <w:right w:w="100" w:type="dxa"/>
            </w:tcMar>
          </w:tcPr>
          <w:p w14:paraId="3F7950F8" w14:textId="2A77462E" w:rsidR="45B4C46D" w:rsidRDefault="45B4C46D" w:rsidP="45B4C46D">
            <w:pPr>
              <w:spacing w:after="0" w:line="240" w:lineRule="auto"/>
            </w:pPr>
            <w:r w:rsidRPr="45B4C46D">
              <w:rPr>
                <w:rFonts w:ascii="Times New Roman" w:eastAsia="Times New Roman" w:hAnsi="Times New Roman" w:cs="Times New Roman"/>
                <w:i/>
                <w:iCs/>
              </w:rPr>
              <w:t>Ideal range</w:t>
            </w:r>
            <w:r w:rsidRPr="45B4C46D">
              <w:rPr>
                <w:rFonts w:ascii="Times New Roman" w:eastAsia="Times New Roman" w:hAnsi="Times New Roman" w:cs="Times New Roman"/>
              </w:rPr>
              <w:t xml:space="preserve"> for a single Cu-Zn cell under no-load conditions. Represents maximum potential before </w:t>
            </w:r>
            <w:r w:rsidRPr="45B4C46D">
              <w:rPr>
                <w:rFonts w:ascii="Times New Roman" w:eastAsia="Times New Roman" w:hAnsi="Times New Roman" w:cs="Times New Roman"/>
                <w:b/>
                <w:bCs/>
              </w:rPr>
              <w:t>Concentration Polarization</w:t>
            </w:r>
            <w:r w:rsidRPr="45B4C46D">
              <w:rPr>
                <w:rFonts w:ascii="Times New Roman" w:eastAsia="Times New Roman" w:hAnsi="Times New Roman" w:cs="Times New Roman"/>
              </w:rPr>
              <w:t>.</w:t>
            </w:r>
          </w:p>
        </w:tc>
      </w:tr>
      <w:tr w:rsidR="45B4C46D" w14:paraId="682684C3" w14:textId="77777777" w:rsidTr="45B4C46D">
        <w:trPr>
          <w:trHeight w:val="302"/>
        </w:trPr>
        <w:tc>
          <w:tcPr>
            <w:tcW w:w="2378" w:type="dxa"/>
            <w:tcBorders>
              <w:top w:val="nil"/>
              <w:left w:val="nil"/>
              <w:bottom w:val="nil"/>
              <w:right w:val="nil"/>
            </w:tcBorders>
            <w:tcMar>
              <w:top w:w="100" w:type="dxa"/>
              <w:left w:w="100" w:type="dxa"/>
              <w:bottom w:w="100" w:type="dxa"/>
              <w:right w:w="100" w:type="dxa"/>
            </w:tcMar>
          </w:tcPr>
          <w:p w14:paraId="44B123B1" w14:textId="336E1CD7" w:rsidR="45B4C46D" w:rsidRDefault="45B4C46D" w:rsidP="45B4C46D">
            <w:pPr>
              <w:spacing w:after="0" w:line="240" w:lineRule="auto"/>
            </w:pPr>
            <w:r w:rsidRPr="45B4C46D">
              <w:rPr>
                <w:rFonts w:ascii="Times New Roman" w:eastAsia="Times New Roman" w:hAnsi="Times New Roman" w:cs="Times New Roman"/>
                <w:color w:val="000000" w:themeColor="text1"/>
              </w:rPr>
              <w:t>1.0 - 1.2 V</w:t>
            </w:r>
          </w:p>
        </w:tc>
        <w:tc>
          <w:tcPr>
            <w:tcW w:w="2141" w:type="dxa"/>
            <w:tcBorders>
              <w:top w:val="nil"/>
              <w:left w:val="nil"/>
              <w:bottom w:val="nil"/>
              <w:right w:val="nil"/>
            </w:tcBorders>
            <w:tcMar>
              <w:top w:w="100" w:type="dxa"/>
              <w:left w:w="100" w:type="dxa"/>
              <w:bottom w:w="100" w:type="dxa"/>
              <w:right w:w="100" w:type="dxa"/>
            </w:tcMar>
          </w:tcPr>
          <w:p w14:paraId="3EA6FEC8" w14:textId="2DF5E00B" w:rsidR="45B4C46D" w:rsidRDefault="45B4C46D" w:rsidP="45B4C46D">
            <w:pPr>
              <w:spacing w:after="0" w:line="240" w:lineRule="auto"/>
            </w:pPr>
            <w:r w:rsidRPr="45B4C46D">
              <w:rPr>
                <w:rFonts w:ascii="Times New Roman" w:eastAsia="Times New Roman" w:hAnsi="Times New Roman" w:cs="Times New Roman"/>
              </w:rPr>
              <w:t>Optimal</w:t>
            </w:r>
          </w:p>
        </w:tc>
        <w:tc>
          <w:tcPr>
            <w:tcW w:w="6713" w:type="dxa"/>
            <w:tcBorders>
              <w:top w:val="nil"/>
              <w:left w:val="nil"/>
              <w:bottom w:val="nil"/>
              <w:right w:val="nil"/>
            </w:tcBorders>
            <w:tcMar>
              <w:top w:w="100" w:type="dxa"/>
              <w:left w:w="100" w:type="dxa"/>
              <w:bottom w:w="100" w:type="dxa"/>
              <w:right w:w="100" w:type="dxa"/>
            </w:tcMar>
          </w:tcPr>
          <w:p w14:paraId="3358D975" w14:textId="43D38DC9" w:rsidR="45B4C46D" w:rsidRDefault="45B4C46D" w:rsidP="45B4C46D">
            <w:pPr>
              <w:spacing w:after="0" w:line="240" w:lineRule="auto"/>
            </w:pPr>
            <w:r w:rsidRPr="45B4C46D">
              <w:rPr>
                <w:rFonts w:ascii="Times New Roman" w:eastAsia="Times New Roman" w:hAnsi="Times New Roman" w:cs="Times New Roman"/>
              </w:rPr>
              <w:t xml:space="preserve">Approaching the theoretical maximum potential. Indicates </w:t>
            </w:r>
            <w:r w:rsidRPr="45B4C46D">
              <w:rPr>
                <w:rFonts w:ascii="Times New Roman" w:eastAsia="Times New Roman" w:hAnsi="Times New Roman" w:cs="Times New Roman"/>
                <w:i/>
                <w:iCs/>
              </w:rPr>
              <w:t>peak ionic mobilit</w:t>
            </w:r>
            <w:r w:rsidRPr="45B4C46D">
              <w:rPr>
                <w:rFonts w:ascii="Times New Roman" w:eastAsia="Times New Roman" w:hAnsi="Times New Roman" w:cs="Times New Roman"/>
              </w:rPr>
              <w:t xml:space="preserve">y and </w:t>
            </w:r>
            <w:r w:rsidRPr="45B4C46D">
              <w:rPr>
                <w:rFonts w:ascii="Times New Roman" w:eastAsia="Times New Roman" w:hAnsi="Times New Roman" w:cs="Times New Roman"/>
                <w:i/>
                <w:iCs/>
              </w:rPr>
              <w:t>high-purity electrode surfaces</w:t>
            </w:r>
            <w:r w:rsidRPr="45B4C46D">
              <w:rPr>
                <w:rFonts w:ascii="Times New Roman" w:eastAsia="Times New Roman" w:hAnsi="Times New Roman" w:cs="Times New Roman"/>
              </w:rPr>
              <w:t>.</w:t>
            </w:r>
          </w:p>
        </w:tc>
      </w:tr>
      <w:tr w:rsidR="45B4C46D" w14:paraId="291A2F97" w14:textId="77777777" w:rsidTr="45B4C46D">
        <w:trPr>
          <w:trHeight w:val="302"/>
        </w:trPr>
        <w:tc>
          <w:tcPr>
            <w:tcW w:w="2378" w:type="dxa"/>
            <w:tcBorders>
              <w:top w:val="nil"/>
              <w:left w:val="nil"/>
              <w:bottom w:val="single" w:sz="12" w:space="0" w:color="000000" w:themeColor="text1"/>
              <w:right w:val="nil"/>
            </w:tcBorders>
            <w:tcMar>
              <w:top w:w="100" w:type="dxa"/>
              <w:left w:w="100" w:type="dxa"/>
              <w:bottom w:w="100" w:type="dxa"/>
              <w:right w:w="100" w:type="dxa"/>
            </w:tcMar>
          </w:tcPr>
          <w:p w14:paraId="2D1DA87F" w14:textId="685F75FF" w:rsidR="45B4C46D" w:rsidRDefault="45B4C46D" w:rsidP="45B4C46D">
            <w:pPr>
              <w:spacing w:after="0" w:line="240" w:lineRule="auto"/>
            </w:pPr>
            <w:r w:rsidRPr="45B4C46D">
              <w:rPr>
                <w:rFonts w:ascii="Times New Roman" w:eastAsia="Times New Roman" w:hAnsi="Times New Roman" w:cs="Times New Roman"/>
                <w:color w:val="000000" w:themeColor="text1"/>
              </w:rPr>
              <w:t>&gt; 1.5 V</w:t>
            </w:r>
          </w:p>
        </w:tc>
        <w:tc>
          <w:tcPr>
            <w:tcW w:w="2141" w:type="dxa"/>
            <w:tcBorders>
              <w:top w:val="nil"/>
              <w:left w:val="nil"/>
              <w:bottom w:val="single" w:sz="12" w:space="0" w:color="000000" w:themeColor="text1"/>
              <w:right w:val="nil"/>
            </w:tcBorders>
            <w:tcMar>
              <w:top w:w="100" w:type="dxa"/>
              <w:left w:w="100" w:type="dxa"/>
              <w:bottom w:w="100" w:type="dxa"/>
              <w:right w:w="100" w:type="dxa"/>
            </w:tcMar>
          </w:tcPr>
          <w:p w14:paraId="62EBFFB7" w14:textId="332AACAC" w:rsidR="45B4C46D" w:rsidRDefault="45B4C46D" w:rsidP="45B4C46D">
            <w:pPr>
              <w:spacing w:after="0" w:line="240" w:lineRule="auto"/>
            </w:pPr>
            <w:r w:rsidRPr="45B4C46D">
              <w:rPr>
                <w:rFonts w:ascii="Times New Roman" w:eastAsia="Times New Roman" w:hAnsi="Times New Roman" w:cs="Times New Roman"/>
              </w:rPr>
              <w:t>Standard Equivalent</w:t>
            </w:r>
          </w:p>
        </w:tc>
        <w:tc>
          <w:tcPr>
            <w:tcW w:w="6713" w:type="dxa"/>
            <w:tcBorders>
              <w:top w:val="nil"/>
              <w:left w:val="nil"/>
              <w:bottom w:val="single" w:sz="12" w:space="0" w:color="000000" w:themeColor="text1"/>
              <w:right w:val="nil"/>
            </w:tcBorders>
            <w:tcMar>
              <w:top w:w="100" w:type="dxa"/>
              <w:left w:w="100" w:type="dxa"/>
              <w:bottom w:w="100" w:type="dxa"/>
              <w:right w:w="100" w:type="dxa"/>
            </w:tcMar>
          </w:tcPr>
          <w:p w14:paraId="4B938299" w14:textId="7101E1C6" w:rsidR="45B4C46D" w:rsidRDefault="45B4C46D" w:rsidP="45B4C46D">
            <w:pPr>
              <w:spacing w:after="0" w:line="240" w:lineRule="auto"/>
            </w:pPr>
            <w:r w:rsidRPr="45B4C46D">
              <w:rPr>
                <w:rFonts w:ascii="Times New Roman" w:eastAsia="Times New Roman" w:hAnsi="Times New Roman" w:cs="Times New Roman"/>
              </w:rPr>
              <w:t xml:space="preserve">The critical threshold required to trigger the </w:t>
            </w:r>
            <w:r w:rsidRPr="45B4C46D">
              <w:rPr>
                <w:rFonts w:ascii="Times New Roman" w:eastAsia="Times New Roman" w:hAnsi="Times New Roman" w:cs="Times New Roman"/>
                <w:b/>
                <w:bCs/>
              </w:rPr>
              <w:t>XH-M411 Boost Converter</w:t>
            </w:r>
            <w:r w:rsidRPr="45B4C46D">
              <w:rPr>
                <w:rFonts w:ascii="Times New Roman" w:eastAsia="Times New Roman" w:hAnsi="Times New Roman" w:cs="Times New Roman"/>
              </w:rPr>
              <w:t>; achieved through a 12-cell series configuration.</w:t>
            </w:r>
          </w:p>
        </w:tc>
      </w:tr>
    </w:tbl>
    <w:p w14:paraId="0FFF68FE" w14:textId="595848D0" w:rsidR="0F61DA18" w:rsidRDefault="0F61DA18" w:rsidP="45B4C46D">
      <w:pPr>
        <w:spacing w:after="240" w:line="240" w:lineRule="auto"/>
        <w:jc w:val="both"/>
        <w:rPr>
          <w:rFonts w:ascii="Times New Roman" w:eastAsia="Times New Roman" w:hAnsi="Times New Roman" w:cs="Times New Roman"/>
          <w:b/>
          <w:bCs/>
          <w:sz w:val="28"/>
          <w:szCs w:val="28"/>
        </w:rPr>
      </w:pPr>
      <w:r w:rsidRPr="45B4C46D">
        <w:rPr>
          <w:rFonts w:ascii="Times New Roman" w:eastAsia="Times New Roman" w:hAnsi="Times New Roman" w:cs="Times New Roman"/>
          <w:b/>
          <w:bCs/>
          <w:sz w:val="28"/>
          <w:szCs w:val="28"/>
        </w:rPr>
        <w:t>RESULTS</w:t>
      </w:r>
    </w:p>
    <w:p w14:paraId="511C0672" w14:textId="53378A8A" w:rsidR="7BF59A3E" w:rsidRDefault="7BF59A3E" w:rsidP="45B4C46D">
      <w:pPr>
        <w:spacing w:after="240" w:line="240" w:lineRule="auto"/>
        <w:jc w:val="both"/>
        <w:rPr>
          <w:rFonts w:ascii="Times New Roman" w:eastAsia="Times New Roman" w:hAnsi="Times New Roman" w:cs="Times New Roman"/>
        </w:rPr>
      </w:pPr>
      <w:r w:rsidRPr="45B4C46D">
        <w:rPr>
          <w:rFonts w:ascii="Times New Roman" w:eastAsia="Times New Roman" w:hAnsi="Times New Roman" w:cs="Times New Roman"/>
        </w:rPr>
        <w:t xml:space="preserve">A significant performance gap was recorded between the standalone cell blocks and the scaled series network. An individual multi-laminate cell block produced a highly stable mean OCV of 0.845 V, placing it within the functional tier. This aligns with localized baseline data gathered from low-complexity primary saline cells (Cañete, 2024). When scaled sequentially into an integrated series circuit to overcome single-cell voltage depression, the architecture validated additive electromotive force (EMF) </w:t>
      </w:r>
      <w:r w:rsidR="5DF5E688" w:rsidRPr="45B4C46D">
        <w:rPr>
          <w:rFonts w:ascii="Times New Roman" w:eastAsia="Times New Roman" w:hAnsi="Times New Roman" w:cs="Times New Roman"/>
        </w:rPr>
        <w:t>laws</w:t>
      </w:r>
      <w:r w:rsidRPr="45B4C46D">
        <w:rPr>
          <w:rFonts w:ascii="Times New Roman" w:eastAsia="Times New Roman" w:hAnsi="Times New Roman" w:cs="Times New Roman"/>
        </w:rPr>
        <w:t>. A localized 3-cell configuration registered a stable intermediate baseline of 2.45 V.</w:t>
      </w:r>
    </w:p>
    <w:p w14:paraId="21882538" w14:textId="330A13BA" w:rsidR="7BF59A3E" w:rsidRDefault="7BF59A3E" w:rsidP="45B4C46D">
      <w:pPr>
        <w:spacing w:after="240" w:line="240" w:lineRule="auto"/>
        <w:jc w:val="both"/>
        <w:rPr>
          <w:rFonts w:ascii="Times New Roman" w:eastAsia="Times New Roman" w:hAnsi="Times New Roman" w:cs="Times New Roman"/>
          <w:color w:val="000000" w:themeColor="text1"/>
        </w:rPr>
      </w:pPr>
      <w:r w:rsidRPr="45B4C46D">
        <w:rPr>
          <w:rFonts w:ascii="Times New Roman" w:eastAsia="Times New Roman" w:hAnsi="Times New Roman" w:cs="Times New Roman"/>
        </w:rPr>
        <w:t>Ultimately, the fully integrated 12-cell series array generated a cumulative experimental raw potential of 9.6 V under zero-load conditions. While this sits below the absolute theoretical additive value of 13.20 V due to connection resistance and material imperfections, it successfully clears the minimum system operational criteria</w:t>
      </w:r>
      <w:r w:rsidR="61E8275D" w:rsidRPr="45B4C46D">
        <w:rPr>
          <w:rFonts w:ascii="Times New Roman" w:eastAsia="Times New Roman" w:hAnsi="Times New Roman" w:cs="Times New Roman"/>
          <w:color w:val="000000" w:themeColor="text1"/>
        </w:rPr>
        <w:t>.</w:t>
      </w:r>
    </w:p>
    <w:p w14:paraId="52057C90" w14:textId="2F98BD41" w:rsidR="44D77365" w:rsidRDefault="44D77365" w:rsidP="45B4C46D">
      <w:pPr>
        <w:spacing w:after="240" w:line="240" w:lineRule="auto"/>
        <w:jc w:val="both"/>
        <w:rPr>
          <w:rFonts w:ascii="Times New Roman" w:eastAsia="Times New Roman" w:hAnsi="Times New Roman" w:cs="Times New Roman"/>
          <w:b/>
          <w:bCs/>
          <w:sz w:val="28"/>
          <w:szCs w:val="28"/>
        </w:rPr>
      </w:pPr>
      <w:r w:rsidRPr="45B4C46D">
        <w:rPr>
          <w:rFonts w:ascii="Times New Roman" w:eastAsia="Times New Roman" w:hAnsi="Times New Roman" w:cs="Times New Roman"/>
          <w:b/>
          <w:bCs/>
          <w:sz w:val="28"/>
          <w:szCs w:val="28"/>
        </w:rPr>
        <w:t>DISCUSSI</w:t>
      </w:r>
      <w:r w:rsidR="656302F2" w:rsidRPr="45B4C46D">
        <w:rPr>
          <w:rFonts w:ascii="Times New Roman" w:eastAsia="Times New Roman" w:hAnsi="Times New Roman" w:cs="Times New Roman"/>
          <w:b/>
          <w:bCs/>
          <w:sz w:val="28"/>
          <w:szCs w:val="28"/>
        </w:rPr>
        <w:t>ON</w:t>
      </w:r>
    </w:p>
    <w:p w14:paraId="29535D0E" w14:textId="3DFDF76E" w:rsidR="742E9FD6" w:rsidRDefault="742E9FD6" w:rsidP="45B4C46D">
      <w:pPr>
        <w:spacing w:after="240" w:line="240" w:lineRule="auto"/>
        <w:jc w:val="both"/>
        <w:rPr>
          <w:rFonts w:ascii="Times New Roman" w:eastAsia="Times New Roman" w:hAnsi="Times New Roman" w:cs="Times New Roman"/>
        </w:rPr>
      </w:pPr>
      <w:r w:rsidRPr="45B4C46D">
        <w:rPr>
          <w:rFonts w:ascii="Times New Roman" w:eastAsia="Times New Roman" w:hAnsi="Times New Roman" w:cs="Times New Roman"/>
        </w:rPr>
        <w:t xml:space="preserve">A single cell block output of 0.845 V cannot power external hardware because it falls far below the 4.0 V startup threshold required by the XH-M411 boost converter. Under active load, immediate ohmic losses (IR) across the cellulose separators worsen this power deficiency. While microporous cellulose matrices offer exceptional safety and eco-friendly structural advantages in modern battery design, their tight transport pathways can restrict rapid ion transport compared to bulk liquid systems under heavy draw (Chen et al., 2024). Closing the circuit further exacerbates these kinetic limits by triggering severe concentration polarization and rapid anodic passivation. During active testing, </w:t>
      </w:r>
      <w:r w:rsidR="5FD06A3D" w:rsidRPr="45B4C46D">
        <w:rPr>
          <w:rFonts w:ascii="Times New Roman" w:eastAsia="Times New Roman" w:hAnsi="Times New Roman" w:cs="Times New Roman"/>
          <w:color w:val="000000" w:themeColor="text1"/>
        </w:rPr>
        <w:t>Zn</w:t>
      </w:r>
      <w:r w:rsidR="5FD06A3D" w:rsidRPr="45B4C46D">
        <w:rPr>
          <w:rFonts w:ascii="Times New Roman" w:eastAsia="Times New Roman" w:hAnsi="Times New Roman" w:cs="Times New Roman"/>
          <w:color w:val="000000" w:themeColor="text1"/>
          <w:vertAlign w:val="superscript"/>
        </w:rPr>
        <w:t>2+</w:t>
      </w:r>
      <w:r w:rsidRPr="45B4C46D">
        <w:rPr>
          <w:rFonts w:ascii="Times New Roman" w:eastAsia="Times New Roman" w:hAnsi="Times New Roman" w:cs="Times New Roman"/>
        </w:rPr>
        <w:t xml:space="preserve"> ions accumulate at the anode interface faster than they can diffuse outward, while non-conductive zinc oxide (ZnO) passivation layers precipitate directly onto the active metallic sites of the anode (Bockelmann et al., 2017). This insulating layer electronically isolates the reactive surface area, driving a swift voltage sag.</w:t>
      </w:r>
    </w:p>
    <w:p w14:paraId="12848AD4" w14:textId="1EFF73FC" w:rsidR="742E9FD6" w:rsidRDefault="742E9FD6" w:rsidP="45B4C46D">
      <w:pPr>
        <w:spacing w:after="240" w:line="240" w:lineRule="auto"/>
        <w:jc w:val="both"/>
        <w:rPr>
          <w:rFonts w:ascii="Times New Roman" w:eastAsia="Times New Roman" w:hAnsi="Times New Roman" w:cs="Times New Roman"/>
        </w:rPr>
      </w:pPr>
      <w:r w:rsidRPr="45B4C46D">
        <w:rPr>
          <w:rFonts w:ascii="Times New Roman" w:eastAsia="Times New Roman" w:hAnsi="Times New Roman" w:cs="Times New Roman"/>
        </w:rPr>
        <w:t>The 12-cell series array overcomes these fundamental limitations by establishing an elevated 9.6 V raw potential buffer. Although immediate polarization and passivation drop the working voltage during active testing, the array's cumulative output stays safely above the converter's critical 4.0 V activation floor. This allows the downstream power electronics to continuously step up and stabilize the fluctuating chemical energy into a steady, uniform 5.0 V USB output capable of running low-consumption electronics like earpods.</w:t>
      </w:r>
    </w:p>
    <w:p w14:paraId="17A45D16" w14:textId="7082C832" w:rsidR="742E9FD6" w:rsidRDefault="742E9FD6" w:rsidP="45B4C46D">
      <w:pPr>
        <w:spacing w:after="240" w:line="240" w:lineRule="auto"/>
        <w:jc w:val="both"/>
        <w:rPr>
          <w:rFonts w:ascii="Times New Roman" w:eastAsia="Times New Roman" w:hAnsi="Times New Roman" w:cs="Times New Roman"/>
        </w:rPr>
      </w:pPr>
      <w:r w:rsidRPr="45B4C46D">
        <w:rPr>
          <w:rFonts w:ascii="Times New Roman" w:eastAsia="Times New Roman" w:hAnsi="Times New Roman" w:cs="Times New Roman"/>
        </w:rPr>
        <w:t>From an applied engineering perspective, this architecture fulfills the mandates of United Nations Sustainable Development Goal 7 (SDG 7: Affordable and Clean Energy) (United Nations, 2015). By utilizing an accessible, paper-based configuration optimized for resource-limited environments, this setup circumvents complex global lithium-ion mineral supply chains and thermal runaway risks (Fraiwan et al., 2016). Ultimately, it serves as a resilient, "cold-start" emergency utility, proving that decentralized electricity can be harvested sustainably from common, locally sourced materials.</w:t>
      </w:r>
    </w:p>
    <w:p w14:paraId="5C2D8BCF" w14:textId="4330C1DE" w:rsidR="24D503BA" w:rsidRDefault="24D503BA" w:rsidP="45B4C46D">
      <w:pPr>
        <w:pStyle w:val="Heading2"/>
        <w:spacing w:before="0" w:after="299" w:line="240" w:lineRule="auto"/>
        <w:jc w:val="both"/>
        <w:rPr>
          <w:rFonts w:ascii="Times New Roman" w:eastAsia="Times New Roman" w:hAnsi="Times New Roman" w:cs="Times New Roman"/>
          <w:b/>
          <w:bCs/>
          <w:color w:val="auto"/>
          <w:sz w:val="28"/>
          <w:szCs w:val="28"/>
        </w:rPr>
      </w:pPr>
      <w:r w:rsidRPr="45B4C46D">
        <w:rPr>
          <w:rFonts w:ascii="Times New Roman" w:eastAsia="Times New Roman" w:hAnsi="Times New Roman" w:cs="Times New Roman"/>
          <w:b/>
          <w:bCs/>
          <w:color w:val="auto"/>
          <w:sz w:val="28"/>
          <w:szCs w:val="28"/>
        </w:rPr>
        <w:lastRenderedPageBreak/>
        <w:t>CONCLUSION</w:t>
      </w:r>
    </w:p>
    <w:p w14:paraId="75F57B98" w14:textId="31DED0CD" w:rsidR="22E1A02F" w:rsidRDefault="22E1A02F" w:rsidP="45B4C46D">
      <w:pPr>
        <w:spacing w:after="240" w:line="240" w:lineRule="auto"/>
        <w:jc w:val="both"/>
      </w:pPr>
      <w:r w:rsidRPr="45B4C46D">
        <w:rPr>
          <w:rFonts w:ascii="Times New Roman" w:eastAsia="Times New Roman" w:hAnsi="Times New Roman" w:cs="Times New Roman"/>
        </w:rPr>
        <w:t>This study validates a value-engineered framework for converting low-cost consumer materials into a functional emergency power source. The compressed, multi-laminate design successfully minimizes internal ohmic paths, yielding a robust 0.845 V baseline per cell block. Although chemical polarization and zinc anode passivation induce rapid voltage sag under active loads, scaling the architecture to a 12-cell series configuration generates a cumulative 9.6 V baseline buffer. This elevated potential provides the necessary electrical headroom to drive an integrated DC-DC boost converter above its 4.0 V activation floor, successfully delivering a regulated, steady 5.0 V USB output. Ultimately, this architecture offers a highly accessible, minimal-infrastructure solution for decentralized energy deployment in disaster-response and resource-constrained environments.</w:t>
      </w:r>
    </w:p>
    <w:p w14:paraId="6A1BE258" w14:textId="2736C2FC" w:rsidR="03A32E3E" w:rsidRDefault="03A32E3E" w:rsidP="45B4C46D">
      <w:pPr>
        <w:spacing w:before="240" w:after="240" w:line="240" w:lineRule="auto"/>
        <w:jc w:val="both"/>
        <w:rPr>
          <w:rFonts w:ascii="Times New Roman" w:eastAsia="Times New Roman" w:hAnsi="Times New Roman" w:cs="Times New Roman"/>
          <w:b/>
          <w:bCs/>
          <w:sz w:val="28"/>
          <w:szCs w:val="28"/>
        </w:rPr>
      </w:pPr>
      <w:r w:rsidRPr="45B4C46D">
        <w:rPr>
          <w:rFonts w:ascii="Times New Roman" w:eastAsia="Times New Roman" w:hAnsi="Times New Roman" w:cs="Times New Roman"/>
          <w:b/>
          <w:bCs/>
          <w:sz w:val="28"/>
          <w:szCs w:val="28"/>
        </w:rPr>
        <w:t>REFERENCES</w:t>
      </w:r>
    </w:p>
    <w:p w14:paraId="5AE4974F" w14:textId="6DC1457D"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 xml:space="preserve">Abdelrazek, A., et al. (2023). Corrosion dynamics and interfacial degradation of zinc anodes in high-salinity primary cells. Journal of Materials Engineering and Performance, 32(4), 1845–1856. </w:t>
      </w:r>
      <w:hyperlink r:id="rId7">
        <w:r w:rsidRPr="45B4C46D">
          <w:rPr>
            <w:rFonts w:ascii="Times New Roman" w:eastAsia="Times New Roman" w:hAnsi="Times New Roman" w:cs="Times New Roman"/>
          </w:rPr>
          <w:t>https://doi.org/10.1007/s11668-023-01612-w</w:t>
        </w:r>
      </w:hyperlink>
    </w:p>
    <w:p w14:paraId="7B7FBF36" w14:textId="38D0E85C"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 xml:space="preserve">Anwar, D., Papia, T., Purnomo, H., &amp; Darmawan, P. D. (2025). Design and performance testing of seawater batteries as renewable energy for marine boat lights. International Journal of Recent Technology and Applied Science, 7(1), 26–32. </w:t>
      </w:r>
      <w:hyperlink r:id="rId8">
        <w:r w:rsidRPr="45B4C46D">
          <w:rPr>
            <w:rFonts w:ascii="Times New Roman" w:eastAsia="Times New Roman" w:hAnsi="Times New Roman" w:cs="Times New Roman"/>
          </w:rPr>
          <w:t>https://doi.org/10.36079/lamintang.ijortas-0701.773</w:t>
        </w:r>
      </w:hyperlink>
    </w:p>
    <w:p w14:paraId="545260BE" w14:textId="781FEEFD"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 xml:space="preserve">Arnold, S., et al. (2022). NASICON membranes for multi-functional aqueous saline energy storage configurations. Membrane Science Letters, 44(2), 112–125. </w:t>
      </w:r>
      <w:hyperlink r:id="rId9">
        <w:r w:rsidRPr="45B4C46D">
          <w:rPr>
            <w:rFonts w:ascii="Times New Roman" w:eastAsia="Times New Roman" w:hAnsi="Times New Roman" w:cs="Times New Roman"/>
          </w:rPr>
          <w:t>https://doi.org/10.1016/j.memsci.2022.112104</w:t>
        </w:r>
      </w:hyperlink>
    </w:p>
    <w:p w14:paraId="19E18F68" w14:textId="400111BB"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Atkins, P., &amp; de Paula, J. (2006). Atkins' Physical Chemistry (8th ed.). Oxford University Press.</w:t>
      </w:r>
    </w:p>
    <w:p w14:paraId="1240CDCB" w14:textId="360F3F5A"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Bard, A. J., &amp; Faulkner, L. R. (2001). Electrochemical Methods: Fundamentals and Applications (2nd ed.). John Wiley &amp; Sons.</w:t>
      </w:r>
    </w:p>
    <w:p w14:paraId="6DEBA7E1" w14:textId="659CC656"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 xml:space="preserve">Bazargan, A., et al. (2021). Long-term galvanic corrosion profiles of non-isolated base metals in commercial sodium chloride environments. Corrosion Science Review, 169, 109–121. </w:t>
      </w:r>
      <w:hyperlink r:id="rId10">
        <w:r w:rsidRPr="45B4C46D">
          <w:rPr>
            <w:rFonts w:ascii="Times New Roman" w:eastAsia="Times New Roman" w:hAnsi="Times New Roman" w:cs="Times New Roman"/>
          </w:rPr>
          <w:t>https://doi.org/10.1016/j.corsci.2021.109121</w:t>
        </w:r>
      </w:hyperlink>
    </w:p>
    <w:p w14:paraId="49163563" w14:textId="075B850A"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 xml:space="preserve">Bockelmann, M., Reining, L., Kunz, U., &amp; Turek, T. (2017). Electrochemical characterization and mathematical modeling of zinc passivation in alkaline solutions: A review. Electrochimica Acta, 237, 276–298. </w:t>
      </w:r>
      <w:hyperlink r:id="rId11">
        <w:r w:rsidRPr="45B4C46D">
          <w:rPr>
            <w:rFonts w:ascii="Times New Roman" w:eastAsia="Times New Roman" w:hAnsi="Times New Roman" w:cs="Times New Roman"/>
          </w:rPr>
          <w:t>https://doi.org/10.1016/j.electacta.2017.03.143</w:t>
        </w:r>
      </w:hyperlink>
    </w:p>
    <w:p w14:paraId="726B6E1D" w14:textId="24D4BABF"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 xml:space="preserve">Cañete, L. A. R. (2024). A comparison of the performance of saltwater electrolytic cell battery with zinc-copper and aluminum-copper electrodes. International Research Journal of Pure and Applied Chemistry, 25(1), 1–21. </w:t>
      </w:r>
      <w:hyperlink r:id="rId12">
        <w:r w:rsidRPr="45B4C46D">
          <w:rPr>
            <w:rFonts w:ascii="Times New Roman" w:eastAsia="Times New Roman" w:hAnsi="Times New Roman" w:cs="Times New Roman"/>
          </w:rPr>
          <w:t>https://doi.org/10.9734/irjpac/2024/v25i1841</w:t>
        </w:r>
      </w:hyperlink>
    </w:p>
    <w:p w14:paraId="22928BCC" w14:textId="654ACCB3"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 xml:space="preserve">Chen, J., Sun, L., Wang, K., &amp; Zhang, Y. (2024). Research and applications of rechargeable seawater battery. Journal of Energy Storage, 76, 109659. </w:t>
      </w:r>
      <w:hyperlink r:id="rId13">
        <w:r w:rsidRPr="45B4C46D">
          <w:rPr>
            <w:rFonts w:ascii="Times New Roman" w:eastAsia="Times New Roman" w:hAnsi="Times New Roman" w:cs="Times New Roman"/>
          </w:rPr>
          <w:t>https://doi.org/10.1016/j.est.2023.109659</w:t>
        </w:r>
      </w:hyperlink>
    </w:p>
    <w:p w14:paraId="00777A70" w14:textId="0303360C"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 xml:space="preserve">Chen, J., et al. (2023). Progress and applications of seawater-activated batteries. Sustainability, 15(2), 1635. </w:t>
      </w:r>
      <w:hyperlink r:id="rId14">
        <w:r w:rsidRPr="45B4C46D">
          <w:rPr>
            <w:rFonts w:ascii="Times New Roman" w:eastAsia="Times New Roman" w:hAnsi="Times New Roman" w:cs="Times New Roman"/>
          </w:rPr>
          <w:t>https://doi.org/10.3390/su15021635</w:t>
        </w:r>
      </w:hyperlink>
    </w:p>
    <w:p w14:paraId="294AA405" w14:textId="0F2F0BFD"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Creswell, J. W., &amp; Creswell, J. D. (2023). Research Design: Qualitative, Quantitative, and Mixed Methods Approaches (6th ed.). SAGE Publications.</w:t>
      </w:r>
    </w:p>
    <w:p w14:paraId="469397B7" w14:textId="7E46B0EE"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Da Rosa, A. (2013). Daniell Cell - an overview. ScienceDirect Engineering Review, 14(2), 44–51.</w:t>
      </w:r>
    </w:p>
    <w:p w14:paraId="536687F6" w14:textId="7EE83F9C"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Exploratorium. (2024). The Saltwater Pentacell: Geometric maximization of primary aqueous current densities. Exploratorium Science Tech Documents, 112(3), 45–49.</w:t>
      </w:r>
    </w:p>
    <w:p w14:paraId="76FC7E22" w14:textId="1EDF6764"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 xml:space="preserve">Fraiwan, A., Kwan, L., &amp; Choi, S. (2016). A disposable power source in resource-limited environments: A paper-based biobattery generating electricity from wastewater. Biosensors and Bioelectronics, 85, 190–197. </w:t>
      </w:r>
      <w:hyperlink r:id="rId15">
        <w:r w:rsidRPr="45B4C46D">
          <w:rPr>
            <w:rFonts w:ascii="Times New Roman" w:eastAsia="Times New Roman" w:hAnsi="Times New Roman" w:cs="Times New Roman"/>
          </w:rPr>
          <w:t>https://doi.org/10.1016/j.bios.2016.05.022</w:t>
        </w:r>
      </w:hyperlink>
    </w:p>
    <w:p w14:paraId="09EF0019" w14:textId="47D8DAE5"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 xml:space="preserve">Gomez Vazquez, D., Ingenmey, J., Trapp, K., Ciliak, D., Salanne, M., &amp; Lukatskaya, M. R. (2025). Extended stability window in water-in-salt electrolytes: Understanding the origins. Journal of the American Chemical Society, 147(39), 35953–35961. </w:t>
      </w:r>
      <w:hyperlink r:id="rId16">
        <w:r w:rsidRPr="45B4C46D">
          <w:rPr>
            <w:rFonts w:ascii="Times New Roman" w:eastAsia="Times New Roman" w:hAnsi="Times New Roman" w:cs="Times New Roman"/>
          </w:rPr>
          <w:t>https://doi.org/10.1021/jacs.5c12989</w:t>
        </w:r>
      </w:hyperlink>
    </w:p>
    <w:p w14:paraId="664D6764" w14:textId="1A3A976F"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lastRenderedPageBreak/>
        <w:t xml:space="preserve">Hwang, S. M., Park, J., Kim, Y., Go, W., Han, J., Kim, Y., &amp; Kim, Y. (2018). Rechargeable seawater batteries—From concept to applications. Advanced Materials, 31(20), 1804936. </w:t>
      </w:r>
      <w:hyperlink r:id="rId17">
        <w:r w:rsidRPr="45B4C46D">
          <w:rPr>
            <w:rFonts w:ascii="Times New Roman" w:eastAsia="Times New Roman" w:hAnsi="Times New Roman" w:cs="Times New Roman"/>
          </w:rPr>
          <w:t>https://doi.org/10.1002/adma.201804936</w:t>
        </w:r>
      </w:hyperlink>
    </w:p>
    <w:p w14:paraId="6084DAE6" w14:textId="0265A544"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Lark Scientific. (2025). Electrolytic pH fluctuations and secondary gas pathways in open-system saline media. Lark Technical Reports, 88(14), 214–222.</w:t>
      </w:r>
    </w:p>
    <w:p w14:paraId="7BB760BB" w14:textId="74A0A1C7"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LibreTexts. (2024). Polarization boundaries and insulating gas envelopes in un-agitated primary cells. Chemistry LibreTexts OER, 412, 560–565.</w:t>
      </w:r>
    </w:p>
    <w:p w14:paraId="732D9625" w14:textId="6B612979"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 xml:space="preserve">Lionetto, F., Arianpouya, N., Bozzini, B., Maffezzoli, A., Nematollahi, M., &amp; Mele, C. (2024). Advances in zinc-ion structural batteries. Journal of Energy Storage, 84, 110849. </w:t>
      </w:r>
      <w:hyperlink r:id="rId18">
        <w:r w:rsidRPr="45B4C46D">
          <w:rPr>
            <w:rFonts w:ascii="Times New Roman" w:eastAsia="Times New Roman" w:hAnsi="Times New Roman" w:cs="Times New Roman"/>
          </w:rPr>
          <w:t>https://doi.org/10.1016/j.est.2024.110849</w:t>
        </w:r>
      </w:hyperlink>
    </w:p>
    <w:p w14:paraId="5531F5EC" w14:textId="6F87F086"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Mcleod, S. (2023). Experimental design: Types, examples &amp; methods. Simply Psychology, 12(4), 14–22.</w:t>
      </w:r>
    </w:p>
    <w:p w14:paraId="3F950064" w14:textId="075D1C9C"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 xml:space="preserve">Montgomery, D. C. (2020). Design and Analysis of Experiments (10th ed.). Wiley. </w:t>
      </w:r>
    </w:p>
    <w:p w14:paraId="13EAD603" w14:textId="3B87FDB2"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National High Magnetic Field Laboratory. (2025). Voltaic Pile – 1800. Magnet Academy History Archive, 19(2), 101–105.</w:t>
      </w:r>
    </w:p>
    <w:p w14:paraId="16E423A2" w14:textId="23D25622"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Nurohmah, S., et al. (2022). Value analysis and economic margins of sodium chloride transformations for decentralized stationary arrays. Indonesian Journal of Electrochemical Innovation, 14(3), 132–144.</w:t>
      </w:r>
    </w:p>
    <w:p w14:paraId="049C95F6" w14:textId="6B53F31D"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Pauzi, G. A. S., et al. (2023). Electrochemical performance of galvanic cell with silver coated cathode in one compartment system using seawater as electrolyte. Sciene and</w:t>
      </w:r>
      <w:r w:rsidR="61A5C037" w:rsidRPr="45B4C46D">
        <w:rPr>
          <w:rFonts w:ascii="Times New Roman" w:eastAsia="Times New Roman" w:hAnsi="Times New Roman" w:cs="Times New Roman"/>
        </w:rPr>
        <w:t xml:space="preserve"> </w:t>
      </w:r>
      <w:r w:rsidRPr="45B4C46D">
        <w:rPr>
          <w:rFonts w:ascii="Times New Roman" w:eastAsia="Times New Roman" w:hAnsi="Times New Roman" w:cs="Times New Roman"/>
        </w:rPr>
        <w:t xml:space="preserve">Technology Indonesia, 8(1), 118–123. </w:t>
      </w:r>
      <w:hyperlink r:id="rId19">
        <w:r w:rsidRPr="45B4C46D">
          <w:rPr>
            <w:rFonts w:ascii="Times New Roman" w:eastAsia="Times New Roman" w:hAnsi="Times New Roman" w:cs="Times New Roman"/>
          </w:rPr>
          <w:t>https://doi.org/10.26554/sti.2023.8.1.118-123</w:t>
        </w:r>
      </w:hyperlink>
    </w:p>
    <w:p w14:paraId="2D903E45" w14:textId="32DAA59D"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Simon, B., et al. (2024). Scanning electron microscopy tracking of dendritic growth boundaries on non-uniform zinc substrates. University of Cam</w:t>
      </w:r>
      <w:r w:rsidR="42271276" w:rsidRPr="45B4C46D">
        <w:rPr>
          <w:rFonts w:ascii="Times New Roman" w:eastAsia="Times New Roman" w:hAnsi="Times New Roman" w:cs="Times New Roman"/>
        </w:rPr>
        <w:t>b</w:t>
      </w:r>
      <w:r w:rsidRPr="45B4C46D">
        <w:rPr>
          <w:rFonts w:ascii="Times New Roman" w:eastAsia="Times New Roman" w:hAnsi="Times New Roman" w:cs="Times New Roman"/>
        </w:rPr>
        <w:t>ridge Engineering Review, 41(2), 701–715.</w:t>
      </w:r>
    </w:p>
    <w:p w14:paraId="159A3F68" w14:textId="3DA7325C"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 xml:space="preserve">Sun, Y., et al. (2022). An analysis of the parameters in the Debye-Hückel theory. Fluid Phase Equilibria, 556, 113398. </w:t>
      </w:r>
      <w:hyperlink r:id="rId20">
        <w:r w:rsidRPr="45B4C46D">
          <w:rPr>
            <w:rFonts w:ascii="Times New Roman" w:eastAsia="Times New Roman" w:hAnsi="Times New Roman" w:cs="Times New Roman"/>
          </w:rPr>
          <w:t>https://doi.org/10.1016/j.fluid.2022.113398</w:t>
        </w:r>
      </w:hyperlink>
    </w:p>
    <w:p w14:paraId="2A136E17" w14:textId="43FD3DF8" w:rsidR="627777A9" w:rsidRDefault="627777A9" w:rsidP="45B4C46D">
      <w:pPr>
        <w:pStyle w:val="ListParagraph"/>
        <w:numPr>
          <w:ilvl w:val="0"/>
          <w:numId w:val="1"/>
        </w:numPr>
        <w:spacing w:before="240" w:after="240" w:line="240" w:lineRule="auto"/>
        <w:rPr>
          <w:rFonts w:ascii="Times New Roman" w:eastAsia="Times New Roman" w:hAnsi="Times New Roman" w:cs="Times New Roman"/>
        </w:rPr>
      </w:pPr>
      <w:r w:rsidRPr="45B4C46D">
        <w:rPr>
          <w:rFonts w:ascii="Times New Roman" w:eastAsia="Times New Roman" w:hAnsi="Times New Roman" w:cs="Times New Roman"/>
        </w:rPr>
        <w:t>United Nations. (2015). The Sustainable Development Goals Report 2015. United Nations Department of Economic and Social Affairs. https://sdgs.un.org/goals</w:t>
      </w:r>
    </w:p>
    <w:sectPr w:rsidR="627777A9">
      <w:headerReference w:type="default" r:id="rId21"/>
      <w:footerReference w:type="default" r:id="rId22"/>
      <w:pgSz w:w="11907" w:h="16839"/>
      <w:pgMar w:top="1080" w:right="605" w:bottom="605" w:left="60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877B" w14:textId="77777777" w:rsidR="00933C2A" w:rsidRDefault="00933C2A">
      <w:pPr>
        <w:spacing w:after="0" w:line="240" w:lineRule="auto"/>
      </w:pPr>
      <w:r>
        <w:separator/>
      </w:r>
    </w:p>
  </w:endnote>
  <w:endnote w:type="continuationSeparator" w:id="0">
    <w:p w14:paraId="7511A07D" w14:textId="77777777" w:rsidR="00933C2A" w:rsidRDefault="0093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65"/>
      <w:gridCol w:w="3565"/>
      <w:gridCol w:w="3565"/>
    </w:tblGrid>
    <w:tr w:rsidR="65467104" w14:paraId="4CF88FDC" w14:textId="77777777" w:rsidTr="65467104">
      <w:trPr>
        <w:trHeight w:val="300"/>
      </w:trPr>
      <w:tc>
        <w:tcPr>
          <w:tcW w:w="3565" w:type="dxa"/>
        </w:tcPr>
        <w:p w14:paraId="3D1C9562" w14:textId="03375EFD" w:rsidR="65467104" w:rsidRDefault="65467104" w:rsidP="65467104">
          <w:pPr>
            <w:pStyle w:val="Header"/>
            <w:ind w:left="-115"/>
          </w:pPr>
        </w:p>
      </w:tc>
      <w:tc>
        <w:tcPr>
          <w:tcW w:w="3565" w:type="dxa"/>
        </w:tcPr>
        <w:p w14:paraId="139A5A04" w14:textId="04ABB544" w:rsidR="65467104" w:rsidRDefault="65467104" w:rsidP="65467104">
          <w:pPr>
            <w:pStyle w:val="Header"/>
            <w:jc w:val="center"/>
          </w:pPr>
        </w:p>
      </w:tc>
      <w:tc>
        <w:tcPr>
          <w:tcW w:w="3565" w:type="dxa"/>
        </w:tcPr>
        <w:p w14:paraId="511FD437" w14:textId="6A240A5A" w:rsidR="65467104" w:rsidRDefault="65467104" w:rsidP="65467104">
          <w:pPr>
            <w:pStyle w:val="Header"/>
            <w:ind w:right="-115"/>
            <w:jc w:val="right"/>
            <w:rPr>
              <w:rFonts w:ascii="Times New Roman" w:eastAsia="Times New Roman" w:hAnsi="Times New Roman" w:cs="Times New Roman"/>
            </w:rPr>
          </w:pPr>
          <w:r w:rsidRPr="65467104">
            <w:rPr>
              <w:rFonts w:ascii="Times New Roman" w:eastAsia="Times New Roman" w:hAnsi="Times New Roman" w:cs="Times New Roman"/>
            </w:rPr>
            <w:fldChar w:fldCharType="begin"/>
          </w:r>
          <w:r>
            <w:instrText>PAGE</w:instrText>
          </w:r>
          <w:r w:rsidRPr="65467104">
            <w:fldChar w:fldCharType="separate"/>
          </w:r>
          <w:r w:rsidR="009255E8">
            <w:rPr>
              <w:noProof/>
            </w:rPr>
            <w:t>1</w:t>
          </w:r>
          <w:r w:rsidRPr="65467104">
            <w:rPr>
              <w:rFonts w:ascii="Times New Roman" w:eastAsia="Times New Roman" w:hAnsi="Times New Roman" w:cs="Times New Roman"/>
            </w:rPr>
            <w:fldChar w:fldCharType="end"/>
          </w:r>
        </w:p>
      </w:tc>
    </w:tr>
  </w:tbl>
  <w:p w14:paraId="03C12EA1" w14:textId="56E121AE" w:rsidR="65467104" w:rsidRDefault="65467104" w:rsidP="65467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61FD" w14:textId="77777777" w:rsidR="00933C2A" w:rsidRDefault="00933C2A">
      <w:pPr>
        <w:spacing w:after="0" w:line="240" w:lineRule="auto"/>
      </w:pPr>
      <w:r>
        <w:separator/>
      </w:r>
    </w:p>
  </w:footnote>
  <w:footnote w:type="continuationSeparator" w:id="0">
    <w:p w14:paraId="1ADBA809" w14:textId="77777777" w:rsidR="00933C2A" w:rsidRDefault="0093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6"/>
      <w:gridCol w:w="346"/>
      <w:gridCol w:w="346"/>
    </w:tblGrid>
    <w:tr w:rsidR="65467104" w14:paraId="6F21BF09" w14:textId="77777777" w:rsidTr="65467104">
      <w:trPr>
        <w:trHeight w:val="346"/>
      </w:trPr>
      <w:tc>
        <w:tcPr>
          <w:tcW w:w="346" w:type="dxa"/>
        </w:tcPr>
        <w:p w14:paraId="586D9283" w14:textId="67102501" w:rsidR="65467104" w:rsidRDefault="65467104" w:rsidP="65467104">
          <w:pPr>
            <w:pStyle w:val="Header"/>
            <w:ind w:left="-115"/>
          </w:pPr>
        </w:p>
      </w:tc>
      <w:tc>
        <w:tcPr>
          <w:tcW w:w="346" w:type="dxa"/>
        </w:tcPr>
        <w:p w14:paraId="67A7FE50" w14:textId="784ED3A1" w:rsidR="65467104" w:rsidRDefault="65467104" w:rsidP="65467104">
          <w:pPr>
            <w:pStyle w:val="Header"/>
            <w:jc w:val="center"/>
          </w:pPr>
        </w:p>
      </w:tc>
      <w:tc>
        <w:tcPr>
          <w:tcW w:w="346" w:type="dxa"/>
        </w:tcPr>
        <w:p w14:paraId="4FEA73AF" w14:textId="3A025253" w:rsidR="65467104" w:rsidRDefault="65467104" w:rsidP="65467104">
          <w:pPr>
            <w:pStyle w:val="Header"/>
            <w:ind w:right="-115"/>
            <w:jc w:val="right"/>
          </w:pPr>
        </w:p>
      </w:tc>
    </w:tr>
  </w:tbl>
  <w:p w14:paraId="61679166" w14:textId="5A14630B" w:rsidR="65467104" w:rsidRDefault="65467104" w:rsidP="654671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045C"/>
    <w:multiLevelType w:val="hybridMultilevel"/>
    <w:tmpl w:val="6D04A7A2"/>
    <w:lvl w:ilvl="0" w:tplc="A3F0CEBA">
      <w:start w:val="1"/>
      <w:numFmt w:val="bullet"/>
      <w:lvlText w:val=""/>
      <w:lvlJc w:val="left"/>
      <w:pPr>
        <w:ind w:left="720" w:hanging="360"/>
      </w:pPr>
      <w:rPr>
        <w:rFonts w:ascii="Symbol" w:hAnsi="Symbol" w:hint="default"/>
      </w:rPr>
    </w:lvl>
    <w:lvl w:ilvl="1" w:tplc="6268B130">
      <w:start w:val="1"/>
      <w:numFmt w:val="bullet"/>
      <w:lvlText w:val="o"/>
      <w:lvlJc w:val="left"/>
      <w:pPr>
        <w:ind w:left="1440" w:hanging="360"/>
      </w:pPr>
      <w:rPr>
        <w:rFonts w:ascii="Courier New" w:hAnsi="Courier New" w:hint="default"/>
      </w:rPr>
    </w:lvl>
    <w:lvl w:ilvl="2" w:tplc="F70C0A02">
      <w:start w:val="1"/>
      <w:numFmt w:val="bullet"/>
      <w:lvlText w:val=""/>
      <w:lvlJc w:val="left"/>
      <w:pPr>
        <w:ind w:left="2160" w:hanging="360"/>
      </w:pPr>
      <w:rPr>
        <w:rFonts w:ascii="Wingdings" w:hAnsi="Wingdings" w:hint="default"/>
      </w:rPr>
    </w:lvl>
    <w:lvl w:ilvl="3" w:tplc="67640234">
      <w:start w:val="1"/>
      <w:numFmt w:val="bullet"/>
      <w:lvlText w:val=""/>
      <w:lvlJc w:val="left"/>
      <w:pPr>
        <w:ind w:left="2880" w:hanging="360"/>
      </w:pPr>
      <w:rPr>
        <w:rFonts w:ascii="Symbol" w:hAnsi="Symbol" w:hint="default"/>
      </w:rPr>
    </w:lvl>
    <w:lvl w:ilvl="4" w:tplc="FD680B96">
      <w:start w:val="1"/>
      <w:numFmt w:val="bullet"/>
      <w:lvlText w:val="o"/>
      <w:lvlJc w:val="left"/>
      <w:pPr>
        <w:ind w:left="3600" w:hanging="360"/>
      </w:pPr>
      <w:rPr>
        <w:rFonts w:ascii="Courier New" w:hAnsi="Courier New" w:hint="default"/>
      </w:rPr>
    </w:lvl>
    <w:lvl w:ilvl="5" w:tplc="E74C05E2">
      <w:start w:val="1"/>
      <w:numFmt w:val="bullet"/>
      <w:lvlText w:val=""/>
      <w:lvlJc w:val="left"/>
      <w:pPr>
        <w:ind w:left="4320" w:hanging="360"/>
      </w:pPr>
      <w:rPr>
        <w:rFonts w:ascii="Wingdings" w:hAnsi="Wingdings" w:hint="default"/>
      </w:rPr>
    </w:lvl>
    <w:lvl w:ilvl="6" w:tplc="1408EC82">
      <w:start w:val="1"/>
      <w:numFmt w:val="bullet"/>
      <w:lvlText w:val=""/>
      <w:lvlJc w:val="left"/>
      <w:pPr>
        <w:ind w:left="5040" w:hanging="360"/>
      </w:pPr>
      <w:rPr>
        <w:rFonts w:ascii="Symbol" w:hAnsi="Symbol" w:hint="default"/>
      </w:rPr>
    </w:lvl>
    <w:lvl w:ilvl="7" w:tplc="E5A47F7C">
      <w:start w:val="1"/>
      <w:numFmt w:val="bullet"/>
      <w:lvlText w:val="o"/>
      <w:lvlJc w:val="left"/>
      <w:pPr>
        <w:ind w:left="5760" w:hanging="360"/>
      </w:pPr>
      <w:rPr>
        <w:rFonts w:ascii="Courier New" w:hAnsi="Courier New" w:hint="default"/>
      </w:rPr>
    </w:lvl>
    <w:lvl w:ilvl="8" w:tplc="52DE9D32">
      <w:start w:val="1"/>
      <w:numFmt w:val="bullet"/>
      <w:lvlText w:val=""/>
      <w:lvlJc w:val="left"/>
      <w:pPr>
        <w:ind w:left="6480" w:hanging="360"/>
      </w:pPr>
      <w:rPr>
        <w:rFonts w:ascii="Wingdings" w:hAnsi="Wingdings" w:hint="default"/>
      </w:rPr>
    </w:lvl>
  </w:abstractNum>
  <w:abstractNum w:abstractNumId="1" w15:restartNumberingAfterBreak="0">
    <w:nsid w:val="31F9330B"/>
    <w:multiLevelType w:val="multilevel"/>
    <w:tmpl w:val="5C244DB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4C831D51"/>
    <w:multiLevelType w:val="hybridMultilevel"/>
    <w:tmpl w:val="4926BE80"/>
    <w:lvl w:ilvl="0" w:tplc="B694E080">
      <w:start w:val="1"/>
      <w:numFmt w:val="bullet"/>
      <w:lvlText w:val=""/>
      <w:lvlJc w:val="left"/>
      <w:pPr>
        <w:ind w:left="720" w:hanging="360"/>
      </w:pPr>
      <w:rPr>
        <w:rFonts w:ascii="Symbol" w:hAnsi="Symbol" w:hint="default"/>
      </w:rPr>
    </w:lvl>
    <w:lvl w:ilvl="1" w:tplc="0BEA64FA">
      <w:start w:val="1"/>
      <w:numFmt w:val="bullet"/>
      <w:lvlText w:val="o"/>
      <w:lvlJc w:val="left"/>
      <w:pPr>
        <w:ind w:left="1440" w:hanging="360"/>
      </w:pPr>
      <w:rPr>
        <w:rFonts w:ascii="Courier New" w:hAnsi="Courier New" w:hint="default"/>
      </w:rPr>
    </w:lvl>
    <w:lvl w:ilvl="2" w:tplc="29DADC20">
      <w:start w:val="1"/>
      <w:numFmt w:val="bullet"/>
      <w:lvlText w:val=""/>
      <w:lvlJc w:val="left"/>
      <w:pPr>
        <w:ind w:left="2160" w:hanging="360"/>
      </w:pPr>
      <w:rPr>
        <w:rFonts w:ascii="Wingdings" w:hAnsi="Wingdings" w:hint="default"/>
      </w:rPr>
    </w:lvl>
    <w:lvl w:ilvl="3" w:tplc="4E2EAB46">
      <w:start w:val="1"/>
      <w:numFmt w:val="bullet"/>
      <w:lvlText w:val=""/>
      <w:lvlJc w:val="left"/>
      <w:pPr>
        <w:ind w:left="2880" w:hanging="360"/>
      </w:pPr>
      <w:rPr>
        <w:rFonts w:ascii="Symbol" w:hAnsi="Symbol" w:hint="default"/>
      </w:rPr>
    </w:lvl>
    <w:lvl w:ilvl="4" w:tplc="484035EC">
      <w:start w:val="1"/>
      <w:numFmt w:val="bullet"/>
      <w:lvlText w:val="o"/>
      <w:lvlJc w:val="left"/>
      <w:pPr>
        <w:ind w:left="3600" w:hanging="360"/>
      </w:pPr>
      <w:rPr>
        <w:rFonts w:ascii="Courier New" w:hAnsi="Courier New" w:hint="default"/>
      </w:rPr>
    </w:lvl>
    <w:lvl w:ilvl="5" w:tplc="209EC164">
      <w:start w:val="1"/>
      <w:numFmt w:val="bullet"/>
      <w:lvlText w:val=""/>
      <w:lvlJc w:val="left"/>
      <w:pPr>
        <w:ind w:left="4320" w:hanging="360"/>
      </w:pPr>
      <w:rPr>
        <w:rFonts w:ascii="Wingdings" w:hAnsi="Wingdings" w:hint="default"/>
      </w:rPr>
    </w:lvl>
    <w:lvl w:ilvl="6" w:tplc="979EF0AA">
      <w:start w:val="1"/>
      <w:numFmt w:val="bullet"/>
      <w:lvlText w:val=""/>
      <w:lvlJc w:val="left"/>
      <w:pPr>
        <w:ind w:left="5040" w:hanging="360"/>
      </w:pPr>
      <w:rPr>
        <w:rFonts w:ascii="Symbol" w:hAnsi="Symbol" w:hint="default"/>
      </w:rPr>
    </w:lvl>
    <w:lvl w:ilvl="7" w:tplc="72943CD4">
      <w:start w:val="1"/>
      <w:numFmt w:val="bullet"/>
      <w:lvlText w:val="o"/>
      <w:lvlJc w:val="left"/>
      <w:pPr>
        <w:ind w:left="5760" w:hanging="360"/>
      </w:pPr>
      <w:rPr>
        <w:rFonts w:ascii="Courier New" w:hAnsi="Courier New" w:hint="default"/>
      </w:rPr>
    </w:lvl>
    <w:lvl w:ilvl="8" w:tplc="DE1A2412">
      <w:start w:val="1"/>
      <w:numFmt w:val="bullet"/>
      <w:lvlText w:val=""/>
      <w:lvlJc w:val="left"/>
      <w:pPr>
        <w:ind w:left="6480" w:hanging="360"/>
      </w:pPr>
      <w:rPr>
        <w:rFonts w:ascii="Wingdings" w:hAnsi="Wingdings" w:hint="default"/>
      </w:rPr>
    </w:lvl>
  </w:abstractNum>
  <w:abstractNum w:abstractNumId="3" w15:restartNumberingAfterBreak="0">
    <w:nsid w:val="6149DA42"/>
    <w:multiLevelType w:val="multilevel"/>
    <w:tmpl w:val="28129DF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73696B9F"/>
    <w:multiLevelType w:val="hybridMultilevel"/>
    <w:tmpl w:val="CAEAE8D6"/>
    <w:lvl w:ilvl="0" w:tplc="12E40F12">
      <w:start w:val="1"/>
      <w:numFmt w:val="decimal"/>
      <w:lvlText w:val="%1."/>
      <w:lvlJc w:val="left"/>
      <w:pPr>
        <w:ind w:left="360" w:hanging="360"/>
      </w:pPr>
    </w:lvl>
    <w:lvl w:ilvl="1" w:tplc="74E87202">
      <w:start w:val="1"/>
      <w:numFmt w:val="lowerLetter"/>
      <w:lvlText w:val="%2."/>
      <w:lvlJc w:val="left"/>
      <w:pPr>
        <w:ind w:left="1080" w:hanging="360"/>
      </w:pPr>
    </w:lvl>
    <w:lvl w:ilvl="2" w:tplc="389AF6C4">
      <w:start w:val="1"/>
      <w:numFmt w:val="lowerRoman"/>
      <w:lvlText w:val="%3."/>
      <w:lvlJc w:val="right"/>
      <w:pPr>
        <w:ind w:left="1800" w:hanging="180"/>
      </w:pPr>
    </w:lvl>
    <w:lvl w:ilvl="3" w:tplc="4BCA01C4">
      <w:start w:val="1"/>
      <w:numFmt w:val="decimal"/>
      <w:lvlText w:val="%4."/>
      <w:lvlJc w:val="left"/>
      <w:pPr>
        <w:ind w:left="2520" w:hanging="360"/>
      </w:pPr>
    </w:lvl>
    <w:lvl w:ilvl="4" w:tplc="F32C7D92">
      <w:start w:val="1"/>
      <w:numFmt w:val="lowerLetter"/>
      <w:lvlText w:val="%5."/>
      <w:lvlJc w:val="left"/>
      <w:pPr>
        <w:ind w:left="3240" w:hanging="360"/>
      </w:pPr>
    </w:lvl>
    <w:lvl w:ilvl="5" w:tplc="D0D61B6E">
      <w:start w:val="1"/>
      <w:numFmt w:val="lowerRoman"/>
      <w:lvlText w:val="%6."/>
      <w:lvlJc w:val="right"/>
      <w:pPr>
        <w:ind w:left="3960" w:hanging="180"/>
      </w:pPr>
    </w:lvl>
    <w:lvl w:ilvl="6" w:tplc="9710CFB4">
      <w:start w:val="1"/>
      <w:numFmt w:val="decimal"/>
      <w:lvlText w:val="%7."/>
      <w:lvlJc w:val="left"/>
      <w:pPr>
        <w:ind w:left="4680" w:hanging="360"/>
      </w:pPr>
    </w:lvl>
    <w:lvl w:ilvl="7" w:tplc="AC56FFF6">
      <w:start w:val="1"/>
      <w:numFmt w:val="lowerLetter"/>
      <w:lvlText w:val="%8."/>
      <w:lvlJc w:val="left"/>
      <w:pPr>
        <w:ind w:left="5400" w:hanging="360"/>
      </w:pPr>
    </w:lvl>
    <w:lvl w:ilvl="8" w:tplc="31BAFA38">
      <w:start w:val="1"/>
      <w:numFmt w:val="lowerRoman"/>
      <w:lvlText w:val="%9."/>
      <w:lvlJc w:val="right"/>
      <w:pPr>
        <w:ind w:left="6120" w:hanging="180"/>
      </w:pPr>
    </w:lvl>
  </w:abstractNum>
  <w:num w:numId="1" w16cid:durableId="1461461634">
    <w:abstractNumId w:val="1"/>
  </w:num>
  <w:num w:numId="2" w16cid:durableId="744498444">
    <w:abstractNumId w:val="3"/>
  </w:num>
  <w:num w:numId="3" w16cid:durableId="1159273404">
    <w:abstractNumId w:val="4"/>
  </w:num>
  <w:num w:numId="4" w16cid:durableId="1921059444">
    <w:abstractNumId w:val="0"/>
  </w:num>
  <w:num w:numId="5" w16cid:durableId="515004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F5A5BB"/>
    <w:rsid w:val="001351A6"/>
    <w:rsid w:val="004D9C1A"/>
    <w:rsid w:val="0086469E"/>
    <w:rsid w:val="009255E8"/>
    <w:rsid w:val="00933C2A"/>
    <w:rsid w:val="0094A994"/>
    <w:rsid w:val="00982917"/>
    <w:rsid w:val="00AAD244"/>
    <w:rsid w:val="00BC509B"/>
    <w:rsid w:val="00D13F24"/>
    <w:rsid w:val="0239CD2E"/>
    <w:rsid w:val="02653749"/>
    <w:rsid w:val="02A401FA"/>
    <w:rsid w:val="03A32E3E"/>
    <w:rsid w:val="03CAC65D"/>
    <w:rsid w:val="0468A93E"/>
    <w:rsid w:val="0469B5F9"/>
    <w:rsid w:val="046A3DB3"/>
    <w:rsid w:val="0483A5E2"/>
    <w:rsid w:val="049E9E2C"/>
    <w:rsid w:val="04AC54BB"/>
    <w:rsid w:val="04E2BED4"/>
    <w:rsid w:val="052C342D"/>
    <w:rsid w:val="06DEF7B4"/>
    <w:rsid w:val="06DF199D"/>
    <w:rsid w:val="080A29E1"/>
    <w:rsid w:val="08105C4D"/>
    <w:rsid w:val="086BFE98"/>
    <w:rsid w:val="0884C742"/>
    <w:rsid w:val="08E62FBE"/>
    <w:rsid w:val="093E2099"/>
    <w:rsid w:val="09446C1D"/>
    <w:rsid w:val="09E54400"/>
    <w:rsid w:val="0B005087"/>
    <w:rsid w:val="0B3E8DEC"/>
    <w:rsid w:val="0B4ADB1D"/>
    <w:rsid w:val="0C731B02"/>
    <w:rsid w:val="0CC4833D"/>
    <w:rsid w:val="0D22BA4D"/>
    <w:rsid w:val="0DD63053"/>
    <w:rsid w:val="0F2216FC"/>
    <w:rsid w:val="0F61DA18"/>
    <w:rsid w:val="0FFB253A"/>
    <w:rsid w:val="10082B7A"/>
    <w:rsid w:val="102FC1FD"/>
    <w:rsid w:val="1052E39C"/>
    <w:rsid w:val="1075E48F"/>
    <w:rsid w:val="109137A9"/>
    <w:rsid w:val="10B55DC3"/>
    <w:rsid w:val="10D9A0D3"/>
    <w:rsid w:val="10F92D96"/>
    <w:rsid w:val="1144E9D7"/>
    <w:rsid w:val="1166B963"/>
    <w:rsid w:val="11FF67CD"/>
    <w:rsid w:val="12D2C6BC"/>
    <w:rsid w:val="12E4D466"/>
    <w:rsid w:val="12E7922B"/>
    <w:rsid w:val="130F21FA"/>
    <w:rsid w:val="13899413"/>
    <w:rsid w:val="14414FF6"/>
    <w:rsid w:val="14B9228A"/>
    <w:rsid w:val="155D479E"/>
    <w:rsid w:val="15E74145"/>
    <w:rsid w:val="169BC6C5"/>
    <w:rsid w:val="16F3AA89"/>
    <w:rsid w:val="172E6CB2"/>
    <w:rsid w:val="17A3D53A"/>
    <w:rsid w:val="18E483AC"/>
    <w:rsid w:val="18ECE1B9"/>
    <w:rsid w:val="19DBDCCC"/>
    <w:rsid w:val="1AB1EF45"/>
    <w:rsid w:val="1AE2E38C"/>
    <w:rsid w:val="1BC02CE9"/>
    <w:rsid w:val="1BC8E87A"/>
    <w:rsid w:val="1C0D19CE"/>
    <w:rsid w:val="1C43C2BA"/>
    <w:rsid w:val="1E5CEB19"/>
    <w:rsid w:val="1E83DFF3"/>
    <w:rsid w:val="1E94F2D0"/>
    <w:rsid w:val="1E9A276D"/>
    <w:rsid w:val="1ECBBFD9"/>
    <w:rsid w:val="1F5D1224"/>
    <w:rsid w:val="1F610AEC"/>
    <w:rsid w:val="204BA28D"/>
    <w:rsid w:val="20ABD260"/>
    <w:rsid w:val="20D33542"/>
    <w:rsid w:val="20D5D4DE"/>
    <w:rsid w:val="21FA4D6A"/>
    <w:rsid w:val="22A6EB38"/>
    <w:rsid w:val="22E1A02F"/>
    <w:rsid w:val="23373B6D"/>
    <w:rsid w:val="2342AF85"/>
    <w:rsid w:val="24C7A7D6"/>
    <w:rsid w:val="24D503BA"/>
    <w:rsid w:val="254A8081"/>
    <w:rsid w:val="25538A3E"/>
    <w:rsid w:val="25C63C15"/>
    <w:rsid w:val="25C7841D"/>
    <w:rsid w:val="25D94683"/>
    <w:rsid w:val="25F24262"/>
    <w:rsid w:val="2617C92F"/>
    <w:rsid w:val="264A2D9F"/>
    <w:rsid w:val="26D9088A"/>
    <w:rsid w:val="26F29790"/>
    <w:rsid w:val="279E7720"/>
    <w:rsid w:val="2887317B"/>
    <w:rsid w:val="2936BDED"/>
    <w:rsid w:val="2986C0A7"/>
    <w:rsid w:val="29993C92"/>
    <w:rsid w:val="29D9D478"/>
    <w:rsid w:val="29E44F44"/>
    <w:rsid w:val="2A911817"/>
    <w:rsid w:val="2B5C1EF3"/>
    <w:rsid w:val="2B7796A0"/>
    <w:rsid w:val="2BCA78DC"/>
    <w:rsid w:val="2D47ED85"/>
    <w:rsid w:val="2D5141AE"/>
    <w:rsid w:val="2DF93AAC"/>
    <w:rsid w:val="2E188A80"/>
    <w:rsid w:val="2E5E6CA9"/>
    <w:rsid w:val="2ECD6C7A"/>
    <w:rsid w:val="2EE11C91"/>
    <w:rsid w:val="2F7B931E"/>
    <w:rsid w:val="301F6EE7"/>
    <w:rsid w:val="31F422D2"/>
    <w:rsid w:val="32080218"/>
    <w:rsid w:val="32CFB10E"/>
    <w:rsid w:val="32D925A0"/>
    <w:rsid w:val="33B7F7F1"/>
    <w:rsid w:val="33CD2B75"/>
    <w:rsid w:val="3422827E"/>
    <w:rsid w:val="34440DFB"/>
    <w:rsid w:val="3470EC3B"/>
    <w:rsid w:val="34F20E38"/>
    <w:rsid w:val="352575B8"/>
    <w:rsid w:val="3543734F"/>
    <w:rsid w:val="355830D4"/>
    <w:rsid w:val="35731CCA"/>
    <w:rsid w:val="358F75A6"/>
    <w:rsid w:val="35938EAE"/>
    <w:rsid w:val="35C40377"/>
    <w:rsid w:val="362FAB01"/>
    <w:rsid w:val="37520676"/>
    <w:rsid w:val="37688922"/>
    <w:rsid w:val="37BE71B2"/>
    <w:rsid w:val="37C3ED8E"/>
    <w:rsid w:val="38720B4B"/>
    <w:rsid w:val="38CEAF5F"/>
    <w:rsid w:val="391197B4"/>
    <w:rsid w:val="394ED1F5"/>
    <w:rsid w:val="3982D4B2"/>
    <w:rsid w:val="39EE7D78"/>
    <w:rsid w:val="3A6EF1C8"/>
    <w:rsid w:val="3AC37497"/>
    <w:rsid w:val="3B0AACAF"/>
    <w:rsid w:val="3B38F157"/>
    <w:rsid w:val="3B68FE8D"/>
    <w:rsid w:val="3B6B8F1C"/>
    <w:rsid w:val="3C8C2A81"/>
    <w:rsid w:val="3CAEEAE1"/>
    <w:rsid w:val="3CB21059"/>
    <w:rsid w:val="3CE6A50D"/>
    <w:rsid w:val="3E4FB616"/>
    <w:rsid w:val="3F9F2DC9"/>
    <w:rsid w:val="3FCDAF13"/>
    <w:rsid w:val="3FE45BBD"/>
    <w:rsid w:val="400DBB75"/>
    <w:rsid w:val="4028311C"/>
    <w:rsid w:val="41A9CBAD"/>
    <w:rsid w:val="41D51F33"/>
    <w:rsid w:val="41D66DAE"/>
    <w:rsid w:val="42271276"/>
    <w:rsid w:val="425EECB6"/>
    <w:rsid w:val="42706E99"/>
    <w:rsid w:val="4278E271"/>
    <w:rsid w:val="430D1C30"/>
    <w:rsid w:val="431D20A2"/>
    <w:rsid w:val="43C66567"/>
    <w:rsid w:val="442E672E"/>
    <w:rsid w:val="449B7BB5"/>
    <w:rsid w:val="44BC51DF"/>
    <w:rsid w:val="44D77365"/>
    <w:rsid w:val="45B10FA7"/>
    <w:rsid w:val="45B4C46D"/>
    <w:rsid w:val="4641EED5"/>
    <w:rsid w:val="46C4FCDB"/>
    <w:rsid w:val="46CEF20F"/>
    <w:rsid w:val="474B69D4"/>
    <w:rsid w:val="4766A370"/>
    <w:rsid w:val="485CD558"/>
    <w:rsid w:val="49543B75"/>
    <w:rsid w:val="49572269"/>
    <w:rsid w:val="499D4A4B"/>
    <w:rsid w:val="4ACA0ADC"/>
    <w:rsid w:val="4BD34DFB"/>
    <w:rsid w:val="4BE12748"/>
    <w:rsid w:val="4C074F31"/>
    <w:rsid w:val="4C377ADA"/>
    <w:rsid w:val="4C5C8456"/>
    <w:rsid w:val="4C6D3E71"/>
    <w:rsid w:val="4CA78F1B"/>
    <w:rsid w:val="4CB66AA9"/>
    <w:rsid w:val="4CD827DF"/>
    <w:rsid w:val="4D2E1F34"/>
    <w:rsid w:val="4D9132E4"/>
    <w:rsid w:val="4DAA4D03"/>
    <w:rsid w:val="4DE1581F"/>
    <w:rsid w:val="4DF99322"/>
    <w:rsid w:val="4E66E0F8"/>
    <w:rsid w:val="4F0ACD42"/>
    <w:rsid w:val="4F12CB05"/>
    <w:rsid w:val="4F619E88"/>
    <w:rsid w:val="5013067E"/>
    <w:rsid w:val="5016C74B"/>
    <w:rsid w:val="50A7E244"/>
    <w:rsid w:val="50F56CF9"/>
    <w:rsid w:val="5111952C"/>
    <w:rsid w:val="51382E92"/>
    <w:rsid w:val="51DCA646"/>
    <w:rsid w:val="529A5C0D"/>
    <w:rsid w:val="53006FFD"/>
    <w:rsid w:val="5306FC16"/>
    <w:rsid w:val="537089A6"/>
    <w:rsid w:val="53873CDF"/>
    <w:rsid w:val="5392AAF0"/>
    <w:rsid w:val="54109B0F"/>
    <w:rsid w:val="5433F872"/>
    <w:rsid w:val="5443CC2A"/>
    <w:rsid w:val="5483D02A"/>
    <w:rsid w:val="553E976B"/>
    <w:rsid w:val="55C350AC"/>
    <w:rsid w:val="55D0A349"/>
    <w:rsid w:val="560CDF2A"/>
    <w:rsid w:val="568EF6C0"/>
    <w:rsid w:val="570D338A"/>
    <w:rsid w:val="573A095F"/>
    <w:rsid w:val="57456EC5"/>
    <w:rsid w:val="5746AE72"/>
    <w:rsid w:val="575DBAB4"/>
    <w:rsid w:val="57A1FACB"/>
    <w:rsid w:val="57CE34D4"/>
    <w:rsid w:val="58418542"/>
    <w:rsid w:val="5843A8D6"/>
    <w:rsid w:val="58729DC1"/>
    <w:rsid w:val="58947C6F"/>
    <w:rsid w:val="589B4E41"/>
    <w:rsid w:val="59D1897D"/>
    <w:rsid w:val="59D5D7C3"/>
    <w:rsid w:val="5A7E4ACC"/>
    <w:rsid w:val="5A88AFFE"/>
    <w:rsid w:val="5BAC8C09"/>
    <w:rsid w:val="5CEB63FC"/>
    <w:rsid w:val="5DA87F0B"/>
    <w:rsid w:val="5DDA8431"/>
    <w:rsid w:val="5DF5E688"/>
    <w:rsid w:val="5EA71561"/>
    <w:rsid w:val="5F21EABA"/>
    <w:rsid w:val="5FD06A3D"/>
    <w:rsid w:val="5FF9E83E"/>
    <w:rsid w:val="6023958F"/>
    <w:rsid w:val="6080DDBD"/>
    <w:rsid w:val="614D7463"/>
    <w:rsid w:val="61585C31"/>
    <w:rsid w:val="61A5C037"/>
    <w:rsid w:val="61E8275D"/>
    <w:rsid w:val="61E847CB"/>
    <w:rsid w:val="62506547"/>
    <w:rsid w:val="627777A9"/>
    <w:rsid w:val="62B6B254"/>
    <w:rsid w:val="62E1140C"/>
    <w:rsid w:val="6326805C"/>
    <w:rsid w:val="636A1382"/>
    <w:rsid w:val="63AA57BC"/>
    <w:rsid w:val="6421C37C"/>
    <w:rsid w:val="6447C57B"/>
    <w:rsid w:val="64F0BD27"/>
    <w:rsid w:val="650F0310"/>
    <w:rsid w:val="65467104"/>
    <w:rsid w:val="654A5F85"/>
    <w:rsid w:val="656302F2"/>
    <w:rsid w:val="656ECB63"/>
    <w:rsid w:val="65927224"/>
    <w:rsid w:val="65A4334C"/>
    <w:rsid w:val="6631D88A"/>
    <w:rsid w:val="664410A9"/>
    <w:rsid w:val="669A1AF3"/>
    <w:rsid w:val="672F377D"/>
    <w:rsid w:val="672F9B88"/>
    <w:rsid w:val="6961298E"/>
    <w:rsid w:val="69DC024D"/>
    <w:rsid w:val="6A0B422C"/>
    <w:rsid w:val="6A1A01C4"/>
    <w:rsid w:val="6AC27857"/>
    <w:rsid w:val="6AF04AFF"/>
    <w:rsid w:val="6B561E45"/>
    <w:rsid w:val="6B74FE13"/>
    <w:rsid w:val="6BEFC5D9"/>
    <w:rsid w:val="6C9F5C6C"/>
    <w:rsid w:val="6CE15505"/>
    <w:rsid w:val="6D0EEE2D"/>
    <w:rsid w:val="6D17EBC1"/>
    <w:rsid w:val="6D4D28ED"/>
    <w:rsid w:val="6E140A88"/>
    <w:rsid w:val="6EA421F0"/>
    <w:rsid w:val="6F139544"/>
    <w:rsid w:val="6FD4FE02"/>
    <w:rsid w:val="701779D4"/>
    <w:rsid w:val="70B86C4F"/>
    <w:rsid w:val="7107BFD6"/>
    <w:rsid w:val="711A74C1"/>
    <w:rsid w:val="72149682"/>
    <w:rsid w:val="72B3DE65"/>
    <w:rsid w:val="73B738EB"/>
    <w:rsid w:val="73F86F05"/>
    <w:rsid w:val="73FB46C1"/>
    <w:rsid w:val="742E9FD6"/>
    <w:rsid w:val="7488D3D7"/>
    <w:rsid w:val="75AE68F9"/>
    <w:rsid w:val="763F3E73"/>
    <w:rsid w:val="76766339"/>
    <w:rsid w:val="76825EFE"/>
    <w:rsid w:val="76979E98"/>
    <w:rsid w:val="76FD09B4"/>
    <w:rsid w:val="7704B173"/>
    <w:rsid w:val="77151B58"/>
    <w:rsid w:val="77387E8E"/>
    <w:rsid w:val="77F5A5BB"/>
    <w:rsid w:val="78801EB4"/>
    <w:rsid w:val="788B8366"/>
    <w:rsid w:val="791CA09D"/>
    <w:rsid w:val="79523220"/>
    <w:rsid w:val="79A7E02B"/>
    <w:rsid w:val="79FEF149"/>
    <w:rsid w:val="7A07C4AC"/>
    <w:rsid w:val="7A1BFB8C"/>
    <w:rsid w:val="7A7513BF"/>
    <w:rsid w:val="7A7B87B3"/>
    <w:rsid w:val="7AE87282"/>
    <w:rsid w:val="7B1D1DB9"/>
    <w:rsid w:val="7B715990"/>
    <w:rsid w:val="7BF59A3E"/>
    <w:rsid w:val="7C0CE50D"/>
    <w:rsid w:val="7C755982"/>
    <w:rsid w:val="7D0C1AFF"/>
    <w:rsid w:val="7DD3E3C3"/>
    <w:rsid w:val="7DDC3E8D"/>
    <w:rsid w:val="7EAABEC8"/>
    <w:rsid w:val="7EF226CA"/>
    <w:rsid w:val="7F90E4EC"/>
    <w:rsid w:val="7FCF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93CC"/>
  <w15:chartTrackingRefBased/>
  <w15:docId w15:val="{4A011B95-BBC8-4928-AF3B-6D6B3F02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65467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65467104"/>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65467104"/>
    <w:pPr>
      <w:tabs>
        <w:tab w:val="center" w:pos="4680"/>
        <w:tab w:val="right" w:pos="9360"/>
      </w:tabs>
      <w:spacing w:after="0" w:line="240" w:lineRule="auto"/>
    </w:pPr>
  </w:style>
  <w:style w:type="paragraph" w:styleId="Footer">
    <w:name w:val="footer"/>
    <w:basedOn w:val="Normal"/>
    <w:uiPriority w:val="99"/>
    <w:unhideWhenUsed/>
    <w:rsid w:val="65467104"/>
    <w:pPr>
      <w:tabs>
        <w:tab w:val="center" w:pos="4680"/>
        <w:tab w:val="right" w:pos="9360"/>
      </w:tabs>
      <w:spacing w:after="0" w:line="240" w:lineRule="auto"/>
    </w:pPr>
  </w:style>
  <w:style w:type="paragraph" w:styleId="ListParagraph">
    <w:name w:val="List Paragraph"/>
    <w:basedOn w:val="Normal"/>
    <w:uiPriority w:val="34"/>
    <w:qFormat/>
    <w:rsid w:val="65467104"/>
    <w:pPr>
      <w:ind w:left="720"/>
      <w:contextualSpacing/>
    </w:pPr>
  </w:style>
  <w:style w:type="character" w:styleId="Hyperlink">
    <w:name w:val="Hyperlink"/>
    <w:basedOn w:val="DefaultParagraphFont"/>
    <w:uiPriority w:val="99"/>
    <w:unhideWhenUsed/>
    <w:rsid w:val="6546710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079/lamintang.ijortas-0701.773" TargetMode="External"/><Relationship Id="rId13" Type="http://schemas.openxmlformats.org/officeDocument/2006/relationships/hyperlink" Target="https://doi.org/10.1016/j.est.2023.109659" TargetMode="External"/><Relationship Id="rId18" Type="http://schemas.openxmlformats.org/officeDocument/2006/relationships/hyperlink" Target="https://doi.org/10.1016/j.est.2024.110849"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007/s11668-023-01612-w" TargetMode="External"/><Relationship Id="rId12" Type="http://schemas.openxmlformats.org/officeDocument/2006/relationships/hyperlink" Target="https://doi.org/10.9734/irjpac/2024/v25i1841" TargetMode="External"/><Relationship Id="rId17" Type="http://schemas.openxmlformats.org/officeDocument/2006/relationships/hyperlink" Target="https://doi.org/10.1002/adma.201804936" TargetMode="External"/><Relationship Id="rId25" Type="http://schemas.microsoft.com/office/2020/10/relationships/intelligence" Target="intelligence2.xml"/><Relationship Id="rId2" Type="http://schemas.openxmlformats.org/officeDocument/2006/relationships/styles" Target="styles.xml"/><Relationship Id="rId16" Type="http://schemas.openxmlformats.org/officeDocument/2006/relationships/hyperlink" Target="https://doi.org/10.1021/jacs.5c12989" TargetMode="External"/><Relationship Id="rId20" Type="http://schemas.openxmlformats.org/officeDocument/2006/relationships/hyperlink" Target="https://doi.org/10.1016/j.fluid.2022.1133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lectacta.2017.03.14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bios.2016.05.022" TargetMode="External"/><Relationship Id="rId23" Type="http://schemas.openxmlformats.org/officeDocument/2006/relationships/fontTable" Target="fontTable.xml"/><Relationship Id="rId10" Type="http://schemas.openxmlformats.org/officeDocument/2006/relationships/hyperlink" Target="https://doi.org/10.1016/j.corsci.2021.109121" TargetMode="External"/><Relationship Id="rId19" Type="http://schemas.openxmlformats.org/officeDocument/2006/relationships/hyperlink" Target="https://doi.org/10.26554/sti.2023.8.1.118-123" TargetMode="External"/><Relationship Id="rId4" Type="http://schemas.openxmlformats.org/officeDocument/2006/relationships/webSettings" Target="webSettings.xml"/><Relationship Id="rId9" Type="http://schemas.openxmlformats.org/officeDocument/2006/relationships/hyperlink" Target="https://doi.org/10.1016/j.memsci.2022.112104" TargetMode="External"/><Relationship Id="rId14" Type="http://schemas.openxmlformats.org/officeDocument/2006/relationships/hyperlink" Target="https://doi.org/10.3390/su1502163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2669</Words>
  <Characters>15216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Chriene Juineise Puno</dc:creator>
  <cp:keywords/>
  <dc:description/>
  <cp:lastModifiedBy>CHERIZZE ANN PAG-ONG</cp:lastModifiedBy>
  <cp:revision>2</cp:revision>
  <dcterms:created xsi:type="dcterms:W3CDTF">2026-05-20T04:44:00Z</dcterms:created>
  <dcterms:modified xsi:type="dcterms:W3CDTF">2026-05-28T08:40:00Z</dcterms:modified>
</cp:coreProperties>
</file>