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0" w:after="240"/>
        <w:jc w:val="center"/>
      </w:pPr>
      <w:r>
        <w:rPr>
          <w:rFonts w:ascii="Times New Roman" w:hAnsi="Times New Roman" w:eastAsia="Times New Roman"/>
          <w:b/>
          <w:sz w:val="36"/>
        </w:rPr>
        <w:t>Legal Awareness and Access to Legal Assistance among Overseas Filipino Workers in Riyadh, Saudi Arabia: Basis for an OFW Legal Support Awareness Framework</w:t>
      </w:r>
    </w:p>
    <w:p>
      <w:pPr>
        <w:jc w:val="center"/>
      </w:pPr>
      <w:r>
        <w:rPr>
          <w:rFonts w:ascii="Times New Roman" w:hAnsi="Times New Roman" w:eastAsia="Times New Roman"/>
          <w:b/>
          <w:sz w:val="24"/>
        </w:rPr>
        <w:t/>
      </w:r>
    </w:p>
    <w:p>
      <w:pPr>
        <w:jc w:val="center"/>
      </w:pPr>
      <w:r>
        <w:rPr>
          <w:rFonts w:ascii="Times New Roman" w:hAnsi="Times New Roman" w:eastAsia="Times New Roman"/>
          <w:b/>
          <w:sz w:val="24"/>
        </w:rPr>
        <w:t/>
      </w:r>
    </w:p>
    <w:p>
      <w:pPr>
        <w:jc w:val="center"/>
      </w:pPr>
      <w:r>
        <w:rPr>
          <w:rFonts w:ascii="Times New Roman" w:hAnsi="Times New Roman" w:eastAsia="Times New Roman"/>
          <w:sz w:val="24"/>
        </w:rPr>
        <w:t/>
      </w:r>
    </w:p>
    <w:p>
      <w:pPr>
        <w:pStyle w:val="MainHeading"/>
      </w:pPr>
      <w:r>
        <w:rPr>
          <w:rFonts w:ascii="Times New Roman" w:hAnsi="Times New Roman" w:eastAsia="Times New Roman"/>
          <w:sz w:val="24"/>
        </w:rPr>
        <w:t>ABSTRACT</w:t>
      </w:r>
    </w:p>
    <w:p>
      <w:pPr>
        <w:spacing w:line="240" w:lineRule="auto" w:before="240" w:after="240"/>
        <w:jc w:val="both"/>
      </w:pPr>
      <w:r>
        <w:rPr>
          <w:rFonts w:ascii="Times New Roman" w:hAnsi="Times New Roman" w:eastAsia="Times New Roman"/>
          <w:sz w:val="24"/>
        </w:rPr>
        <w:t>This study examined legal awareness and access to legal assistance among Overseas Filipino Workers (OFWs) in Riyadh, Saudi Arabia, as a basis for developing an OFW Legal Support Awareness Framework. It addressed the practical gap between the availability of migrant worker support mechanisms and the extent to which OFWs understand, locate, and use such assistance when legal or legally related concerns arise. Using a quantitative descriptive-correlational and predictive design, data were collected through an anonymous online questionnaire completed by 60 qualified OFW respondents in Riyadh. Frequency and percentage were used for common legal issues and preferred support measures, while weighted mean and standard deviation described legal awareness, access to legal assistance, and barriers affecting access. Spearman's rank correlation and multiple regression analysis tested the relationships and predictive effects among the variables. The most common issues reported were employment disputes (43.33%), contract-related concerns (40.00%), unpaid or delayed salary/wages (35.00%), and benefits or end-of-service pay concerns (31.67%). Respondents demonstrated a high level of legal awareness (M = 3.79), but access to legal assistance was only moderate (M = 3.32). Barriers were likewise moderate (M = 3.11), particularly lack of time due to work schedule, fear or hesitation in reporting concerns, and lack of required documents. Legal awareness had a significant positive relationship with access to legal assistance (rho = .663, p &lt; .001). Legal awareness dimensions significantly predicted access, F(5, 54) = 13.57, p &lt; .001, R² = .557, while overall awareness and barriers also formed a significant model, F(2, 57) = 33.57, p &lt; .001, R² = .541. The proposed framework emphasizes legal issue recognition, legal awareness strengthening, access pathways, barrier reduction support, and community and digital dissemination.</w:t>
      </w:r>
    </w:p>
    <w:p>
      <w:pPr>
        <w:spacing w:line="240" w:lineRule="auto" w:before="240" w:after="240"/>
        <w:jc w:val="both"/>
      </w:pPr>
      <w:r>
        <w:rPr>
          <w:rFonts w:ascii="Times New Roman" w:hAnsi="Times New Roman" w:eastAsia="Times New Roman"/>
          <w:b/>
          <w:sz w:val="24"/>
        </w:rPr>
        <w:t>Keywords:</w:t>
      </w:r>
      <w:r>
        <w:rPr>
          <w:rFonts w:ascii="Times New Roman" w:hAnsi="Times New Roman" w:eastAsia="Times New Roman"/>
          <w:sz w:val="24"/>
        </w:rPr>
        <w:t xml:space="preserve"> legal awareness, access to legal assistance, Overseas Filipino Workers, Riyadh, legal support framework</w:t>
      </w:r>
    </w:p>
    <w:p>
      <w:pPr>
        <w:pStyle w:val="MainHeading"/>
      </w:pPr>
      <w:r>
        <w:rPr>
          <w:rFonts w:ascii="Times New Roman" w:hAnsi="Times New Roman" w:eastAsia="Times New Roman"/>
          <w:sz w:val="24"/>
        </w:rPr>
        <w:t>INTRODUCTION</w:t>
      </w:r>
    </w:p>
    <w:p>
      <w:pPr>
        <w:spacing w:line="240" w:lineRule="auto" w:before="240" w:after="240"/>
        <w:jc w:val="both"/>
      </w:pPr>
      <w:r>
        <w:rPr>
          <w:rFonts w:ascii="Times New Roman" w:hAnsi="Times New Roman" w:eastAsia="Times New Roman"/>
          <w:sz w:val="24"/>
        </w:rPr>
        <w:t>Overseas employment remains an important part of Filipino life because it supports family income, education, housing, and long-term security. At the same time, migration exposes workers to unfamiliar legal, cultural, and employment environments. For Overseas Filipino Workers (OFWs), legal concerns may arise from employment disputes, unpaid or delayed wages, contract-related concerns, documentation problems, immigration matters, recruitment issues, or workplace conflicts. These concerns become more difficult when workers are unsure about their rights, the available remedies, the complaint procedure, or the proper office to approach.</w:t>
      </w:r>
    </w:p>
    <w:p>
      <w:pPr>
        <w:spacing w:line="240" w:lineRule="auto" w:before="240" w:after="240"/>
        <w:jc w:val="both"/>
      </w:pPr>
      <w:r>
        <w:rPr>
          <w:rFonts w:ascii="Times New Roman" w:hAnsi="Times New Roman" w:eastAsia="Times New Roman"/>
          <w:sz w:val="24"/>
        </w:rPr>
        <w:t>Saudi Arabia remains a major destination for Filipino migrant workers. The Philippine Statistics Authority reported that Saudi Arabia accounted for 21.9% of the total number of OFWs in 2024, making it the leading destination among Asian countries (Philippine Statistics Authority [PSA], 2025). This makes Riyadh an important setting for examining legal awareness and access to legal assistance, especially because the capital hosts many Filipino workers across different occupations and employment arrangements.</w:t>
      </w:r>
    </w:p>
    <w:p>
      <w:pPr>
        <w:spacing w:line="240" w:lineRule="auto" w:before="240" w:after="240"/>
        <w:jc w:val="both"/>
      </w:pPr>
      <w:r>
        <w:rPr>
          <w:rFonts w:ascii="Times New Roman" w:hAnsi="Times New Roman" w:eastAsia="Times New Roman"/>
          <w:sz w:val="24"/>
        </w:rPr>
        <w:t>The Philippine legal framework recognizes migrant worker protection. Republic Act No. 8042, as amended by Republic Act No. 10022, provides for the protection and welfare of migrant workers and overseas Filipinos in distress, including legal assistance mechanisms. Republic Act No. 11641 later created the Department of Migrant Workers to strengthen and consolidate services for OFWs. These laws show that support mechanisms exist; however, the existence of such mechanisms does not automatically mean that workers know how to use them or feel confident seeking help.</w:t>
      </w:r>
    </w:p>
    <w:p>
      <w:pPr>
        <w:spacing w:line="240" w:lineRule="auto" w:before="240" w:after="240"/>
        <w:jc w:val="both"/>
      </w:pPr>
      <w:r>
        <w:rPr>
          <w:rFonts w:ascii="Times New Roman" w:hAnsi="Times New Roman" w:eastAsia="Times New Roman"/>
          <w:sz w:val="24"/>
        </w:rPr>
        <w:t>Access to justice literature emphasizes that legal problems should be understood from the perspective of ordinary people who experience them in daily life. Access is not limited to courts or formal agencies; it also includes the ability to recognize that a problem has a legal dimension, obtain reliable information, seek advice, and pursue realistic remedies (OECD &amp; Open Society Foundations, 2019; World Justice Project, 2019). This perspective is particularly relevant to migrant workers because legal problems often occur away from home and within an unfamiliar host-country system.</w:t>
      </w:r>
    </w:p>
    <w:p>
      <w:pPr>
        <w:spacing w:line="240" w:lineRule="auto" w:before="240" w:after="240"/>
        <w:jc w:val="both"/>
      </w:pPr>
      <w:r>
        <w:rPr>
          <w:rFonts w:ascii="Times New Roman" w:hAnsi="Times New Roman" w:eastAsia="Times New Roman"/>
          <w:sz w:val="24"/>
        </w:rPr>
        <w:t>This study therefore examined legal awareness and access to legal assistance among OFWs in Riyadh, Saudi Arabia. Specifically, it identified common legal issues, determined levels of legal awareness and access to assistance, assessed barriers affecting access, tested the relationship and predictive effects among the variables, and developed an OFW Legal Support Awareness Framework based on the findings.</w:t>
      </w:r>
    </w:p>
    <w:p>
      <w:pPr>
        <w:pStyle w:val="MainHeading"/>
      </w:pPr>
      <w:r>
        <w:rPr>
          <w:rFonts w:ascii="Times New Roman" w:hAnsi="Times New Roman" w:eastAsia="Times New Roman"/>
          <w:sz w:val="24"/>
        </w:rPr>
        <w:t>LITERATURE REVIEW</w:t>
      </w:r>
    </w:p>
    <w:p>
      <w:pPr>
        <w:spacing w:line="240" w:lineRule="auto" w:before="240" w:after="240"/>
        <w:jc w:val="both"/>
      </w:pPr>
      <w:r>
        <w:rPr>
          <w:rFonts w:ascii="Times New Roman" w:hAnsi="Times New Roman" w:eastAsia="Times New Roman"/>
          <w:sz w:val="24"/>
        </w:rPr>
        <w:t>Legal awareness refers to a person's understanding of rights, obligations, remedies, procedures, and sources of assistance. In the context of OFWs, it does not require technical legal expertise. Rather, it means practical awareness that concerns such as unpaid wages, contract substitution, documentation problems, recruitment issues, or workplace disputes may require formal guidance, referral, or legal assistance. This is connected to legal empowerment, which focuses on helping people use legal information in practical situations (Commission on Legal Empowerment of the Poor &amp; United Nations Development Programme, 2008).</w:t>
      </w:r>
    </w:p>
    <w:p>
      <w:pPr>
        <w:spacing w:line="240" w:lineRule="auto" w:before="240" w:after="240"/>
        <w:jc w:val="both"/>
      </w:pPr>
      <w:r>
        <w:rPr>
          <w:rFonts w:ascii="Times New Roman" w:hAnsi="Times New Roman" w:eastAsia="Times New Roman"/>
          <w:sz w:val="24"/>
        </w:rPr>
        <w:t>People-centred justice stresses that legal systems must be assessed according to whether they respond to the actual needs and capacities of people (OECD, 2021). Legal needs research shows that people may fail to obtain justice not only because institutions are absent, but also because they lack knowledge, confidence, time, documentation, or practical support (World Justice Project, 2023). For migrant workers, such barriers may be intensified by employer dependence, unfamiliar procedures, language or communication constraints, and fear of consequences.</w:t>
      </w:r>
    </w:p>
    <w:p>
      <w:pPr>
        <w:spacing w:line="240" w:lineRule="auto" w:before="240" w:after="240"/>
        <w:jc w:val="both"/>
      </w:pPr>
      <w:r>
        <w:rPr>
          <w:rFonts w:ascii="Times New Roman" w:hAnsi="Times New Roman" w:eastAsia="Times New Roman"/>
          <w:sz w:val="24"/>
        </w:rPr>
        <w:t>Studies on migrant worker protection identify wage theft, recruitment-related concerns, delayed salaries, contract issues, and limited access to remedies as persistent problems (Farbenblum &amp; Berg, 2021; International Labour Organization [ILO], 2022). Research and policy literature on migrant workers also emphasize the importance of information, referral systems, documentation support, and worker-friendly access channels (ILO, 2024; International Organization for Migration [IOM], 2024). These themes support the present study's focus on the relationship between legal awareness and practical access to legal assistance.</w:t>
      </w:r>
    </w:p>
    <w:p>
      <w:pPr>
        <w:spacing w:line="240" w:lineRule="auto" w:before="240" w:after="240"/>
        <w:jc w:val="both"/>
      </w:pPr>
      <w:r>
        <w:rPr>
          <w:rFonts w:ascii="Times New Roman" w:hAnsi="Times New Roman" w:eastAsia="Times New Roman"/>
          <w:sz w:val="24"/>
        </w:rPr>
        <w:t>The theoretical basis of the study draws from the Theory of Planned Behavior and Andersen's Behavioral Model of Services Use. The Theory of Planned Behavior suggests that a person's beliefs, perceived control, and intention influence behavior (Ajzen, 1991). In this study, legal awareness may support an OFW's confidence and readiness to seek assistance. Andersen's model explains that service use is affected by enabling and limiting factors (Andersen, 1995), which aligns with the study's inclusion of barriers such as fear, lack of time, uncertainty about procedures, communication barriers, documentation issues, limited digital access, and lack of confidence.</w:t>
      </w:r>
    </w:p>
    <w:p>
      <w:pPr>
        <w:pStyle w:val="MainHeading"/>
      </w:pPr>
      <w:r>
        <w:rPr>
          <w:rFonts w:ascii="Times New Roman" w:hAnsi="Times New Roman" w:eastAsia="Times New Roman"/>
          <w:sz w:val="24"/>
        </w:rPr>
        <w:t>METHODOLOGY</w:t>
      </w:r>
    </w:p>
    <w:p>
      <w:pPr>
        <w:pStyle w:val="SubHeading"/>
      </w:pPr>
      <w:r>
        <w:rPr>
          <w:rFonts w:ascii="Times New Roman" w:hAnsi="Times New Roman" w:eastAsia="Times New Roman"/>
          <w:sz w:val="24"/>
        </w:rPr>
        <w:t>Research design</w:t>
      </w:r>
    </w:p>
    <w:p>
      <w:pPr>
        <w:spacing w:line="240" w:lineRule="auto" w:before="240" w:after="240"/>
        <w:jc w:val="both"/>
      </w:pPr>
      <w:r>
        <w:rPr>
          <w:rFonts w:ascii="Times New Roman" w:hAnsi="Times New Roman" w:eastAsia="Times New Roman"/>
          <w:sz w:val="24"/>
        </w:rPr>
        <w:t>The study used a quantitative descriptive-correlational and predictive research design. The descriptive component identified common legal issues, measured levels of legal awareness, access to legal assistance, and barriers affecting access, and identified preferred support measures. The correlational component tested the relationship between overall legal awareness and overall access to legal assistance. The predictive component used multiple regression to determine whether legal awareness dimensions, overall legal awareness, and barriers predicted access to legal assistance.</w:t>
      </w:r>
    </w:p>
    <w:p>
      <w:pPr>
        <w:pStyle w:val="SubHeading"/>
      </w:pPr>
      <w:r>
        <w:rPr>
          <w:rFonts w:ascii="Times New Roman" w:hAnsi="Times New Roman" w:eastAsia="Times New Roman"/>
          <w:sz w:val="24"/>
        </w:rPr>
        <w:t>Respondents and sampling</w:t>
      </w:r>
    </w:p>
    <w:p>
      <w:pPr>
        <w:spacing w:line="240" w:lineRule="auto" w:before="240" w:after="240"/>
        <w:jc w:val="both"/>
      </w:pPr>
      <w:r>
        <w:rPr>
          <w:rFonts w:ascii="Times New Roman" w:hAnsi="Times New Roman" w:eastAsia="Times New Roman"/>
          <w:sz w:val="24"/>
        </w:rPr>
        <w:t>The respondents were 60 qualified OFWs currently residing or working in Riyadh, Saudi Arabia. Eligibility was limited to Filipino citizens who were at least 18 years old, were currently residing or working in Riyadh, and voluntarily agreed to participate in the study. Because a complete sampling frame of qualified OFWs in Riyadh was not publicly available, the study used online and referral-based recruitment. The results therefore reflect the respondents included in the study and should not be treated as a complete representation of all OFWs in Riyadh or Saudi Arabia.</w:t>
      </w:r>
    </w:p>
    <w:p>
      <w:pPr>
        <w:pStyle w:val="TableCaption"/>
      </w:pPr>
      <w:r>
        <w:rPr>
          <w:rFonts w:ascii="Times New Roman" w:hAnsi="Times New Roman" w:eastAsia="Times New Roman"/>
          <w:sz w:val="24"/>
        </w:rPr>
        <w:t>Table 1: Screening Eligibility of Respondents</w:t>
      </w:r>
    </w:p>
    <w:tbl>
      <w:tblPr>
        <w:tblStyle w:val="TableGrid"/>
        <w:tblW w:type="pct" w:w="5000"/>
        <w:jc w:val="left"/>
        <w:tblLayout w:type="autofit"/>
        <w:tblLook w:firstColumn="1" w:firstRow="1" w:lastColumn="0" w:lastRow="0" w:noHBand="0" w:noVBand="1" w:val="04A0"/>
      </w:tblPr>
      <w:tblGrid>
        <w:gridCol w:w="3566"/>
        <w:gridCol w:w="3566"/>
        <w:gridCol w:w="3566"/>
      </w:tblGrid>
      <w:tr>
        <w:trPr>
          <w:tblHeader w:val="true"/>
        </w:trPr>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Screening criterion</w:t>
            </w:r>
          </w:p>
        </w:tc>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Qualified respondents</w:t>
            </w:r>
          </w:p>
        </w:tc>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Percentage</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Filipino citizen</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60</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100.00%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Currently residing or working in Riyadh, Saudi Arabia</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60</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100.00%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At least 18 years old</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60</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100.00%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Voluntary consent to participate</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60</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100.00%</w:t>
            </w:r>
          </w:p>
        </w:tc>
      </w:tr>
    </w:tbl>
    <w:p>
      <w:pPr>
        <w:jc w:val="both"/>
      </w:pPr>
      <w:r>
        <w:rPr>
          <w:rFonts w:ascii="Times New Roman" w:hAnsi="Times New Roman" w:eastAsia="Times New Roman"/>
          <w:sz w:val="24"/>
        </w:rPr>
        <w:t>Note. N = 60. Percentages are based on the total number of valid respondents.</w:t>
      </w:r>
    </w:p>
    <w:p>
      <w:pPr>
        <w:pStyle w:val="SubHeading"/>
      </w:pPr>
      <w:r>
        <w:rPr>
          <w:rFonts w:ascii="Times New Roman" w:hAnsi="Times New Roman" w:eastAsia="Times New Roman"/>
          <w:sz w:val="24"/>
        </w:rPr>
        <w:t>Instrumentation</w:t>
      </w:r>
    </w:p>
    <w:p>
      <w:pPr>
        <w:spacing w:line="240" w:lineRule="auto" w:before="240" w:after="240"/>
        <w:jc w:val="both"/>
      </w:pPr>
      <w:r>
        <w:rPr>
          <w:rFonts w:ascii="Times New Roman" w:hAnsi="Times New Roman" w:eastAsia="Times New Roman"/>
          <w:sz w:val="24"/>
        </w:rPr>
        <w:t>Data were gathered through an online questionnaire containing screening and consent questions, a checklist of common legal issues, Likert-scale items on legal awareness, Likert-scale items on access to legal assistance, Likert-scale items on barriers affecting access, and preferred support measures for the proposed framework. The Likert items used a five-point scale from 1 (Strongly Disagree) to 5 (Strongly Agree). The instrument was designed to avoid collection of names, employer names, case numbers, passport numbers, iqama numbers, or other personal identifiers.</w:t>
      </w:r>
    </w:p>
    <w:p>
      <w:pPr>
        <w:pStyle w:val="TableCaption"/>
      </w:pPr>
      <w:r>
        <w:rPr>
          <w:rFonts w:ascii="Times New Roman" w:hAnsi="Times New Roman" w:eastAsia="Times New Roman"/>
          <w:sz w:val="24"/>
        </w:rPr>
        <w:t>Table 2: Reliability of the Main Survey Scales</w:t>
      </w:r>
    </w:p>
    <w:tbl>
      <w:tblPr>
        <w:tblStyle w:val="TableGrid"/>
        <w:tblW w:type="pct" w:w="5000"/>
        <w:jc w:val="left"/>
        <w:tblLayout w:type="autofit"/>
        <w:tblLook w:firstColumn="1" w:firstRow="1" w:lastColumn="0" w:lastRow="0" w:noHBand="0" w:noVBand="1" w:val="04A0"/>
      </w:tblPr>
      <w:tblGrid>
        <w:gridCol w:w="3566"/>
        <w:gridCol w:w="3566"/>
        <w:gridCol w:w="3566"/>
      </w:tblGrid>
      <w:tr>
        <w:trPr>
          <w:tblHeader w:val="true"/>
        </w:trPr>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Scale</w:t>
            </w:r>
          </w:p>
        </w:tc>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Cronbach's alpha</w:t>
            </w:r>
          </w:p>
        </w:tc>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Interpretation</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Legal Awareness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0.927</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Excellent internal consistency</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Access to Legal Assistance</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0.931</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Excellent internal consistency</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Barriers Affecting Access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0.941</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Excellent internal consistency</w:t>
            </w:r>
          </w:p>
        </w:tc>
      </w:tr>
    </w:tbl>
    <w:p>
      <w:pPr>
        <w:jc w:val="both"/>
      </w:pPr>
      <w:r>
        <w:rPr>
          <w:rFonts w:ascii="Times New Roman" w:hAnsi="Times New Roman" w:eastAsia="Times New Roman"/>
          <w:sz w:val="24"/>
        </w:rPr>
        <w:t>Note. Cronbach's alpha values indicate excellent internal consistency for the three major scales.</w:t>
      </w:r>
    </w:p>
    <w:p>
      <w:pPr>
        <w:pStyle w:val="SubHeading"/>
      </w:pPr>
      <w:r>
        <w:rPr>
          <w:rFonts w:ascii="Times New Roman" w:hAnsi="Times New Roman" w:eastAsia="Times New Roman"/>
          <w:sz w:val="24"/>
        </w:rPr>
        <w:t>Data analysis</w:t>
      </w:r>
    </w:p>
    <w:p>
      <w:pPr>
        <w:spacing w:line="240" w:lineRule="auto" w:before="240" w:after="240"/>
        <w:jc w:val="both"/>
      </w:pPr>
      <w:r>
        <w:rPr>
          <w:rFonts w:ascii="Times New Roman" w:hAnsi="Times New Roman" w:eastAsia="Times New Roman"/>
          <w:sz w:val="24"/>
        </w:rPr>
        <w:t>Frequency and percentage were used for checklist-type items. Weighted mean and standard deviation were used for Likert-scale dimensions. For legal awareness and access to legal assistance, the interpretation scale was: 4.21 to 5.00, Very High; 3.41 to 4.20, High; 2.61 to 3.40, Moderate; 1.81 to 2.60, Low; and 1.00 to 1.80, Very Low. For barriers, the same ranges were interpreted from Very High Barrier to Very Low Barrier. Spearman's rank correlation was used to test the relationship between legal awareness and access. Multiple regression analysis was used to test predictive effects.</w:t>
      </w:r>
    </w:p>
    <w:p>
      <w:pPr>
        <w:pStyle w:val="MainHeading"/>
      </w:pPr>
      <w:r>
        <w:rPr>
          <w:rFonts w:ascii="Times New Roman" w:hAnsi="Times New Roman" w:eastAsia="Times New Roman"/>
          <w:sz w:val="24"/>
        </w:rPr>
        <w:t>RESULTS</w:t>
      </w:r>
    </w:p>
    <w:p>
      <w:pPr>
        <w:pStyle w:val="SubHeading"/>
      </w:pPr>
      <w:r>
        <w:rPr>
          <w:rFonts w:ascii="Times New Roman" w:hAnsi="Times New Roman" w:eastAsia="Times New Roman"/>
          <w:sz w:val="24"/>
        </w:rPr>
        <w:t>Common legal issues</w:t>
      </w:r>
    </w:p>
    <w:p>
      <w:pPr>
        <w:spacing w:line="240" w:lineRule="auto" w:before="240" w:after="240"/>
        <w:jc w:val="both"/>
      </w:pPr>
      <w:r>
        <w:rPr>
          <w:rFonts w:ascii="Times New Roman" w:hAnsi="Times New Roman" w:eastAsia="Times New Roman"/>
          <w:sz w:val="24"/>
        </w:rPr>
        <w:t>Respondents were allowed to select more than one issue. The most frequently reported legal or legally related issues were employment disputes, contract-related concerns, unpaid or delayed salary/wages, and benefits or end-of-service pay concerns. The multiple-response pattern suggests that OFW legal concerns may overlap and are not always limited to a single issue.</w:t>
      </w:r>
    </w:p>
    <w:p>
      <w:pPr>
        <w:pStyle w:val="TableCaption"/>
      </w:pPr>
      <w:r>
        <w:rPr>
          <w:rFonts w:ascii="Times New Roman" w:hAnsi="Times New Roman" w:eastAsia="Times New Roman"/>
          <w:sz w:val="24"/>
        </w:rPr>
        <w:t>Table 3: Common Legal Issues Encountered by OFWs</w:t>
      </w:r>
    </w:p>
    <w:tbl>
      <w:tblPr>
        <w:tblStyle w:val="TableGrid"/>
        <w:tblW w:type="pct" w:w="5000"/>
        <w:jc w:val="left"/>
        <w:tblLayout w:type="autofit"/>
        <w:tblLook w:firstColumn="1" w:firstRow="1" w:lastColumn="0" w:lastRow="0" w:noHBand="0" w:noVBand="1" w:val="04A0"/>
      </w:tblPr>
      <w:tblGrid>
        <w:gridCol w:w="3566"/>
        <w:gridCol w:w="3566"/>
        <w:gridCol w:w="3566"/>
      </w:tblGrid>
      <w:tr>
        <w:trPr>
          <w:tblHeader w:val="true"/>
        </w:trPr>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Common legal issue</w:t>
            </w:r>
          </w:p>
        </w:tc>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Frequency</w:t>
            </w:r>
          </w:p>
        </w:tc>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Percentage</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Employment dispute</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26</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43.33%</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Contract-related concern</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24</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40.00%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Unpaid or delayed salary/wages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21</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35.00%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Concern involving benefits or end-of-service pay</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19</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31.67%</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Documentation concern</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18</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30.00%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Immigration-related concern</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18</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30.00%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Workplace conflict</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16</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26.67%</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Concern involving termination or resignation</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14</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23.33%</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Recruitment-related problem</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9</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15.00%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Others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5</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8.33%</w:t>
            </w:r>
          </w:p>
        </w:tc>
      </w:tr>
    </w:tbl>
    <w:p>
      <w:pPr>
        <w:jc w:val="both"/>
      </w:pPr>
      <w:r>
        <w:rPr>
          <w:rFonts w:ascii="Times New Roman" w:hAnsi="Times New Roman" w:eastAsia="Times New Roman"/>
          <w:sz w:val="24"/>
        </w:rPr>
        <w:t>Note. Multiple responses were allowed; therefore, percentages do not total 100 percent.</w:t>
      </w:r>
    </w:p>
    <w:p>
      <w:r>
        <w:rPr>
          <w:rFonts w:ascii="Times New Roman" w:hAnsi="Times New Roman" w:eastAsia="Times New Roman"/>
          <w:sz w:val="24"/>
        </w:rPr>
        <w:br w:type="page"/>
      </w:r>
    </w:p>
    <w:p>
      <w:pPr>
        <w:pStyle w:val="SubHeading"/>
      </w:pPr>
      <w:r>
        <w:rPr>
          <w:rFonts w:ascii="Times New Roman" w:hAnsi="Times New Roman" w:eastAsia="Times New Roman"/>
          <w:sz w:val="24"/>
        </w:rPr>
        <w:t>Level of legal awareness</w:t>
      </w:r>
    </w:p>
    <w:p>
      <w:pPr>
        <w:spacing w:line="240" w:lineRule="auto" w:before="240" w:after="240"/>
        <w:jc w:val="both"/>
      </w:pPr>
      <w:r>
        <w:rPr>
          <w:rFonts w:ascii="Times New Roman" w:hAnsi="Times New Roman" w:eastAsia="Times New Roman"/>
          <w:sz w:val="24"/>
        </w:rPr>
        <w:t>The overall legal awareness mean was 3.79, interpreted as High. All five legal awareness dimensions were also rated High. Awareness of basic rights and responsibilities received the highest mean, while awareness of complaint procedures received the lowest mean among the awareness dimensions.</w:t>
      </w:r>
    </w:p>
    <w:p>
      <w:pPr>
        <w:pStyle w:val="TableCaption"/>
      </w:pPr>
      <w:r>
        <w:rPr>
          <w:rFonts w:ascii="Times New Roman" w:hAnsi="Times New Roman" w:eastAsia="Times New Roman"/>
          <w:sz w:val="24"/>
        </w:rPr>
        <w:t>Table 4: Level of Legal Awareness among OFWs</w:t>
      </w:r>
    </w:p>
    <w:tbl>
      <w:tblPr>
        <w:tblStyle w:val="TableGrid"/>
        <w:tblW w:type="pct" w:w="5000"/>
        <w:jc w:val="left"/>
        <w:tblLayout w:type="autofit"/>
        <w:tblLook w:firstColumn="1" w:firstRow="1" w:lastColumn="0" w:lastRow="0" w:noHBand="0" w:noVBand="1" w:val="04A0"/>
      </w:tblPr>
      <w:tblGrid>
        <w:gridCol w:w="2675"/>
        <w:gridCol w:w="2675"/>
        <w:gridCol w:w="2675"/>
        <w:gridCol w:w="2675"/>
      </w:tblGrid>
      <w:tr>
        <w:trPr>
          <w:tblHeader w:val="true"/>
        </w:trPr>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Dimension</w:t>
            </w:r>
          </w:p>
        </w:tc>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Mean</w:t>
            </w:r>
          </w:p>
        </w:tc>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SD</w:t>
            </w:r>
          </w:p>
        </w:tc>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Interpretation</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Awareness of basic rights and responsibilities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3.90</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0.64</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High</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Awareness of employment-related legal remedies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3.81</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0.64</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High</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Awareness of complaint procedures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3.67</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0.64</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High</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Awareness of Philippine government assistance channels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3.86</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0.63</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High</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Awareness of proper referral points for legal concerns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3.73</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0.56</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High</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Overall legal awareness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3.79</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0.52</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High</w:t>
            </w:r>
          </w:p>
        </w:tc>
      </w:tr>
    </w:tbl>
    <w:p>
      <w:pPr>
        <w:jc w:val="both"/>
      </w:pPr>
      <w:r>
        <w:rPr>
          <w:rFonts w:ascii="Times New Roman" w:hAnsi="Times New Roman" w:eastAsia="Times New Roman"/>
          <w:sz w:val="24"/>
        </w:rPr>
        <w:t>Note. Weighted mean interpretation: 4.21-5.00 Very High; 3.41-4.20 High; 2.61-3.40 Moderate; 1.81-2.60 Low; 1.00-1.80 Very Low.</w:t>
      </w:r>
    </w:p>
    <w:p>
      <w:pPr>
        <w:pStyle w:val="SubHeading"/>
      </w:pPr>
      <w:r>
        <w:rPr>
          <w:rFonts w:ascii="Times New Roman" w:hAnsi="Times New Roman" w:eastAsia="Times New Roman"/>
          <w:sz w:val="24"/>
        </w:rPr>
        <w:t>Level of access to legal assistance</w:t>
      </w:r>
    </w:p>
    <w:p>
      <w:pPr>
        <w:spacing w:line="240" w:lineRule="auto" w:before="240" w:after="240"/>
        <w:jc w:val="both"/>
      </w:pPr>
      <w:r>
        <w:rPr>
          <w:rFonts w:ascii="Times New Roman" w:hAnsi="Times New Roman" w:eastAsia="Times New Roman"/>
          <w:sz w:val="24"/>
        </w:rPr>
        <w:t>The overall mean for access to legal assistance was 3.32, interpreted as Moderate. The ability to seek advice or referral was rated High, but the ability to obtain legal information, contact assistance channels, use support services confidently, and actually or intentionally use assistance mechanisms remained Moderate.</w:t>
      </w:r>
    </w:p>
    <w:p>
      <w:pPr>
        <w:pStyle w:val="TableCaption"/>
      </w:pPr>
      <w:r>
        <w:rPr>
          <w:rFonts w:ascii="Times New Roman" w:hAnsi="Times New Roman" w:eastAsia="Times New Roman"/>
          <w:sz w:val="24"/>
        </w:rPr>
        <w:t>Table 5: Level of Access to Legal Assistance among OFWs</w:t>
      </w:r>
    </w:p>
    <w:tbl>
      <w:tblPr>
        <w:tblStyle w:val="TableGrid"/>
        <w:tblW w:type="pct" w:w="5000"/>
        <w:jc w:val="left"/>
        <w:tblLayout w:type="autofit"/>
        <w:tblLook w:firstColumn="1" w:firstRow="1" w:lastColumn="0" w:lastRow="0" w:noHBand="0" w:noVBand="1" w:val="04A0"/>
      </w:tblPr>
      <w:tblGrid>
        <w:gridCol w:w="2675"/>
        <w:gridCol w:w="2675"/>
        <w:gridCol w:w="2675"/>
        <w:gridCol w:w="2675"/>
      </w:tblGrid>
      <w:tr>
        <w:trPr>
          <w:tblHeader w:val="true"/>
        </w:trPr>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Dimension</w:t>
            </w:r>
          </w:p>
        </w:tc>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Mean</w:t>
            </w:r>
          </w:p>
        </w:tc>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SD</w:t>
            </w:r>
          </w:p>
        </w:tc>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Interpretation</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Ability to obtain legal information</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3.24</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0.66</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Ability to contact assistance channels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3.27</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0.73</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Ability to seek advice or referral</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3.42</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0.70</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High</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Confidence in using legal support services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3.32</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0.69</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Actual or intended use of legal assistance mechanisms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3.36</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0.64</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Overall access to legal assistance</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3.32</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0.59</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w:t>
            </w:r>
          </w:p>
        </w:tc>
      </w:tr>
    </w:tbl>
    <w:p>
      <w:pPr>
        <w:jc w:val="both"/>
      </w:pPr>
      <w:r>
        <w:rPr>
          <w:rFonts w:ascii="Times New Roman" w:hAnsi="Times New Roman" w:eastAsia="Times New Roman"/>
          <w:sz w:val="24"/>
        </w:rPr>
        <w:t>Note. Weighted mean interpretation: 4.21-5.00 Very High; 3.41-4.20 High; 2.61-3.40 Moderate; 1.81-2.60 Low; 1.00-1.80 Very Low.</w:t>
      </w:r>
    </w:p>
    <w:p>
      <w:pPr>
        <w:pStyle w:val="SubHeading"/>
      </w:pPr>
      <w:r>
        <w:rPr>
          <w:rFonts w:ascii="Times New Roman" w:hAnsi="Times New Roman" w:eastAsia="Times New Roman"/>
          <w:sz w:val="24"/>
        </w:rPr>
        <w:t>Barriers affecting access</w:t>
      </w:r>
    </w:p>
    <w:p>
      <w:pPr>
        <w:spacing w:line="240" w:lineRule="auto" w:before="240" w:after="240"/>
        <w:jc w:val="both"/>
      </w:pPr>
      <w:r>
        <w:rPr>
          <w:rFonts w:ascii="Times New Roman" w:hAnsi="Times New Roman" w:eastAsia="Times New Roman"/>
          <w:sz w:val="24"/>
        </w:rPr>
        <w:t>Barriers affecting access obtained an overall mean of 3.11, interpreted as a Moderate Barrier. The highest-rated barrier was lack of time due to work schedule, followed by fear or hesitation in reporting concerns and lack of required documents. These results indicate that access concerns are not only informational but also practical, procedural, and confidence-related.</w:t>
      </w:r>
    </w:p>
    <w:p>
      <w:pPr>
        <w:pStyle w:val="TableCaption"/>
      </w:pPr>
      <w:r>
        <w:rPr>
          <w:rFonts w:ascii="Times New Roman" w:hAnsi="Times New Roman" w:eastAsia="Times New Roman"/>
          <w:sz w:val="24"/>
        </w:rPr>
        <w:t>Table 6: Barriers Affecting Access to Legal Assistance</w:t>
      </w:r>
    </w:p>
    <w:tbl>
      <w:tblPr>
        <w:tblStyle w:val="TableGrid"/>
        <w:tblW w:type="pct" w:w="5000"/>
        <w:jc w:val="left"/>
        <w:tblLayout w:type="autofit"/>
        <w:tblLook w:firstColumn="1" w:firstRow="1" w:lastColumn="0" w:lastRow="0" w:noHBand="0" w:noVBand="1" w:val="04A0"/>
      </w:tblPr>
      <w:tblGrid>
        <w:gridCol w:w="2675"/>
        <w:gridCol w:w="2675"/>
        <w:gridCol w:w="2675"/>
        <w:gridCol w:w="2675"/>
      </w:tblGrid>
      <w:tr>
        <w:trPr>
          <w:tblHeader w:val="true"/>
        </w:trPr>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Barrier dimension</w:t>
            </w:r>
          </w:p>
        </w:tc>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Mean</w:t>
            </w:r>
          </w:p>
        </w:tc>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SD</w:t>
            </w:r>
          </w:p>
        </w:tc>
        <w:tc>
          <w:tcPr>
            <w:tcW w:type="dxa" w:w="2675"/>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Interpretation</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Fear or hesitation in reporting concerns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3.23</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0.66</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 Barrier</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Lack of time due to work schedule</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3.36</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0.65</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 Barrier</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Uncertainty about procedures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3.02</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0.72</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 Barrier</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Language or communication barriers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2.95</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0.72</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 Barrier</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Lack of required documents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3.18</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0.65</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 Barrier</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Limited digital or information access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2.99</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0.70</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 Barrier</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Lack of confidence in seeking formal assistance</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3.03</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0.60</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 Barrier</w:t>
            </w:r>
          </w:p>
        </w:tc>
      </w:tr>
      <w:tr>
        <w:tc>
          <w:tcPr>
            <w:tcW w:type="dxa" w:w="2675"/>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Overall barriers affecting access</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3.11</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0.55</w:t>
            </w:r>
          </w:p>
        </w:tc>
        <w:tc>
          <w:tcPr>
            <w:tcW w:type="dxa" w:w="2675"/>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Moderate Barrier</w:t>
            </w:r>
          </w:p>
        </w:tc>
      </w:tr>
    </w:tbl>
    <w:p>
      <w:pPr>
        <w:jc w:val="both"/>
      </w:pPr>
      <w:r>
        <w:rPr>
          <w:rFonts w:ascii="Times New Roman" w:hAnsi="Times New Roman" w:eastAsia="Times New Roman"/>
          <w:sz w:val="24"/>
        </w:rPr>
        <w:t>Note. Barrier mean interpretation: 4.21-5.00 Very High Barrier; 3.41-4.20 High Barrier; 2.61-3.40 Moderate Barrier; 1.81-2.60 Low Barrier; 1.00-1.80 Very Low Barrier.</w:t>
      </w:r>
    </w:p>
    <w:p>
      <w:r>
        <w:rPr>
          <w:rFonts w:ascii="Times New Roman" w:hAnsi="Times New Roman" w:eastAsia="Times New Roman"/>
          <w:sz w:val="24"/>
        </w:rPr>
        <w:br w:type="page"/>
      </w:r>
    </w:p>
    <w:p>
      <w:pPr>
        <w:pStyle w:val="SubHeading"/>
      </w:pPr>
      <w:r>
        <w:rPr>
          <w:rFonts w:ascii="Times New Roman" w:hAnsi="Times New Roman" w:eastAsia="Times New Roman"/>
          <w:sz w:val="24"/>
        </w:rPr>
        <w:t>Relationship and predictive effects</w:t>
      </w:r>
    </w:p>
    <w:p>
      <w:pPr>
        <w:spacing w:line="240" w:lineRule="auto" w:before="240" w:after="240"/>
        <w:jc w:val="both"/>
      </w:pPr>
      <w:r>
        <w:rPr>
          <w:rFonts w:ascii="Times New Roman" w:hAnsi="Times New Roman" w:eastAsia="Times New Roman"/>
          <w:sz w:val="24"/>
        </w:rPr>
        <w:t>Spearman's rank correlation showed a statistically significant positive relationship between overall legal awareness and overall access to legal assistance (rho = .663, p &lt; .001). Multiple regression also showed that the five dimensions of legal awareness significantly predicted access to legal assistance as a group. Awareness of basic rights and responsibilities and awareness of employment-related legal remedies emerged as significant individual predictors. A second regression model using overall legal awareness and barriers was also significant; however, legal awareness was the only clearly significant individual predictor.</w:t>
      </w:r>
    </w:p>
    <w:p>
      <w:pPr>
        <w:pStyle w:val="TableCaption"/>
      </w:pPr>
      <w:r>
        <w:rPr>
          <w:rFonts w:ascii="Times New Roman" w:hAnsi="Times New Roman" w:eastAsia="Times New Roman"/>
          <w:sz w:val="24"/>
        </w:rPr>
        <w:t>Table 7: Relationship and Regression Summary</w:t>
      </w:r>
    </w:p>
    <w:tbl>
      <w:tblPr>
        <w:tblStyle w:val="TableGrid"/>
        <w:tblW w:type="pct" w:w="5000"/>
        <w:jc w:val="left"/>
        <w:tblLayout w:type="autofit"/>
        <w:tblLook w:firstColumn="1" w:firstRow="1" w:lastColumn="0" w:lastRow="0" w:noHBand="0" w:noVBand="1" w:val="04A0"/>
      </w:tblPr>
      <w:tblGrid>
        <w:gridCol w:w="3566"/>
        <w:gridCol w:w="3566"/>
        <w:gridCol w:w="3566"/>
      </w:tblGrid>
      <w:tr>
        <w:trPr>
          <w:tblHeader w:val="true"/>
        </w:trPr>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Analysis</w:t>
            </w:r>
          </w:p>
        </w:tc>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Key statistic</w:t>
            </w:r>
          </w:p>
        </w:tc>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Interpretation/decision</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Overall legal awareness and overall access to legal assistance</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Spearman rho = 0.663, p &lt; .001</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Significant positive relationship; reject H₀₁</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Legal awareness dimensions predicting access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F(5, 54) = 13.57, p &lt; .001, R² = .557</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Significant model; reject H₀₂</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Significant individual predictors in awareness model</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Basic rights and responsibilities: B = 0.323, p = .013; employment-related legal remedies: B = 0.301, p = .026</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Both were significant positive predictors</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Overall awareness and barriers predicting access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F(2, 57) = 33.57, p &lt; .001, R² = .541</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Significant model; legal awareness significant, barriers marginal/non-significant</w:t>
            </w:r>
          </w:p>
        </w:tc>
      </w:tr>
    </w:tbl>
    <w:p>
      <w:pPr>
        <w:jc w:val="both"/>
      </w:pPr>
      <w:r>
        <w:rPr>
          <w:rFonts w:ascii="Times New Roman" w:hAnsi="Times New Roman" w:eastAsia="Times New Roman"/>
          <w:sz w:val="24"/>
        </w:rPr>
        <w:t>Note. Significance level = .05. Dependent variable for regression analyses: overall access to legal assistance.</w:t>
      </w:r>
    </w:p>
    <w:p>
      <w:r>
        <w:rPr>
          <w:rFonts w:ascii="Times New Roman" w:hAnsi="Times New Roman" w:eastAsia="Times New Roman"/>
          <w:sz w:val="24"/>
        </w:rPr>
        <w:br w:type="page"/>
      </w:r>
    </w:p>
    <w:p>
      <w:pPr>
        <w:pStyle w:val="SubHeading"/>
      </w:pPr>
      <w:r>
        <w:rPr>
          <w:rFonts w:ascii="Times New Roman" w:hAnsi="Times New Roman" w:eastAsia="Times New Roman"/>
          <w:sz w:val="24"/>
        </w:rPr>
        <w:t>Preferred support measures</w:t>
      </w:r>
    </w:p>
    <w:p>
      <w:pPr>
        <w:spacing w:line="240" w:lineRule="auto" w:before="240" w:after="240"/>
        <w:jc w:val="both"/>
      </w:pPr>
      <w:r>
        <w:rPr>
          <w:rFonts w:ascii="Times New Roman" w:hAnsi="Times New Roman" w:eastAsia="Times New Roman"/>
          <w:sz w:val="24"/>
        </w:rPr>
        <w:t>The respondents preferred practical, accessible, and easy-to-understand support measures. The highest-ranked measures were document preparation checklists, a list of proper assistance channels and contact points, frequently asked questions, and a step-by-step referral guide or flowchart.</w:t>
      </w:r>
    </w:p>
    <w:p>
      <w:pPr>
        <w:pStyle w:val="TableCaption"/>
      </w:pPr>
      <w:r>
        <w:rPr>
          <w:rFonts w:ascii="Times New Roman" w:hAnsi="Times New Roman" w:eastAsia="Times New Roman"/>
          <w:sz w:val="24"/>
        </w:rPr>
        <w:t>Table 8: Preferred Support Measures for the Proposed Framework</w:t>
      </w:r>
    </w:p>
    <w:tbl>
      <w:tblPr>
        <w:tblStyle w:val="TableGrid"/>
        <w:tblW w:type="pct" w:w="5000"/>
        <w:jc w:val="left"/>
        <w:tblLayout w:type="autofit"/>
        <w:tblLook w:firstColumn="1" w:firstRow="1" w:lastColumn="0" w:lastRow="0" w:noHBand="0" w:noVBand="1" w:val="04A0"/>
      </w:tblPr>
      <w:tblGrid>
        <w:gridCol w:w="3566"/>
        <w:gridCol w:w="3566"/>
        <w:gridCol w:w="3566"/>
      </w:tblGrid>
      <w:tr>
        <w:trPr>
          <w:tblHeader w:val="true"/>
        </w:trPr>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Preferred support measure</w:t>
            </w:r>
          </w:p>
        </w:tc>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Frequency</w:t>
            </w:r>
          </w:p>
        </w:tc>
        <w:tc>
          <w:tcPr>
            <w:tcW w:type="dxa" w:w="3566"/>
            <w:shd w:fill="E8E8E8"/>
            <w:vAlign w:val="center"/>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sz w:val="24"/>
              </w:rPr>
              <w:t>Percentage</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Document preparation checklist for legal concerns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48</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80.00%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List of proper assistance channels and contact points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46</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76.67%</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Frequently asked questions about common OFW legal concerns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45</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75.00%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Step-by-step referral guide or flowchart</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45</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75.00%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Simple OFW legal awareness guide</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44</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73.33%</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Filipino/Tagalog explanations of legal assistance procedures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43</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71.67%</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Confidential or anonymous inquiry option</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39</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65.00%</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Online orientation or webinar on legal awareness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38</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63.33%</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Digital posters or infographics for OFW groups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37</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61.67%</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Community-based legal awareness campaign</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32</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53.33%</w:t>
            </w:r>
          </w:p>
        </w:tc>
      </w:tr>
      <w:tr>
        <w:tc>
          <w:tcPr>
            <w:tcW w:type="dxa" w:w="3566"/>
            <w:vAlign w:val="top"/>
            <w:tcMar>
              <w:top w:w="60" w:type="dxa"/>
              <w:start w:w="60" w:type="dxa"/>
              <w:bottom w:w="60" w:type="dxa"/>
              <w:end w:w="60" w:type="dxa"/>
            </w:tcMar>
          </w:tcPr>
          <w:p>
            <w:pPr>
              <w:spacing w:before="60" w:after="60" w:line="240" w:lineRule="auto"/>
              <w:jc w:val="left"/>
            </w:pPr>
            <w:r>
              <w:rPr>
                <w:rFonts w:ascii="Times New Roman" w:hAnsi="Times New Roman" w:eastAsia="Times New Roman"/>
                <w:sz w:val="24"/>
              </w:rPr>
            </w:r>
            <w:r>
              <w:rPr>
                <w:rFonts w:ascii="Times New Roman" w:hAnsi="Times New Roman" w:eastAsia="Times New Roman"/>
                <w:b w:val="0"/>
                <w:sz w:val="24"/>
              </w:rPr>
              <w:t>Others</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2</w:t>
            </w:r>
          </w:p>
        </w:tc>
        <w:tc>
          <w:tcPr>
            <w:tcW w:type="dxa" w:w="3566"/>
            <w:vAlign w:val="top"/>
            <w:tcMar>
              <w:top w:w="60" w:type="dxa"/>
              <w:start w:w="60" w:type="dxa"/>
              <w:bottom w:w="60" w:type="dxa"/>
              <w:end w:w="60" w:type="dxa"/>
            </w:tcMar>
          </w:tcPr>
          <w:p>
            <w:pPr>
              <w:spacing w:before="60" w:after="60" w:line="240" w:lineRule="auto"/>
              <w:jc w:val="center"/>
            </w:pPr>
            <w:r>
              <w:rPr>
                <w:rFonts w:ascii="Times New Roman" w:hAnsi="Times New Roman" w:eastAsia="Times New Roman"/>
                <w:sz w:val="24"/>
              </w:rPr>
            </w:r>
            <w:r>
              <w:rPr>
                <w:rFonts w:ascii="Times New Roman" w:hAnsi="Times New Roman" w:eastAsia="Times New Roman"/>
                <w:b w:val="0"/>
                <w:sz w:val="24"/>
              </w:rPr>
              <w:t>3.33%</w:t>
            </w:r>
          </w:p>
        </w:tc>
      </w:tr>
    </w:tbl>
    <w:p>
      <w:pPr>
        <w:jc w:val="both"/>
      </w:pPr>
      <w:r>
        <w:rPr>
          <w:rFonts w:ascii="Times New Roman" w:hAnsi="Times New Roman" w:eastAsia="Times New Roman"/>
          <w:sz w:val="24"/>
        </w:rPr>
        <w:t>Note. Multiple responses were allowed; therefore, percentages do not total 100 percent.</w:t>
      </w:r>
    </w:p>
    <w:p>
      <w:pPr>
        <w:pStyle w:val="MainHeading"/>
      </w:pPr>
      <w:r>
        <w:rPr>
          <w:rFonts w:ascii="Times New Roman" w:hAnsi="Times New Roman" w:eastAsia="Times New Roman"/>
          <w:sz w:val="24"/>
        </w:rPr>
        <w:t>DISCUSSION</w:t>
      </w:r>
    </w:p>
    <w:p>
      <w:pPr>
        <w:spacing w:line="240" w:lineRule="auto" w:before="240" w:after="240"/>
        <w:jc w:val="both"/>
      </w:pPr>
      <w:r>
        <w:rPr>
          <w:rFonts w:ascii="Times New Roman" w:hAnsi="Times New Roman" w:eastAsia="Times New Roman"/>
          <w:sz w:val="24"/>
        </w:rPr>
        <w:t>The findings show that legal concerns among OFWs in Riyadh are strongly connected to employment and contract-related matters. Employment disputes, contract concerns, unpaid or delayed wages, and benefits or end-of-service pay concerns were the leading issues. These findings are consistent with migrant worker literature identifying wages, contracts, recruitment practices, documentation, and access to remedies as recurring areas of vulnerability (Farbenblum &amp; Berg, 2021; ILO, 2022; IOM, 2024).</w:t>
      </w:r>
    </w:p>
    <w:p>
      <w:pPr>
        <w:spacing w:line="240" w:lineRule="auto" w:before="240" w:after="240"/>
        <w:jc w:val="both"/>
      </w:pPr>
      <w:r>
        <w:rPr>
          <w:rFonts w:ascii="Times New Roman" w:hAnsi="Times New Roman" w:eastAsia="Times New Roman"/>
          <w:sz w:val="24"/>
        </w:rPr>
        <w:t>A key finding is the difference between legal awareness and actual access. Respondents reported high legal awareness, but only moderate access to legal assistance. This suggests that knowing rights, remedies, or assistance channels does not automatically translate into the ability to contact offices, prepare documents, follow procedures, or confidently use available services. This supports people-centred justice literature, which emphasizes that legal information must be practical, reachable, and usable from the standpoint of the people experiencing the problem (OECD, 2021; OECD &amp; Open Society Foundations, 2019).</w:t>
      </w:r>
    </w:p>
    <w:p>
      <w:pPr>
        <w:spacing w:line="240" w:lineRule="auto" w:before="240" w:after="240"/>
        <w:jc w:val="both"/>
      </w:pPr>
      <w:r>
        <w:rPr>
          <w:rFonts w:ascii="Times New Roman" w:hAnsi="Times New Roman" w:eastAsia="Times New Roman"/>
          <w:sz w:val="24"/>
        </w:rPr>
        <w:t>The significant positive relationship between legal awareness and access to legal assistance indicates that OFWs who have higher awareness also tend to report better access. The regression findings further suggest that awareness of basic rights and responsibilities and awareness of employment-related legal remedies are especially important predictors of access. This implies that awareness-building efforts should begin with practical rights and common employment remedies rather than technical legal explanations alone.</w:t>
      </w:r>
    </w:p>
    <w:p>
      <w:pPr>
        <w:spacing w:line="240" w:lineRule="auto" w:before="240" w:after="240"/>
        <w:jc w:val="both"/>
      </w:pPr>
      <w:r>
        <w:rPr>
          <w:rFonts w:ascii="Times New Roman" w:hAnsi="Times New Roman" w:eastAsia="Times New Roman"/>
          <w:sz w:val="24"/>
        </w:rPr>
        <w:t>Barriers were moderate overall and were led by lack of time due to work schedule, fear or hesitation in reporting concerns, and lack of required documents. These barriers show that access is affected by real-life conditions. OFWs may know assistance exists but may still find it difficult to act because of time limitations, fear, uncertainty, or lack of preparedness. Therefore, an effective framework should not only raise awareness but also reduce barriers through flexible digital access, document checklists, Filipino/Tagalog explanations, confidentiality options, and clear referral guides.</w:t>
      </w:r>
    </w:p>
    <w:p>
      <w:pPr>
        <w:pStyle w:val="SubHeading"/>
      </w:pPr>
      <w:r>
        <w:rPr>
          <w:rFonts w:ascii="Times New Roman" w:hAnsi="Times New Roman" w:eastAsia="Times New Roman"/>
          <w:sz w:val="24"/>
        </w:rPr>
        <w:t>Proposed OFW Legal Support Awareness Framework</w:t>
      </w:r>
    </w:p>
    <w:p>
      <w:pPr>
        <w:spacing w:line="240" w:lineRule="auto" w:before="240" w:after="240"/>
        <w:jc w:val="both"/>
      </w:pPr>
      <w:r>
        <w:rPr>
          <w:rFonts w:ascii="Times New Roman" w:hAnsi="Times New Roman" w:eastAsia="Times New Roman"/>
          <w:sz w:val="24"/>
        </w:rPr>
        <w:t>Based on the findings, the proposed framework contains five connected components: legal issue recognition, legal awareness strengthening, access pathway and referral, barrier reduction support, and community and digital dissemination. These components are intended to help OFWs recognize legal concerns early, understand basic rights and remedies, locate proper assistance channels, prepare documents, and use accessible information materials through community and digital platforms.</w:t>
      </w:r>
    </w:p>
    <w:p>
      <w:r>
        <w:rPr>
          <w:rFonts w:ascii="Times New Roman" w:hAnsi="Times New Roman" w:eastAsia="Times New Roman"/>
          <w:sz w:val="24"/>
        </w:rPr>
        <w:br w:type="page"/>
      </w:r>
    </w:p>
    <w:p>
      <w:pPr>
        <w:jc w:val="center"/>
      </w:pPr>
      <w:r>
        <w:rPr>
          <w:rFonts w:ascii="Times New Roman" w:hAnsi="Times New Roman" w:eastAsia="Times New Roman"/>
          <w:sz w:val="24"/>
        </w:rPr>
        <w:drawing>
          <wp:inline xmlns:a="http://schemas.openxmlformats.org/drawingml/2006/main" xmlns:pic="http://schemas.openxmlformats.org/drawingml/2006/picture">
            <wp:extent cx="5394960" cy="5394960"/>
            <wp:docPr id="1" name="Picture 1"/>
            <wp:cNvGraphicFramePr>
              <a:graphicFrameLocks noChangeAspect="1"/>
            </wp:cNvGraphicFramePr>
            <a:graphic>
              <a:graphicData uri="http://schemas.openxmlformats.org/drawingml/2006/picture">
                <pic:pic>
                  <pic:nvPicPr>
                    <pic:cNvPr id="0" name="image2.png"/>
                    <pic:cNvPicPr/>
                  </pic:nvPicPr>
                  <pic:blipFill>
                    <a:blip r:embed="rId9"/>
                    <a:stretch>
                      <a:fillRect/>
                    </a:stretch>
                  </pic:blipFill>
                  <pic:spPr>
                    <a:xfrm>
                      <a:off x="0" y="0"/>
                      <a:ext cx="5394960" cy="5394960"/>
                    </a:xfrm>
                    <a:prstGeom prst="rect"/>
                  </pic:spPr>
                </pic:pic>
              </a:graphicData>
            </a:graphic>
          </wp:inline>
        </w:drawing>
      </w:r>
    </w:p>
    <w:p>
      <w:pPr>
        <w:pStyle w:val="FigureCaption"/>
      </w:pPr>
      <w:r>
        <w:rPr>
          <w:rFonts w:ascii="Times New Roman" w:hAnsi="Times New Roman" w:eastAsia="Times New Roman"/>
          <w:sz w:val="24"/>
        </w:rPr>
        <w:t>Figure 1: Proposed OFW Legal Support Awareness Framework Based on the Findings</w:t>
      </w:r>
    </w:p>
    <w:p>
      <w:pPr>
        <w:spacing w:line="240" w:lineRule="auto" w:before="240" w:after="240"/>
        <w:jc w:val="both"/>
      </w:pPr>
      <w:r>
        <w:rPr>
          <w:rFonts w:ascii="Times New Roman" w:hAnsi="Times New Roman" w:eastAsia="Times New Roman"/>
          <w:sz w:val="24"/>
        </w:rPr>
        <w:t>Source. Developed by the researcher based on the findings of the study and the supporting theoretical and legal foundations.</w:t>
      </w:r>
    </w:p>
    <w:p>
      <w:pPr>
        <w:pStyle w:val="MainHeading"/>
      </w:pPr>
      <w:r>
        <w:rPr>
          <w:rFonts w:ascii="Times New Roman" w:hAnsi="Times New Roman" w:eastAsia="Times New Roman"/>
          <w:sz w:val="24"/>
        </w:rPr>
        <w:t>CONCLUSION</w:t>
      </w:r>
    </w:p>
    <w:p>
      <w:pPr>
        <w:spacing w:line="240" w:lineRule="auto" w:before="240" w:after="240"/>
        <w:jc w:val="both"/>
      </w:pPr>
      <w:r>
        <w:rPr>
          <w:rFonts w:ascii="Times New Roman" w:hAnsi="Times New Roman" w:eastAsia="Times New Roman"/>
          <w:sz w:val="24"/>
        </w:rPr>
        <w:t>This study concluded that OFWs in Riyadh, Saudi Arabia experienced common legal or legally related issues involving employment, contracts, wages, benefits, documentation, immigration, workplace conflict, termination or resignation, and recruitment-related concerns. The respondents demonstrated high legal awareness but only moderate access to legal assistance. This means that awareness exists, but practical access remains limited by work schedules, fear or hesitation, documentation concerns, uncertainty about procedures, and confidence-related barriers.</w:t>
      </w:r>
    </w:p>
    <w:p>
      <w:pPr>
        <w:spacing w:line="240" w:lineRule="auto" w:before="240" w:after="240"/>
        <w:jc w:val="both"/>
      </w:pPr>
      <w:r>
        <w:rPr>
          <w:rFonts w:ascii="Times New Roman" w:hAnsi="Times New Roman" w:eastAsia="Times New Roman"/>
          <w:sz w:val="24"/>
        </w:rPr>
        <w:t>Legal awareness was significantly and positively related to access to legal assistance. It also significantly predicted access, particularly through awareness of basic rights and responsibilities and employment-related legal remedies. Therefore, improving legal awareness is a practical strategy for strengthening OFWs' ability, confidence, and readiness to seek assistance. However, awareness campaigns should be supported by practical tools such as document checklists, contact directories, FAQs, flowcharts, Filipino/Tagalog explanations, confidential inquiry options, digital posters, webinars, and community-based dissemination.</w:t>
      </w:r>
    </w:p>
    <w:p>
      <w:pPr>
        <w:spacing w:line="240" w:lineRule="auto" w:before="240" w:after="240"/>
        <w:jc w:val="both"/>
      </w:pPr>
      <w:r>
        <w:rPr>
          <w:rFonts w:ascii="Times New Roman" w:hAnsi="Times New Roman" w:eastAsia="Times New Roman"/>
          <w:sz w:val="24"/>
        </w:rPr>
        <w:t>The proposed OFW Legal Support Awareness Framework may be used as a guide for organizing awareness-building and referral-support efforts for Filipino migrant workers in Riyadh. It is not a substitute for legal advice, legal representation, or official government assistance, but it can support early issue recognition, practical awareness, proper referral, and more accessible legal support information. Future studies may test the framework using larger samples, qualitative interviews, or comparative research involving OFWs in other cities or countries.</w:t>
      </w:r>
    </w:p>
    <w:p>
      <w:pPr>
        <w:pStyle w:val="MainHeading"/>
      </w:pPr>
      <w:r>
        <w:rPr>
          <w:rFonts w:ascii="Times New Roman" w:hAnsi="Times New Roman" w:eastAsia="Times New Roman"/>
          <w:sz w:val="24"/>
        </w:rPr>
        <w:t>ACKNOWLEDGEMENTS</w:t>
      </w:r>
    </w:p>
    <w:p>
      <w:pPr>
        <w:spacing w:line="240" w:lineRule="auto" w:before="240" w:after="240"/>
        <w:jc w:val="both"/>
      </w:pPr>
      <w:r>
        <w:rPr>
          <w:rFonts w:ascii="Times New Roman" w:hAnsi="Times New Roman" w:eastAsia="Times New Roman"/>
          <w:sz w:val="24"/>
        </w:rPr>
        <w:t>The author expresses sincere gratitude to Almighty God for the wisdom, strength, patience, and guidance necessary to complete this research. Appreciation is also extended to the OFWs in Riyadh, Saudi Arabia, who voluntarily participated in the survey, and to fellow OFWs, friends, colleagues, and members of the Filipino community who provided encouragement and support during the data-gathering and writing process.</w:t>
      </w:r>
    </w:p>
    <w:p>
      <w:pPr>
        <w:pStyle w:val="MainHeading"/>
      </w:pPr>
      <w:r>
        <w:rPr>
          <w:rFonts w:ascii="Times New Roman" w:hAnsi="Times New Roman" w:eastAsia="Times New Roman"/>
          <w:sz w:val="24"/>
        </w:rPr>
        <w:t>ETHICAL APPROVAL AND INFORMED CONSENT</w:t>
      </w:r>
    </w:p>
    <w:p>
      <w:pPr>
        <w:spacing w:line="240" w:lineRule="auto" w:before="240" w:after="240"/>
        <w:jc w:val="both"/>
      </w:pPr>
      <w:r>
        <w:rPr>
          <w:rFonts w:ascii="Times New Roman" w:hAnsi="Times New Roman" w:eastAsia="Times New Roman"/>
          <w:sz w:val="24"/>
        </w:rPr>
        <w:t>The study involved adult respondents who voluntarily participated through an anonymous online questionnaire. Electronic informed consent was obtained before participation. Respondents were instructed not to provide their names, employer names, company names, case numbers, passport numbers, iqama numbers, or other personal identification details. No animal subjects were involved. No formal ethics approval number was provided at the time of manuscript preparation; if required by the journal or institution, the author should provide the applicable ethics clearance details during final submission.</w:t>
      </w:r>
    </w:p>
    <w:p>
      <w:pPr>
        <w:pStyle w:val="MainHeading"/>
      </w:pPr>
      <w:r>
        <w:rPr>
          <w:rFonts w:ascii="Times New Roman" w:hAnsi="Times New Roman" w:eastAsia="Times New Roman"/>
          <w:sz w:val="24"/>
        </w:rPr>
        <w:t>CONFLICT OF INTEREST</w:t>
      </w:r>
    </w:p>
    <w:p>
      <w:pPr>
        <w:spacing w:line="240" w:lineRule="auto" w:before="240" w:after="240"/>
        <w:jc w:val="both"/>
      </w:pPr>
      <w:r>
        <w:rPr>
          <w:rFonts w:ascii="Times New Roman" w:hAnsi="Times New Roman" w:eastAsia="Times New Roman"/>
          <w:sz w:val="24"/>
        </w:rPr>
        <w:t>The author declares no known conflict of interest related to this study.</w:t>
      </w:r>
    </w:p>
    <w:p>
      <w:pPr>
        <w:pStyle w:val="MainHeading"/>
      </w:pPr>
      <w:r>
        <w:rPr>
          <w:rFonts w:ascii="Times New Roman" w:hAnsi="Times New Roman" w:eastAsia="Times New Roman"/>
          <w:sz w:val="24"/>
        </w:rPr>
        <w:t>FUNDING</w:t>
      </w:r>
    </w:p>
    <w:p>
      <w:pPr>
        <w:spacing w:line="240" w:lineRule="auto" w:before="240" w:after="240"/>
        <w:jc w:val="both"/>
      </w:pPr>
      <w:r>
        <w:rPr>
          <w:rFonts w:ascii="Times New Roman" w:hAnsi="Times New Roman" w:eastAsia="Times New Roman"/>
          <w:sz w:val="24"/>
        </w:rPr>
        <w:t>This research received no external funding.</w:t>
      </w:r>
    </w:p>
    <w:p>
      <w:pPr>
        <w:pStyle w:val="MainHeading"/>
      </w:pPr>
      <w:r>
        <w:rPr>
          <w:rFonts w:ascii="Times New Roman" w:hAnsi="Times New Roman" w:eastAsia="Times New Roman"/>
          <w:sz w:val="24"/>
        </w:rPr>
        <w:t>DATA AVAILABILITY</w:t>
      </w:r>
    </w:p>
    <w:p>
      <w:pPr>
        <w:spacing w:line="240" w:lineRule="auto" w:before="240" w:after="240"/>
        <w:jc w:val="both"/>
      </w:pPr>
      <w:r>
        <w:rPr>
          <w:rFonts w:ascii="Times New Roman" w:hAnsi="Times New Roman" w:eastAsia="Times New Roman"/>
          <w:sz w:val="24"/>
        </w:rPr>
        <w:t>The questionnaire and summarized statistical results are available from the corresponding author upon reasonable request. The raw dataset is not publicly available because of confidentiality considerations and the relatively small community context of OFWs in Riyadh, even though no direct personal identifiers were collected.</w:t>
      </w:r>
    </w:p>
    <w:p>
      <w:pPr>
        <w:pStyle w:val="MainHeading"/>
      </w:pPr>
      <w:r>
        <w:rPr>
          <w:rFonts w:ascii="Times New Roman" w:hAnsi="Times New Roman" w:eastAsia="Times New Roman"/>
          <w:sz w:val="24"/>
        </w:rPr>
        <w:t>REFERENCES</w:t>
      </w:r>
    </w:p>
    <w:p>
      <w:pPr>
        <w:pStyle w:val="ReferenceItem"/>
        <w:spacing w:line="240" w:lineRule="auto" w:before="240" w:after="240"/>
        <w:jc w:val="left"/>
      </w:pPr>
      <w:r>
        <w:rPr>
          <w:rFonts w:ascii="Times New Roman" w:hAnsi="Times New Roman" w:eastAsia="Times New Roman"/>
          <w:sz w:val="24"/>
        </w:rPr>
        <w:t>1. Ajzen, I. (1991). The theory of planned behavior. Organizational Behavior and Human Decision Processes, 50(2), 179-211. https://doi.org/10.1016/0749-5978(91)90020-T</w:t>
      </w:r>
    </w:p>
    <w:p>
      <w:pPr>
        <w:pStyle w:val="ReferenceItem"/>
        <w:spacing w:line="240" w:lineRule="auto" w:before="240" w:after="240"/>
        <w:jc w:val="left"/>
      </w:pPr>
      <w:r>
        <w:rPr>
          <w:rFonts w:ascii="Times New Roman" w:hAnsi="Times New Roman" w:eastAsia="Times New Roman"/>
          <w:sz w:val="24"/>
        </w:rPr>
        <w:t>2. Andersen, R. M. (1995). Revisiting the behavioral model and access to medical care: Does it matter? Journal of Health and Social Behavior, 36(1), 1-10. https://pubmed.ncbi.nlm.nih.gov/7738325/</w:t>
      </w:r>
    </w:p>
    <w:p>
      <w:pPr>
        <w:pStyle w:val="ReferenceItem"/>
        <w:spacing w:line="240" w:lineRule="auto" w:before="240" w:after="240"/>
        <w:jc w:val="left"/>
      </w:pPr>
      <w:r>
        <w:rPr>
          <w:rFonts w:ascii="Times New Roman" w:hAnsi="Times New Roman" w:eastAsia="Times New Roman"/>
          <w:sz w:val="24"/>
        </w:rPr>
        <w:t>3. Creswell, J. W., &amp; Creswell, J. D. (2023). Research design: Qualitative, quantitative, and mixed methods approaches (6th ed.). SAGE Publications. https://edge.sagepub.com/creswellrd6e</w:t>
      </w:r>
    </w:p>
    <w:p>
      <w:pPr>
        <w:pStyle w:val="ReferenceItem"/>
        <w:spacing w:line="240" w:lineRule="auto" w:before="240" w:after="240"/>
        <w:jc w:val="left"/>
      </w:pPr>
      <w:r>
        <w:rPr>
          <w:rFonts w:ascii="Times New Roman" w:hAnsi="Times New Roman" w:eastAsia="Times New Roman"/>
          <w:sz w:val="24"/>
        </w:rPr>
        <w:t>4. Commission on Legal Empowerment of the Poor &amp; United Nations Development Programme. (2008). Making the law work for everyone: Volume I, Report of the Commission on Legal Empowerment of the Poor. United Nations Development Programme. https://digitallibrary.un.org/record/633970?ln=en</w:t>
      </w:r>
    </w:p>
    <w:p>
      <w:pPr>
        <w:pStyle w:val="ReferenceItem"/>
        <w:spacing w:line="240" w:lineRule="auto" w:before="240" w:after="240"/>
        <w:jc w:val="left"/>
      </w:pPr>
      <w:r>
        <w:rPr>
          <w:rFonts w:ascii="Times New Roman" w:hAnsi="Times New Roman" w:eastAsia="Times New Roman"/>
          <w:sz w:val="24"/>
        </w:rPr>
        <w:t>5. Farbenblum, B., &amp; Berg, L. (2021). Migrant workers' access to justice for wage theft: A global study of promising initiatives. Migrant Justice Institute. https://mwji.squarespace.com/s/Farbenblum-Berg-2021-MWA2J-with-hyperlinks.pdf</w:t>
      </w:r>
    </w:p>
    <w:p>
      <w:pPr>
        <w:pStyle w:val="ReferenceItem"/>
        <w:spacing w:line="240" w:lineRule="auto" w:before="240" w:after="240"/>
        <w:jc w:val="left"/>
      </w:pPr>
      <w:r>
        <w:rPr>
          <w:rFonts w:ascii="Times New Roman" w:hAnsi="Times New Roman" w:eastAsia="Times New Roman"/>
          <w:sz w:val="24"/>
        </w:rPr>
        <w:t>6. Faul, F., Erdfelder, E., Lang, A.-G., &amp; Buchner, A. (2007). G*Power 3: A flexible statistical power analysis program for the social, behavioral, and biomedical sciences. Behavior Research Methods, 39, 175-191. https://doi.org/10.3758/BF03193146</w:t>
      </w:r>
    </w:p>
    <w:p>
      <w:pPr>
        <w:pStyle w:val="ReferenceItem"/>
        <w:spacing w:line="240" w:lineRule="auto" w:before="240" w:after="240"/>
        <w:jc w:val="left"/>
      </w:pPr>
      <w:r>
        <w:rPr>
          <w:rFonts w:ascii="Times New Roman" w:hAnsi="Times New Roman" w:eastAsia="Times New Roman"/>
          <w:sz w:val="24"/>
        </w:rPr>
        <w:t>7. Faul, F., Erdfelder, E., Buchner, A., &amp; Lang, A.-G. (2009). Statistical power analyses using G*Power 3.1: Tests for correlation and regression analyses. Behavior Research Methods, 41(4), 1149-1160. https://doi.org/10.3758/BRM.41.4.1149</w:t>
      </w:r>
    </w:p>
    <w:p>
      <w:pPr>
        <w:pStyle w:val="ReferenceItem"/>
        <w:spacing w:line="240" w:lineRule="auto" w:before="240" w:after="240"/>
        <w:jc w:val="left"/>
      </w:pPr>
      <w:r>
        <w:rPr>
          <w:rFonts w:ascii="Times New Roman" w:hAnsi="Times New Roman" w:eastAsia="Times New Roman"/>
          <w:sz w:val="24"/>
        </w:rPr>
        <w:t>8. Hair, J. F., Black, W. C., Babin, B. J., &amp; Anderson, R. E. (2022). Multivariate data analysis (8th ed.). Cengage Learning. https://books.google.com/books/about/Multivariate_Data_Analysis.html?id=PONXEAAAQBAJ</w:t>
      </w:r>
    </w:p>
    <w:p>
      <w:pPr>
        <w:pStyle w:val="ReferenceItem"/>
        <w:spacing w:line="240" w:lineRule="auto" w:before="240" w:after="240"/>
        <w:jc w:val="left"/>
      </w:pPr>
      <w:r>
        <w:rPr>
          <w:rFonts w:ascii="Times New Roman" w:hAnsi="Times New Roman" w:eastAsia="Times New Roman"/>
          <w:sz w:val="24"/>
        </w:rPr>
        <w:t>9. International Labour Organization. (2022). Protection legislation and legal frameworks for migrant workers in Gulf Cooperation Council countries. https://www.ilo.org/sites/default/files/wcmsp5/groups/public/%40arabstates/%40ro-beirut/documents/publication/wcms_886063.pdf</w:t>
      </w:r>
    </w:p>
    <w:p>
      <w:pPr>
        <w:pStyle w:val="ReferenceItem"/>
        <w:spacing w:line="240" w:lineRule="auto" w:before="240" w:after="240"/>
        <w:jc w:val="left"/>
      </w:pPr>
      <w:r>
        <w:rPr>
          <w:rFonts w:ascii="Times New Roman" w:hAnsi="Times New Roman" w:eastAsia="Times New Roman"/>
          <w:sz w:val="24"/>
        </w:rPr>
        <w:t>10. International Labour Organization. (2024). Justice across borders: Access to labour justice for migrant workers through cross-border litigation. https://www.ilo.org/sites/default/files/2024-12/Standard%20publication_Justice%20Across%20Borders_EN_web__0.pdf</w:t>
      </w:r>
    </w:p>
    <w:p>
      <w:pPr>
        <w:pStyle w:val="ReferenceItem"/>
        <w:spacing w:line="240" w:lineRule="auto" w:before="240" w:after="240"/>
        <w:jc w:val="left"/>
      </w:pPr>
      <w:r>
        <w:rPr>
          <w:rFonts w:ascii="Times New Roman" w:hAnsi="Times New Roman" w:eastAsia="Times New Roman"/>
          <w:sz w:val="24"/>
        </w:rPr>
        <w:t>11. International Organization for Migration. (2024). Access to justice for migrant workers and victims of trafficking in persons. https://publications.iom.int/system/files/pdf/pub2024-023-r-access-to-justice-for-migrant-workers-and-victims.pdf</w:t>
      </w:r>
    </w:p>
    <w:p>
      <w:pPr>
        <w:pStyle w:val="ReferenceItem"/>
        <w:spacing w:line="240" w:lineRule="auto" w:before="240" w:after="240"/>
        <w:jc w:val="left"/>
      </w:pPr>
      <w:r>
        <w:rPr>
          <w:rFonts w:ascii="Times New Roman" w:hAnsi="Times New Roman" w:eastAsia="Times New Roman"/>
          <w:sz w:val="24"/>
        </w:rPr>
        <w:t>12. Migrant Workers Office-Riyadh. (n.d.). Contact us. Retrieved June 27, 2026, from https://www.mworiyadh-govph.com/contactus</w:t>
      </w:r>
    </w:p>
    <w:p>
      <w:pPr>
        <w:pStyle w:val="ReferenceItem"/>
        <w:spacing w:line="240" w:lineRule="auto" w:before="240" w:after="240"/>
        <w:jc w:val="left"/>
      </w:pPr>
      <w:r>
        <w:rPr>
          <w:rFonts w:ascii="Times New Roman" w:hAnsi="Times New Roman" w:eastAsia="Times New Roman"/>
          <w:sz w:val="24"/>
        </w:rPr>
        <w:t>13. OECD. (2021). OECD framework and good practice principles for people-centred justice. OECD Publishing. https://www.oecd.org/en/publications/oecd-framework-and-good-practice-principles-for-people-centred-justice_cdc3bde7-en.html</w:t>
      </w:r>
    </w:p>
    <w:p>
      <w:pPr>
        <w:pStyle w:val="ReferenceItem"/>
        <w:spacing w:line="240" w:lineRule="auto" w:before="240" w:after="240"/>
        <w:jc w:val="left"/>
      </w:pPr>
      <w:r>
        <w:rPr>
          <w:rFonts w:ascii="Times New Roman" w:hAnsi="Times New Roman" w:eastAsia="Times New Roman"/>
          <w:sz w:val="24"/>
        </w:rPr>
        <w:t>14. OECD &amp; Open Society Foundations. (2019). Legal needs surveys and access to justice. OECD Publishing. https://doi.org/10.1787/g2g9a36c-en</w:t>
      </w:r>
    </w:p>
    <w:p>
      <w:pPr>
        <w:pStyle w:val="ReferenceItem"/>
        <w:spacing w:line="240" w:lineRule="auto" w:before="240" w:after="240"/>
        <w:jc w:val="left"/>
      </w:pPr>
      <w:r>
        <w:rPr>
          <w:rFonts w:ascii="Times New Roman" w:hAnsi="Times New Roman" w:eastAsia="Times New Roman"/>
          <w:sz w:val="24"/>
        </w:rPr>
        <w:t>15. Philippine Statistics Authority. (2025). Results of the 2024 Overseas Filipino Workers. https://psa.gov.ph/statistics/survey/labor-and-employment/survey-overseas-filipinos</w:t>
      </w:r>
    </w:p>
    <w:p>
      <w:pPr>
        <w:pStyle w:val="ReferenceItem"/>
        <w:spacing w:line="240" w:lineRule="auto" w:before="240" w:after="240"/>
        <w:jc w:val="left"/>
      </w:pPr>
      <w:r>
        <w:rPr>
          <w:rFonts w:ascii="Times New Roman" w:hAnsi="Times New Roman" w:eastAsia="Times New Roman"/>
          <w:sz w:val="24"/>
        </w:rPr>
        <w:t>16. Republic Act No. 8042. (1995). Migrant Workers and Overseas Filipinos Act of 1995. https://immigration.gov.ph/wp-content/uploads/2023/11/8_RA_8042.pdf</w:t>
      </w:r>
    </w:p>
    <w:p>
      <w:pPr>
        <w:pStyle w:val="ReferenceItem"/>
        <w:spacing w:line="240" w:lineRule="auto" w:before="240" w:after="240"/>
        <w:jc w:val="left"/>
      </w:pPr>
      <w:r>
        <w:rPr>
          <w:rFonts w:ascii="Times New Roman" w:hAnsi="Times New Roman" w:eastAsia="Times New Roman"/>
          <w:sz w:val="24"/>
        </w:rPr>
        <w:t>17. Republic Act No. 10022. (2010). An Act amending Republic Act No. 8042, otherwise known as the Migrant Workers and Overseas Filipinos Act of 1995. https://lawphil.net/statutes/repacts/ra2010/ra_10022_2010.html</w:t>
      </w:r>
    </w:p>
    <w:p>
      <w:pPr>
        <w:pStyle w:val="ReferenceItem"/>
        <w:spacing w:line="240" w:lineRule="auto" w:before="240" w:after="240"/>
        <w:jc w:val="left"/>
      </w:pPr>
      <w:r>
        <w:rPr>
          <w:rFonts w:ascii="Times New Roman" w:hAnsi="Times New Roman" w:eastAsia="Times New Roman"/>
          <w:sz w:val="24"/>
        </w:rPr>
        <w:t>18. Republic Act No. 11641. (2021). Department of Migrant Workers Act. https://elibrary.judiciary.gov.ph/thebookshelf/showdocs/2/94035</w:t>
      </w:r>
    </w:p>
    <w:p>
      <w:pPr>
        <w:pStyle w:val="ReferenceItem"/>
        <w:spacing w:line="240" w:lineRule="auto" w:before="240" w:after="240"/>
        <w:jc w:val="left"/>
      </w:pPr>
      <w:r>
        <w:rPr>
          <w:rFonts w:ascii="Times New Roman" w:hAnsi="Times New Roman" w:eastAsia="Times New Roman"/>
          <w:sz w:val="24"/>
        </w:rPr>
        <w:t>19. World Justice Project. (2019). Global insights on access to justice 2019. https://worldjusticeproject.org/our-work/research-and-data/global-insights-access-justice-2019</w:t>
      </w:r>
    </w:p>
    <w:p>
      <w:pPr>
        <w:pStyle w:val="ReferenceItem"/>
        <w:spacing w:line="240" w:lineRule="auto" w:before="240" w:after="240"/>
        <w:jc w:val="left"/>
      </w:pPr>
      <w:r>
        <w:rPr>
          <w:rFonts w:ascii="Times New Roman" w:hAnsi="Times New Roman" w:eastAsia="Times New Roman"/>
          <w:sz w:val="24"/>
        </w:rPr>
        <w:t>20. World Justice Project. (2023). Dissecting the justice gap in 104 countries: WJP Justice Data Graphical Report Part I. https://worldjusticeproject.org/sites/default/files/documents/WJPJusticeDataGraphicalReport-Part1.pdf</w:t>
      </w:r>
    </w:p>
    <w:sectPr w:rsidR="00FC693F" w:rsidRPr="0006063C" w:rsidSect="00034616">
      <w:pgSz w:w="11909" w:h="16834"/>
      <w:pgMar w:top="1094" w:right="605" w:bottom="605" w:left="605" w:header="346"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240" w:lineRule="auto" w:before="240" w:after="240"/>
      <w:jc w:val="both"/>
    </w:pPr>
    <w:rPr>
      <w:rFonts w:ascii="Times New Roman" w:hAnsi="Times New Roman" w:eastAsia="Times New Roman"/>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ainHeading">
    <w:name w:val="Main Heading"/>
    <w:pPr>
      <w:spacing w:before="240" w:after="240" w:line="240" w:lineRule="auto"/>
      <w:jc w:val="left"/>
    </w:pPr>
    <w:rPr>
      <w:rFonts w:ascii="Times New Roman" w:hAnsi="Times New Roman" w:eastAsia="Times New Roman"/>
      <w:b/>
      <w:sz w:val="28"/>
    </w:rPr>
  </w:style>
  <w:style w:type="paragraph" w:customStyle="1" w:styleId="SubHeading">
    <w:name w:val="Sub Heading"/>
    <w:pPr>
      <w:spacing w:before="240" w:after="240" w:line="240" w:lineRule="auto"/>
      <w:jc w:val="left"/>
    </w:pPr>
    <w:rPr>
      <w:rFonts w:ascii="Times New Roman" w:hAnsi="Times New Roman" w:eastAsia="Times New Roman"/>
      <w:b/>
      <w:sz w:val="24"/>
    </w:rPr>
  </w:style>
  <w:style w:type="paragraph" w:customStyle="1" w:styleId="TableCaption">
    <w:name w:val="Table Caption"/>
    <w:pPr>
      <w:spacing w:before="240" w:after="0"/>
      <w:jc w:val="left"/>
    </w:pPr>
    <w:rPr>
      <w:rFonts w:ascii="Times New Roman" w:hAnsi="Times New Roman" w:eastAsia="Times New Roman"/>
      <w:b/>
      <w:sz w:val="24"/>
    </w:rPr>
  </w:style>
  <w:style w:type="paragraph" w:customStyle="1" w:styleId="FigureCaption">
    <w:name w:val="Figure Caption"/>
    <w:pPr>
      <w:spacing w:before="120" w:after="240"/>
      <w:jc w:val="left"/>
    </w:pPr>
    <w:rPr>
      <w:rFonts w:ascii="Times New Roman" w:hAnsi="Times New Roman" w:eastAsia="Times New Roman"/>
      <w:b/>
      <w:sz w:val="24"/>
    </w:rPr>
  </w:style>
  <w:style w:type="paragraph" w:customStyle="1" w:styleId="ReferenceItem">
    <w:name w:val="Reference Item"/>
    <w:pPr>
      <w:spacing w:line="240" w:lineRule="auto" w:before="240" w:after="240"/>
      <w:ind w:left="360" w:hanging="360"/>
      <w:jc w:val="left"/>
    </w:pPr>
    <w:rPr>
      <w:rFonts w:ascii="Times New Roman" w:hAnsi="Times New Roman" w:eastAsia="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Awareness and Access to Legal Assistance among Overseas Filipino Workers in Riyadh, Saudi Arabia</dc:title>
  <dc:subject/>
  <dc:creator>Leonel Joseph Darunday Malayao</dc:creator>
  <cp:keywords>legal awareness, access to legal assistance, OFW, Riyadh, legal support framework</cp:keywords>
  <dc:description>generated by python-docx</dc:description>
  <cp:lastModifiedBy/>
  <cp:revision>1</cp:revision>
  <dcterms:created xsi:type="dcterms:W3CDTF">2013-12-23T23:15:00Z</dcterms:created>
  <dcterms:modified xsi:type="dcterms:W3CDTF">2013-12-23T23:15:00Z</dcterms:modified>
  <cp:category/>
</cp:coreProperties>
</file>