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F614B" w14:textId="77777777" w:rsidR="001442CD" w:rsidRPr="001442CD" w:rsidRDefault="001442CD" w:rsidP="001442CD">
      <w:pPr>
        <w:pStyle w:val="NoSpacing"/>
        <w:jc w:val="center"/>
        <w:rPr>
          <w:rFonts w:ascii="Cambria" w:hAnsi="Cambria"/>
        </w:rPr>
      </w:pPr>
      <w:r w:rsidRPr="001442CD">
        <w:rPr>
          <w:rFonts w:ascii="Cambria" w:hAnsi="Cambria"/>
        </w:rPr>
        <w:t>Knowledge as a Predictor of Acceptance of Genetically Modified Foods:</w:t>
      </w:r>
    </w:p>
    <w:p w14:paraId="34D45955" w14:textId="77777777" w:rsidR="001442CD" w:rsidRPr="001442CD" w:rsidRDefault="001442CD" w:rsidP="001442CD">
      <w:pPr>
        <w:pStyle w:val="NoSpacing"/>
        <w:jc w:val="center"/>
        <w:rPr>
          <w:rFonts w:ascii="Cambria" w:hAnsi="Cambria"/>
        </w:rPr>
      </w:pPr>
      <w:r w:rsidRPr="001442CD">
        <w:rPr>
          <w:rFonts w:ascii="Cambria" w:hAnsi="Cambria"/>
        </w:rPr>
        <w:t/>
      </w:r>
    </w:p>
    <w:p w14:paraId="5173D89C" w14:textId="77777777" w:rsidR="001442CD" w:rsidRPr="001442CD" w:rsidRDefault="001442CD" w:rsidP="001442CD">
      <w:pPr>
        <w:pStyle w:val="NoSpacing"/>
        <w:jc w:val="center"/>
        <w:rPr>
          <w:rFonts w:ascii="Cambria" w:hAnsi="Cambria"/>
        </w:rPr>
      </w:pPr>
      <w:r w:rsidRPr="001442CD">
        <w:rPr>
          <w:rFonts w:ascii="Cambria" w:hAnsi="Cambria"/>
        </w:rPr>
        <w:t/>
      </w:r>
    </w:p>
    <w:p w14:paraId="6449C47E" w14:textId="77777777" w:rsidR="001442CD" w:rsidRPr="001442CD" w:rsidRDefault="001442CD" w:rsidP="001442CD">
      <w:pPr>
        <w:pStyle w:val="NoSpacing"/>
        <w:jc w:val="both"/>
        <w:rPr>
          <w:rFonts w:ascii="Cambria" w:hAnsi="Cambria"/>
        </w:rPr>
      </w:pPr>
    </w:p>
    <w:p w14:paraId="4F59C6E5" w14:textId="77777777" w:rsidR="001442CD" w:rsidRDefault="001442CD" w:rsidP="001442CD">
      <w:pPr>
        <w:pStyle w:val="NoSpacing"/>
        <w:jc w:val="both"/>
        <w:rPr>
          <w:rFonts w:ascii="Cambria" w:hAnsi="Cambria"/>
        </w:rPr>
      </w:pPr>
    </w:p>
    <w:p w14:paraId="3ABA7B96" w14:textId="77777777" w:rsidR="001442CD" w:rsidRDefault="001442CD" w:rsidP="001442CD">
      <w:pPr>
        <w:pStyle w:val="NoSpacing"/>
        <w:jc w:val="both"/>
        <w:rPr>
          <w:rFonts w:ascii="Cambria" w:hAnsi="Cambria"/>
        </w:rPr>
      </w:pPr>
    </w:p>
    <w:p w14:paraId="4064CACC" w14:textId="77777777" w:rsidR="001442CD" w:rsidRDefault="001442CD" w:rsidP="001442CD">
      <w:pPr>
        <w:pStyle w:val="NoSpacing"/>
        <w:jc w:val="both"/>
        <w:rPr>
          <w:rFonts w:ascii="Cambria" w:hAnsi="Cambria"/>
        </w:rPr>
      </w:pPr>
    </w:p>
    <w:p w14:paraId="4B7C2B39" w14:textId="77777777" w:rsidR="001442CD" w:rsidRDefault="001442CD" w:rsidP="001442CD">
      <w:pPr>
        <w:pStyle w:val="NoSpacing"/>
        <w:ind w:left="2880" w:firstLine="720"/>
        <w:jc w:val="both"/>
        <w:rPr>
          <w:rFonts w:ascii="Cambria" w:hAnsi="Cambria"/>
        </w:rPr>
      </w:pPr>
    </w:p>
    <w:p w14:paraId="60DF5C4F" w14:textId="42302159" w:rsidR="001442CD" w:rsidRPr="001442CD" w:rsidRDefault="001442CD" w:rsidP="001442CD">
      <w:pPr>
        <w:pStyle w:val="NoSpacing"/>
        <w:ind w:left="2880" w:firstLine="720"/>
        <w:jc w:val="both"/>
        <w:rPr>
          <w:rFonts w:ascii="Cambria" w:hAnsi="Cambria"/>
          <w:lang w:val="en-US"/>
        </w:rPr>
      </w:pPr>
      <w:r w:rsidRPr="001442CD">
        <w:rPr>
          <w:rFonts w:ascii="Cambria" w:hAnsi="Cambria"/>
          <w:lang w:val="en-US"/>
        </w:rPr>
        <w:t>ABSTRACT</w:t>
      </w:r>
    </w:p>
    <w:p w14:paraId="73E53410" w14:textId="77777777" w:rsidR="001442CD" w:rsidRPr="001442CD" w:rsidRDefault="001442CD" w:rsidP="001442CD">
      <w:pPr>
        <w:pStyle w:val="NoSpacing"/>
        <w:jc w:val="both"/>
        <w:rPr>
          <w:rFonts w:ascii="Cambria" w:hAnsi="Cambria"/>
        </w:rPr>
      </w:pPr>
    </w:p>
    <w:p w14:paraId="3B0B4332" w14:textId="77777777" w:rsidR="001442CD" w:rsidRPr="001442CD" w:rsidRDefault="001442CD" w:rsidP="001442CD">
      <w:pPr>
        <w:pStyle w:val="NoSpacing"/>
        <w:jc w:val="both"/>
        <w:rPr>
          <w:rFonts w:ascii="Cambria" w:hAnsi="Cambria"/>
          <w:lang w:val="en-US"/>
        </w:rPr>
      </w:pPr>
      <w:r w:rsidRPr="001442CD">
        <w:rPr>
          <w:rFonts w:ascii="Cambria" w:hAnsi="Cambria"/>
          <w:lang w:val="en-US"/>
        </w:rPr>
        <w:t>Non-acceptance of genetically modified foods is still a major challenge. This study examines the mediating role of attitude towards GMO foods between the basic biotechnology knowledge and acceptance of genetically modified foods. Using a predictive research design, the data from 567 respondents, selected via simple random sampling, were analyzed using mediation analysis. It was found that attitude towards genetically modified foods partially but significantly mediates the predictor-criterion correlation, supporting the Knowledge-Attitude-Practice Theory. Future research may explore additional mediating variables through qualitative approaches. Educational leaders and curriculum developers may strengthen biotechnology education and public awareness to enhance acceptance of GMO foods.</w:t>
      </w:r>
    </w:p>
    <w:p w14:paraId="3A1DB8E5" w14:textId="77777777" w:rsidR="001442CD" w:rsidRPr="001442CD" w:rsidRDefault="001442CD" w:rsidP="001442CD">
      <w:pPr>
        <w:pStyle w:val="NoSpacing"/>
        <w:jc w:val="both"/>
        <w:rPr>
          <w:rFonts w:ascii="Cambria" w:hAnsi="Cambria"/>
        </w:rPr>
      </w:pPr>
      <w:r w:rsidRPr="001442CD">
        <w:rPr>
          <w:rFonts w:ascii="Cambria" w:hAnsi="Cambria"/>
          <w:lang w:val="en-US"/>
        </w:rPr>
        <w:t xml:space="preserve"> </w:t>
      </w:r>
    </w:p>
    <w:p w14:paraId="214AF9F7" w14:textId="77777777" w:rsidR="001442CD" w:rsidRPr="001442CD" w:rsidRDefault="001442CD" w:rsidP="001442CD">
      <w:pPr>
        <w:pStyle w:val="NoSpacing"/>
        <w:jc w:val="both"/>
        <w:rPr>
          <w:rFonts w:ascii="Cambria" w:hAnsi="Cambria"/>
          <w:i/>
          <w:iCs/>
        </w:rPr>
      </w:pPr>
      <w:r w:rsidRPr="001442CD">
        <w:rPr>
          <w:rFonts w:ascii="Cambria" w:hAnsi="Cambria"/>
          <w:lang w:val="en-US"/>
        </w:rPr>
        <w:t xml:space="preserve">Keywords: </w:t>
      </w:r>
      <w:r w:rsidRPr="001442CD">
        <w:rPr>
          <w:rFonts w:ascii="Cambria" w:eastAsia="Arial" w:hAnsi="Cambria"/>
          <w:i/>
          <w:iCs/>
        </w:rPr>
        <w:t>Knowledge, acceptance of genetically modified foods, attitude towards genetically modified foods, college students</w:t>
      </w:r>
    </w:p>
    <w:p w14:paraId="54644B3A" w14:textId="77777777" w:rsidR="001442CD" w:rsidRPr="001442CD" w:rsidRDefault="001442CD" w:rsidP="001442CD">
      <w:pPr>
        <w:pStyle w:val="NoSpacing"/>
        <w:jc w:val="both"/>
        <w:rPr>
          <w:rFonts w:ascii="Cambria" w:hAnsi="Cambria"/>
        </w:rPr>
      </w:pPr>
    </w:p>
    <w:p w14:paraId="26A6C963" w14:textId="77777777" w:rsidR="001442CD" w:rsidRPr="001442CD" w:rsidRDefault="001442CD" w:rsidP="001442CD">
      <w:pPr>
        <w:pStyle w:val="NoSpacing"/>
        <w:jc w:val="both"/>
        <w:rPr>
          <w:rFonts w:ascii="Cambria" w:hAnsi="Cambria"/>
        </w:rPr>
      </w:pPr>
    </w:p>
    <w:p w14:paraId="6788A238" w14:textId="77777777" w:rsidR="001442CD" w:rsidRPr="001442CD" w:rsidRDefault="001442CD" w:rsidP="001442CD">
      <w:pPr>
        <w:pStyle w:val="NoSpacing"/>
        <w:jc w:val="both"/>
        <w:rPr>
          <w:rFonts w:ascii="Cambria" w:hAnsi="Cambria"/>
        </w:rPr>
      </w:pPr>
    </w:p>
    <w:p w14:paraId="7FC43494" w14:textId="77777777" w:rsidR="001442CD" w:rsidRPr="001442CD" w:rsidRDefault="001442CD" w:rsidP="001442CD">
      <w:pPr>
        <w:pStyle w:val="NoSpacing"/>
        <w:jc w:val="both"/>
        <w:rPr>
          <w:rFonts w:ascii="Cambria" w:hAnsi="Cambria"/>
        </w:rPr>
      </w:pPr>
    </w:p>
    <w:p w14:paraId="252203BC" w14:textId="77777777" w:rsidR="001442CD" w:rsidRDefault="001442CD" w:rsidP="001442CD">
      <w:pPr>
        <w:pStyle w:val="NoSpacing"/>
        <w:jc w:val="both"/>
        <w:rPr>
          <w:rFonts w:ascii="Cambria" w:hAnsi="Cambria"/>
        </w:rPr>
      </w:pPr>
    </w:p>
    <w:p w14:paraId="245ABF44" w14:textId="77777777" w:rsidR="001442CD" w:rsidRDefault="001442CD" w:rsidP="001442CD">
      <w:pPr>
        <w:pStyle w:val="NoSpacing"/>
        <w:jc w:val="both"/>
        <w:rPr>
          <w:rFonts w:ascii="Cambria" w:hAnsi="Cambria"/>
        </w:rPr>
      </w:pPr>
    </w:p>
    <w:p w14:paraId="660EE3E5" w14:textId="77777777" w:rsidR="001442CD" w:rsidRDefault="001442CD" w:rsidP="001442CD">
      <w:pPr>
        <w:pStyle w:val="NoSpacing"/>
        <w:jc w:val="both"/>
        <w:rPr>
          <w:rFonts w:ascii="Cambria" w:hAnsi="Cambria"/>
        </w:rPr>
      </w:pPr>
    </w:p>
    <w:p w14:paraId="7AB3FDBA" w14:textId="77777777" w:rsidR="001442CD" w:rsidRDefault="001442CD" w:rsidP="001442CD">
      <w:pPr>
        <w:pStyle w:val="NoSpacing"/>
        <w:jc w:val="both"/>
        <w:rPr>
          <w:rFonts w:ascii="Cambria" w:hAnsi="Cambria"/>
        </w:rPr>
      </w:pPr>
    </w:p>
    <w:p w14:paraId="04833957" w14:textId="77777777" w:rsidR="001442CD" w:rsidRDefault="001442CD" w:rsidP="001442CD">
      <w:pPr>
        <w:pStyle w:val="NoSpacing"/>
        <w:jc w:val="both"/>
        <w:rPr>
          <w:rFonts w:ascii="Cambria" w:hAnsi="Cambria"/>
        </w:rPr>
      </w:pPr>
    </w:p>
    <w:p w14:paraId="35B1A28A" w14:textId="77777777" w:rsidR="001442CD" w:rsidRDefault="001442CD" w:rsidP="001442CD">
      <w:pPr>
        <w:pStyle w:val="NoSpacing"/>
        <w:jc w:val="both"/>
        <w:rPr>
          <w:rFonts w:ascii="Cambria" w:hAnsi="Cambria"/>
        </w:rPr>
      </w:pPr>
    </w:p>
    <w:p w14:paraId="192959E7" w14:textId="77777777" w:rsidR="001442CD" w:rsidRDefault="001442CD" w:rsidP="001442CD">
      <w:pPr>
        <w:pStyle w:val="NoSpacing"/>
        <w:jc w:val="both"/>
        <w:rPr>
          <w:rFonts w:ascii="Cambria" w:hAnsi="Cambria"/>
        </w:rPr>
      </w:pPr>
    </w:p>
    <w:p w14:paraId="31CBB35D" w14:textId="77777777" w:rsidR="001442CD" w:rsidRDefault="001442CD" w:rsidP="001442CD">
      <w:pPr>
        <w:pStyle w:val="NoSpacing"/>
        <w:jc w:val="both"/>
        <w:rPr>
          <w:rFonts w:ascii="Cambria" w:hAnsi="Cambria"/>
        </w:rPr>
      </w:pPr>
    </w:p>
    <w:p w14:paraId="7414BB17" w14:textId="77777777" w:rsidR="001442CD" w:rsidRDefault="001442CD" w:rsidP="001442CD">
      <w:pPr>
        <w:pStyle w:val="NoSpacing"/>
        <w:jc w:val="both"/>
        <w:rPr>
          <w:rFonts w:ascii="Cambria" w:hAnsi="Cambria"/>
        </w:rPr>
      </w:pPr>
    </w:p>
    <w:p w14:paraId="58467DBB" w14:textId="77777777" w:rsidR="001442CD" w:rsidRDefault="001442CD" w:rsidP="001442CD">
      <w:pPr>
        <w:pStyle w:val="NoSpacing"/>
        <w:jc w:val="both"/>
        <w:rPr>
          <w:rFonts w:ascii="Cambria" w:hAnsi="Cambria"/>
        </w:rPr>
      </w:pPr>
    </w:p>
    <w:p w14:paraId="26E9C3AA" w14:textId="77777777" w:rsidR="001442CD" w:rsidRDefault="001442CD" w:rsidP="001442CD">
      <w:pPr>
        <w:pStyle w:val="NoSpacing"/>
        <w:jc w:val="both"/>
        <w:rPr>
          <w:rFonts w:ascii="Cambria" w:hAnsi="Cambria"/>
        </w:rPr>
      </w:pPr>
    </w:p>
    <w:p w14:paraId="444E0A82" w14:textId="77777777" w:rsidR="001442CD" w:rsidRDefault="001442CD" w:rsidP="001442CD">
      <w:pPr>
        <w:pStyle w:val="NoSpacing"/>
        <w:jc w:val="both"/>
        <w:rPr>
          <w:rFonts w:ascii="Cambria" w:hAnsi="Cambria"/>
        </w:rPr>
      </w:pPr>
    </w:p>
    <w:p w14:paraId="788F87C6" w14:textId="77777777" w:rsidR="001442CD" w:rsidRDefault="001442CD" w:rsidP="001442CD">
      <w:pPr>
        <w:pStyle w:val="NoSpacing"/>
        <w:jc w:val="both"/>
        <w:rPr>
          <w:rFonts w:ascii="Cambria" w:hAnsi="Cambria"/>
        </w:rPr>
      </w:pPr>
    </w:p>
    <w:p w14:paraId="265CBD50" w14:textId="77777777" w:rsidR="001442CD" w:rsidRDefault="001442CD" w:rsidP="001442CD">
      <w:pPr>
        <w:pStyle w:val="NoSpacing"/>
        <w:jc w:val="both"/>
        <w:rPr>
          <w:rFonts w:ascii="Cambria" w:hAnsi="Cambria"/>
        </w:rPr>
      </w:pPr>
    </w:p>
    <w:p w14:paraId="3A6CC872" w14:textId="77777777" w:rsidR="001442CD" w:rsidRDefault="001442CD" w:rsidP="001442CD">
      <w:pPr>
        <w:pStyle w:val="NoSpacing"/>
        <w:jc w:val="both"/>
        <w:rPr>
          <w:rFonts w:ascii="Cambria" w:hAnsi="Cambria"/>
        </w:rPr>
      </w:pPr>
    </w:p>
    <w:p w14:paraId="4E5340D8" w14:textId="77777777" w:rsidR="001442CD" w:rsidRDefault="001442CD" w:rsidP="001442CD">
      <w:pPr>
        <w:pStyle w:val="NoSpacing"/>
        <w:jc w:val="both"/>
        <w:rPr>
          <w:rFonts w:ascii="Cambria" w:hAnsi="Cambria"/>
        </w:rPr>
      </w:pPr>
    </w:p>
    <w:p w14:paraId="674DB68A" w14:textId="77777777" w:rsidR="001442CD" w:rsidRDefault="001442CD" w:rsidP="001442CD">
      <w:pPr>
        <w:pStyle w:val="NoSpacing"/>
        <w:jc w:val="both"/>
        <w:rPr>
          <w:rFonts w:ascii="Cambria" w:hAnsi="Cambria"/>
        </w:rPr>
      </w:pPr>
    </w:p>
    <w:p w14:paraId="3A8EDC4C" w14:textId="77777777" w:rsidR="001442CD" w:rsidRDefault="001442CD" w:rsidP="001442CD">
      <w:pPr>
        <w:pStyle w:val="NoSpacing"/>
        <w:jc w:val="both"/>
        <w:rPr>
          <w:rFonts w:ascii="Cambria" w:hAnsi="Cambria"/>
        </w:rPr>
      </w:pPr>
    </w:p>
    <w:p w14:paraId="1F5AD770" w14:textId="77777777" w:rsidR="001442CD" w:rsidRDefault="001442CD" w:rsidP="001442CD">
      <w:pPr>
        <w:pStyle w:val="NoSpacing"/>
        <w:jc w:val="both"/>
        <w:rPr>
          <w:rFonts w:ascii="Cambria" w:hAnsi="Cambria"/>
        </w:rPr>
      </w:pPr>
    </w:p>
    <w:p w14:paraId="715548DA" w14:textId="77777777" w:rsidR="001442CD" w:rsidRDefault="001442CD" w:rsidP="001442CD">
      <w:pPr>
        <w:pStyle w:val="NoSpacing"/>
        <w:jc w:val="both"/>
        <w:rPr>
          <w:rFonts w:ascii="Cambria" w:hAnsi="Cambria"/>
        </w:rPr>
      </w:pPr>
    </w:p>
    <w:p w14:paraId="6B91C90B" w14:textId="77777777" w:rsidR="001442CD" w:rsidRDefault="001442CD" w:rsidP="001442CD">
      <w:pPr>
        <w:pStyle w:val="NoSpacing"/>
        <w:jc w:val="both"/>
        <w:rPr>
          <w:rFonts w:ascii="Cambria" w:hAnsi="Cambria"/>
        </w:rPr>
      </w:pPr>
    </w:p>
    <w:p w14:paraId="253ACB13" w14:textId="77777777" w:rsidR="001442CD" w:rsidRDefault="001442CD" w:rsidP="001442CD">
      <w:pPr>
        <w:pStyle w:val="NoSpacing"/>
        <w:jc w:val="both"/>
        <w:rPr>
          <w:rFonts w:ascii="Cambria" w:hAnsi="Cambria"/>
        </w:rPr>
      </w:pPr>
    </w:p>
    <w:p w14:paraId="5B7F8122" w14:textId="77777777" w:rsidR="001442CD" w:rsidRDefault="001442CD" w:rsidP="001442CD">
      <w:pPr>
        <w:pStyle w:val="NoSpacing"/>
        <w:jc w:val="both"/>
        <w:rPr>
          <w:rFonts w:ascii="Cambria" w:hAnsi="Cambria"/>
        </w:rPr>
      </w:pPr>
    </w:p>
    <w:p w14:paraId="57A40582" w14:textId="77777777" w:rsidR="001442CD" w:rsidRDefault="001442CD" w:rsidP="001442CD">
      <w:pPr>
        <w:pStyle w:val="NoSpacing"/>
        <w:jc w:val="both"/>
        <w:rPr>
          <w:rFonts w:ascii="Cambria" w:hAnsi="Cambria"/>
        </w:rPr>
      </w:pPr>
    </w:p>
    <w:p w14:paraId="66D0B5BB" w14:textId="77777777" w:rsidR="001442CD" w:rsidRDefault="001442CD" w:rsidP="001442CD">
      <w:pPr>
        <w:pStyle w:val="NoSpacing"/>
        <w:jc w:val="both"/>
        <w:rPr>
          <w:rFonts w:ascii="Cambria" w:hAnsi="Cambria"/>
        </w:rPr>
      </w:pPr>
    </w:p>
    <w:p w14:paraId="682BD49A" w14:textId="77777777" w:rsidR="001442CD" w:rsidRDefault="001442CD" w:rsidP="001442CD">
      <w:pPr>
        <w:pStyle w:val="NoSpacing"/>
        <w:jc w:val="both"/>
        <w:rPr>
          <w:rFonts w:ascii="Cambria" w:hAnsi="Cambria"/>
        </w:rPr>
      </w:pPr>
    </w:p>
    <w:p w14:paraId="23B73F9E" w14:textId="77777777" w:rsidR="001442CD" w:rsidRDefault="001442CD" w:rsidP="001442CD">
      <w:pPr>
        <w:pStyle w:val="NoSpacing"/>
        <w:jc w:val="both"/>
        <w:rPr>
          <w:rFonts w:ascii="Cambria" w:hAnsi="Cambria"/>
        </w:rPr>
      </w:pPr>
    </w:p>
    <w:p w14:paraId="35811D99" w14:textId="77777777" w:rsidR="001442CD" w:rsidRPr="001442CD" w:rsidRDefault="001442CD" w:rsidP="001442CD">
      <w:pPr>
        <w:pStyle w:val="NoSpacing"/>
        <w:jc w:val="both"/>
        <w:rPr>
          <w:rFonts w:ascii="Cambria" w:hAnsi="Cambria"/>
        </w:rPr>
      </w:pPr>
    </w:p>
    <w:p w14:paraId="24F6016A" w14:textId="77777777" w:rsidR="001442CD" w:rsidRPr="001442CD" w:rsidRDefault="001442CD" w:rsidP="001442CD">
      <w:pPr>
        <w:pStyle w:val="NoSpacing"/>
        <w:jc w:val="both"/>
        <w:rPr>
          <w:rFonts w:ascii="Cambria" w:hAnsi="Cambria"/>
        </w:rPr>
      </w:pPr>
    </w:p>
    <w:p w14:paraId="0CA1093E" w14:textId="77777777" w:rsidR="001442CD" w:rsidRPr="001442CD" w:rsidRDefault="001442CD" w:rsidP="001442CD">
      <w:pPr>
        <w:pStyle w:val="NoSpacing"/>
        <w:jc w:val="both"/>
        <w:rPr>
          <w:rFonts w:ascii="Cambria" w:hAnsi="Cambria"/>
        </w:rPr>
      </w:pPr>
    </w:p>
    <w:p w14:paraId="18EC38D0" w14:textId="77777777" w:rsidR="001442CD" w:rsidRPr="001442CD" w:rsidRDefault="001442CD" w:rsidP="001442CD">
      <w:pPr>
        <w:pStyle w:val="NoSpacing"/>
        <w:jc w:val="both"/>
        <w:rPr>
          <w:rFonts w:ascii="Cambria" w:eastAsia="Arial" w:hAnsi="Cambria"/>
        </w:rPr>
      </w:pPr>
      <w:r w:rsidRPr="001442CD">
        <w:rPr>
          <w:rFonts w:ascii="Cambria" w:eastAsia="Arial" w:hAnsi="Cambria"/>
        </w:rPr>
        <w:t>INTRODUCTION</w:t>
      </w:r>
    </w:p>
    <w:p w14:paraId="394C3A43" w14:textId="77777777" w:rsidR="001442CD" w:rsidRPr="001442CD" w:rsidRDefault="001442CD" w:rsidP="001442CD">
      <w:pPr>
        <w:pStyle w:val="NoSpacing"/>
        <w:jc w:val="both"/>
        <w:rPr>
          <w:rFonts w:ascii="Cambria" w:eastAsia="Arial" w:hAnsi="Cambria"/>
        </w:rPr>
      </w:pPr>
    </w:p>
    <w:p w14:paraId="3C63E6BF" w14:textId="77777777" w:rsidR="001442CD" w:rsidRPr="001442CD" w:rsidRDefault="001442CD" w:rsidP="001442CD">
      <w:pPr>
        <w:pStyle w:val="NoSpacing"/>
        <w:jc w:val="both"/>
        <w:rPr>
          <w:rFonts w:ascii="Cambria" w:eastAsia="Arial" w:hAnsi="Cambria"/>
        </w:rPr>
      </w:pPr>
    </w:p>
    <w:p w14:paraId="5F97EF06" w14:textId="77777777" w:rsidR="001442CD" w:rsidRPr="001442CD" w:rsidRDefault="001442CD" w:rsidP="001442CD">
      <w:pPr>
        <w:pStyle w:val="NoSpacing"/>
        <w:jc w:val="both"/>
        <w:rPr>
          <w:rFonts w:ascii="Cambria" w:eastAsia="Arial" w:hAnsi="Cambria"/>
          <w:i/>
          <w:iCs/>
        </w:rPr>
      </w:pPr>
      <w:r w:rsidRPr="001442CD">
        <w:rPr>
          <w:rFonts w:ascii="Cambria" w:eastAsia="Arial" w:hAnsi="Cambria"/>
          <w:i/>
          <w:iCs/>
        </w:rPr>
        <w:t xml:space="preserve">The Problem and its Scope </w:t>
      </w:r>
    </w:p>
    <w:p w14:paraId="62B99783" w14:textId="77777777" w:rsidR="001442CD" w:rsidRPr="001442CD" w:rsidRDefault="001442CD" w:rsidP="001442CD">
      <w:pPr>
        <w:pStyle w:val="NoSpacing"/>
        <w:jc w:val="both"/>
        <w:rPr>
          <w:rFonts w:ascii="Cambria" w:eastAsia="Arial" w:hAnsi="Cambria"/>
          <w:i/>
          <w:iCs/>
        </w:rPr>
      </w:pPr>
    </w:p>
    <w:p w14:paraId="04F670BC" w14:textId="77777777" w:rsidR="001442CD" w:rsidRPr="001442CD" w:rsidRDefault="001442CD" w:rsidP="001442CD">
      <w:pPr>
        <w:pStyle w:val="NoSpacing"/>
        <w:jc w:val="both"/>
        <w:rPr>
          <w:rFonts w:ascii="Cambria" w:hAnsi="Cambria"/>
        </w:rPr>
      </w:pPr>
      <w:r w:rsidRPr="001442CD">
        <w:rPr>
          <w:rFonts w:ascii="Cambria" w:hAnsi="Cambria"/>
        </w:rPr>
        <w:t xml:space="preserve">The issue of non-acceptance of genetically modified foods remains a major challenge, despite significant scientific advancements and the potential benefits of genetic engineering and the commercial production of genetically modified organisms (Hwang &amp; Nam, 2021). People in different countries and communities have very different views on genetically modified crops, even though there is strong evidence that they are safer and produce more. This is because local policy, trust in regulators, and cultural values all play a significant role in how people view these crops (Woźniak-Gientka et al., 2022). This variation in public approval arises from the coexistence of perceived risks and promised benefits, often influenced by a complex interplay of social, cultural, and psychological factors (Siegrist &amp; Hartmann, 2020).  </w:t>
      </w:r>
    </w:p>
    <w:p w14:paraId="7D4F7E3C" w14:textId="77777777" w:rsidR="001442CD" w:rsidRPr="001442CD" w:rsidRDefault="001442CD" w:rsidP="001442CD">
      <w:pPr>
        <w:pStyle w:val="NoSpacing"/>
        <w:jc w:val="both"/>
        <w:rPr>
          <w:rFonts w:ascii="Cambria" w:hAnsi="Cambria"/>
        </w:rPr>
      </w:pPr>
      <w:r w:rsidRPr="001442CD">
        <w:rPr>
          <w:rFonts w:ascii="Cambria" w:hAnsi="Cambria"/>
        </w:rPr>
        <w:tab/>
        <w:t xml:space="preserve">In other European nations, </w:t>
      </w:r>
      <w:proofErr w:type="spellStart"/>
      <w:r w:rsidRPr="001442CD">
        <w:rPr>
          <w:rFonts w:ascii="Cambria" w:hAnsi="Cambria"/>
        </w:rPr>
        <w:t>Bt</w:t>
      </w:r>
      <w:proofErr w:type="spellEnd"/>
      <w:r w:rsidRPr="001442CD">
        <w:rPr>
          <w:rFonts w:ascii="Cambria" w:hAnsi="Cambria"/>
        </w:rPr>
        <w:t xml:space="preserve"> maize, a genetically modified crop, is neither completely accepted nor prohibited, discouraged by onerous regulations, nor outright banned (Sikora &amp; </w:t>
      </w:r>
      <w:proofErr w:type="spellStart"/>
      <w:r w:rsidRPr="001442CD">
        <w:rPr>
          <w:rFonts w:ascii="Cambria" w:hAnsi="Cambria"/>
        </w:rPr>
        <w:t>Rzymski</w:t>
      </w:r>
      <w:proofErr w:type="spellEnd"/>
      <w:r w:rsidRPr="001442CD">
        <w:rPr>
          <w:rFonts w:ascii="Cambria" w:hAnsi="Cambria"/>
        </w:rPr>
        <w:t>, 2021). Countries like Tanzania, Uganda, and Zimbabwe are demonstrating their opposition to genetically modified organisms by implementing stricter regulations that prohibit the cultivation of genetically modified crops (</w:t>
      </w:r>
      <w:proofErr w:type="spellStart"/>
      <w:r w:rsidRPr="001442CD">
        <w:rPr>
          <w:rFonts w:ascii="Cambria" w:hAnsi="Cambria"/>
        </w:rPr>
        <w:t>Sadikiel</w:t>
      </w:r>
      <w:proofErr w:type="spellEnd"/>
      <w:r w:rsidRPr="001442CD">
        <w:rPr>
          <w:rFonts w:ascii="Cambria" w:hAnsi="Cambria"/>
        </w:rPr>
        <w:t>, 2024). A study performed towards social acceptability of GMOs in industrialized countries such as Europe, the United States, Australia, New Zealand, and Japan show that 80% of the survey participants said that they would not accept the said GMOs by not buying them, even though it is less expensive than the traditional one (</w:t>
      </w:r>
      <w:proofErr w:type="spellStart"/>
      <w:r w:rsidRPr="001442CD">
        <w:rPr>
          <w:rFonts w:ascii="Cambria" w:hAnsi="Cambria"/>
        </w:rPr>
        <w:t>Spök</w:t>
      </w:r>
      <w:proofErr w:type="spellEnd"/>
      <w:r w:rsidRPr="001442CD">
        <w:rPr>
          <w:rFonts w:ascii="Cambria" w:hAnsi="Cambria"/>
        </w:rPr>
        <w:t xml:space="preserve"> et al., 2022). It has long been stated that the majority of the European public still has a hesitant attitude regarding the use of genetically modified organisms, in contrast to the positive views of EU specialists on the subject (Ichim, 2021).</w:t>
      </w:r>
    </w:p>
    <w:p w14:paraId="6DAACEDC" w14:textId="77777777" w:rsidR="001442CD" w:rsidRPr="001442CD" w:rsidRDefault="001442CD" w:rsidP="001442CD">
      <w:pPr>
        <w:pStyle w:val="NoSpacing"/>
        <w:jc w:val="both"/>
        <w:rPr>
          <w:rFonts w:ascii="Cambria" w:hAnsi="Cambria"/>
        </w:rPr>
      </w:pPr>
      <w:r w:rsidRPr="001442CD">
        <w:rPr>
          <w:rFonts w:ascii="Cambria" w:hAnsi="Cambria"/>
        </w:rPr>
        <w:tab/>
        <w:t>In the Philippines, local government units are not accepting the GMOs and have passed ordinances prohibiting the introduction of genetically modified crops into their communities. Bohol became the first GMO-free Island in the Philippines when it approved Resolution 2003-235 (</w:t>
      </w:r>
      <w:proofErr w:type="spellStart"/>
      <w:r w:rsidRPr="001442CD">
        <w:rPr>
          <w:rFonts w:ascii="Cambria" w:hAnsi="Cambria"/>
        </w:rPr>
        <w:t>Pasquito</w:t>
      </w:r>
      <w:proofErr w:type="spellEnd"/>
      <w:r w:rsidRPr="001442CD">
        <w:rPr>
          <w:rFonts w:ascii="Cambria" w:hAnsi="Cambria"/>
        </w:rPr>
        <w:t xml:space="preserve">, 2019). In another study analyzing farmers' perceptions of the banning of genetically modified crops, 35% of respondents said the decision to enforce the ban was the right one, indicating they also do not accept any genetically modified crops (Gonzalvo et al., 2022). Lastly, the introduction of the </w:t>
      </w:r>
      <w:proofErr w:type="spellStart"/>
      <w:r w:rsidRPr="001442CD">
        <w:rPr>
          <w:rFonts w:ascii="Cambria" w:hAnsi="Cambria"/>
        </w:rPr>
        <w:t>Bt</w:t>
      </w:r>
      <w:proofErr w:type="spellEnd"/>
      <w:r w:rsidRPr="001442CD">
        <w:rPr>
          <w:rFonts w:ascii="Cambria" w:hAnsi="Cambria"/>
        </w:rPr>
        <w:t xml:space="preserve"> cotton adoption here in the Philippines is not accepted by indigenous weavers (Angeles-Shim &amp; Vergara, 2025).</w:t>
      </w:r>
    </w:p>
    <w:p w14:paraId="4CCED2EB" w14:textId="77777777" w:rsidR="001442CD" w:rsidRPr="001442CD" w:rsidRDefault="001442CD" w:rsidP="001442CD">
      <w:pPr>
        <w:pStyle w:val="NoSpacing"/>
        <w:jc w:val="both"/>
        <w:rPr>
          <w:rFonts w:ascii="Cambria" w:hAnsi="Cambria"/>
        </w:rPr>
      </w:pPr>
      <w:r w:rsidRPr="001442CD">
        <w:rPr>
          <w:rFonts w:ascii="Cambria" w:hAnsi="Cambria"/>
        </w:rPr>
        <w:t xml:space="preserve">Citizens are at risk of accepting misconceptions that undermine technology acceptance and, consequently, hinder the development of innovative solutions to global problems (Spreen &amp; </w:t>
      </w:r>
      <w:proofErr w:type="spellStart"/>
      <w:r w:rsidRPr="001442CD">
        <w:rPr>
          <w:rFonts w:ascii="Cambria" w:hAnsi="Cambria"/>
        </w:rPr>
        <w:t>Klimmt</w:t>
      </w:r>
      <w:proofErr w:type="spellEnd"/>
      <w:r w:rsidRPr="001442CD">
        <w:rPr>
          <w:rFonts w:ascii="Cambria" w:hAnsi="Cambria"/>
        </w:rPr>
        <w:t>, 2024). However, most existing research focuses on general public or consumer perceptions, overlooking the perspectives of students who will become future consumers, professionals, and decision-makers (Palmieri et.al., 2025). This creates a gap in understanding how knowledge and attitudes influence acceptance of GMOs, particularly within educational contexts. Given the rapid growth of biotechnology and the limited biotechnology literacy in the Philippines, there is an urgent need to equip students with accurate knowledge and positive attitudes toward GMOs (Co et.al., 2021). Addressing this gap is crucial for developing effective educational strategies that foster informed decision-making and responsible participation in food security and technological advancement. Hence, this study was conducted.</w:t>
      </w:r>
    </w:p>
    <w:p w14:paraId="357E6B19" w14:textId="77777777" w:rsidR="001442CD" w:rsidRPr="001442CD" w:rsidRDefault="001442CD" w:rsidP="001442CD">
      <w:pPr>
        <w:pStyle w:val="NoSpacing"/>
        <w:jc w:val="both"/>
        <w:rPr>
          <w:rFonts w:ascii="Cambria" w:eastAsia="Arial" w:hAnsi="Cambria"/>
          <w:i/>
          <w:iCs/>
        </w:rPr>
      </w:pPr>
    </w:p>
    <w:p w14:paraId="4DDF5CDF" w14:textId="77777777" w:rsidR="001442CD" w:rsidRPr="001442CD" w:rsidRDefault="001442CD" w:rsidP="001442CD">
      <w:pPr>
        <w:pStyle w:val="NoSpacing"/>
        <w:jc w:val="both"/>
        <w:rPr>
          <w:rFonts w:ascii="Cambria" w:eastAsia="Arial" w:hAnsi="Cambria"/>
          <w:i/>
          <w:iCs/>
        </w:rPr>
      </w:pPr>
    </w:p>
    <w:p w14:paraId="0CFAB919" w14:textId="77777777" w:rsidR="001442CD" w:rsidRPr="001442CD" w:rsidRDefault="001442CD" w:rsidP="001442CD">
      <w:pPr>
        <w:pStyle w:val="NoSpacing"/>
        <w:jc w:val="both"/>
        <w:rPr>
          <w:rFonts w:ascii="Cambria" w:eastAsia="Arial" w:hAnsi="Cambria"/>
          <w:i/>
          <w:iCs/>
        </w:rPr>
      </w:pPr>
    </w:p>
    <w:p w14:paraId="099B9EA5" w14:textId="77777777" w:rsidR="001442CD" w:rsidRPr="001442CD" w:rsidRDefault="001442CD" w:rsidP="001442CD">
      <w:pPr>
        <w:pStyle w:val="NoSpacing"/>
        <w:jc w:val="both"/>
        <w:rPr>
          <w:rFonts w:ascii="Cambria" w:eastAsia="Arial" w:hAnsi="Cambria"/>
          <w:i/>
          <w:iCs/>
        </w:rPr>
      </w:pPr>
    </w:p>
    <w:p w14:paraId="3221DA03" w14:textId="77777777" w:rsidR="001442CD" w:rsidRPr="001442CD" w:rsidRDefault="001442CD" w:rsidP="001442CD">
      <w:pPr>
        <w:pStyle w:val="NoSpacing"/>
        <w:jc w:val="both"/>
        <w:rPr>
          <w:rFonts w:ascii="Cambria" w:eastAsia="Arial" w:hAnsi="Cambria"/>
          <w:i/>
          <w:iCs/>
        </w:rPr>
      </w:pPr>
    </w:p>
    <w:p w14:paraId="57B57629" w14:textId="77777777" w:rsidR="001442CD" w:rsidRPr="001442CD" w:rsidRDefault="001442CD" w:rsidP="001442CD">
      <w:pPr>
        <w:pStyle w:val="NoSpacing"/>
        <w:jc w:val="both"/>
        <w:rPr>
          <w:rFonts w:ascii="Cambria" w:eastAsia="Arial" w:hAnsi="Cambria"/>
          <w:i/>
          <w:iCs/>
        </w:rPr>
      </w:pPr>
      <w:r w:rsidRPr="001442CD">
        <w:rPr>
          <w:rFonts w:ascii="Cambria" w:eastAsia="Arial" w:hAnsi="Cambria"/>
          <w:i/>
          <w:iCs/>
        </w:rPr>
        <w:t>Significance of the Study</w:t>
      </w:r>
    </w:p>
    <w:p w14:paraId="6782F143" w14:textId="77777777" w:rsidR="001442CD" w:rsidRPr="001442CD" w:rsidRDefault="001442CD" w:rsidP="001442CD">
      <w:pPr>
        <w:pStyle w:val="NoSpacing"/>
        <w:jc w:val="both"/>
        <w:rPr>
          <w:rFonts w:ascii="Cambria" w:hAnsi="Cambria"/>
        </w:rPr>
      </w:pPr>
    </w:p>
    <w:p w14:paraId="256E8689" w14:textId="77777777" w:rsidR="001442CD" w:rsidRPr="001442CD" w:rsidRDefault="001442CD" w:rsidP="001442CD">
      <w:pPr>
        <w:pStyle w:val="NoSpacing"/>
        <w:jc w:val="both"/>
        <w:rPr>
          <w:rFonts w:ascii="Cambria" w:hAnsi="Cambria"/>
        </w:rPr>
      </w:pPr>
      <w:r w:rsidRPr="001442CD">
        <w:rPr>
          <w:rFonts w:ascii="Cambria" w:hAnsi="Cambria"/>
        </w:rPr>
        <w:lastRenderedPageBreak/>
        <w:t>This study highlighted how biotechnology knowledge affects the acceptability of genetically modified foods, with attitude acting as a key mediating factor. Emphasizing the influence of attitude on acceptance, it expands the scope of previous research. It provides educators and curriculum designers with useful insights to enhance scientific literacy and encourage students to adopt balanced, evidence-based viewpoints. The findings support increased public trust, better-informed consumer behavior, and greater support for biotechnology in food security and public health.</w:t>
      </w:r>
    </w:p>
    <w:p w14:paraId="1C2BFE87" w14:textId="77777777" w:rsidR="001442CD" w:rsidRPr="001442CD" w:rsidRDefault="001442CD" w:rsidP="001442CD">
      <w:pPr>
        <w:pStyle w:val="NoSpacing"/>
        <w:jc w:val="both"/>
        <w:rPr>
          <w:rFonts w:ascii="Cambria" w:hAnsi="Cambria"/>
        </w:rPr>
      </w:pPr>
      <w:r w:rsidRPr="001442CD">
        <w:rPr>
          <w:rFonts w:ascii="Cambria" w:hAnsi="Cambria"/>
        </w:rPr>
        <w:t>The result of this study aligns with numerous Sustainable Development Goals (SDGs) of the United Nations. It mainly supports SDG 3: Good Health and Well-Being, which promotes the goal of ensuring healthy lives and fostering well-being for all. Genetically modified foods play an increasingly important role in global food systems by offering potential benefits such as enhanced nutritional content, reduced allergenicity, improved crop resilience, and more stable food supplies. It also helps to achieve SDG 4: Quality Education by promoting the integration of genetic engineering and biotechnology into science literacy. It helps teachers design engaging, evidence-based lessons that address misconceptions and encourage analytical thinking, while guiding curriculum designers to create relevant, context-driven materials that connect science learning to real-world issues like food security and sustainability. Furthermore, by encouraging responsible and informed decision-making in biotechnology and sustainable food production, the research aligns with SDG 12: Responsible Consumption and Production. As a result, this study not only enriches academic debate on biotechnology adoption but also strengthens worldwide efforts toward sustainable development and food system resilience.</w:t>
      </w:r>
    </w:p>
    <w:p w14:paraId="193A04DE" w14:textId="77777777" w:rsidR="001442CD" w:rsidRDefault="001442CD" w:rsidP="001442CD">
      <w:pPr>
        <w:pStyle w:val="NoSpacing"/>
        <w:jc w:val="both"/>
        <w:rPr>
          <w:rFonts w:ascii="Cambria" w:eastAsia="Arial" w:hAnsi="Cambria"/>
          <w:i/>
          <w:iCs/>
        </w:rPr>
      </w:pPr>
    </w:p>
    <w:p w14:paraId="71180B20" w14:textId="77777777" w:rsidR="001442CD" w:rsidRDefault="001442CD" w:rsidP="001442CD">
      <w:pPr>
        <w:pStyle w:val="NoSpacing"/>
        <w:jc w:val="both"/>
        <w:rPr>
          <w:rFonts w:ascii="Cambria" w:eastAsia="Arial" w:hAnsi="Cambria"/>
          <w:i/>
          <w:iCs/>
        </w:rPr>
      </w:pPr>
    </w:p>
    <w:p w14:paraId="53B130C3" w14:textId="77777777" w:rsidR="001442CD" w:rsidRDefault="001442CD" w:rsidP="001442CD">
      <w:pPr>
        <w:pStyle w:val="NoSpacing"/>
        <w:jc w:val="both"/>
        <w:rPr>
          <w:rFonts w:ascii="Cambria" w:eastAsia="Arial" w:hAnsi="Cambria"/>
          <w:i/>
          <w:iCs/>
        </w:rPr>
      </w:pPr>
    </w:p>
    <w:p w14:paraId="0FF4B003" w14:textId="77777777" w:rsidR="001442CD" w:rsidRDefault="001442CD" w:rsidP="001442CD">
      <w:pPr>
        <w:pStyle w:val="NoSpacing"/>
        <w:jc w:val="both"/>
        <w:rPr>
          <w:rFonts w:ascii="Cambria" w:eastAsia="Arial" w:hAnsi="Cambria"/>
          <w:i/>
          <w:iCs/>
        </w:rPr>
      </w:pPr>
    </w:p>
    <w:p w14:paraId="6341C051" w14:textId="77777777" w:rsidR="001442CD" w:rsidRDefault="001442CD" w:rsidP="001442CD">
      <w:pPr>
        <w:pStyle w:val="NoSpacing"/>
        <w:jc w:val="both"/>
        <w:rPr>
          <w:rFonts w:ascii="Cambria" w:eastAsia="Arial" w:hAnsi="Cambria"/>
          <w:i/>
          <w:iCs/>
        </w:rPr>
      </w:pPr>
    </w:p>
    <w:p w14:paraId="5ED042D4" w14:textId="39112EEB" w:rsidR="001442CD" w:rsidRPr="001442CD" w:rsidRDefault="001442CD" w:rsidP="001442CD">
      <w:pPr>
        <w:pStyle w:val="NoSpacing"/>
        <w:jc w:val="both"/>
        <w:rPr>
          <w:rFonts w:ascii="Cambria" w:eastAsia="Arial" w:hAnsi="Cambria"/>
          <w:i/>
          <w:iCs/>
        </w:rPr>
      </w:pPr>
      <w:r w:rsidRPr="001442CD">
        <w:rPr>
          <w:rFonts w:ascii="Cambria" w:eastAsia="Arial" w:hAnsi="Cambria"/>
          <w:i/>
          <w:iCs/>
        </w:rPr>
        <w:t>Statement of the Problem</w:t>
      </w:r>
    </w:p>
    <w:p w14:paraId="76A0AB49" w14:textId="77777777" w:rsidR="001442CD" w:rsidRPr="001442CD" w:rsidRDefault="001442CD" w:rsidP="001442CD">
      <w:pPr>
        <w:pStyle w:val="NoSpacing"/>
        <w:jc w:val="both"/>
        <w:rPr>
          <w:rFonts w:ascii="Cambria" w:eastAsia="Arial" w:hAnsi="Cambria"/>
          <w:i/>
          <w:iCs/>
        </w:rPr>
      </w:pPr>
    </w:p>
    <w:p w14:paraId="0CD7FB6B" w14:textId="77777777" w:rsidR="001442CD" w:rsidRPr="001442CD" w:rsidRDefault="001442CD" w:rsidP="001442CD">
      <w:pPr>
        <w:pStyle w:val="NoSpacing"/>
        <w:jc w:val="both"/>
        <w:rPr>
          <w:rFonts w:ascii="Cambria" w:eastAsia="Arial" w:hAnsi="Cambria"/>
        </w:rPr>
      </w:pPr>
      <w:r w:rsidRPr="001442CD">
        <w:rPr>
          <w:rFonts w:ascii="Cambria" w:eastAsia="Arial" w:hAnsi="Cambria"/>
        </w:rPr>
        <w:tab/>
        <w:t>It was aimed in this study to determine the mediating effect of attitude towards genetically modified foods on the correlation between basic biotechnology knowledge and acceptance of genetically foods among college students. Specifically, the following objectives were pursued:</w:t>
      </w:r>
    </w:p>
    <w:p w14:paraId="54D500ED" w14:textId="77777777" w:rsidR="001442CD" w:rsidRPr="001442CD" w:rsidRDefault="001442CD" w:rsidP="001442CD">
      <w:pPr>
        <w:pStyle w:val="NoSpacing"/>
        <w:jc w:val="both"/>
        <w:rPr>
          <w:rFonts w:ascii="Cambria" w:eastAsia="Arial" w:hAnsi="Cambria"/>
        </w:rPr>
      </w:pPr>
    </w:p>
    <w:p w14:paraId="0A9161C3" w14:textId="77777777" w:rsidR="001442CD" w:rsidRPr="001442CD" w:rsidRDefault="001442CD" w:rsidP="001442CD">
      <w:pPr>
        <w:pStyle w:val="NoSpacing"/>
        <w:numPr>
          <w:ilvl w:val="0"/>
          <w:numId w:val="4"/>
        </w:numPr>
        <w:jc w:val="both"/>
        <w:rPr>
          <w:rFonts w:ascii="Cambria" w:hAnsi="Cambria"/>
        </w:rPr>
      </w:pPr>
      <w:r w:rsidRPr="001442CD">
        <w:rPr>
          <w:rFonts w:ascii="Cambria" w:hAnsi="Cambria"/>
        </w:rPr>
        <w:t>To determine the level of basic biotechnology knowledge in terms of laboratory methods and techniques, real-life practices, and effects of biotechnology; attitude in terms of GMO implications on health, interest in the topic of GMO, GMO implications on the environment; acceptance of genetically modified foods in terms of perceived benefits, perceived risks, and willingness to eat genetically foods crops among college students;</w:t>
      </w:r>
    </w:p>
    <w:p w14:paraId="06602B44" w14:textId="77777777" w:rsidR="001442CD" w:rsidRPr="001442CD" w:rsidRDefault="001442CD" w:rsidP="001442CD">
      <w:pPr>
        <w:pStyle w:val="NoSpacing"/>
        <w:numPr>
          <w:ilvl w:val="0"/>
          <w:numId w:val="4"/>
        </w:numPr>
        <w:jc w:val="both"/>
        <w:rPr>
          <w:rFonts w:ascii="Cambria" w:hAnsi="Cambria"/>
        </w:rPr>
      </w:pPr>
      <w:r w:rsidRPr="001442CD">
        <w:rPr>
          <w:rFonts w:ascii="Cambria" w:hAnsi="Cambria"/>
        </w:rPr>
        <w:t>To determine the significance of the correlation between knowledge, attitude, and acceptance of genetically modified foods among college students;</w:t>
      </w:r>
    </w:p>
    <w:p w14:paraId="326896BC" w14:textId="77777777" w:rsidR="001442CD" w:rsidRPr="001442CD" w:rsidRDefault="001442CD" w:rsidP="001442CD">
      <w:pPr>
        <w:pStyle w:val="NoSpacing"/>
        <w:numPr>
          <w:ilvl w:val="0"/>
          <w:numId w:val="4"/>
        </w:numPr>
        <w:jc w:val="both"/>
        <w:rPr>
          <w:rFonts w:ascii="Cambria" w:hAnsi="Cambria"/>
        </w:rPr>
      </w:pPr>
      <w:r w:rsidRPr="001442CD">
        <w:rPr>
          <w:rFonts w:ascii="Cambria" w:hAnsi="Cambria"/>
        </w:rPr>
        <w:t>To determine the significance of the direct effect of basic biotechnology knowledge on acceptance of GMO foods, controlling for attitude towards GMO foods;</w:t>
      </w:r>
    </w:p>
    <w:p w14:paraId="716B8BA0" w14:textId="77777777" w:rsidR="001442CD" w:rsidRPr="001442CD" w:rsidRDefault="001442CD" w:rsidP="001442CD">
      <w:pPr>
        <w:pStyle w:val="NoSpacing"/>
        <w:numPr>
          <w:ilvl w:val="0"/>
          <w:numId w:val="4"/>
        </w:numPr>
        <w:jc w:val="both"/>
        <w:rPr>
          <w:rFonts w:ascii="Cambria" w:eastAsia="Arial" w:hAnsi="Cambria"/>
        </w:rPr>
      </w:pPr>
      <w:r w:rsidRPr="001442CD">
        <w:rPr>
          <w:rFonts w:ascii="Cambria" w:eastAsia="Arial" w:hAnsi="Cambria"/>
        </w:rPr>
        <w:t>To determine the significance of the indirect effect of basic biotechnology knowledge on acceptance of GMO foods, through attitude towards GMO foods</w:t>
      </w:r>
      <w:r w:rsidRPr="001442CD">
        <w:rPr>
          <w:rFonts w:ascii="Cambria" w:hAnsi="Cambria"/>
        </w:rPr>
        <w:t>; and</w:t>
      </w:r>
    </w:p>
    <w:p w14:paraId="45D87774" w14:textId="77777777" w:rsidR="001442CD" w:rsidRPr="001442CD" w:rsidRDefault="001442CD" w:rsidP="001442CD">
      <w:pPr>
        <w:pStyle w:val="NoSpacing"/>
        <w:numPr>
          <w:ilvl w:val="0"/>
          <w:numId w:val="4"/>
        </w:numPr>
        <w:jc w:val="both"/>
        <w:rPr>
          <w:rFonts w:ascii="Cambria" w:eastAsia="Arial" w:hAnsi="Cambria"/>
        </w:rPr>
      </w:pPr>
      <w:r w:rsidRPr="001442CD">
        <w:rPr>
          <w:rFonts w:ascii="Cambria" w:eastAsia="Arial" w:hAnsi="Cambria"/>
        </w:rPr>
        <w:t xml:space="preserve">To determine the significance of the total effect of </w:t>
      </w:r>
      <w:r w:rsidRPr="001442CD">
        <w:rPr>
          <w:rFonts w:ascii="Cambria" w:hAnsi="Cambria"/>
        </w:rPr>
        <w:t>basic biotechnology knowledge on acceptance of GMO foods.</w:t>
      </w:r>
    </w:p>
    <w:p w14:paraId="1C6B8093" w14:textId="77777777" w:rsidR="001442CD" w:rsidRPr="001442CD" w:rsidRDefault="001442CD" w:rsidP="001442CD">
      <w:pPr>
        <w:pStyle w:val="NoSpacing"/>
        <w:jc w:val="both"/>
        <w:rPr>
          <w:rFonts w:ascii="Cambria" w:hAnsi="Cambria"/>
        </w:rPr>
      </w:pPr>
    </w:p>
    <w:p w14:paraId="63303C4D" w14:textId="77777777" w:rsidR="001442CD" w:rsidRPr="001442CD" w:rsidRDefault="001442CD" w:rsidP="001442CD">
      <w:pPr>
        <w:pStyle w:val="NoSpacing"/>
        <w:jc w:val="both"/>
        <w:rPr>
          <w:rFonts w:ascii="Cambria" w:hAnsi="Cambria"/>
        </w:rPr>
      </w:pPr>
    </w:p>
    <w:p w14:paraId="4C8638F4" w14:textId="77777777" w:rsidR="001442CD" w:rsidRPr="001442CD" w:rsidRDefault="001442CD" w:rsidP="001442CD">
      <w:pPr>
        <w:pStyle w:val="NoSpacing"/>
        <w:jc w:val="both"/>
        <w:rPr>
          <w:rFonts w:ascii="Cambria" w:hAnsi="Cambria"/>
        </w:rPr>
      </w:pPr>
    </w:p>
    <w:p w14:paraId="5443C075" w14:textId="77777777" w:rsidR="001442CD" w:rsidRPr="001442CD" w:rsidRDefault="001442CD" w:rsidP="001442CD">
      <w:pPr>
        <w:pStyle w:val="NoSpacing"/>
        <w:jc w:val="both"/>
        <w:rPr>
          <w:rFonts w:ascii="Cambria" w:hAnsi="Cambria"/>
        </w:rPr>
      </w:pPr>
    </w:p>
    <w:p w14:paraId="463B1DD9" w14:textId="77777777" w:rsidR="001442CD" w:rsidRPr="001442CD" w:rsidRDefault="001442CD" w:rsidP="001442CD">
      <w:pPr>
        <w:pStyle w:val="NoSpacing"/>
        <w:jc w:val="both"/>
        <w:rPr>
          <w:rFonts w:ascii="Cambria" w:eastAsia="Arial" w:hAnsi="Cambria"/>
          <w:i/>
          <w:iCs/>
        </w:rPr>
      </w:pPr>
      <w:r w:rsidRPr="001442CD">
        <w:rPr>
          <w:rFonts w:ascii="Cambria" w:eastAsia="Arial" w:hAnsi="Cambria"/>
          <w:i/>
          <w:iCs/>
        </w:rPr>
        <w:t>Hypotheses</w:t>
      </w:r>
    </w:p>
    <w:p w14:paraId="64F4E366" w14:textId="77777777" w:rsidR="001442CD" w:rsidRPr="001442CD" w:rsidRDefault="001442CD" w:rsidP="001442CD">
      <w:pPr>
        <w:pStyle w:val="NoSpacing"/>
        <w:jc w:val="both"/>
        <w:rPr>
          <w:rFonts w:ascii="Cambria" w:eastAsia="Arial" w:hAnsi="Cambria"/>
        </w:rPr>
      </w:pPr>
    </w:p>
    <w:p w14:paraId="21C4AA88" w14:textId="77777777" w:rsidR="001442CD" w:rsidRPr="001442CD" w:rsidRDefault="001442CD" w:rsidP="001442CD">
      <w:pPr>
        <w:pStyle w:val="NoSpacing"/>
        <w:jc w:val="both"/>
        <w:rPr>
          <w:rFonts w:ascii="Cambria" w:hAnsi="Cambria"/>
        </w:rPr>
      </w:pPr>
      <w:r w:rsidRPr="001442CD">
        <w:rPr>
          <w:rFonts w:ascii="Cambria" w:eastAsia="Arial" w:hAnsi="Cambria"/>
        </w:rPr>
        <w:t xml:space="preserve">Ho1: Basic </w:t>
      </w:r>
      <w:r w:rsidRPr="001442CD">
        <w:rPr>
          <w:rFonts w:ascii="Cambria" w:hAnsi="Cambria"/>
        </w:rPr>
        <w:t>biotechnology knowledge and attitude towards genetically modified foods do not significantly correlate with acceptance of genetically modified foods among college students.</w:t>
      </w:r>
    </w:p>
    <w:p w14:paraId="10CEDB28" w14:textId="77777777" w:rsidR="001442CD" w:rsidRPr="001442CD" w:rsidRDefault="001442CD" w:rsidP="001442CD">
      <w:pPr>
        <w:pStyle w:val="NoSpacing"/>
        <w:jc w:val="both"/>
        <w:rPr>
          <w:rFonts w:ascii="Cambria" w:hAnsi="Cambria"/>
        </w:rPr>
      </w:pPr>
      <w:r w:rsidRPr="001442CD">
        <w:rPr>
          <w:rFonts w:ascii="Cambria" w:eastAsia="Arial" w:hAnsi="Cambria"/>
        </w:rPr>
        <w:lastRenderedPageBreak/>
        <w:t>Ho2: The direct effect of basic biotechnology knowledge on acceptance of GMO foods, controlling for attitude towards GMO foods, is not significant</w:t>
      </w:r>
      <w:r w:rsidRPr="001442CD">
        <w:rPr>
          <w:rFonts w:ascii="Cambria" w:hAnsi="Cambria"/>
        </w:rPr>
        <w:t>.</w:t>
      </w:r>
    </w:p>
    <w:p w14:paraId="6ABA4666" w14:textId="77777777" w:rsidR="001442CD" w:rsidRPr="001442CD" w:rsidRDefault="001442CD" w:rsidP="001442CD">
      <w:pPr>
        <w:pStyle w:val="NoSpacing"/>
        <w:jc w:val="both"/>
        <w:rPr>
          <w:rFonts w:ascii="Cambria" w:eastAsia="Arial" w:hAnsi="Cambria"/>
        </w:rPr>
      </w:pPr>
    </w:p>
    <w:p w14:paraId="072BB217" w14:textId="77777777" w:rsidR="001442CD" w:rsidRPr="001442CD" w:rsidRDefault="001442CD" w:rsidP="001442CD">
      <w:pPr>
        <w:pStyle w:val="NoSpacing"/>
        <w:jc w:val="both"/>
        <w:rPr>
          <w:rFonts w:ascii="Cambria" w:hAnsi="Cambria"/>
        </w:rPr>
      </w:pPr>
      <w:r w:rsidRPr="001442CD">
        <w:rPr>
          <w:rFonts w:ascii="Cambria" w:eastAsia="Arial" w:hAnsi="Cambria"/>
        </w:rPr>
        <w:t>H03. The</w:t>
      </w:r>
      <w:r w:rsidRPr="001442CD">
        <w:rPr>
          <w:rFonts w:ascii="Cambria" w:hAnsi="Cambria"/>
        </w:rPr>
        <w:t xml:space="preserve"> </w:t>
      </w:r>
      <w:r w:rsidRPr="001442CD">
        <w:rPr>
          <w:rFonts w:ascii="Cambria" w:eastAsia="Arial" w:hAnsi="Cambria"/>
        </w:rPr>
        <w:t>indirect effect of basic biotechnology knowledge on acceptance of GMO foods, through attitude towards GMO foods, is not significant</w:t>
      </w:r>
      <w:r w:rsidRPr="001442CD">
        <w:rPr>
          <w:rFonts w:ascii="Cambria" w:hAnsi="Cambria"/>
        </w:rPr>
        <w:t>.</w:t>
      </w:r>
    </w:p>
    <w:p w14:paraId="325BD993" w14:textId="77777777" w:rsidR="001442CD" w:rsidRPr="001442CD" w:rsidRDefault="001442CD" w:rsidP="001442CD">
      <w:pPr>
        <w:pStyle w:val="NoSpacing"/>
        <w:jc w:val="both"/>
        <w:rPr>
          <w:rFonts w:ascii="Cambria" w:hAnsi="Cambria"/>
        </w:rPr>
      </w:pPr>
    </w:p>
    <w:p w14:paraId="08B69F3E" w14:textId="77777777" w:rsidR="001442CD" w:rsidRPr="001442CD" w:rsidRDefault="001442CD" w:rsidP="001442CD">
      <w:pPr>
        <w:pStyle w:val="NoSpacing"/>
        <w:jc w:val="both"/>
        <w:rPr>
          <w:rFonts w:ascii="Cambria" w:eastAsia="Arial" w:hAnsi="Cambria"/>
        </w:rPr>
      </w:pPr>
      <w:r w:rsidRPr="001442CD">
        <w:rPr>
          <w:rFonts w:ascii="Cambria" w:eastAsia="Arial" w:hAnsi="Cambria"/>
        </w:rPr>
        <w:t>H04. The total effect of basic biotechnology knowledge on the acceptance of GMO foods is not significant.</w:t>
      </w:r>
    </w:p>
    <w:p w14:paraId="6107C1E6" w14:textId="77777777" w:rsidR="001442CD" w:rsidRPr="001442CD" w:rsidRDefault="001442CD" w:rsidP="001442CD">
      <w:pPr>
        <w:pStyle w:val="NoSpacing"/>
        <w:jc w:val="both"/>
        <w:rPr>
          <w:rFonts w:ascii="Cambria" w:eastAsia="Arial" w:hAnsi="Cambria"/>
          <w:i/>
          <w:iCs/>
        </w:rPr>
      </w:pPr>
    </w:p>
    <w:p w14:paraId="01A66D20" w14:textId="77777777" w:rsidR="001442CD" w:rsidRPr="001442CD" w:rsidRDefault="001442CD" w:rsidP="001442CD">
      <w:pPr>
        <w:pStyle w:val="NoSpacing"/>
        <w:jc w:val="both"/>
        <w:rPr>
          <w:rFonts w:ascii="Cambria" w:eastAsia="Arial" w:hAnsi="Cambria"/>
        </w:rPr>
      </w:pPr>
      <w:r w:rsidRPr="001442CD">
        <w:rPr>
          <w:rFonts w:ascii="Cambria" w:eastAsia="Arial" w:hAnsi="Cambria"/>
          <w:i/>
          <w:iCs/>
        </w:rPr>
        <w:t>Theoretical Framework and Conceptual Framework</w:t>
      </w:r>
    </w:p>
    <w:p w14:paraId="68B50C8F" w14:textId="77777777" w:rsidR="001442CD" w:rsidRPr="001442CD" w:rsidRDefault="001442CD" w:rsidP="001442CD">
      <w:pPr>
        <w:pStyle w:val="NoSpacing"/>
        <w:jc w:val="both"/>
        <w:rPr>
          <w:rFonts w:ascii="Cambria" w:eastAsia="Arial" w:hAnsi="Cambria"/>
        </w:rPr>
      </w:pPr>
    </w:p>
    <w:p w14:paraId="04AFC30A" w14:textId="77777777" w:rsidR="001442CD" w:rsidRPr="001442CD" w:rsidRDefault="001442CD" w:rsidP="001442CD">
      <w:pPr>
        <w:pStyle w:val="NoSpacing"/>
        <w:jc w:val="both"/>
        <w:rPr>
          <w:rFonts w:ascii="Cambria" w:hAnsi="Cambria"/>
        </w:rPr>
      </w:pPr>
      <w:r w:rsidRPr="001442CD">
        <w:rPr>
          <w:rFonts w:ascii="Cambria" w:hAnsi="Cambria"/>
        </w:rPr>
        <w:t>This study is grounded in the Knowledge-Attitude-Practice (KAP) theory, originally articulated by Everett M. Rogers in 1962. The KAP model posits that human behavior follows a sequential pathway: individuals first acquire knowledge, which then shapes their attitudes, and ultimately leads to the development of practices or behavior. Knowledge provides the foundation for informed judgment, attitude serves as the motivational force influencing perceptions and predispositions, and practice represents the behavioral outcome (</w:t>
      </w:r>
      <w:proofErr w:type="spellStart"/>
      <w:r w:rsidRPr="001442CD">
        <w:rPr>
          <w:rFonts w:ascii="Cambria" w:hAnsi="Cambria"/>
        </w:rPr>
        <w:t>Launiala</w:t>
      </w:r>
      <w:proofErr w:type="spellEnd"/>
      <w:r w:rsidRPr="001442CD">
        <w:rPr>
          <w:rFonts w:ascii="Cambria" w:hAnsi="Cambria"/>
        </w:rPr>
        <w:t xml:space="preserve">, 2009). </w:t>
      </w:r>
    </w:p>
    <w:p w14:paraId="65DA0396" w14:textId="77777777" w:rsidR="001442CD" w:rsidRPr="001442CD" w:rsidRDefault="001442CD" w:rsidP="001442CD">
      <w:pPr>
        <w:pStyle w:val="NoSpacing"/>
        <w:jc w:val="both"/>
        <w:rPr>
          <w:rFonts w:ascii="Cambria" w:eastAsia="Arial" w:hAnsi="Cambria"/>
        </w:rPr>
      </w:pPr>
      <w:r w:rsidRPr="001442CD">
        <w:rPr>
          <w:rFonts w:ascii="Cambria" w:hAnsi="Cambria"/>
        </w:rPr>
        <w:t>In the context of this study, students' basic biotechnology knowledge serves as the cognitive foundation (knowledge) for forming attitudes toward genetically modified (GM) foods. When students have accurate knowledge, they are more likely to develop positive and open attitudes toward biotechnology; however, limited or incorrect knowledge often leads to fear or skepticism (</w:t>
      </w:r>
      <w:proofErr w:type="spellStart"/>
      <w:r w:rsidRPr="001442CD">
        <w:rPr>
          <w:rFonts w:ascii="Cambria" w:hAnsi="Cambria"/>
        </w:rPr>
        <w:t>McPhetres</w:t>
      </w:r>
      <w:proofErr w:type="spellEnd"/>
      <w:r w:rsidRPr="001442CD">
        <w:rPr>
          <w:rFonts w:ascii="Cambria" w:hAnsi="Cambria"/>
        </w:rPr>
        <w:t xml:space="preserve"> et al., 2019). Attitudes towards genetically modified foods connect to the affective component (attitude). If students are knowledgeable, their acceptance of GM foods depends on how they feel about the technology (</w:t>
      </w:r>
      <w:proofErr w:type="spellStart"/>
      <w:r w:rsidRPr="001442CD">
        <w:rPr>
          <w:rFonts w:ascii="Cambria" w:hAnsi="Cambria"/>
        </w:rPr>
        <w:t>Veličković</w:t>
      </w:r>
      <w:proofErr w:type="spellEnd"/>
      <w:r w:rsidRPr="001442CD">
        <w:rPr>
          <w:rFonts w:ascii="Cambria" w:hAnsi="Cambria"/>
        </w:rPr>
        <w:t xml:space="preserve"> et al., 2016). Lastly, the acceptance of genetically modified food represents the practice aspect of the theory, reflected in students' willingness to consume or support GM products. By applying the KAP theory, this study provides a foundation for developing educational strategies that strengthen understanding and foster positive, informed perspectives on biotechnology. Hence, this study is fully anchored on the Knowledge-Attitude-Practice Theory. </w:t>
      </w:r>
      <w:r w:rsidRPr="001442CD">
        <w:rPr>
          <w:rFonts w:ascii="Cambria" w:eastAsia="Arial" w:hAnsi="Cambria"/>
        </w:rPr>
        <w:t xml:space="preserve"> </w:t>
      </w:r>
    </w:p>
    <w:p w14:paraId="77C89118" w14:textId="77777777" w:rsidR="001442CD" w:rsidRPr="001442CD" w:rsidRDefault="001442CD" w:rsidP="001442CD">
      <w:pPr>
        <w:pStyle w:val="NoSpacing"/>
        <w:jc w:val="both"/>
        <w:rPr>
          <w:rFonts w:ascii="Cambria" w:hAnsi="Cambria"/>
        </w:rPr>
      </w:pPr>
    </w:p>
    <w:p w14:paraId="64732C5E" w14:textId="77777777" w:rsidR="001442CD" w:rsidRPr="001442CD" w:rsidRDefault="001442CD" w:rsidP="001442CD">
      <w:pPr>
        <w:pStyle w:val="NoSpacing"/>
        <w:jc w:val="both"/>
        <w:rPr>
          <w:rFonts w:ascii="Cambria" w:hAnsi="Cambria"/>
        </w:rPr>
      </w:pPr>
    </w:p>
    <w:p w14:paraId="317A0CA8" w14:textId="77777777" w:rsidR="001442CD" w:rsidRPr="001442CD" w:rsidRDefault="001442CD" w:rsidP="001442CD">
      <w:pPr>
        <w:pStyle w:val="NoSpacing"/>
        <w:jc w:val="both"/>
        <w:rPr>
          <w:rFonts w:ascii="Cambria" w:hAnsi="Cambria"/>
        </w:rPr>
      </w:pPr>
    </w:p>
    <w:p w14:paraId="32446232" w14:textId="77777777" w:rsidR="001442CD" w:rsidRDefault="001442CD" w:rsidP="001442CD">
      <w:pPr>
        <w:pStyle w:val="NoSpacing"/>
        <w:jc w:val="both"/>
        <w:rPr>
          <w:rFonts w:ascii="Cambria" w:hAnsi="Cambria"/>
        </w:rPr>
      </w:pPr>
    </w:p>
    <w:p w14:paraId="718B0F1B" w14:textId="77777777" w:rsidR="001442CD" w:rsidRDefault="001442CD" w:rsidP="001442CD">
      <w:pPr>
        <w:pStyle w:val="NoSpacing"/>
        <w:jc w:val="both"/>
        <w:rPr>
          <w:rFonts w:ascii="Cambria" w:hAnsi="Cambria"/>
        </w:rPr>
      </w:pPr>
    </w:p>
    <w:p w14:paraId="75463614" w14:textId="77777777" w:rsidR="001442CD" w:rsidRDefault="001442CD" w:rsidP="001442CD">
      <w:pPr>
        <w:pStyle w:val="NoSpacing"/>
        <w:jc w:val="both"/>
        <w:rPr>
          <w:rFonts w:ascii="Cambria" w:hAnsi="Cambria"/>
        </w:rPr>
      </w:pPr>
    </w:p>
    <w:p w14:paraId="0211EA01" w14:textId="77777777" w:rsidR="001442CD" w:rsidRDefault="001442CD" w:rsidP="001442CD">
      <w:pPr>
        <w:pStyle w:val="NoSpacing"/>
        <w:jc w:val="both"/>
        <w:rPr>
          <w:rFonts w:ascii="Cambria" w:hAnsi="Cambria"/>
        </w:rPr>
      </w:pPr>
    </w:p>
    <w:p w14:paraId="43FDDA04" w14:textId="77777777" w:rsidR="001442CD" w:rsidRDefault="001442CD" w:rsidP="001442CD">
      <w:pPr>
        <w:pStyle w:val="NoSpacing"/>
        <w:jc w:val="both"/>
        <w:rPr>
          <w:rFonts w:ascii="Cambria" w:hAnsi="Cambria"/>
        </w:rPr>
      </w:pPr>
    </w:p>
    <w:p w14:paraId="616E16F9" w14:textId="77777777" w:rsidR="001442CD" w:rsidRDefault="001442CD" w:rsidP="001442CD">
      <w:pPr>
        <w:pStyle w:val="NoSpacing"/>
        <w:jc w:val="both"/>
        <w:rPr>
          <w:rFonts w:ascii="Cambria" w:hAnsi="Cambria"/>
        </w:rPr>
      </w:pPr>
    </w:p>
    <w:p w14:paraId="1F5A305A" w14:textId="77777777" w:rsidR="001442CD" w:rsidRDefault="001442CD" w:rsidP="001442CD">
      <w:pPr>
        <w:pStyle w:val="NoSpacing"/>
        <w:jc w:val="both"/>
        <w:rPr>
          <w:rFonts w:ascii="Cambria" w:hAnsi="Cambria"/>
        </w:rPr>
      </w:pPr>
    </w:p>
    <w:p w14:paraId="5B60B95C" w14:textId="77777777" w:rsidR="001442CD" w:rsidRDefault="001442CD" w:rsidP="001442CD">
      <w:pPr>
        <w:pStyle w:val="NoSpacing"/>
        <w:jc w:val="both"/>
        <w:rPr>
          <w:rFonts w:ascii="Cambria" w:hAnsi="Cambria"/>
        </w:rPr>
      </w:pPr>
    </w:p>
    <w:p w14:paraId="19173603" w14:textId="77777777" w:rsidR="001442CD" w:rsidRDefault="001442CD" w:rsidP="001442CD">
      <w:pPr>
        <w:pStyle w:val="NoSpacing"/>
        <w:jc w:val="both"/>
        <w:rPr>
          <w:rFonts w:ascii="Cambria" w:hAnsi="Cambria"/>
        </w:rPr>
      </w:pPr>
    </w:p>
    <w:p w14:paraId="03067BF4" w14:textId="77777777" w:rsidR="001442CD" w:rsidRDefault="001442CD" w:rsidP="001442CD">
      <w:pPr>
        <w:pStyle w:val="NoSpacing"/>
        <w:jc w:val="both"/>
        <w:rPr>
          <w:rFonts w:ascii="Cambria" w:hAnsi="Cambria"/>
        </w:rPr>
      </w:pPr>
    </w:p>
    <w:p w14:paraId="3BE30154" w14:textId="77777777" w:rsidR="001442CD" w:rsidRDefault="001442CD" w:rsidP="001442CD">
      <w:pPr>
        <w:pStyle w:val="NoSpacing"/>
        <w:jc w:val="both"/>
        <w:rPr>
          <w:rFonts w:ascii="Cambria" w:hAnsi="Cambria"/>
        </w:rPr>
      </w:pPr>
    </w:p>
    <w:p w14:paraId="1694C65D" w14:textId="77777777" w:rsidR="001442CD" w:rsidRDefault="001442CD" w:rsidP="001442CD">
      <w:pPr>
        <w:pStyle w:val="NoSpacing"/>
        <w:jc w:val="both"/>
        <w:rPr>
          <w:rFonts w:ascii="Cambria" w:hAnsi="Cambria"/>
        </w:rPr>
      </w:pPr>
    </w:p>
    <w:p w14:paraId="322D31F0" w14:textId="77777777" w:rsidR="001442CD" w:rsidRDefault="001442CD" w:rsidP="001442CD">
      <w:pPr>
        <w:pStyle w:val="NoSpacing"/>
        <w:jc w:val="both"/>
        <w:rPr>
          <w:rFonts w:ascii="Cambria" w:hAnsi="Cambria"/>
        </w:rPr>
      </w:pPr>
    </w:p>
    <w:p w14:paraId="0905CBEC" w14:textId="77777777" w:rsidR="001442CD" w:rsidRDefault="001442CD" w:rsidP="001442CD">
      <w:pPr>
        <w:pStyle w:val="NoSpacing"/>
        <w:jc w:val="both"/>
        <w:rPr>
          <w:rFonts w:ascii="Cambria" w:hAnsi="Cambria"/>
        </w:rPr>
      </w:pPr>
    </w:p>
    <w:p w14:paraId="6F4B9B7C" w14:textId="77777777" w:rsidR="001442CD" w:rsidRDefault="001442CD" w:rsidP="001442CD">
      <w:pPr>
        <w:pStyle w:val="NoSpacing"/>
        <w:jc w:val="both"/>
        <w:rPr>
          <w:rFonts w:ascii="Cambria" w:hAnsi="Cambria"/>
        </w:rPr>
      </w:pPr>
    </w:p>
    <w:p w14:paraId="7D682934" w14:textId="77777777" w:rsidR="001442CD" w:rsidRDefault="001442CD" w:rsidP="001442CD">
      <w:pPr>
        <w:pStyle w:val="NoSpacing"/>
        <w:jc w:val="both"/>
        <w:rPr>
          <w:rFonts w:ascii="Cambria" w:hAnsi="Cambria"/>
        </w:rPr>
      </w:pPr>
    </w:p>
    <w:p w14:paraId="7CE9EDBC" w14:textId="77777777" w:rsidR="001442CD" w:rsidRDefault="001442CD" w:rsidP="001442CD">
      <w:pPr>
        <w:pStyle w:val="NoSpacing"/>
        <w:jc w:val="both"/>
        <w:rPr>
          <w:rFonts w:ascii="Cambria" w:hAnsi="Cambria"/>
        </w:rPr>
      </w:pPr>
    </w:p>
    <w:p w14:paraId="2EA04413" w14:textId="77777777" w:rsidR="001442CD" w:rsidRDefault="001442CD" w:rsidP="001442CD">
      <w:pPr>
        <w:pStyle w:val="NoSpacing"/>
        <w:jc w:val="both"/>
        <w:rPr>
          <w:rFonts w:ascii="Cambria" w:hAnsi="Cambria"/>
        </w:rPr>
      </w:pPr>
    </w:p>
    <w:p w14:paraId="6DE7FD7A" w14:textId="77777777" w:rsidR="001442CD" w:rsidRDefault="001442CD" w:rsidP="001442CD">
      <w:pPr>
        <w:pStyle w:val="NoSpacing"/>
        <w:jc w:val="both"/>
        <w:rPr>
          <w:rFonts w:ascii="Cambria" w:hAnsi="Cambria"/>
        </w:rPr>
      </w:pPr>
    </w:p>
    <w:p w14:paraId="6DE615CE" w14:textId="77777777" w:rsidR="001442CD" w:rsidRDefault="001442CD" w:rsidP="001442CD">
      <w:pPr>
        <w:pStyle w:val="NoSpacing"/>
        <w:jc w:val="both"/>
        <w:rPr>
          <w:rFonts w:ascii="Cambria" w:hAnsi="Cambria"/>
        </w:rPr>
      </w:pPr>
    </w:p>
    <w:p w14:paraId="7FDBF8ED" w14:textId="77777777" w:rsidR="001442CD" w:rsidRPr="001442CD" w:rsidRDefault="001442CD" w:rsidP="001442CD">
      <w:pPr>
        <w:pStyle w:val="NoSpacing"/>
        <w:jc w:val="both"/>
        <w:rPr>
          <w:rFonts w:ascii="Cambria" w:hAnsi="Cambria"/>
        </w:rPr>
      </w:pPr>
    </w:p>
    <w:p w14:paraId="0477F7DA" w14:textId="77777777" w:rsidR="001442CD" w:rsidRPr="001442CD" w:rsidRDefault="001442CD" w:rsidP="001442CD">
      <w:pPr>
        <w:pStyle w:val="NoSpacing"/>
        <w:jc w:val="both"/>
        <w:rPr>
          <w:rFonts w:ascii="Cambria" w:hAnsi="Cambria"/>
        </w:rPr>
      </w:pPr>
    </w:p>
    <w:p w14:paraId="096C17F4" w14:textId="075FDF0F" w:rsidR="001442CD" w:rsidRPr="001442CD" w:rsidRDefault="001442CD" w:rsidP="001442CD">
      <w:pPr>
        <w:pStyle w:val="NoSpacing"/>
        <w:jc w:val="both"/>
        <w:rPr>
          <w:rFonts w:ascii="Cambria" w:hAnsi="Cambria"/>
        </w:rPr>
      </w:pPr>
      <w:r w:rsidRPr="001442CD">
        <w:rPr>
          <w:rFonts w:ascii="Cambria" w:hAnsi="Cambria"/>
          <w:noProof/>
          <w:lang w:val="en-US" w:eastAsia="en-US"/>
        </w:rPr>
        <w:lastRenderedPageBreak/>
        <w:drawing>
          <wp:anchor distT="0" distB="0" distL="114300" distR="114300" simplePos="0" relativeHeight="251659264" behindDoc="1" locked="0" layoutInCell="1" allowOverlap="1" wp14:anchorId="3CE76734" wp14:editId="4690D46D">
            <wp:simplePos x="0" y="0"/>
            <wp:positionH relativeFrom="margin">
              <wp:posOffset>-678815</wp:posOffset>
            </wp:positionH>
            <wp:positionV relativeFrom="paragraph">
              <wp:posOffset>212725</wp:posOffset>
            </wp:positionV>
            <wp:extent cx="7215925" cy="4472107"/>
            <wp:effectExtent l="0" t="0" r="4445" b="5080"/>
            <wp:wrapNone/>
            <wp:docPr id="89470769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707691" name=""/>
                    <pic:cNvPicPr/>
                  </pic:nvPicPr>
                  <pic:blipFill>
                    <a:blip r:embed="rId5">
                      <a:extLst>
                        <a:ext uri="{96DAC541-7B7A-43D3-8B79-37D633B846F1}">
                          <asvg:svgBlip xmlns:asvg="http://schemas.microsoft.com/office/drawing/2016/SVG/main" r:embed="rId6"/>
                        </a:ext>
                      </a:extLst>
                    </a:blip>
                    <a:stretch>
                      <a:fillRect/>
                    </a:stretch>
                  </pic:blipFill>
                  <pic:spPr>
                    <a:xfrm>
                      <a:off x="0" y="0"/>
                      <a:ext cx="7215925" cy="4472107"/>
                    </a:xfrm>
                    <a:prstGeom prst="rect">
                      <a:avLst/>
                    </a:prstGeom>
                  </pic:spPr>
                </pic:pic>
              </a:graphicData>
            </a:graphic>
            <wp14:sizeRelH relativeFrom="margin">
              <wp14:pctWidth>0</wp14:pctWidth>
            </wp14:sizeRelH>
            <wp14:sizeRelV relativeFrom="margin">
              <wp14:pctHeight>0</wp14:pctHeight>
            </wp14:sizeRelV>
          </wp:anchor>
        </w:drawing>
      </w:r>
    </w:p>
    <w:p w14:paraId="12DF9022" w14:textId="77777777" w:rsidR="001442CD" w:rsidRPr="001442CD" w:rsidRDefault="001442CD" w:rsidP="001442CD">
      <w:pPr>
        <w:pStyle w:val="NoSpacing"/>
        <w:jc w:val="both"/>
        <w:rPr>
          <w:rFonts w:ascii="Cambria" w:hAnsi="Cambria"/>
        </w:rPr>
      </w:pPr>
    </w:p>
    <w:p w14:paraId="25A92D70" w14:textId="77777777" w:rsidR="001442CD" w:rsidRPr="001442CD" w:rsidRDefault="001442CD" w:rsidP="001442CD">
      <w:pPr>
        <w:pStyle w:val="NoSpacing"/>
        <w:jc w:val="both"/>
        <w:rPr>
          <w:rFonts w:ascii="Cambria" w:hAnsi="Cambria"/>
        </w:rPr>
      </w:pPr>
    </w:p>
    <w:p w14:paraId="6640E74B" w14:textId="49EE7E12" w:rsidR="001442CD" w:rsidRPr="001442CD" w:rsidRDefault="001442CD" w:rsidP="001442CD">
      <w:pPr>
        <w:pStyle w:val="NoSpacing"/>
        <w:jc w:val="both"/>
        <w:rPr>
          <w:rFonts w:ascii="Cambria" w:hAnsi="Cambria"/>
        </w:rPr>
      </w:pPr>
    </w:p>
    <w:p w14:paraId="62F61EA2" w14:textId="7BAD2E25" w:rsidR="001442CD" w:rsidRPr="001442CD" w:rsidRDefault="001442CD" w:rsidP="001442CD">
      <w:pPr>
        <w:pStyle w:val="NoSpacing"/>
        <w:jc w:val="both"/>
        <w:rPr>
          <w:rFonts w:ascii="Cambria" w:hAnsi="Cambria"/>
        </w:rPr>
      </w:pPr>
    </w:p>
    <w:p w14:paraId="17020665" w14:textId="21FA2975" w:rsidR="001442CD" w:rsidRPr="001442CD" w:rsidRDefault="001442CD" w:rsidP="001442CD">
      <w:pPr>
        <w:pStyle w:val="NoSpacing"/>
        <w:jc w:val="both"/>
        <w:rPr>
          <w:rFonts w:ascii="Cambria" w:hAnsi="Cambria"/>
        </w:rPr>
      </w:pPr>
    </w:p>
    <w:p w14:paraId="43BC067D" w14:textId="77777777" w:rsidR="001442CD" w:rsidRPr="001442CD" w:rsidRDefault="001442CD" w:rsidP="001442CD">
      <w:pPr>
        <w:pStyle w:val="NoSpacing"/>
        <w:jc w:val="both"/>
        <w:rPr>
          <w:rFonts w:ascii="Cambria" w:hAnsi="Cambria"/>
        </w:rPr>
      </w:pPr>
    </w:p>
    <w:p w14:paraId="1F51D349" w14:textId="77777777" w:rsidR="001442CD" w:rsidRPr="001442CD" w:rsidRDefault="001442CD" w:rsidP="001442CD">
      <w:pPr>
        <w:pStyle w:val="NoSpacing"/>
        <w:jc w:val="both"/>
        <w:rPr>
          <w:rFonts w:ascii="Cambria" w:hAnsi="Cambria"/>
        </w:rPr>
      </w:pPr>
    </w:p>
    <w:p w14:paraId="21236440" w14:textId="77777777" w:rsidR="001442CD" w:rsidRPr="001442CD" w:rsidRDefault="001442CD" w:rsidP="001442CD">
      <w:pPr>
        <w:pStyle w:val="NoSpacing"/>
        <w:jc w:val="both"/>
        <w:rPr>
          <w:rFonts w:ascii="Cambria" w:hAnsi="Cambria"/>
        </w:rPr>
      </w:pPr>
    </w:p>
    <w:p w14:paraId="65C99EB9" w14:textId="77777777" w:rsidR="001442CD" w:rsidRPr="001442CD" w:rsidRDefault="001442CD" w:rsidP="001442CD">
      <w:pPr>
        <w:pStyle w:val="NoSpacing"/>
        <w:jc w:val="both"/>
        <w:rPr>
          <w:rFonts w:ascii="Cambria" w:hAnsi="Cambria"/>
        </w:rPr>
      </w:pPr>
      <w:r w:rsidRPr="001442CD">
        <w:rPr>
          <w:rFonts w:ascii="Cambria" w:hAnsi="Cambria"/>
        </w:rPr>
        <w:tab/>
      </w:r>
    </w:p>
    <w:p w14:paraId="02DB173F" w14:textId="77777777" w:rsidR="001442CD" w:rsidRPr="001442CD" w:rsidRDefault="001442CD" w:rsidP="001442CD">
      <w:pPr>
        <w:pStyle w:val="NoSpacing"/>
        <w:jc w:val="both"/>
        <w:rPr>
          <w:rFonts w:ascii="Cambria" w:hAnsi="Cambria"/>
        </w:rPr>
      </w:pPr>
    </w:p>
    <w:p w14:paraId="2A177EEA" w14:textId="77777777" w:rsidR="001442CD" w:rsidRPr="001442CD" w:rsidRDefault="001442CD" w:rsidP="001442CD">
      <w:pPr>
        <w:pStyle w:val="NoSpacing"/>
        <w:jc w:val="both"/>
        <w:rPr>
          <w:rFonts w:ascii="Cambria" w:hAnsi="Cambria"/>
        </w:rPr>
      </w:pPr>
    </w:p>
    <w:p w14:paraId="626CA53C" w14:textId="414B78A3" w:rsidR="001442CD" w:rsidRPr="001442CD" w:rsidRDefault="001442CD" w:rsidP="001442CD">
      <w:pPr>
        <w:pStyle w:val="NoSpacing"/>
        <w:jc w:val="both"/>
        <w:rPr>
          <w:rFonts w:ascii="Cambria" w:hAnsi="Cambria"/>
        </w:rPr>
      </w:pPr>
    </w:p>
    <w:p w14:paraId="7D0BD18D" w14:textId="77777777" w:rsidR="001442CD" w:rsidRPr="001442CD" w:rsidRDefault="001442CD" w:rsidP="001442CD">
      <w:pPr>
        <w:pStyle w:val="NoSpacing"/>
        <w:jc w:val="both"/>
        <w:rPr>
          <w:rFonts w:ascii="Cambria" w:hAnsi="Cambria"/>
        </w:rPr>
      </w:pPr>
      <w:r w:rsidRPr="001442CD">
        <w:rPr>
          <w:rFonts w:ascii="Cambria" w:hAnsi="Cambria"/>
        </w:rPr>
        <w:tab/>
      </w:r>
    </w:p>
    <w:p w14:paraId="4972F77F" w14:textId="77777777" w:rsidR="001442CD" w:rsidRPr="001442CD" w:rsidRDefault="001442CD" w:rsidP="001442CD">
      <w:pPr>
        <w:pStyle w:val="NoSpacing"/>
        <w:jc w:val="both"/>
        <w:rPr>
          <w:rFonts w:ascii="Cambria" w:hAnsi="Cambria"/>
        </w:rPr>
      </w:pPr>
    </w:p>
    <w:p w14:paraId="5A8DA4EB" w14:textId="77777777" w:rsidR="001442CD" w:rsidRPr="001442CD" w:rsidRDefault="001442CD" w:rsidP="001442CD">
      <w:pPr>
        <w:pStyle w:val="NoSpacing"/>
        <w:jc w:val="both"/>
        <w:rPr>
          <w:rFonts w:ascii="Cambria" w:hAnsi="Cambria"/>
        </w:rPr>
      </w:pPr>
    </w:p>
    <w:p w14:paraId="06FCA6CA" w14:textId="77777777" w:rsidR="001442CD" w:rsidRPr="001442CD" w:rsidRDefault="001442CD" w:rsidP="001442CD">
      <w:pPr>
        <w:pStyle w:val="NoSpacing"/>
        <w:jc w:val="both"/>
        <w:rPr>
          <w:rFonts w:ascii="Cambria" w:hAnsi="Cambria"/>
        </w:rPr>
      </w:pPr>
    </w:p>
    <w:p w14:paraId="25973793" w14:textId="77777777" w:rsidR="001442CD" w:rsidRPr="001442CD" w:rsidRDefault="001442CD" w:rsidP="001442CD">
      <w:pPr>
        <w:pStyle w:val="NoSpacing"/>
        <w:jc w:val="both"/>
        <w:rPr>
          <w:rFonts w:ascii="Cambria" w:eastAsia="Arial" w:hAnsi="Cambria"/>
          <w:color w:val="000000"/>
        </w:rPr>
      </w:pPr>
    </w:p>
    <w:p w14:paraId="353BD1FA" w14:textId="77777777" w:rsidR="001442CD" w:rsidRPr="001442CD" w:rsidRDefault="001442CD" w:rsidP="001442CD">
      <w:pPr>
        <w:pStyle w:val="NoSpacing"/>
        <w:jc w:val="both"/>
        <w:rPr>
          <w:rFonts w:ascii="Cambria" w:eastAsia="Arial" w:hAnsi="Cambria"/>
          <w:color w:val="000000"/>
        </w:rPr>
      </w:pPr>
    </w:p>
    <w:p w14:paraId="52F339E9" w14:textId="77777777" w:rsidR="001442CD" w:rsidRPr="001442CD" w:rsidRDefault="001442CD" w:rsidP="001442CD">
      <w:pPr>
        <w:pStyle w:val="NoSpacing"/>
        <w:jc w:val="both"/>
        <w:rPr>
          <w:rFonts w:ascii="Cambria" w:eastAsia="Arial" w:hAnsi="Cambria"/>
          <w:color w:val="000000"/>
        </w:rPr>
      </w:pPr>
    </w:p>
    <w:p w14:paraId="58019488" w14:textId="77777777" w:rsidR="001442CD" w:rsidRPr="001442CD" w:rsidRDefault="001442CD" w:rsidP="001442CD">
      <w:pPr>
        <w:pStyle w:val="NoSpacing"/>
        <w:jc w:val="both"/>
        <w:rPr>
          <w:rFonts w:ascii="Cambria" w:eastAsia="Arial" w:hAnsi="Cambria"/>
          <w:color w:val="000000"/>
        </w:rPr>
      </w:pPr>
    </w:p>
    <w:p w14:paraId="4FAC0D08" w14:textId="77777777" w:rsidR="001442CD" w:rsidRPr="001442CD" w:rsidRDefault="001442CD" w:rsidP="001442CD">
      <w:pPr>
        <w:pStyle w:val="NoSpacing"/>
        <w:jc w:val="both"/>
        <w:rPr>
          <w:rFonts w:ascii="Cambria" w:eastAsia="Arial" w:hAnsi="Cambria"/>
          <w:color w:val="000000"/>
        </w:rPr>
      </w:pPr>
    </w:p>
    <w:p w14:paraId="167CCDC4" w14:textId="77777777" w:rsidR="001442CD" w:rsidRPr="001442CD" w:rsidRDefault="001442CD" w:rsidP="001442CD">
      <w:pPr>
        <w:pStyle w:val="NoSpacing"/>
        <w:jc w:val="both"/>
        <w:rPr>
          <w:rFonts w:ascii="Cambria" w:eastAsia="Arial" w:hAnsi="Cambria"/>
          <w:color w:val="000000"/>
        </w:rPr>
      </w:pPr>
    </w:p>
    <w:p w14:paraId="4CEE9438" w14:textId="77777777" w:rsidR="001442CD" w:rsidRPr="001442CD" w:rsidRDefault="001442CD" w:rsidP="001442CD">
      <w:pPr>
        <w:pStyle w:val="NoSpacing"/>
        <w:jc w:val="both"/>
        <w:rPr>
          <w:rFonts w:ascii="Cambria" w:eastAsia="Arial" w:hAnsi="Cambria"/>
          <w:color w:val="000000"/>
        </w:rPr>
      </w:pPr>
    </w:p>
    <w:p w14:paraId="77B91523" w14:textId="77777777" w:rsidR="001442CD" w:rsidRPr="001442CD" w:rsidRDefault="001442CD" w:rsidP="001442CD">
      <w:pPr>
        <w:pStyle w:val="NoSpacing"/>
        <w:jc w:val="both"/>
        <w:rPr>
          <w:rFonts w:ascii="Cambria" w:eastAsia="Arial" w:hAnsi="Cambria"/>
          <w:color w:val="000000"/>
        </w:rPr>
      </w:pPr>
    </w:p>
    <w:p w14:paraId="126CD608" w14:textId="77777777" w:rsidR="001442CD" w:rsidRPr="001442CD" w:rsidRDefault="001442CD" w:rsidP="001442CD">
      <w:pPr>
        <w:pStyle w:val="NoSpacing"/>
        <w:jc w:val="both"/>
        <w:rPr>
          <w:rFonts w:ascii="Cambria" w:eastAsia="Arial" w:hAnsi="Cambria"/>
          <w:color w:val="000000"/>
        </w:rPr>
      </w:pPr>
    </w:p>
    <w:p w14:paraId="745B9D30" w14:textId="77777777" w:rsidR="001442CD" w:rsidRPr="001442CD" w:rsidRDefault="001442CD" w:rsidP="001442CD">
      <w:pPr>
        <w:pStyle w:val="NoSpacing"/>
        <w:jc w:val="both"/>
        <w:rPr>
          <w:rFonts w:ascii="Cambria" w:eastAsia="Arial" w:hAnsi="Cambria"/>
          <w:color w:val="000000"/>
        </w:rPr>
      </w:pPr>
    </w:p>
    <w:p w14:paraId="79AA21AF" w14:textId="77777777" w:rsidR="001442CD" w:rsidRPr="001442CD" w:rsidRDefault="001442CD" w:rsidP="001442CD">
      <w:pPr>
        <w:pStyle w:val="NoSpacing"/>
        <w:jc w:val="both"/>
        <w:rPr>
          <w:rFonts w:ascii="Cambria" w:eastAsia="Arial" w:hAnsi="Cambria"/>
          <w:color w:val="000000"/>
        </w:rPr>
      </w:pPr>
    </w:p>
    <w:p w14:paraId="0EDB4278" w14:textId="77777777" w:rsidR="001442CD" w:rsidRPr="001442CD" w:rsidRDefault="001442CD" w:rsidP="001442CD">
      <w:pPr>
        <w:pStyle w:val="NoSpacing"/>
        <w:jc w:val="both"/>
        <w:rPr>
          <w:rFonts w:ascii="Cambria" w:eastAsia="Arial" w:hAnsi="Cambria"/>
          <w:color w:val="000000"/>
        </w:rPr>
      </w:pPr>
    </w:p>
    <w:p w14:paraId="0C91ADDE" w14:textId="77777777" w:rsidR="001442CD" w:rsidRPr="001442CD" w:rsidRDefault="001442CD" w:rsidP="001442CD">
      <w:pPr>
        <w:pStyle w:val="NoSpacing"/>
        <w:jc w:val="both"/>
        <w:rPr>
          <w:rFonts w:ascii="Cambria" w:eastAsia="Arial" w:hAnsi="Cambria"/>
          <w:color w:val="000000"/>
        </w:rPr>
      </w:pPr>
    </w:p>
    <w:p w14:paraId="4BC7E0EF" w14:textId="77777777" w:rsidR="001442CD" w:rsidRPr="001442CD" w:rsidRDefault="001442CD" w:rsidP="001442CD">
      <w:pPr>
        <w:pStyle w:val="NoSpacing"/>
        <w:jc w:val="both"/>
        <w:rPr>
          <w:rFonts w:ascii="Cambria" w:eastAsia="Arial" w:hAnsi="Cambria"/>
          <w:color w:val="000000"/>
        </w:rPr>
      </w:pPr>
    </w:p>
    <w:p w14:paraId="4E0D0F02" w14:textId="77777777" w:rsidR="001442CD" w:rsidRPr="001442CD" w:rsidRDefault="001442CD" w:rsidP="001442CD">
      <w:pPr>
        <w:pStyle w:val="NoSpacing"/>
        <w:ind w:left="1440" w:firstLine="720"/>
        <w:jc w:val="both"/>
        <w:rPr>
          <w:rFonts w:ascii="Cambria" w:eastAsia="Arial" w:hAnsi="Cambria"/>
          <w:i/>
          <w:color w:val="000000"/>
        </w:rPr>
      </w:pPr>
      <w:r w:rsidRPr="001442CD">
        <w:rPr>
          <w:rFonts w:ascii="Cambria" w:eastAsia="Arial" w:hAnsi="Cambria"/>
          <w:color w:val="000000"/>
        </w:rPr>
        <w:t xml:space="preserve">Figure 1. </w:t>
      </w:r>
      <w:r w:rsidRPr="001442CD">
        <w:rPr>
          <w:rFonts w:ascii="Cambria" w:eastAsia="Arial" w:hAnsi="Cambria"/>
          <w:i/>
          <w:color w:val="000000"/>
        </w:rPr>
        <w:t>Conceptual Framework of the Study</w:t>
      </w:r>
    </w:p>
    <w:p w14:paraId="6605A5ED" w14:textId="77777777" w:rsidR="001442CD" w:rsidRPr="001442CD" w:rsidRDefault="001442CD" w:rsidP="001442CD">
      <w:pPr>
        <w:pStyle w:val="NoSpacing"/>
        <w:jc w:val="both"/>
        <w:rPr>
          <w:rFonts w:ascii="Cambria" w:eastAsia="Arial" w:hAnsi="Cambria"/>
        </w:rPr>
      </w:pPr>
    </w:p>
    <w:p w14:paraId="01BB6C03" w14:textId="77777777" w:rsidR="001442CD" w:rsidRPr="001442CD" w:rsidRDefault="001442CD" w:rsidP="001442CD">
      <w:pPr>
        <w:pStyle w:val="NoSpacing"/>
        <w:jc w:val="both"/>
        <w:rPr>
          <w:rFonts w:ascii="Cambria" w:eastAsia="Arial" w:hAnsi="Cambria"/>
        </w:rPr>
      </w:pPr>
    </w:p>
    <w:p w14:paraId="0E2B6CAF" w14:textId="77777777" w:rsidR="001442CD" w:rsidRPr="001442CD" w:rsidRDefault="001442CD" w:rsidP="001442CD">
      <w:pPr>
        <w:pStyle w:val="NoSpacing"/>
        <w:jc w:val="both"/>
        <w:rPr>
          <w:rFonts w:ascii="Cambria" w:eastAsia="Arial" w:hAnsi="Cambria"/>
        </w:rPr>
      </w:pPr>
    </w:p>
    <w:p w14:paraId="32F534E4" w14:textId="77777777" w:rsidR="001442CD" w:rsidRPr="001442CD" w:rsidRDefault="001442CD" w:rsidP="001442CD">
      <w:pPr>
        <w:pStyle w:val="NoSpacing"/>
        <w:jc w:val="both"/>
        <w:rPr>
          <w:rFonts w:ascii="Cambria" w:eastAsia="Arial" w:hAnsi="Cambria"/>
        </w:rPr>
      </w:pPr>
    </w:p>
    <w:p w14:paraId="03FAEBF8" w14:textId="77777777" w:rsidR="001442CD" w:rsidRPr="001442CD" w:rsidRDefault="001442CD" w:rsidP="001442CD">
      <w:pPr>
        <w:pStyle w:val="NoSpacing"/>
        <w:jc w:val="both"/>
        <w:rPr>
          <w:rFonts w:ascii="Cambria" w:eastAsia="Arial" w:hAnsi="Cambria"/>
        </w:rPr>
      </w:pPr>
    </w:p>
    <w:p w14:paraId="4C3B341A" w14:textId="77777777" w:rsidR="001442CD" w:rsidRPr="001442CD" w:rsidRDefault="001442CD" w:rsidP="001442CD">
      <w:pPr>
        <w:pStyle w:val="NoSpacing"/>
        <w:jc w:val="both"/>
        <w:rPr>
          <w:rFonts w:ascii="Cambria" w:eastAsia="Arial" w:hAnsi="Cambria"/>
        </w:rPr>
      </w:pPr>
    </w:p>
    <w:p w14:paraId="164AAD54" w14:textId="77777777" w:rsidR="001442CD" w:rsidRPr="001442CD" w:rsidRDefault="001442CD" w:rsidP="001442CD">
      <w:pPr>
        <w:pStyle w:val="NoSpacing"/>
        <w:jc w:val="both"/>
        <w:rPr>
          <w:rFonts w:ascii="Cambria" w:eastAsia="Arial" w:hAnsi="Cambria"/>
        </w:rPr>
      </w:pPr>
    </w:p>
    <w:p w14:paraId="49E827DD" w14:textId="77777777" w:rsidR="001442CD" w:rsidRPr="001442CD" w:rsidRDefault="001442CD" w:rsidP="001442CD">
      <w:pPr>
        <w:pStyle w:val="NoSpacing"/>
        <w:jc w:val="both"/>
        <w:rPr>
          <w:rFonts w:ascii="Cambria" w:eastAsia="Arial" w:hAnsi="Cambria"/>
        </w:rPr>
      </w:pPr>
    </w:p>
    <w:p w14:paraId="6A4E1389" w14:textId="77777777" w:rsidR="001442CD" w:rsidRPr="001442CD" w:rsidRDefault="001442CD" w:rsidP="001442CD">
      <w:pPr>
        <w:pStyle w:val="NoSpacing"/>
        <w:jc w:val="both"/>
        <w:rPr>
          <w:rFonts w:ascii="Cambria" w:eastAsia="Arial" w:hAnsi="Cambria"/>
        </w:rPr>
      </w:pPr>
    </w:p>
    <w:p w14:paraId="50506F32" w14:textId="77777777" w:rsidR="001442CD" w:rsidRPr="001442CD" w:rsidRDefault="001442CD" w:rsidP="001442CD">
      <w:pPr>
        <w:pStyle w:val="NoSpacing"/>
        <w:jc w:val="both"/>
        <w:rPr>
          <w:rFonts w:ascii="Cambria" w:eastAsia="Arial" w:hAnsi="Cambria"/>
        </w:rPr>
      </w:pPr>
    </w:p>
    <w:p w14:paraId="38C6B7BE" w14:textId="77777777" w:rsidR="001442CD" w:rsidRPr="001442CD" w:rsidRDefault="001442CD" w:rsidP="001442CD">
      <w:pPr>
        <w:pStyle w:val="NoSpacing"/>
        <w:jc w:val="both"/>
        <w:rPr>
          <w:rFonts w:ascii="Cambria" w:eastAsia="Arial" w:hAnsi="Cambria"/>
        </w:rPr>
      </w:pPr>
    </w:p>
    <w:p w14:paraId="3A83C10D" w14:textId="77777777" w:rsidR="001442CD" w:rsidRPr="001442CD" w:rsidRDefault="001442CD" w:rsidP="001442CD">
      <w:pPr>
        <w:pStyle w:val="NoSpacing"/>
        <w:jc w:val="both"/>
        <w:rPr>
          <w:rFonts w:ascii="Cambria" w:eastAsia="Arial" w:hAnsi="Cambria"/>
        </w:rPr>
      </w:pPr>
    </w:p>
    <w:p w14:paraId="6B91DF12" w14:textId="77777777" w:rsidR="001442CD" w:rsidRPr="001442CD" w:rsidRDefault="001442CD" w:rsidP="001442CD">
      <w:pPr>
        <w:pStyle w:val="NoSpacing"/>
        <w:jc w:val="both"/>
        <w:rPr>
          <w:rFonts w:ascii="Cambria" w:eastAsia="Arial" w:hAnsi="Cambria"/>
        </w:rPr>
      </w:pPr>
    </w:p>
    <w:p w14:paraId="56279D17" w14:textId="77777777" w:rsidR="001442CD" w:rsidRPr="001442CD" w:rsidRDefault="001442CD" w:rsidP="001442CD">
      <w:pPr>
        <w:pStyle w:val="NoSpacing"/>
        <w:jc w:val="both"/>
        <w:rPr>
          <w:rFonts w:ascii="Cambria" w:eastAsia="Arial" w:hAnsi="Cambria"/>
        </w:rPr>
      </w:pPr>
    </w:p>
    <w:p w14:paraId="48C25665" w14:textId="77777777" w:rsidR="001442CD" w:rsidRPr="001442CD" w:rsidRDefault="001442CD" w:rsidP="001442CD">
      <w:pPr>
        <w:pStyle w:val="NoSpacing"/>
        <w:jc w:val="both"/>
        <w:rPr>
          <w:rFonts w:ascii="Cambria" w:eastAsia="Arial" w:hAnsi="Cambria"/>
        </w:rPr>
      </w:pPr>
    </w:p>
    <w:p w14:paraId="62792EC4" w14:textId="77777777" w:rsidR="001442CD" w:rsidRPr="001442CD" w:rsidRDefault="001442CD" w:rsidP="001442CD">
      <w:pPr>
        <w:pStyle w:val="NoSpacing"/>
        <w:jc w:val="both"/>
        <w:rPr>
          <w:rFonts w:ascii="Cambria" w:eastAsia="Arial" w:hAnsi="Cambria"/>
        </w:rPr>
      </w:pPr>
    </w:p>
    <w:p w14:paraId="5E03F961" w14:textId="77777777" w:rsidR="001442CD" w:rsidRDefault="001442CD" w:rsidP="001442CD">
      <w:pPr>
        <w:pStyle w:val="NoSpacing"/>
        <w:jc w:val="both"/>
        <w:rPr>
          <w:rFonts w:ascii="Cambria" w:eastAsia="Arial" w:hAnsi="Cambria"/>
        </w:rPr>
      </w:pPr>
    </w:p>
    <w:p w14:paraId="021DDC23" w14:textId="77777777" w:rsidR="001442CD" w:rsidRDefault="001442CD" w:rsidP="001442CD">
      <w:pPr>
        <w:pStyle w:val="NoSpacing"/>
        <w:jc w:val="both"/>
        <w:rPr>
          <w:rFonts w:ascii="Cambria" w:eastAsia="Arial" w:hAnsi="Cambria"/>
        </w:rPr>
      </w:pPr>
    </w:p>
    <w:p w14:paraId="75D85326" w14:textId="77777777" w:rsidR="001442CD" w:rsidRDefault="001442CD" w:rsidP="001442CD">
      <w:pPr>
        <w:pStyle w:val="NoSpacing"/>
        <w:jc w:val="both"/>
        <w:rPr>
          <w:rFonts w:ascii="Cambria" w:eastAsia="Arial" w:hAnsi="Cambria"/>
        </w:rPr>
      </w:pPr>
    </w:p>
    <w:p w14:paraId="60BFEF55" w14:textId="77777777" w:rsidR="001442CD" w:rsidRDefault="001442CD" w:rsidP="001442CD">
      <w:pPr>
        <w:pStyle w:val="NoSpacing"/>
        <w:jc w:val="both"/>
        <w:rPr>
          <w:rFonts w:ascii="Cambria" w:eastAsia="Arial" w:hAnsi="Cambria"/>
        </w:rPr>
      </w:pPr>
    </w:p>
    <w:p w14:paraId="3F137905" w14:textId="77777777" w:rsidR="001442CD" w:rsidRDefault="001442CD" w:rsidP="001442CD">
      <w:pPr>
        <w:pStyle w:val="NoSpacing"/>
        <w:jc w:val="both"/>
        <w:rPr>
          <w:rFonts w:ascii="Cambria" w:eastAsia="Arial" w:hAnsi="Cambria"/>
        </w:rPr>
      </w:pPr>
    </w:p>
    <w:p w14:paraId="1FB9883C" w14:textId="77777777" w:rsidR="001442CD" w:rsidRPr="001442CD" w:rsidRDefault="001442CD" w:rsidP="001442CD">
      <w:pPr>
        <w:pStyle w:val="NoSpacing"/>
        <w:jc w:val="both"/>
        <w:rPr>
          <w:rFonts w:ascii="Cambria" w:eastAsia="Arial" w:hAnsi="Cambria"/>
        </w:rPr>
      </w:pPr>
    </w:p>
    <w:p w14:paraId="5982F8D2" w14:textId="77777777" w:rsidR="001442CD" w:rsidRPr="001442CD" w:rsidRDefault="001442CD" w:rsidP="001442CD">
      <w:pPr>
        <w:pStyle w:val="NoSpacing"/>
        <w:ind w:left="2880" w:firstLine="720"/>
        <w:jc w:val="both"/>
        <w:rPr>
          <w:rFonts w:ascii="Cambria" w:eastAsia="Arial" w:hAnsi="Cambria"/>
        </w:rPr>
      </w:pPr>
      <w:r w:rsidRPr="001442CD">
        <w:rPr>
          <w:rFonts w:ascii="Cambria" w:eastAsia="Arial" w:hAnsi="Cambria"/>
        </w:rPr>
        <w:lastRenderedPageBreak/>
        <w:t>METHOD</w:t>
      </w:r>
    </w:p>
    <w:p w14:paraId="1090706D" w14:textId="77777777" w:rsidR="001442CD" w:rsidRPr="001442CD" w:rsidRDefault="001442CD" w:rsidP="001442CD">
      <w:pPr>
        <w:pStyle w:val="NoSpacing"/>
        <w:jc w:val="both"/>
        <w:rPr>
          <w:rFonts w:ascii="Cambria" w:eastAsia="Arial" w:hAnsi="Cambria"/>
        </w:rPr>
      </w:pPr>
    </w:p>
    <w:p w14:paraId="1035BACD" w14:textId="77777777" w:rsidR="001442CD" w:rsidRPr="001442CD" w:rsidRDefault="001442CD" w:rsidP="001442CD">
      <w:pPr>
        <w:pStyle w:val="NoSpacing"/>
        <w:jc w:val="both"/>
        <w:rPr>
          <w:rFonts w:ascii="Cambria" w:eastAsia="Arial" w:hAnsi="Cambria"/>
        </w:rPr>
      </w:pPr>
      <w:r w:rsidRPr="001442CD">
        <w:rPr>
          <w:rFonts w:ascii="Cambria" w:eastAsia="Arial" w:hAnsi="Cambria"/>
        </w:rPr>
        <w:t xml:space="preserve">Included in this chapter are the research design, locale of the study, sample and sampling technique, data gathering technique, data analysis technique, and ethical consideration. </w:t>
      </w:r>
    </w:p>
    <w:p w14:paraId="784BFC99" w14:textId="77777777" w:rsidR="001442CD" w:rsidRPr="001442CD" w:rsidRDefault="001442CD" w:rsidP="001442CD">
      <w:pPr>
        <w:pStyle w:val="NoSpacing"/>
        <w:jc w:val="both"/>
        <w:rPr>
          <w:rFonts w:ascii="Cambria" w:eastAsia="Arial" w:hAnsi="Cambria"/>
          <w:iCs/>
          <w:color w:val="000000"/>
        </w:rPr>
      </w:pPr>
    </w:p>
    <w:p w14:paraId="16266748" w14:textId="77777777" w:rsidR="001442CD" w:rsidRDefault="001442CD" w:rsidP="001442CD">
      <w:pPr>
        <w:pStyle w:val="NoSpacing"/>
        <w:jc w:val="both"/>
        <w:rPr>
          <w:rFonts w:ascii="Cambria" w:eastAsia="Arial" w:hAnsi="Cambria"/>
          <w:i/>
          <w:iCs/>
        </w:rPr>
      </w:pPr>
      <w:r w:rsidRPr="001442CD">
        <w:rPr>
          <w:rFonts w:ascii="Cambria" w:eastAsia="Arial" w:hAnsi="Cambria"/>
          <w:i/>
          <w:iCs/>
        </w:rPr>
        <w:t>Research Design</w:t>
      </w:r>
    </w:p>
    <w:p w14:paraId="0585F644" w14:textId="77777777" w:rsidR="001442CD" w:rsidRPr="001442CD" w:rsidRDefault="001442CD" w:rsidP="001442CD">
      <w:pPr>
        <w:pStyle w:val="NoSpacing"/>
        <w:jc w:val="both"/>
        <w:rPr>
          <w:rFonts w:ascii="Cambria" w:eastAsia="Arial" w:hAnsi="Cambria"/>
          <w:i/>
          <w:iCs/>
        </w:rPr>
      </w:pPr>
    </w:p>
    <w:p w14:paraId="5A54E5A2" w14:textId="77777777" w:rsidR="001442CD" w:rsidRPr="001442CD" w:rsidRDefault="001442CD" w:rsidP="001442CD">
      <w:pPr>
        <w:pStyle w:val="NoSpacing"/>
        <w:jc w:val="both"/>
        <w:rPr>
          <w:rFonts w:ascii="Cambria" w:hAnsi="Cambria"/>
        </w:rPr>
      </w:pPr>
      <w:r w:rsidRPr="001442CD">
        <w:rPr>
          <w:rFonts w:ascii="Cambria" w:hAnsi="Cambria"/>
        </w:rPr>
        <w:t>This study utilized a predictive research design. A predictive research design is a type of quantitative, non-experimental research design that examines the relationship between two or more variables and uses the strength and direction of these relationships to predict the value of one variable based on another (Creswell &amp; Creswell, 2018). It is a predictive research design as it examines the relationship between basic biotechnology knowledge and acceptance of genetically modified foods, and whether attitude towards genetically modified foods mediates that relationship.</w:t>
      </w:r>
    </w:p>
    <w:p w14:paraId="05FA65B3" w14:textId="77777777" w:rsidR="001442CD" w:rsidRPr="001442CD" w:rsidRDefault="001442CD" w:rsidP="001442CD">
      <w:pPr>
        <w:pStyle w:val="NoSpacing"/>
        <w:jc w:val="both"/>
        <w:rPr>
          <w:rFonts w:ascii="Cambria" w:eastAsia="Arial" w:hAnsi="Cambria"/>
          <w:i/>
          <w:iCs/>
        </w:rPr>
      </w:pPr>
    </w:p>
    <w:p w14:paraId="721C4271" w14:textId="77777777" w:rsidR="001442CD" w:rsidRDefault="001442CD" w:rsidP="001442CD">
      <w:pPr>
        <w:pStyle w:val="NoSpacing"/>
        <w:jc w:val="both"/>
        <w:rPr>
          <w:rFonts w:ascii="Cambria" w:eastAsia="Arial" w:hAnsi="Cambria"/>
          <w:i/>
          <w:iCs/>
        </w:rPr>
      </w:pPr>
      <w:r w:rsidRPr="001442CD">
        <w:rPr>
          <w:rFonts w:ascii="Cambria" w:eastAsia="Arial" w:hAnsi="Cambria"/>
          <w:i/>
          <w:iCs/>
        </w:rPr>
        <w:t xml:space="preserve">Locale of the Study </w:t>
      </w:r>
    </w:p>
    <w:p w14:paraId="21DFEFAA" w14:textId="77777777" w:rsidR="001442CD" w:rsidRPr="001442CD" w:rsidRDefault="001442CD" w:rsidP="001442CD">
      <w:pPr>
        <w:pStyle w:val="NoSpacing"/>
        <w:jc w:val="both"/>
        <w:rPr>
          <w:rFonts w:ascii="Cambria" w:eastAsia="Arial" w:hAnsi="Cambria"/>
          <w:i/>
          <w:iCs/>
        </w:rPr>
      </w:pPr>
    </w:p>
    <w:p w14:paraId="412DCEA7" w14:textId="77777777" w:rsidR="001442CD" w:rsidRDefault="001442CD" w:rsidP="001442CD">
      <w:pPr>
        <w:pStyle w:val="NoSpacing"/>
        <w:jc w:val="both"/>
        <w:rPr>
          <w:rFonts w:ascii="Cambria" w:hAnsi="Cambria"/>
        </w:rPr>
      </w:pPr>
      <w:r w:rsidRPr="001442CD">
        <w:rPr>
          <w:rFonts w:ascii="Cambria" w:hAnsi="Cambria"/>
        </w:rPr>
        <w:t>The study was conducted at two selected Davao Association of Catholic Schools (DACS) in Davao City, Philippines. The DACS refers to an association of private Catholic educational institutions, both basic and higher education, operating under the dioceses in the Davao region. It is a non-stock, non-profit membership of catholic schools. There are 71 schools that are members of this association. The DACS colleges were chosen as the research locale because they provide a suitable environment for examining students' knowledge, attitude, and acceptance of genetically modified organisms (GMOs). These colleges share a common philosophy that promotes critical thinking, ethical reflection, and scientific understanding, the key elements in shaping perceptions of biotechnology. Their diverse student population allows for a representative view of future consumers and professionals. Moreover, the study supports DACS's mission of advancing quality, values-based education and contributes to improving science instruction and curriculum development aligned with SDG 4: Quality Education.</w:t>
      </w:r>
    </w:p>
    <w:p w14:paraId="649399AB" w14:textId="77777777" w:rsidR="001442CD" w:rsidRPr="001442CD" w:rsidRDefault="001442CD" w:rsidP="001442CD">
      <w:pPr>
        <w:pStyle w:val="NoSpacing"/>
        <w:jc w:val="both"/>
        <w:rPr>
          <w:rFonts w:ascii="Cambria" w:hAnsi="Cambria"/>
        </w:rPr>
      </w:pPr>
    </w:p>
    <w:p w14:paraId="155DC233" w14:textId="77777777" w:rsidR="001442CD" w:rsidRDefault="001442CD" w:rsidP="001442CD">
      <w:pPr>
        <w:pStyle w:val="NoSpacing"/>
        <w:jc w:val="both"/>
        <w:rPr>
          <w:rFonts w:ascii="Cambria" w:eastAsia="Arial" w:hAnsi="Cambria"/>
          <w:i/>
          <w:iCs/>
        </w:rPr>
      </w:pPr>
      <w:r w:rsidRPr="001442CD">
        <w:rPr>
          <w:rFonts w:ascii="Cambria" w:eastAsia="Arial" w:hAnsi="Cambria"/>
          <w:i/>
          <w:iCs/>
        </w:rPr>
        <w:t>Sample and Sampling Technique</w:t>
      </w:r>
    </w:p>
    <w:p w14:paraId="46B4711F" w14:textId="77777777" w:rsidR="001442CD" w:rsidRPr="001442CD" w:rsidRDefault="001442CD" w:rsidP="001442CD">
      <w:pPr>
        <w:pStyle w:val="NoSpacing"/>
        <w:jc w:val="both"/>
        <w:rPr>
          <w:rFonts w:ascii="Cambria" w:eastAsia="Arial" w:hAnsi="Cambria"/>
          <w:i/>
          <w:iCs/>
        </w:rPr>
      </w:pPr>
    </w:p>
    <w:p w14:paraId="48EFD6B9" w14:textId="77777777" w:rsidR="001442CD" w:rsidRPr="001442CD" w:rsidRDefault="001442CD" w:rsidP="001442CD">
      <w:pPr>
        <w:pStyle w:val="NoSpacing"/>
        <w:jc w:val="both"/>
        <w:rPr>
          <w:rFonts w:ascii="Cambria" w:eastAsia="Arial" w:hAnsi="Cambria"/>
        </w:rPr>
      </w:pPr>
      <w:r w:rsidRPr="001442CD">
        <w:rPr>
          <w:rFonts w:ascii="Cambria" w:eastAsia="Arial" w:hAnsi="Cambria"/>
          <w:i/>
          <w:iCs/>
        </w:rPr>
        <w:tab/>
      </w:r>
      <w:r w:rsidRPr="001442CD">
        <w:rPr>
          <w:rFonts w:ascii="Cambria" w:eastAsia="Arial" w:hAnsi="Cambria"/>
        </w:rPr>
        <w:t>This study involved 576 respondents. The criteria for selecting the respondents include the following: (a) a bona fide first-year college student of DACS; (b) currently enrolled in the STS science, technology, and society subject for the academic year 2025-2026; (c) either male or female, and 18 years old and above. The exclusion criteria are the following: a) students who were absent during the collection of data, and b) students who were not able to answer the questionnaire completely.</w:t>
      </w:r>
    </w:p>
    <w:p w14:paraId="340D59E3" w14:textId="77777777" w:rsidR="001442CD" w:rsidRPr="001442CD" w:rsidRDefault="001442CD" w:rsidP="001442CD">
      <w:pPr>
        <w:pStyle w:val="NoSpacing"/>
        <w:jc w:val="both"/>
        <w:rPr>
          <w:rFonts w:ascii="Cambria" w:eastAsia="Arial" w:hAnsi="Cambria"/>
        </w:rPr>
      </w:pPr>
    </w:p>
    <w:p w14:paraId="7F3E3BC4" w14:textId="77777777" w:rsidR="001442CD" w:rsidRPr="001442CD" w:rsidRDefault="001442CD" w:rsidP="001442CD">
      <w:pPr>
        <w:pStyle w:val="NoSpacing"/>
        <w:jc w:val="both"/>
        <w:rPr>
          <w:rFonts w:ascii="Cambria" w:eastAsia="Arial" w:hAnsi="Cambria"/>
        </w:rPr>
      </w:pPr>
      <w:r w:rsidRPr="001442CD">
        <w:rPr>
          <w:rFonts w:ascii="Cambria" w:eastAsia="Arial" w:hAnsi="Cambria"/>
        </w:rPr>
        <w:t>This study utilized simple random sampling. Simple random sampling is a probability sampling technique in which every member of the population has an equal and independent chance of being selected for the study. This method relies on random selection procedures, such as lottery methods or random number generators, to ensure fairness and reduce selection bias. According to Thomas (2023), simple random sampling is "a randomly selected subset of a population" where "each member of the population has an exactly equal chance of being selected.</w:t>
      </w:r>
    </w:p>
    <w:p w14:paraId="1187DA66" w14:textId="77777777" w:rsidR="001442CD" w:rsidRPr="001442CD" w:rsidRDefault="001442CD" w:rsidP="001442CD">
      <w:pPr>
        <w:pStyle w:val="NoSpacing"/>
        <w:jc w:val="both"/>
        <w:rPr>
          <w:rFonts w:ascii="Cambria" w:eastAsia="Arial" w:hAnsi="Cambria"/>
        </w:rPr>
      </w:pPr>
    </w:p>
    <w:p w14:paraId="23D228D7" w14:textId="77777777" w:rsidR="001442CD" w:rsidRPr="001442CD" w:rsidRDefault="001442CD" w:rsidP="001442CD">
      <w:pPr>
        <w:pStyle w:val="NoSpacing"/>
        <w:jc w:val="both"/>
        <w:rPr>
          <w:rFonts w:ascii="Cambria" w:eastAsia="Arial" w:hAnsi="Cambria"/>
          <w:i/>
          <w:iCs/>
        </w:rPr>
      </w:pPr>
    </w:p>
    <w:p w14:paraId="507572E8" w14:textId="77777777" w:rsidR="001442CD" w:rsidRPr="001442CD" w:rsidRDefault="001442CD" w:rsidP="001442CD">
      <w:pPr>
        <w:pStyle w:val="NoSpacing"/>
        <w:jc w:val="both"/>
        <w:rPr>
          <w:rFonts w:ascii="Cambria" w:eastAsia="Arial" w:hAnsi="Cambria"/>
          <w:i/>
          <w:iCs/>
        </w:rPr>
      </w:pPr>
      <w:r w:rsidRPr="001442CD">
        <w:rPr>
          <w:rFonts w:ascii="Cambria" w:eastAsia="Arial" w:hAnsi="Cambria"/>
          <w:i/>
          <w:iCs/>
        </w:rPr>
        <w:t>Data Gathering Technique</w:t>
      </w:r>
    </w:p>
    <w:p w14:paraId="44C60DF7" w14:textId="77777777" w:rsidR="001442CD" w:rsidRPr="001442CD" w:rsidRDefault="001442CD" w:rsidP="001442CD">
      <w:pPr>
        <w:pStyle w:val="NoSpacing"/>
        <w:jc w:val="both"/>
        <w:rPr>
          <w:rFonts w:ascii="Cambria" w:hAnsi="Cambria"/>
        </w:rPr>
      </w:pPr>
      <w:r w:rsidRPr="001442CD">
        <w:rPr>
          <w:rFonts w:ascii="Cambria" w:hAnsi="Cambria"/>
        </w:rPr>
        <w:t xml:space="preserve">The survey technique was used in gathering data. This technique is a systematic method for collecting information from a sample using structured questionnaires to describe the characteristics, opinions, or behaviors of a larger population, and it is applied in research to efficiently assess, test, or generalize findings across a defined group (Sheikh et al., 2024). The researcher utilized an adapted survey instrument to gather data. The independent variable questionnaire was derived from the study by Aydin et al. (2022). It measures the students' basic </w:t>
      </w:r>
      <w:r w:rsidRPr="001442CD">
        <w:rPr>
          <w:rFonts w:ascii="Cambria" w:hAnsi="Cambria"/>
        </w:rPr>
        <w:lastRenderedPageBreak/>
        <w:t xml:space="preserve">biotechnology knowledge. The dependent variable questionnaire was derived from the study by </w:t>
      </w:r>
      <w:proofErr w:type="spellStart"/>
      <w:r w:rsidRPr="001442CD">
        <w:rPr>
          <w:rFonts w:ascii="Cambria" w:hAnsi="Cambria"/>
        </w:rPr>
        <w:t>Bourgonion</w:t>
      </w:r>
      <w:proofErr w:type="spellEnd"/>
      <w:r w:rsidRPr="001442CD">
        <w:rPr>
          <w:rFonts w:ascii="Cambria" w:hAnsi="Cambria"/>
        </w:rPr>
        <w:t xml:space="preserve">, </w:t>
      </w:r>
      <w:proofErr w:type="spellStart"/>
      <w:r w:rsidRPr="001442CD">
        <w:rPr>
          <w:rFonts w:ascii="Cambria" w:hAnsi="Cambria"/>
        </w:rPr>
        <w:t>Gheysen</w:t>
      </w:r>
      <w:proofErr w:type="spellEnd"/>
      <w:r w:rsidRPr="001442CD">
        <w:rPr>
          <w:rFonts w:ascii="Cambria" w:hAnsi="Cambria"/>
        </w:rPr>
        <w:t xml:space="preserve">, and Valcke (2017). It measures students' acceptance of genetically modified organisms. Lastly, the mediating variable questionnaire was derived from the study by </w:t>
      </w:r>
      <w:proofErr w:type="spellStart"/>
      <w:r w:rsidRPr="001442CD">
        <w:rPr>
          <w:rFonts w:ascii="Cambria" w:hAnsi="Cambria"/>
        </w:rPr>
        <w:t>Herodotou</w:t>
      </w:r>
      <w:proofErr w:type="spellEnd"/>
      <w:r w:rsidRPr="001442CD">
        <w:rPr>
          <w:rFonts w:ascii="Cambria" w:hAnsi="Cambria"/>
        </w:rPr>
        <w:t xml:space="preserve">, Kyza, </w:t>
      </w:r>
      <w:proofErr w:type="spellStart"/>
      <w:r w:rsidRPr="001442CD">
        <w:rPr>
          <w:rFonts w:ascii="Cambria" w:hAnsi="Cambria"/>
        </w:rPr>
        <w:t>Nicolaidou</w:t>
      </w:r>
      <w:proofErr w:type="spellEnd"/>
      <w:r w:rsidRPr="001442CD">
        <w:rPr>
          <w:rFonts w:ascii="Cambria" w:hAnsi="Cambria"/>
        </w:rPr>
        <w:t xml:space="preserve">, </w:t>
      </w:r>
      <w:proofErr w:type="spellStart"/>
      <w:r w:rsidRPr="001442CD">
        <w:rPr>
          <w:rFonts w:ascii="Cambria" w:hAnsi="Cambria"/>
        </w:rPr>
        <w:t>Hadjichambis</w:t>
      </w:r>
      <w:proofErr w:type="spellEnd"/>
      <w:r w:rsidRPr="001442CD">
        <w:rPr>
          <w:rFonts w:ascii="Cambria" w:hAnsi="Cambria"/>
        </w:rPr>
        <w:t xml:space="preserve">, </w:t>
      </w:r>
      <w:proofErr w:type="spellStart"/>
      <w:r w:rsidRPr="001442CD">
        <w:rPr>
          <w:rFonts w:ascii="Cambria" w:hAnsi="Cambria"/>
        </w:rPr>
        <w:t>Kafouris</w:t>
      </w:r>
      <w:proofErr w:type="spellEnd"/>
      <w:r w:rsidRPr="001442CD">
        <w:rPr>
          <w:rFonts w:ascii="Cambria" w:hAnsi="Cambria"/>
        </w:rPr>
        <w:t>, and Terzian (2012). This measures the students' attitude towards genetically modified foods. The researcher has 14 items on basic biotechnology knowledge, 11 on attitude towards genetically modified foods, and 8 on acceptance of genetically modified organisms. The questionnaire consisted of 33 items. The respondents used this 4-point Likert scale to answer the questionnaire: 1 as Strongly Disagree, 2 as Disagree, 3 as Agree, and 4 as Strongly Agree.</w:t>
      </w:r>
    </w:p>
    <w:p w14:paraId="7D1294D8" w14:textId="77777777" w:rsidR="001442CD" w:rsidRPr="001442CD" w:rsidRDefault="001442CD" w:rsidP="001442CD">
      <w:pPr>
        <w:pStyle w:val="NoSpacing"/>
        <w:jc w:val="both"/>
        <w:rPr>
          <w:rFonts w:ascii="Cambria" w:hAnsi="Cambria"/>
        </w:rPr>
      </w:pPr>
    </w:p>
    <w:p w14:paraId="4CE513AF" w14:textId="77777777" w:rsidR="001442CD" w:rsidRPr="001442CD" w:rsidRDefault="001442CD" w:rsidP="001442CD">
      <w:pPr>
        <w:pStyle w:val="NoSpacing"/>
        <w:jc w:val="both"/>
        <w:rPr>
          <w:rFonts w:ascii="Cambria" w:eastAsia="Arial" w:hAnsi="Cambria"/>
          <w:lang w:val="en-SG"/>
        </w:rPr>
      </w:pPr>
      <w:r w:rsidRPr="001442CD">
        <w:rPr>
          <w:rFonts w:ascii="Cambria" w:hAnsi="Cambria"/>
        </w:rPr>
        <w:t>All three questionnaires were adapted, modified, and validated to align with the respondents' background and the study's objectives. Each used a Likert scale with specific indicators describing respondents' current conditions. Moreover, they were subjected to reliability testing, and all items obtained a Cronbach's alpha of 0.95, confirming the high reliability of these tools</w:t>
      </w:r>
      <w:r w:rsidRPr="001442CD">
        <w:rPr>
          <w:rFonts w:ascii="Cambria" w:eastAsia="Arial" w:hAnsi="Cambria"/>
          <w:lang w:val="en-SG"/>
        </w:rPr>
        <w:t>.</w:t>
      </w:r>
    </w:p>
    <w:p w14:paraId="58290A4C" w14:textId="77777777" w:rsidR="001442CD" w:rsidRPr="001442CD" w:rsidRDefault="001442CD" w:rsidP="001442CD">
      <w:pPr>
        <w:pStyle w:val="NoSpacing"/>
        <w:jc w:val="both"/>
        <w:rPr>
          <w:rFonts w:ascii="Cambria" w:hAnsi="Cambria"/>
          <w:i/>
        </w:rPr>
      </w:pPr>
    </w:p>
    <w:p w14:paraId="397CDF99" w14:textId="77777777" w:rsidR="001442CD" w:rsidRDefault="001442CD" w:rsidP="001442CD">
      <w:pPr>
        <w:pStyle w:val="NoSpacing"/>
        <w:jc w:val="both"/>
        <w:rPr>
          <w:rFonts w:ascii="Cambria" w:hAnsi="Cambria"/>
          <w:i/>
        </w:rPr>
      </w:pPr>
      <w:r w:rsidRPr="001442CD">
        <w:rPr>
          <w:rFonts w:ascii="Cambria" w:hAnsi="Cambria"/>
          <w:i/>
        </w:rPr>
        <w:t>Data Analysis Technique</w:t>
      </w:r>
    </w:p>
    <w:p w14:paraId="15EEF5A2" w14:textId="77777777" w:rsidR="001442CD" w:rsidRPr="001442CD" w:rsidRDefault="001442CD" w:rsidP="001442CD">
      <w:pPr>
        <w:pStyle w:val="NoSpacing"/>
        <w:jc w:val="both"/>
        <w:rPr>
          <w:rFonts w:ascii="Cambria" w:hAnsi="Cambria"/>
        </w:rPr>
      </w:pPr>
    </w:p>
    <w:p w14:paraId="069AD032" w14:textId="77777777" w:rsidR="001442CD" w:rsidRPr="001442CD" w:rsidRDefault="001442CD" w:rsidP="001442CD">
      <w:pPr>
        <w:pStyle w:val="NoSpacing"/>
        <w:jc w:val="both"/>
        <w:rPr>
          <w:rFonts w:ascii="Cambria" w:eastAsia="Calibri" w:hAnsi="Cambria"/>
          <w:lang w:val="en-US" w:eastAsia="en-US"/>
        </w:rPr>
      </w:pPr>
      <w:r w:rsidRPr="001442CD">
        <w:rPr>
          <w:rFonts w:ascii="Cambria" w:eastAsia="Calibri" w:hAnsi="Cambria"/>
          <w:lang w:val="en-US" w:eastAsia="en-US"/>
        </w:rPr>
        <w:t>In this study, the data analysis techniques used were descriptive, correlation, and mediation analysis. Descriptive analysis helps organize and summarize large amounts of data, making it easier for researchers to understand real</w:t>
      </w:r>
      <w:r w:rsidRPr="001442CD">
        <w:rPr>
          <w:rFonts w:ascii="Cambria" w:eastAsia="Calibri" w:hAnsi="Cambria" w:cs="Cambria Math"/>
          <w:lang w:val="en-US" w:eastAsia="en-US"/>
        </w:rPr>
        <w:t>‑</w:t>
      </w:r>
      <w:r w:rsidRPr="001442CD">
        <w:rPr>
          <w:rFonts w:ascii="Cambria" w:eastAsia="Calibri" w:hAnsi="Cambria"/>
          <w:lang w:val="en-US" w:eastAsia="en-US"/>
        </w:rPr>
        <w:t>world patterns while saving time, no matter the situation or field of study (Costa, 2024). In this study, the mean and standard deviation were used as statistical tools. Moreover, the correlation analysis examines the strength and direction of the relationship between two continuous variables (Rizk, 2023). The Pearson Product- moment correlation statistical tool was used. Lastly, mediation analysis separates the overall effect of the treatment into two parts: the indirect effect, which operates through one or more middle factors, or mediators, and the direct effect, which explains the remaining part of the outcome that is not caused by those mediators (Celli, 2022). The beta-estimate statistical tool for the direct, indirect, and total effects of the determinant was used.</w:t>
      </w:r>
    </w:p>
    <w:p w14:paraId="7C31B8F2" w14:textId="77777777" w:rsidR="001442CD" w:rsidRPr="001442CD" w:rsidRDefault="001442CD" w:rsidP="001442CD">
      <w:pPr>
        <w:pStyle w:val="NoSpacing"/>
        <w:jc w:val="both"/>
        <w:rPr>
          <w:rFonts w:ascii="Cambria" w:eastAsia="Calibri" w:hAnsi="Cambria"/>
          <w:lang w:val="en-US" w:eastAsia="en-US"/>
        </w:rPr>
      </w:pPr>
    </w:p>
    <w:p w14:paraId="1A911141" w14:textId="77777777" w:rsidR="001442CD" w:rsidRPr="001442CD" w:rsidRDefault="001442CD" w:rsidP="001442CD">
      <w:pPr>
        <w:pStyle w:val="NoSpacing"/>
        <w:jc w:val="both"/>
        <w:rPr>
          <w:rFonts w:ascii="Cambria" w:hAnsi="Cambria"/>
          <w:lang w:val="en-SG"/>
        </w:rPr>
      </w:pPr>
      <w:r w:rsidRPr="001442CD">
        <w:rPr>
          <w:rFonts w:ascii="Cambria" w:eastAsia="Calibri" w:hAnsi="Cambria"/>
          <w:lang w:val="en-US" w:eastAsia="en-US"/>
        </w:rPr>
        <w:t>The matrix below outlines the scale, descriptive level, and corresponding interpretation for each variable in this study. This measure is used particularly to describe levels of basic biotechnology knowledge, attitudes towards genetically modified foods, and acceptance of genetically modified foods</w:t>
      </w:r>
      <w:r w:rsidRPr="001442CD">
        <w:rPr>
          <w:rFonts w:ascii="Cambria" w:hAnsi="Cambria"/>
          <w:lang w:val="en-SG"/>
        </w:rPr>
        <w:t>.</w:t>
      </w:r>
    </w:p>
    <w:p w14:paraId="4C079E91" w14:textId="77777777" w:rsidR="001442CD" w:rsidRPr="001442CD" w:rsidRDefault="001442CD" w:rsidP="001442CD">
      <w:pPr>
        <w:pStyle w:val="NoSpacing"/>
        <w:jc w:val="both"/>
        <w:rPr>
          <w:rFonts w:ascii="Cambria" w:hAnsi="Cambria"/>
          <w:lang w:val="en-SG"/>
        </w:rPr>
      </w:pPr>
    </w:p>
    <w:p w14:paraId="5B5AF92A" w14:textId="77777777" w:rsidR="001442CD" w:rsidRPr="001442CD" w:rsidRDefault="001442CD" w:rsidP="001442CD">
      <w:pPr>
        <w:pStyle w:val="NoSpacing"/>
        <w:jc w:val="both"/>
        <w:rPr>
          <w:rFonts w:ascii="Cambria" w:eastAsia="Arial" w:hAnsi="Cambria"/>
          <w:iCs/>
          <w:color w:val="000000"/>
        </w:rPr>
      </w:pPr>
    </w:p>
    <w:tbl>
      <w:tblPr>
        <w:tblStyle w:val="TableGrid"/>
        <w:tblW w:w="9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1382"/>
        <w:gridCol w:w="2053"/>
        <w:gridCol w:w="2167"/>
        <w:gridCol w:w="2167"/>
      </w:tblGrid>
      <w:tr w:rsidR="001442CD" w:rsidRPr="001442CD" w14:paraId="0EEC1024" w14:textId="77777777" w:rsidTr="00312EB0">
        <w:trPr>
          <w:trHeight w:val="593"/>
        </w:trPr>
        <w:tc>
          <w:tcPr>
            <w:tcW w:w="1536" w:type="dxa"/>
            <w:tcBorders>
              <w:bottom w:val="single" w:sz="4" w:space="0" w:color="auto"/>
            </w:tcBorders>
            <w:hideMark/>
          </w:tcPr>
          <w:p w14:paraId="4C15ADF4" w14:textId="77777777" w:rsidR="001442CD" w:rsidRPr="001442CD" w:rsidRDefault="001442CD" w:rsidP="001442CD">
            <w:pPr>
              <w:pStyle w:val="NoSpacing"/>
              <w:jc w:val="both"/>
              <w:rPr>
                <w:rFonts w:ascii="Cambria" w:hAnsi="Cambria"/>
                <w:i/>
              </w:rPr>
            </w:pPr>
            <w:r w:rsidRPr="001442CD">
              <w:rPr>
                <w:rFonts w:ascii="Cambria" w:hAnsi="Cambria"/>
                <w:i/>
              </w:rPr>
              <w:t>Scale</w:t>
            </w:r>
          </w:p>
        </w:tc>
        <w:tc>
          <w:tcPr>
            <w:tcW w:w="1382" w:type="dxa"/>
            <w:tcBorders>
              <w:bottom w:val="single" w:sz="4" w:space="0" w:color="auto"/>
            </w:tcBorders>
            <w:hideMark/>
          </w:tcPr>
          <w:p w14:paraId="76BF407B" w14:textId="77777777" w:rsidR="001442CD" w:rsidRPr="001442CD" w:rsidRDefault="001442CD" w:rsidP="001442CD">
            <w:pPr>
              <w:pStyle w:val="NoSpacing"/>
              <w:jc w:val="both"/>
              <w:rPr>
                <w:rFonts w:ascii="Cambria" w:hAnsi="Cambria"/>
                <w:i/>
              </w:rPr>
            </w:pPr>
            <w:r w:rsidRPr="001442CD">
              <w:rPr>
                <w:rFonts w:ascii="Cambria" w:hAnsi="Cambria"/>
                <w:i/>
              </w:rPr>
              <w:t>Level</w:t>
            </w:r>
          </w:p>
        </w:tc>
        <w:tc>
          <w:tcPr>
            <w:tcW w:w="2053" w:type="dxa"/>
            <w:tcBorders>
              <w:bottom w:val="single" w:sz="4" w:space="0" w:color="auto"/>
            </w:tcBorders>
            <w:hideMark/>
          </w:tcPr>
          <w:p w14:paraId="22199C88" w14:textId="77777777" w:rsidR="001442CD" w:rsidRPr="001442CD" w:rsidRDefault="001442CD" w:rsidP="001442CD">
            <w:pPr>
              <w:pStyle w:val="NoSpacing"/>
              <w:jc w:val="both"/>
              <w:rPr>
                <w:rFonts w:ascii="Cambria" w:hAnsi="Cambria"/>
                <w:i/>
              </w:rPr>
            </w:pPr>
            <w:r w:rsidRPr="001442CD">
              <w:rPr>
                <w:rFonts w:ascii="Cambria" w:hAnsi="Cambria"/>
                <w:i/>
              </w:rPr>
              <w:t>Basic Biotechnology Knowledge</w:t>
            </w:r>
          </w:p>
        </w:tc>
        <w:tc>
          <w:tcPr>
            <w:tcW w:w="2167" w:type="dxa"/>
            <w:tcBorders>
              <w:bottom w:val="single" w:sz="4" w:space="0" w:color="auto"/>
            </w:tcBorders>
            <w:hideMark/>
          </w:tcPr>
          <w:p w14:paraId="4B96CBF9" w14:textId="77777777" w:rsidR="001442CD" w:rsidRPr="001442CD" w:rsidRDefault="001442CD" w:rsidP="001442CD">
            <w:pPr>
              <w:pStyle w:val="NoSpacing"/>
              <w:jc w:val="both"/>
              <w:rPr>
                <w:rFonts w:ascii="Cambria" w:hAnsi="Cambria"/>
                <w:i/>
              </w:rPr>
            </w:pPr>
            <w:r w:rsidRPr="001442CD">
              <w:rPr>
                <w:rFonts w:ascii="Cambria" w:hAnsi="Cambria"/>
                <w:i/>
              </w:rPr>
              <w:t>Attitude Towards Genetically Modified Foods</w:t>
            </w:r>
          </w:p>
        </w:tc>
        <w:tc>
          <w:tcPr>
            <w:tcW w:w="2167" w:type="dxa"/>
            <w:tcBorders>
              <w:bottom w:val="single" w:sz="4" w:space="0" w:color="auto"/>
            </w:tcBorders>
          </w:tcPr>
          <w:p w14:paraId="731BDCA1" w14:textId="77777777" w:rsidR="001442CD" w:rsidRPr="001442CD" w:rsidRDefault="001442CD" w:rsidP="001442CD">
            <w:pPr>
              <w:pStyle w:val="NoSpacing"/>
              <w:jc w:val="both"/>
              <w:rPr>
                <w:rFonts w:ascii="Cambria" w:hAnsi="Cambria"/>
                <w:i/>
              </w:rPr>
            </w:pPr>
            <w:r w:rsidRPr="001442CD">
              <w:rPr>
                <w:rFonts w:ascii="Cambria" w:hAnsi="Cambria"/>
                <w:i/>
              </w:rPr>
              <w:t>Acceptance of Genetically Modified Foods</w:t>
            </w:r>
          </w:p>
        </w:tc>
      </w:tr>
      <w:tr w:rsidR="001442CD" w:rsidRPr="001442CD" w14:paraId="02F087D1" w14:textId="77777777" w:rsidTr="00312EB0">
        <w:trPr>
          <w:trHeight w:val="303"/>
        </w:trPr>
        <w:tc>
          <w:tcPr>
            <w:tcW w:w="1536" w:type="dxa"/>
            <w:tcBorders>
              <w:top w:val="single" w:sz="4" w:space="0" w:color="auto"/>
            </w:tcBorders>
            <w:hideMark/>
          </w:tcPr>
          <w:p w14:paraId="1133EE1A" w14:textId="77777777" w:rsidR="001442CD" w:rsidRPr="001442CD" w:rsidRDefault="001442CD" w:rsidP="001442CD">
            <w:pPr>
              <w:pStyle w:val="NoSpacing"/>
              <w:jc w:val="both"/>
              <w:rPr>
                <w:rFonts w:ascii="Cambria" w:hAnsi="Cambria"/>
              </w:rPr>
            </w:pPr>
            <w:r w:rsidRPr="001442CD">
              <w:rPr>
                <w:rFonts w:ascii="Cambria" w:hAnsi="Cambria"/>
              </w:rPr>
              <w:t>3.26 – 4.00</w:t>
            </w:r>
          </w:p>
        </w:tc>
        <w:tc>
          <w:tcPr>
            <w:tcW w:w="1382" w:type="dxa"/>
            <w:tcBorders>
              <w:top w:val="single" w:sz="4" w:space="0" w:color="auto"/>
            </w:tcBorders>
            <w:hideMark/>
          </w:tcPr>
          <w:p w14:paraId="104217B1" w14:textId="77777777" w:rsidR="001442CD" w:rsidRPr="001442CD" w:rsidRDefault="001442CD" w:rsidP="001442CD">
            <w:pPr>
              <w:pStyle w:val="NoSpacing"/>
              <w:jc w:val="both"/>
              <w:rPr>
                <w:rFonts w:ascii="Cambria" w:hAnsi="Cambria"/>
              </w:rPr>
            </w:pPr>
            <w:r w:rsidRPr="001442CD">
              <w:rPr>
                <w:rFonts w:ascii="Cambria" w:hAnsi="Cambria"/>
              </w:rPr>
              <w:t>very high</w:t>
            </w:r>
          </w:p>
        </w:tc>
        <w:tc>
          <w:tcPr>
            <w:tcW w:w="2053" w:type="dxa"/>
            <w:tcBorders>
              <w:top w:val="single" w:sz="4" w:space="0" w:color="auto"/>
            </w:tcBorders>
            <w:hideMark/>
          </w:tcPr>
          <w:p w14:paraId="52939646" w14:textId="77777777" w:rsidR="001442CD" w:rsidRPr="001442CD" w:rsidRDefault="001442CD" w:rsidP="001442CD">
            <w:pPr>
              <w:pStyle w:val="NoSpacing"/>
              <w:jc w:val="both"/>
              <w:rPr>
                <w:rFonts w:ascii="Cambria" w:hAnsi="Cambria"/>
              </w:rPr>
            </w:pPr>
            <w:r w:rsidRPr="001442CD">
              <w:rPr>
                <w:rFonts w:ascii="Cambria" w:hAnsi="Cambria"/>
              </w:rPr>
              <w:t>Very good</w:t>
            </w:r>
          </w:p>
        </w:tc>
        <w:tc>
          <w:tcPr>
            <w:tcW w:w="2167" w:type="dxa"/>
            <w:tcBorders>
              <w:top w:val="single" w:sz="4" w:space="0" w:color="auto"/>
            </w:tcBorders>
          </w:tcPr>
          <w:p w14:paraId="02F8E562" w14:textId="77777777" w:rsidR="001442CD" w:rsidRPr="001442CD" w:rsidRDefault="001442CD" w:rsidP="001442CD">
            <w:pPr>
              <w:pStyle w:val="NoSpacing"/>
              <w:jc w:val="both"/>
              <w:rPr>
                <w:rFonts w:ascii="Cambria" w:hAnsi="Cambria"/>
              </w:rPr>
            </w:pPr>
            <w:r w:rsidRPr="001442CD">
              <w:rPr>
                <w:rFonts w:ascii="Cambria" w:hAnsi="Cambria"/>
              </w:rPr>
              <w:t xml:space="preserve"> Always Strong</w:t>
            </w:r>
          </w:p>
          <w:p w14:paraId="21848DEF" w14:textId="77777777" w:rsidR="001442CD" w:rsidRPr="001442CD" w:rsidRDefault="001442CD" w:rsidP="001442CD">
            <w:pPr>
              <w:pStyle w:val="NoSpacing"/>
              <w:jc w:val="both"/>
              <w:rPr>
                <w:rFonts w:ascii="Cambria" w:hAnsi="Cambria"/>
              </w:rPr>
            </w:pPr>
          </w:p>
        </w:tc>
        <w:tc>
          <w:tcPr>
            <w:tcW w:w="2167" w:type="dxa"/>
            <w:tcBorders>
              <w:top w:val="single" w:sz="4" w:space="0" w:color="auto"/>
            </w:tcBorders>
          </w:tcPr>
          <w:p w14:paraId="7545DF8B" w14:textId="77777777" w:rsidR="001442CD" w:rsidRPr="001442CD" w:rsidRDefault="001442CD" w:rsidP="001442CD">
            <w:pPr>
              <w:pStyle w:val="NoSpacing"/>
              <w:jc w:val="both"/>
              <w:rPr>
                <w:rFonts w:ascii="Cambria" w:hAnsi="Cambria"/>
              </w:rPr>
            </w:pPr>
            <w:r w:rsidRPr="001442CD">
              <w:rPr>
                <w:rFonts w:ascii="Cambria" w:hAnsi="Cambria"/>
              </w:rPr>
              <w:t xml:space="preserve"> Always Strong</w:t>
            </w:r>
          </w:p>
          <w:p w14:paraId="149DC08C" w14:textId="77777777" w:rsidR="001442CD" w:rsidRPr="001442CD" w:rsidRDefault="001442CD" w:rsidP="001442CD">
            <w:pPr>
              <w:pStyle w:val="NoSpacing"/>
              <w:jc w:val="both"/>
              <w:rPr>
                <w:rFonts w:ascii="Cambria" w:hAnsi="Cambria"/>
              </w:rPr>
            </w:pPr>
          </w:p>
        </w:tc>
      </w:tr>
      <w:tr w:rsidR="001442CD" w:rsidRPr="001442CD" w14:paraId="15B51169" w14:textId="77777777" w:rsidTr="00312EB0">
        <w:trPr>
          <w:trHeight w:val="291"/>
        </w:trPr>
        <w:tc>
          <w:tcPr>
            <w:tcW w:w="1536" w:type="dxa"/>
            <w:hideMark/>
          </w:tcPr>
          <w:p w14:paraId="6096FEF1" w14:textId="77777777" w:rsidR="001442CD" w:rsidRPr="001442CD" w:rsidRDefault="001442CD" w:rsidP="001442CD">
            <w:pPr>
              <w:pStyle w:val="NoSpacing"/>
              <w:jc w:val="both"/>
              <w:rPr>
                <w:rFonts w:ascii="Cambria" w:hAnsi="Cambria"/>
              </w:rPr>
            </w:pPr>
            <w:r w:rsidRPr="001442CD">
              <w:rPr>
                <w:rFonts w:ascii="Cambria" w:hAnsi="Cambria"/>
              </w:rPr>
              <w:t>2.50 – 3.25</w:t>
            </w:r>
          </w:p>
        </w:tc>
        <w:tc>
          <w:tcPr>
            <w:tcW w:w="1382" w:type="dxa"/>
            <w:hideMark/>
          </w:tcPr>
          <w:p w14:paraId="1BBF4F3A" w14:textId="77777777" w:rsidR="001442CD" w:rsidRPr="001442CD" w:rsidRDefault="001442CD" w:rsidP="001442CD">
            <w:pPr>
              <w:pStyle w:val="NoSpacing"/>
              <w:jc w:val="both"/>
              <w:rPr>
                <w:rFonts w:ascii="Cambria" w:hAnsi="Cambria"/>
              </w:rPr>
            </w:pPr>
            <w:r w:rsidRPr="001442CD">
              <w:rPr>
                <w:rFonts w:ascii="Cambria" w:hAnsi="Cambria"/>
              </w:rPr>
              <w:t>high</w:t>
            </w:r>
          </w:p>
        </w:tc>
        <w:tc>
          <w:tcPr>
            <w:tcW w:w="2053" w:type="dxa"/>
          </w:tcPr>
          <w:p w14:paraId="154F2F3A" w14:textId="77777777" w:rsidR="001442CD" w:rsidRPr="001442CD" w:rsidRDefault="001442CD" w:rsidP="001442CD">
            <w:pPr>
              <w:pStyle w:val="NoSpacing"/>
              <w:jc w:val="both"/>
              <w:rPr>
                <w:rFonts w:ascii="Cambria" w:hAnsi="Cambria"/>
              </w:rPr>
            </w:pPr>
            <w:r w:rsidRPr="001442CD">
              <w:rPr>
                <w:rFonts w:ascii="Cambria" w:hAnsi="Cambria"/>
              </w:rPr>
              <w:t>Good</w:t>
            </w:r>
          </w:p>
        </w:tc>
        <w:tc>
          <w:tcPr>
            <w:tcW w:w="2167" w:type="dxa"/>
          </w:tcPr>
          <w:p w14:paraId="19D37EAB" w14:textId="77777777" w:rsidR="001442CD" w:rsidRPr="001442CD" w:rsidRDefault="001442CD" w:rsidP="001442CD">
            <w:pPr>
              <w:pStyle w:val="NoSpacing"/>
              <w:jc w:val="both"/>
              <w:rPr>
                <w:rFonts w:ascii="Cambria" w:hAnsi="Cambria"/>
              </w:rPr>
            </w:pPr>
            <w:r w:rsidRPr="001442CD">
              <w:rPr>
                <w:rFonts w:ascii="Cambria" w:hAnsi="Cambria"/>
              </w:rPr>
              <w:t xml:space="preserve">Strong </w:t>
            </w:r>
          </w:p>
        </w:tc>
        <w:tc>
          <w:tcPr>
            <w:tcW w:w="2167" w:type="dxa"/>
          </w:tcPr>
          <w:p w14:paraId="61AF1B3E" w14:textId="77777777" w:rsidR="001442CD" w:rsidRPr="001442CD" w:rsidRDefault="001442CD" w:rsidP="001442CD">
            <w:pPr>
              <w:pStyle w:val="NoSpacing"/>
              <w:jc w:val="both"/>
              <w:rPr>
                <w:rFonts w:ascii="Cambria" w:hAnsi="Cambria"/>
              </w:rPr>
            </w:pPr>
            <w:r w:rsidRPr="001442CD">
              <w:rPr>
                <w:rFonts w:ascii="Cambria" w:hAnsi="Cambria"/>
              </w:rPr>
              <w:t xml:space="preserve">Strong </w:t>
            </w:r>
          </w:p>
        </w:tc>
      </w:tr>
      <w:tr w:rsidR="001442CD" w:rsidRPr="001442CD" w14:paraId="270C5A44" w14:textId="77777777" w:rsidTr="00312EB0">
        <w:trPr>
          <w:trHeight w:val="303"/>
        </w:trPr>
        <w:tc>
          <w:tcPr>
            <w:tcW w:w="1536" w:type="dxa"/>
            <w:hideMark/>
          </w:tcPr>
          <w:p w14:paraId="5E69B499" w14:textId="77777777" w:rsidR="001442CD" w:rsidRPr="001442CD" w:rsidRDefault="001442CD" w:rsidP="001442CD">
            <w:pPr>
              <w:pStyle w:val="NoSpacing"/>
              <w:jc w:val="both"/>
              <w:rPr>
                <w:rFonts w:ascii="Cambria" w:hAnsi="Cambria"/>
              </w:rPr>
            </w:pPr>
            <w:r w:rsidRPr="001442CD">
              <w:rPr>
                <w:rFonts w:ascii="Cambria" w:hAnsi="Cambria"/>
              </w:rPr>
              <w:t xml:space="preserve">1.75 – 2.49 </w:t>
            </w:r>
          </w:p>
        </w:tc>
        <w:tc>
          <w:tcPr>
            <w:tcW w:w="1382" w:type="dxa"/>
            <w:hideMark/>
          </w:tcPr>
          <w:p w14:paraId="1842280D" w14:textId="77777777" w:rsidR="001442CD" w:rsidRPr="001442CD" w:rsidRDefault="001442CD" w:rsidP="001442CD">
            <w:pPr>
              <w:pStyle w:val="NoSpacing"/>
              <w:jc w:val="both"/>
              <w:rPr>
                <w:rFonts w:ascii="Cambria" w:hAnsi="Cambria"/>
              </w:rPr>
            </w:pPr>
            <w:r w:rsidRPr="001442CD">
              <w:rPr>
                <w:rFonts w:ascii="Cambria" w:hAnsi="Cambria"/>
              </w:rPr>
              <w:t>low</w:t>
            </w:r>
          </w:p>
        </w:tc>
        <w:tc>
          <w:tcPr>
            <w:tcW w:w="2053" w:type="dxa"/>
          </w:tcPr>
          <w:p w14:paraId="3D0745BA" w14:textId="77777777" w:rsidR="001442CD" w:rsidRPr="001442CD" w:rsidRDefault="001442CD" w:rsidP="001442CD">
            <w:pPr>
              <w:pStyle w:val="NoSpacing"/>
              <w:jc w:val="both"/>
              <w:rPr>
                <w:rFonts w:ascii="Cambria" w:hAnsi="Cambria"/>
              </w:rPr>
            </w:pPr>
            <w:r w:rsidRPr="001442CD">
              <w:rPr>
                <w:rFonts w:ascii="Cambria" w:hAnsi="Cambria"/>
              </w:rPr>
              <w:t>Poor</w:t>
            </w:r>
          </w:p>
        </w:tc>
        <w:tc>
          <w:tcPr>
            <w:tcW w:w="2167" w:type="dxa"/>
          </w:tcPr>
          <w:p w14:paraId="5B0AC397" w14:textId="77777777" w:rsidR="001442CD" w:rsidRPr="001442CD" w:rsidRDefault="001442CD" w:rsidP="001442CD">
            <w:pPr>
              <w:pStyle w:val="NoSpacing"/>
              <w:jc w:val="both"/>
              <w:rPr>
                <w:rFonts w:ascii="Cambria" w:hAnsi="Cambria"/>
              </w:rPr>
            </w:pPr>
            <w:r w:rsidRPr="001442CD">
              <w:rPr>
                <w:rFonts w:ascii="Cambria" w:hAnsi="Cambria"/>
              </w:rPr>
              <w:t xml:space="preserve">Weak </w:t>
            </w:r>
          </w:p>
        </w:tc>
        <w:tc>
          <w:tcPr>
            <w:tcW w:w="2167" w:type="dxa"/>
          </w:tcPr>
          <w:p w14:paraId="46FE5B96" w14:textId="77777777" w:rsidR="001442CD" w:rsidRPr="001442CD" w:rsidRDefault="001442CD" w:rsidP="001442CD">
            <w:pPr>
              <w:pStyle w:val="NoSpacing"/>
              <w:jc w:val="both"/>
              <w:rPr>
                <w:rFonts w:ascii="Cambria" w:hAnsi="Cambria"/>
              </w:rPr>
            </w:pPr>
            <w:r w:rsidRPr="001442CD">
              <w:rPr>
                <w:rFonts w:ascii="Cambria" w:hAnsi="Cambria"/>
              </w:rPr>
              <w:t xml:space="preserve">Weak </w:t>
            </w:r>
          </w:p>
        </w:tc>
      </w:tr>
      <w:tr w:rsidR="001442CD" w:rsidRPr="001442CD" w14:paraId="3717F8DC" w14:textId="77777777" w:rsidTr="00312EB0">
        <w:trPr>
          <w:trHeight w:val="291"/>
        </w:trPr>
        <w:tc>
          <w:tcPr>
            <w:tcW w:w="1536" w:type="dxa"/>
            <w:hideMark/>
          </w:tcPr>
          <w:p w14:paraId="1FEFB534" w14:textId="77777777" w:rsidR="001442CD" w:rsidRPr="001442CD" w:rsidRDefault="001442CD" w:rsidP="001442CD">
            <w:pPr>
              <w:pStyle w:val="NoSpacing"/>
              <w:jc w:val="both"/>
              <w:rPr>
                <w:rFonts w:ascii="Cambria" w:hAnsi="Cambria"/>
              </w:rPr>
            </w:pPr>
            <w:r w:rsidRPr="001442CD">
              <w:rPr>
                <w:rFonts w:ascii="Cambria" w:hAnsi="Cambria"/>
              </w:rPr>
              <w:t>1.00 – 1.74</w:t>
            </w:r>
          </w:p>
        </w:tc>
        <w:tc>
          <w:tcPr>
            <w:tcW w:w="1382" w:type="dxa"/>
            <w:hideMark/>
          </w:tcPr>
          <w:p w14:paraId="4A073ED7" w14:textId="77777777" w:rsidR="001442CD" w:rsidRPr="001442CD" w:rsidRDefault="001442CD" w:rsidP="001442CD">
            <w:pPr>
              <w:pStyle w:val="NoSpacing"/>
              <w:jc w:val="both"/>
              <w:rPr>
                <w:rFonts w:ascii="Cambria" w:hAnsi="Cambria"/>
              </w:rPr>
            </w:pPr>
            <w:r w:rsidRPr="001442CD">
              <w:rPr>
                <w:rFonts w:ascii="Cambria" w:hAnsi="Cambria"/>
              </w:rPr>
              <w:t>very low</w:t>
            </w:r>
          </w:p>
        </w:tc>
        <w:tc>
          <w:tcPr>
            <w:tcW w:w="2053" w:type="dxa"/>
          </w:tcPr>
          <w:p w14:paraId="1302ABBB" w14:textId="77777777" w:rsidR="001442CD" w:rsidRPr="001442CD" w:rsidRDefault="001442CD" w:rsidP="001442CD">
            <w:pPr>
              <w:pStyle w:val="NoSpacing"/>
              <w:jc w:val="both"/>
              <w:rPr>
                <w:rFonts w:ascii="Cambria" w:hAnsi="Cambria"/>
              </w:rPr>
            </w:pPr>
            <w:r w:rsidRPr="001442CD">
              <w:rPr>
                <w:rFonts w:ascii="Cambria" w:hAnsi="Cambria"/>
              </w:rPr>
              <w:t xml:space="preserve">Very poor  </w:t>
            </w:r>
          </w:p>
        </w:tc>
        <w:tc>
          <w:tcPr>
            <w:tcW w:w="2167" w:type="dxa"/>
          </w:tcPr>
          <w:p w14:paraId="6882CE71" w14:textId="77777777" w:rsidR="001442CD" w:rsidRPr="001442CD" w:rsidRDefault="001442CD" w:rsidP="001442CD">
            <w:pPr>
              <w:pStyle w:val="NoSpacing"/>
              <w:jc w:val="both"/>
              <w:rPr>
                <w:rFonts w:ascii="Cambria" w:hAnsi="Cambria"/>
              </w:rPr>
            </w:pPr>
            <w:r w:rsidRPr="001442CD">
              <w:rPr>
                <w:rFonts w:ascii="Cambria" w:hAnsi="Cambria"/>
              </w:rPr>
              <w:t>Very Weak</w:t>
            </w:r>
          </w:p>
        </w:tc>
        <w:tc>
          <w:tcPr>
            <w:tcW w:w="2167" w:type="dxa"/>
          </w:tcPr>
          <w:p w14:paraId="7D36B703" w14:textId="77777777" w:rsidR="001442CD" w:rsidRPr="001442CD" w:rsidRDefault="001442CD" w:rsidP="001442CD">
            <w:pPr>
              <w:pStyle w:val="NoSpacing"/>
              <w:jc w:val="both"/>
              <w:rPr>
                <w:rFonts w:ascii="Cambria" w:hAnsi="Cambria"/>
              </w:rPr>
            </w:pPr>
            <w:r w:rsidRPr="001442CD">
              <w:rPr>
                <w:rFonts w:ascii="Cambria" w:hAnsi="Cambria"/>
              </w:rPr>
              <w:t>Very Weak</w:t>
            </w:r>
          </w:p>
        </w:tc>
      </w:tr>
    </w:tbl>
    <w:p w14:paraId="2DB2D2AF" w14:textId="77777777" w:rsidR="001442CD" w:rsidRPr="001442CD" w:rsidRDefault="001442CD" w:rsidP="001442CD">
      <w:pPr>
        <w:pStyle w:val="NoSpacing"/>
        <w:jc w:val="both"/>
        <w:rPr>
          <w:rFonts w:ascii="Cambria" w:hAnsi="Cambria"/>
        </w:rPr>
      </w:pPr>
    </w:p>
    <w:p w14:paraId="40495758" w14:textId="77777777" w:rsidR="001442CD" w:rsidRPr="001442CD" w:rsidRDefault="001442CD" w:rsidP="001442CD">
      <w:pPr>
        <w:pStyle w:val="NoSpacing"/>
        <w:jc w:val="both"/>
        <w:rPr>
          <w:rFonts w:ascii="Cambria" w:hAnsi="Cambria"/>
          <w:i/>
          <w:iCs/>
          <w:lang w:val="en-US"/>
        </w:rPr>
      </w:pPr>
      <w:r w:rsidRPr="001442CD">
        <w:rPr>
          <w:rFonts w:ascii="Cambria" w:hAnsi="Cambria"/>
          <w:i/>
          <w:iCs/>
          <w:lang w:val="en-US"/>
        </w:rPr>
        <w:t>Standard Deviation Value Ranges and Interpretation</w:t>
      </w:r>
    </w:p>
    <w:p w14:paraId="58A8A7A7" w14:textId="77777777" w:rsidR="001442CD" w:rsidRPr="001442CD" w:rsidRDefault="001442CD" w:rsidP="001442CD">
      <w:pPr>
        <w:pStyle w:val="NoSpacing"/>
        <w:jc w:val="both"/>
        <w:rPr>
          <w:rFonts w:ascii="Cambria" w:hAnsi="Cambria"/>
        </w:rPr>
      </w:pPr>
    </w:p>
    <w:tbl>
      <w:tblPr>
        <w:tblStyle w:val="TableGrid"/>
        <w:tblW w:w="96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780"/>
        <w:gridCol w:w="3785"/>
      </w:tblGrid>
      <w:tr w:rsidR="001442CD" w:rsidRPr="001442CD" w14:paraId="41921CB7" w14:textId="77777777" w:rsidTr="00312EB0">
        <w:tc>
          <w:tcPr>
            <w:tcW w:w="2070" w:type="dxa"/>
            <w:tcBorders>
              <w:bottom w:val="single" w:sz="4" w:space="0" w:color="auto"/>
            </w:tcBorders>
          </w:tcPr>
          <w:p w14:paraId="5934A5F5" w14:textId="77777777" w:rsidR="001442CD" w:rsidRPr="001442CD" w:rsidRDefault="001442CD" w:rsidP="001442CD">
            <w:pPr>
              <w:pStyle w:val="NoSpacing"/>
              <w:jc w:val="both"/>
              <w:rPr>
                <w:rFonts w:ascii="Cambria" w:hAnsi="Cambria"/>
                <w:i/>
              </w:rPr>
            </w:pPr>
            <w:r w:rsidRPr="001442CD">
              <w:rPr>
                <w:rFonts w:ascii="Cambria" w:hAnsi="Cambria"/>
                <w:i/>
              </w:rPr>
              <w:t>Range</w:t>
            </w:r>
          </w:p>
        </w:tc>
        <w:tc>
          <w:tcPr>
            <w:tcW w:w="3780" w:type="dxa"/>
            <w:tcBorders>
              <w:bottom w:val="single" w:sz="4" w:space="0" w:color="auto"/>
            </w:tcBorders>
          </w:tcPr>
          <w:p w14:paraId="53CF7E3F" w14:textId="77777777" w:rsidR="001442CD" w:rsidRPr="001442CD" w:rsidRDefault="001442CD" w:rsidP="001442CD">
            <w:pPr>
              <w:pStyle w:val="NoSpacing"/>
              <w:jc w:val="both"/>
              <w:rPr>
                <w:rFonts w:ascii="Cambria" w:hAnsi="Cambria"/>
                <w:i/>
              </w:rPr>
            </w:pPr>
            <w:r w:rsidRPr="001442CD">
              <w:rPr>
                <w:rFonts w:ascii="Cambria" w:hAnsi="Cambria"/>
                <w:i/>
              </w:rPr>
              <w:t>Description</w:t>
            </w:r>
          </w:p>
        </w:tc>
        <w:tc>
          <w:tcPr>
            <w:tcW w:w="3785" w:type="dxa"/>
            <w:tcBorders>
              <w:bottom w:val="single" w:sz="4" w:space="0" w:color="auto"/>
            </w:tcBorders>
          </w:tcPr>
          <w:p w14:paraId="5A2B1359" w14:textId="77777777" w:rsidR="001442CD" w:rsidRPr="001442CD" w:rsidRDefault="001442CD" w:rsidP="001442CD">
            <w:pPr>
              <w:pStyle w:val="NoSpacing"/>
              <w:jc w:val="both"/>
              <w:rPr>
                <w:rFonts w:ascii="Cambria" w:hAnsi="Cambria"/>
                <w:i/>
              </w:rPr>
            </w:pPr>
            <w:r w:rsidRPr="001442CD">
              <w:rPr>
                <w:rFonts w:ascii="Cambria" w:hAnsi="Cambria"/>
                <w:i/>
              </w:rPr>
              <w:t>Interpretation</w:t>
            </w:r>
          </w:p>
        </w:tc>
      </w:tr>
      <w:tr w:rsidR="001442CD" w:rsidRPr="001442CD" w14:paraId="75EA2EEC" w14:textId="77777777" w:rsidTr="00312EB0">
        <w:tc>
          <w:tcPr>
            <w:tcW w:w="2070" w:type="dxa"/>
            <w:tcBorders>
              <w:top w:val="single" w:sz="4" w:space="0" w:color="auto"/>
            </w:tcBorders>
          </w:tcPr>
          <w:p w14:paraId="1D647B17" w14:textId="77777777" w:rsidR="001442CD" w:rsidRPr="001442CD" w:rsidRDefault="001442CD" w:rsidP="001442CD">
            <w:pPr>
              <w:pStyle w:val="NoSpacing"/>
              <w:jc w:val="both"/>
              <w:rPr>
                <w:rFonts w:ascii="Cambria" w:hAnsi="Cambria"/>
              </w:rPr>
            </w:pPr>
            <w:r w:rsidRPr="001442CD">
              <w:rPr>
                <w:rFonts w:ascii="Cambria" w:eastAsia="Times New Roman" w:hAnsi="Cambria"/>
              </w:rPr>
              <w:t>SD ≤ 0.50</w:t>
            </w:r>
          </w:p>
        </w:tc>
        <w:tc>
          <w:tcPr>
            <w:tcW w:w="3780" w:type="dxa"/>
            <w:tcBorders>
              <w:top w:val="single" w:sz="4" w:space="0" w:color="auto"/>
            </w:tcBorders>
          </w:tcPr>
          <w:p w14:paraId="32D2D655" w14:textId="77777777" w:rsidR="001442CD" w:rsidRPr="001442CD" w:rsidRDefault="001442CD" w:rsidP="001442CD">
            <w:pPr>
              <w:pStyle w:val="NoSpacing"/>
              <w:jc w:val="both"/>
              <w:rPr>
                <w:rFonts w:ascii="Cambria" w:hAnsi="Cambria"/>
              </w:rPr>
            </w:pPr>
            <w:r w:rsidRPr="001442CD">
              <w:rPr>
                <w:rFonts w:ascii="Cambria" w:eastAsia="Times New Roman" w:hAnsi="Cambria"/>
              </w:rPr>
              <w:t>High Consistent Responses</w:t>
            </w:r>
          </w:p>
        </w:tc>
        <w:tc>
          <w:tcPr>
            <w:tcW w:w="3785" w:type="dxa"/>
            <w:tcBorders>
              <w:top w:val="single" w:sz="4" w:space="0" w:color="auto"/>
            </w:tcBorders>
          </w:tcPr>
          <w:p w14:paraId="5D753E76" w14:textId="77777777" w:rsidR="001442CD" w:rsidRPr="001442CD" w:rsidRDefault="001442CD" w:rsidP="001442CD">
            <w:pPr>
              <w:pStyle w:val="NoSpacing"/>
              <w:jc w:val="both"/>
              <w:rPr>
                <w:rFonts w:ascii="Cambria" w:hAnsi="Cambria"/>
              </w:rPr>
            </w:pPr>
            <w:r w:rsidRPr="001442CD">
              <w:rPr>
                <w:rFonts w:ascii="Cambria" w:eastAsia="Times New Roman" w:hAnsi="Cambria"/>
              </w:rPr>
              <w:t>Strong and uniform perception</w:t>
            </w:r>
          </w:p>
        </w:tc>
      </w:tr>
      <w:tr w:rsidR="001442CD" w:rsidRPr="001442CD" w14:paraId="5B9EE449" w14:textId="77777777" w:rsidTr="00312EB0">
        <w:tc>
          <w:tcPr>
            <w:tcW w:w="2070" w:type="dxa"/>
          </w:tcPr>
          <w:p w14:paraId="34170FD1" w14:textId="77777777" w:rsidR="001442CD" w:rsidRPr="001442CD" w:rsidRDefault="001442CD" w:rsidP="001442CD">
            <w:pPr>
              <w:pStyle w:val="NoSpacing"/>
              <w:jc w:val="both"/>
              <w:rPr>
                <w:rFonts w:ascii="Cambria" w:hAnsi="Cambria"/>
              </w:rPr>
            </w:pPr>
            <w:r w:rsidRPr="001442CD">
              <w:rPr>
                <w:rFonts w:ascii="Cambria" w:eastAsia="Times New Roman" w:hAnsi="Cambria"/>
              </w:rPr>
              <w:t>SD = 0.51 – 1.00</w:t>
            </w:r>
          </w:p>
        </w:tc>
        <w:tc>
          <w:tcPr>
            <w:tcW w:w="3780" w:type="dxa"/>
          </w:tcPr>
          <w:p w14:paraId="73C696F8" w14:textId="77777777" w:rsidR="001442CD" w:rsidRPr="001442CD" w:rsidRDefault="001442CD" w:rsidP="001442CD">
            <w:pPr>
              <w:pStyle w:val="NoSpacing"/>
              <w:jc w:val="both"/>
              <w:rPr>
                <w:rFonts w:ascii="Cambria" w:hAnsi="Cambria"/>
              </w:rPr>
            </w:pPr>
            <w:r w:rsidRPr="001442CD">
              <w:rPr>
                <w:rFonts w:ascii="Cambria" w:eastAsia="Times New Roman" w:hAnsi="Cambria"/>
              </w:rPr>
              <w:t>Moderate Consistent Responses</w:t>
            </w:r>
          </w:p>
        </w:tc>
        <w:tc>
          <w:tcPr>
            <w:tcW w:w="3785" w:type="dxa"/>
          </w:tcPr>
          <w:p w14:paraId="249AA454" w14:textId="77777777" w:rsidR="001442CD" w:rsidRPr="001442CD" w:rsidRDefault="001442CD" w:rsidP="001442CD">
            <w:pPr>
              <w:pStyle w:val="NoSpacing"/>
              <w:jc w:val="both"/>
              <w:rPr>
                <w:rFonts w:ascii="Cambria" w:hAnsi="Cambria"/>
              </w:rPr>
            </w:pPr>
            <w:r w:rsidRPr="001442CD">
              <w:rPr>
                <w:rFonts w:ascii="Cambria" w:eastAsia="Times New Roman" w:hAnsi="Cambria"/>
              </w:rPr>
              <w:t>Acceptable consistency</w:t>
            </w:r>
          </w:p>
        </w:tc>
      </w:tr>
      <w:tr w:rsidR="001442CD" w:rsidRPr="001442CD" w14:paraId="13E247EF" w14:textId="77777777" w:rsidTr="00312EB0">
        <w:tc>
          <w:tcPr>
            <w:tcW w:w="2070" w:type="dxa"/>
          </w:tcPr>
          <w:p w14:paraId="79A8A014" w14:textId="77777777" w:rsidR="001442CD" w:rsidRPr="001442CD" w:rsidRDefault="001442CD" w:rsidP="001442CD">
            <w:pPr>
              <w:pStyle w:val="NoSpacing"/>
              <w:jc w:val="both"/>
              <w:rPr>
                <w:rFonts w:ascii="Cambria" w:hAnsi="Cambria"/>
              </w:rPr>
            </w:pPr>
            <w:r w:rsidRPr="001442CD">
              <w:rPr>
                <w:rFonts w:ascii="Cambria" w:eastAsia="Times New Roman" w:hAnsi="Cambria"/>
              </w:rPr>
              <w:t>SD = 1.01 – 1.50</w:t>
            </w:r>
          </w:p>
        </w:tc>
        <w:tc>
          <w:tcPr>
            <w:tcW w:w="3780" w:type="dxa"/>
          </w:tcPr>
          <w:p w14:paraId="55121E1E" w14:textId="77777777" w:rsidR="001442CD" w:rsidRPr="001442CD" w:rsidRDefault="001442CD" w:rsidP="001442CD">
            <w:pPr>
              <w:pStyle w:val="NoSpacing"/>
              <w:jc w:val="both"/>
              <w:rPr>
                <w:rFonts w:ascii="Cambria" w:hAnsi="Cambria"/>
              </w:rPr>
            </w:pPr>
            <w:r w:rsidRPr="001442CD">
              <w:rPr>
                <w:rFonts w:ascii="Cambria" w:eastAsia="Times New Roman" w:hAnsi="Cambria"/>
              </w:rPr>
              <w:t>Low Consistent Responses</w:t>
            </w:r>
          </w:p>
        </w:tc>
        <w:tc>
          <w:tcPr>
            <w:tcW w:w="3785" w:type="dxa"/>
          </w:tcPr>
          <w:p w14:paraId="331A52AB" w14:textId="77777777" w:rsidR="001442CD" w:rsidRPr="001442CD" w:rsidRDefault="001442CD" w:rsidP="001442CD">
            <w:pPr>
              <w:pStyle w:val="NoSpacing"/>
              <w:jc w:val="both"/>
              <w:rPr>
                <w:rFonts w:ascii="Cambria" w:hAnsi="Cambria"/>
              </w:rPr>
            </w:pPr>
            <w:r w:rsidRPr="001442CD">
              <w:rPr>
                <w:rFonts w:ascii="Cambria" w:eastAsia="Times New Roman" w:hAnsi="Cambria"/>
              </w:rPr>
              <w:t>Differing views or experiences</w:t>
            </w:r>
          </w:p>
        </w:tc>
      </w:tr>
      <w:tr w:rsidR="001442CD" w:rsidRPr="001442CD" w14:paraId="4E781AD5" w14:textId="77777777" w:rsidTr="00312EB0">
        <w:tc>
          <w:tcPr>
            <w:tcW w:w="2070" w:type="dxa"/>
          </w:tcPr>
          <w:p w14:paraId="6AEE5F2F" w14:textId="77777777" w:rsidR="001442CD" w:rsidRPr="001442CD" w:rsidRDefault="001442CD" w:rsidP="001442CD">
            <w:pPr>
              <w:pStyle w:val="NoSpacing"/>
              <w:jc w:val="both"/>
              <w:rPr>
                <w:rFonts w:ascii="Cambria" w:hAnsi="Cambria"/>
              </w:rPr>
            </w:pPr>
            <w:r w:rsidRPr="001442CD">
              <w:rPr>
                <w:rFonts w:ascii="Cambria" w:eastAsia="Times New Roman" w:hAnsi="Cambria"/>
              </w:rPr>
              <w:t>SD &gt; 1.50</w:t>
            </w:r>
          </w:p>
        </w:tc>
        <w:tc>
          <w:tcPr>
            <w:tcW w:w="3780" w:type="dxa"/>
          </w:tcPr>
          <w:p w14:paraId="55C6733A" w14:textId="77777777" w:rsidR="001442CD" w:rsidRPr="001442CD" w:rsidRDefault="001442CD" w:rsidP="001442CD">
            <w:pPr>
              <w:pStyle w:val="NoSpacing"/>
              <w:jc w:val="both"/>
              <w:rPr>
                <w:rFonts w:ascii="Cambria" w:hAnsi="Cambria"/>
              </w:rPr>
            </w:pPr>
            <w:r w:rsidRPr="001442CD">
              <w:rPr>
                <w:rFonts w:ascii="Cambria" w:eastAsia="Times New Roman" w:hAnsi="Cambria"/>
              </w:rPr>
              <w:t>Very Low Consistent Responses</w:t>
            </w:r>
          </w:p>
        </w:tc>
        <w:tc>
          <w:tcPr>
            <w:tcW w:w="3785" w:type="dxa"/>
          </w:tcPr>
          <w:p w14:paraId="393F5A4D" w14:textId="77777777" w:rsidR="001442CD" w:rsidRPr="001442CD" w:rsidRDefault="001442CD" w:rsidP="001442CD">
            <w:pPr>
              <w:pStyle w:val="NoSpacing"/>
              <w:jc w:val="both"/>
              <w:rPr>
                <w:rFonts w:ascii="Cambria" w:hAnsi="Cambria"/>
              </w:rPr>
            </w:pPr>
            <w:r w:rsidRPr="001442CD">
              <w:rPr>
                <w:rFonts w:ascii="Cambria" w:eastAsia="Times New Roman" w:hAnsi="Cambria"/>
              </w:rPr>
              <w:t>High variability and lack of consensus</w:t>
            </w:r>
          </w:p>
        </w:tc>
      </w:tr>
    </w:tbl>
    <w:p w14:paraId="70AA3591" w14:textId="77777777" w:rsidR="001442CD" w:rsidRPr="001442CD" w:rsidRDefault="001442CD" w:rsidP="001442CD">
      <w:pPr>
        <w:pStyle w:val="NoSpacing"/>
        <w:jc w:val="both"/>
        <w:rPr>
          <w:rFonts w:ascii="Cambria" w:hAnsi="Cambria"/>
        </w:rPr>
      </w:pPr>
    </w:p>
    <w:p w14:paraId="4CD5F3DC" w14:textId="77777777" w:rsidR="001442CD" w:rsidRPr="001442CD" w:rsidRDefault="001442CD" w:rsidP="001442CD">
      <w:pPr>
        <w:pStyle w:val="NoSpacing"/>
        <w:jc w:val="both"/>
        <w:rPr>
          <w:rFonts w:ascii="Cambria" w:hAnsi="Cambria"/>
        </w:rPr>
      </w:pPr>
    </w:p>
    <w:p w14:paraId="46F9263F" w14:textId="77777777" w:rsidR="001442CD" w:rsidRPr="001442CD" w:rsidRDefault="001442CD" w:rsidP="001442CD">
      <w:pPr>
        <w:pStyle w:val="NoSpacing"/>
        <w:jc w:val="both"/>
        <w:rPr>
          <w:rFonts w:ascii="Cambria" w:hAnsi="Cambria"/>
        </w:rPr>
      </w:pPr>
      <w:r w:rsidRPr="001442CD">
        <w:rPr>
          <w:rFonts w:ascii="Cambria" w:hAnsi="Cambria"/>
        </w:rPr>
        <w:lastRenderedPageBreak/>
        <w:t xml:space="preserve">In this study, the significance of the correlation is tested at 0.05 confidence level. The following is the standard measure for the interpretation scale of </w:t>
      </w:r>
      <w:proofErr w:type="spellStart"/>
      <w:r w:rsidRPr="001442CD">
        <w:rPr>
          <w:rFonts w:ascii="Cambria" w:hAnsi="Cambria"/>
          <w:i/>
        </w:rPr>
        <w:t>r</w:t>
      </w:r>
      <w:r w:rsidRPr="001442CD">
        <w:rPr>
          <w:rFonts w:ascii="Cambria" w:hAnsi="Cambria"/>
        </w:rPr>
        <w:t>-value</w:t>
      </w:r>
      <w:proofErr w:type="spellEnd"/>
      <w:r w:rsidRPr="001442CD">
        <w:rPr>
          <w:rFonts w:ascii="Cambria" w:hAnsi="Cambria"/>
        </w:rPr>
        <w:t xml:space="preserve">, the following scheme was used: </w:t>
      </w:r>
    </w:p>
    <w:p w14:paraId="5F3D2B3B" w14:textId="77777777" w:rsidR="001442CD" w:rsidRPr="001442CD" w:rsidRDefault="001442CD" w:rsidP="001442CD">
      <w:pPr>
        <w:pStyle w:val="NoSpacing"/>
        <w:jc w:val="both"/>
        <w:rPr>
          <w:rFonts w:ascii="Cambria" w:hAnsi="Cambria"/>
        </w:rPr>
      </w:pPr>
    </w:p>
    <w:p w14:paraId="48B0694C" w14:textId="77777777" w:rsidR="001442CD" w:rsidRPr="001442CD" w:rsidRDefault="001442CD" w:rsidP="001442CD">
      <w:pPr>
        <w:pStyle w:val="NoSpacing"/>
        <w:jc w:val="both"/>
        <w:rPr>
          <w:rFonts w:ascii="Cambria" w:hAnsi="Cambria"/>
        </w:rPr>
      </w:pPr>
      <w:r w:rsidRPr="001442CD">
        <w:rPr>
          <w:rFonts w:ascii="Cambria" w:hAnsi="Cambria"/>
        </w:rPr>
        <w:t xml:space="preserve"> </w:t>
      </w:r>
    </w:p>
    <w:p w14:paraId="32C473E8" w14:textId="77777777" w:rsidR="001442CD" w:rsidRPr="001442CD" w:rsidRDefault="001442CD" w:rsidP="001442CD">
      <w:pPr>
        <w:pStyle w:val="NoSpacing"/>
        <w:jc w:val="both"/>
        <w:rPr>
          <w:rFonts w:ascii="Cambria" w:hAnsi="Cambria"/>
          <w:i/>
        </w:rPr>
      </w:pPr>
      <w:r w:rsidRPr="001442CD">
        <w:rPr>
          <w:rFonts w:ascii="Cambria" w:hAnsi="Cambria"/>
          <w:i/>
        </w:rPr>
        <w:t>Computed r</w:t>
      </w:r>
      <w:r w:rsidRPr="001442CD">
        <w:rPr>
          <w:rFonts w:ascii="Cambria" w:hAnsi="Cambria"/>
          <w:i/>
        </w:rPr>
        <w:tab/>
      </w:r>
      <w:r w:rsidRPr="001442CD">
        <w:rPr>
          <w:rFonts w:ascii="Cambria" w:hAnsi="Cambria"/>
          <w:i/>
        </w:rPr>
        <w:tab/>
        <w:t xml:space="preserve">                     Descriptive Interpretation</w:t>
      </w:r>
    </w:p>
    <w:p w14:paraId="359F6951" w14:textId="77777777" w:rsidR="001442CD" w:rsidRPr="001442CD" w:rsidRDefault="001442CD" w:rsidP="001442CD">
      <w:pPr>
        <w:pStyle w:val="NoSpacing"/>
        <w:jc w:val="both"/>
        <w:rPr>
          <w:rFonts w:ascii="Cambria" w:hAnsi="Cambria"/>
        </w:rPr>
      </w:pPr>
      <w:r w:rsidRPr="001442CD">
        <w:rPr>
          <w:rFonts w:ascii="Cambria" w:hAnsi="Cambria"/>
        </w:rPr>
        <w:t xml:space="preserve">+/- 1.00 </w:t>
      </w:r>
      <w:r w:rsidRPr="001442CD">
        <w:rPr>
          <w:rFonts w:ascii="Cambria" w:hAnsi="Cambria"/>
        </w:rPr>
        <w:tab/>
      </w:r>
      <w:r w:rsidRPr="001442CD">
        <w:rPr>
          <w:rFonts w:ascii="Cambria" w:hAnsi="Cambria"/>
        </w:rPr>
        <w:tab/>
      </w:r>
      <w:r w:rsidRPr="001442CD">
        <w:rPr>
          <w:rFonts w:ascii="Cambria" w:hAnsi="Cambria"/>
        </w:rPr>
        <w:tab/>
        <w:t>Perfect correlation</w:t>
      </w:r>
    </w:p>
    <w:p w14:paraId="3F9820B1" w14:textId="77777777" w:rsidR="001442CD" w:rsidRPr="001442CD" w:rsidRDefault="001442CD" w:rsidP="001442CD">
      <w:pPr>
        <w:pStyle w:val="NoSpacing"/>
        <w:jc w:val="both"/>
        <w:rPr>
          <w:rFonts w:ascii="Cambria" w:hAnsi="Cambria"/>
        </w:rPr>
      </w:pPr>
      <w:r w:rsidRPr="001442CD">
        <w:rPr>
          <w:rFonts w:ascii="Cambria" w:hAnsi="Cambria"/>
        </w:rPr>
        <w:t xml:space="preserve">Between +/- 0.75 </w:t>
      </w:r>
      <w:proofErr w:type="gramStart"/>
      <w:r w:rsidRPr="001442CD">
        <w:rPr>
          <w:rFonts w:ascii="Cambria" w:hAnsi="Cambria"/>
        </w:rPr>
        <w:t>–  +</w:t>
      </w:r>
      <w:proofErr w:type="gramEnd"/>
      <w:r w:rsidRPr="001442CD">
        <w:rPr>
          <w:rFonts w:ascii="Cambria" w:hAnsi="Cambria"/>
        </w:rPr>
        <w:t>/- 0.99</w:t>
      </w:r>
      <w:r w:rsidRPr="001442CD">
        <w:rPr>
          <w:rFonts w:ascii="Cambria" w:hAnsi="Cambria"/>
        </w:rPr>
        <w:tab/>
        <w:t>High correlation</w:t>
      </w:r>
    </w:p>
    <w:p w14:paraId="4A2AFF17" w14:textId="77777777" w:rsidR="001442CD" w:rsidRPr="001442CD" w:rsidRDefault="001442CD" w:rsidP="001442CD">
      <w:pPr>
        <w:pStyle w:val="NoSpacing"/>
        <w:jc w:val="both"/>
        <w:rPr>
          <w:rFonts w:ascii="Cambria" w:hAnsi="Cambria"/>
        </w:rPr>
      </w:pPr>
      <w:r w:rsidRPr="001442CD">
        <w:rPr>
          <w:rFonts w:ascii="Cambria" w:hAnsi="Cambria"/>
        </w:rPr>
        <w:t xml:space="preserve">Between +/- 0.51 </w:t>
      </w:r>
      <w:proofErr w:type="gramStart"/>
      <w:r w:rsidRPr="001442CD">
        <w:rPr>
          <w:rFonts w:ascii="Cambria" w:hAnsi="Cambria"/>
        </w:rPr>
        <w:t>–  +</w:t>
      </w:r>
      <w:proofErr w:type="gramEnd"/>
      <w:r w:rsidRPr="001442CD">
        <w:rPr>
          <w:rFonts w:ascii="Cambria" w:hAnsi="Cambria"/>
        </w:rPr>
        <w:t>/- 0.74</w:t>
      </w:r>
      <w:r w:rsidRPr="001442CD">
        <w:rPr>
          <w:rFonts w:ascii="Cambria" w:hAnsi="Cambria"/>
        </w:rPr>
        <w:tab/>
        <w:t>Moderately high correlation</w:t>
      </w:r>
    </w:p>
    <w:p w14:paraId="6E88F88F" w14:textId="77777777" w:rsidR="001442CD" w:rsidRPr="001442CD" w:rsidRDefault="001442CD" w:rsidP="001442CD">
      <w:pPr>
        <w:pStyle w:val="NoSpacing"/>
        <w:jc w:val="both"/>
        <w:rPr>
          <w:rFonts w:ascii="Cambria" w:hAnsi="Cambria"/>
        </w:rPr>
      </w:pPr>
      <w:r w:rsidRPr="001442CD">
        <w:rPr>
          <w:rFonts w:ascii="Cambria" w:hAnsi="Cambria"/>
        </w:rPr>
        <w:t xml:space="preserve">Between +/- 0.31 </w:t>
      </w:r>
      <w:proofErr w:type="gramStart"/>
      <w:r w:rsidRPr="001442CD">
        <w:rPr>
          <w:rFonts w:ascii="Cambria" w:hAnsi="Cambria"/>
        </w:rPr>
        <w:t>–  +</w:t>
      </w:r>
      <w:proofErr w:type="gramEnd"/>
      <w:r w:rsidRPr="001442CD">
        <w:rPr>
          <w:rFonts w:ascii="Cambria" w:hAnsi="Cambria"/>
        </w:rPr>
        <w:t>/- 0.50</w:t>
      </w:r>
      <w:r w:rsidRPr="001442CD">
        <w:rPr>
          <w:rFonts w:ascii="Cambria" w:hAnsi="Cambria"/>
        </w:rPr>
        <w:tab/>
        <w:t>Moderately low correlation</w:t>
      </w:r>
    </w:p>
    <w:p w14:paraId="17B472AC" w14:textId="77777777" w:rsidR="001442CD" w:rsidRPr="001442CD" w:rsidRDefault="001442CD" w:rsidP="001442CD">
      <w:pPr>
        <w:pStyle w:val="NoSpacing"/>
        <w:jc w:val="both"/>
        <w:rPr>
          <w:rFonts w:ascii="Cambria" w:hAnsi="Cambria"/>
        </w:rPr>
      </w:pPr>
      <w:r w:rsidRPr="001442CD">
        <w:rPr>
          <w:rFonts w:ascii="Cambria" w:hAnsi="Cambria"/>
        </w:rPr>
        <w:t xml:space="preserve">Between +/- 0.01 </w:t>
      </w:r>
      <w:proofErr w:type="gramStart"/>
      <w:r w:rsidRPr="001442CD">
        <w:rPr>
          <w:rFonts w:ascii="Cambria" w:hAnsi="Cambria"/>
        </w:rPr>
        <w:t>–  +</w:t>
      </w:r>
      <w:proofErr w:type="gramEnd"/>
      <w:r w:rsidRPr="001442CD">
        <w:rPr>
          <w:rFonts w:ascii="Cambria" w:hAnsi="Cambria"/>
        </w:rPr>
        <w:t>/- 0.30</w:t>
      </w:r>
      <w:r w:rsidRPr="001442CD">
        <w:rPr>
          <w:rFonts w:ascii="Cambria" w:hAnsi="Cambria"/>
        </w:rPr>
        <w:tab/>
        <w:t>Low correlation</w:t>
      </w:r>
    </w:p>
    <w:p w14:paraId="009FF98B" w14:textId="77777777" w:rsidR="001442CD" w:rsidRPr="001442CD" w:rsidRDefault="001442CD" w:rsidP="001442CD">
      <w:pPr>
        <w:pStyle w:val="NoSpacing"/>
        <w:jc w:val="both"/>
        <w:rPr>
          <w:rFonts w:ascii="Cambria" w:hAnsi="Cambria"/>
        </w:rPr>
      </w:pPr>
      <w:r w:rsidRPr="001442CD">
        <w:rPr>
          <w:rFonts w:ascii="Cambria" w:hAnsi="Cambria"/>
        </w:rPr>
        <w:t xml:space="preserve">0.00 </w:t>
      </w:r>
      <w:r w:rsidRPr="001442CD">
        <w:rPr>
          <w:rFonts w:ascii="Cambria" w:hAnsi="Cambria"/>
        </w:rPr>
        <w:tab/>
      </w:r>
      <w:r w:rsidRPr="001442CD">
        <w:rPr>
          <w:rFonts w:ascii="Cambria" w:hAnsi="Cambria"/>
        </w:rPr>
        <w:tab/>
      </w:r>
      <w:r w:rsidRPr="001442CD">
        <w:rPr>
          <w:rFonts w:ascii="Cambria" w:hAnsi="Cambria"/>
        </w:rPr>
        <w:tab/>
      </w:r>
      <w:r w:rsidRPr="001442CD">
        <w:rPr>
          <w:rFonts w:ascii="Cambria" w:hAnsi="Cambria"/>
        </w:rPr>
        <w:tab/>
        <w:t>No correlation</w:t>
      </w:r>
    </w:p>
    <w:p w14:paraId="143500CC" w14:textId="77777777" w:rsidR="001442CD" w:rsidRPr="001442CD" w:rsidRDefault="001442CD" w:rsidP="001442CD">
      <w:pPr>
        <w:pStyle w:val="NoSpacing"/>
        <w:jc w:val="both"/>
        <w:rPr>
          <w:rFonts w:ascii="Cambria" w:hAnsi="Cambria"/>
        </w:rPr>
      </w:pPr>
    </w:p>
    <w:p w14:paraId="506C4789" w14:textId="77777777" w:rsidR="001442CD" w:rsidRPr="001442CD" w:rsidRDefault="001442CD" w:rsidP="001442CD">
      <w:pPr>
        <w:pStyle w:val="NoSpacing"/>
        <w:jc w:val="both"/>
        <w:rPr>
          <w:rFonts w:ascii="Cambria" w:hAnsi="Cambria"/>
        </w:rPr>
      </w:pPr>
      <w:r w:rsidRPr="001442CD">
        <w:rPr>
          <w:rFonts w:ascii="Cambria" w:hAnsi="Cambria"/>
        </w:rPr>
        <w:t>The standard measure for the interpretation of the strength of the mediation is as follows:</w:t>
      </w:r>
    </w:p>
    <w:p w14:paraId="6501254D" w14:textId="77777777" w:rsidR="001442CD" w:rsidRPr="001442CD" w:rsidRDefault="001442CD" w:rsidP="001442CD">
      <w:pPr>
        <w:pStyle w:val="NoSpacing"/>
        <w:jc w:val="both"/>
        <w:rPr>
          <w:rFonts w:ascii="Cambria" w:hAnsi="Cambria"/>
        </w:rPr>
      </w:pPr>
    </w:p>
    <w:tbl>
      <w:tblPr>
        <w:tblStyle w:val="TableGrid"/>
        <w:tblW w:w="0" w:type="auto"/>
        <w:tblInd w:w="2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520"/>
      </w:tblGrid>
      <w:tr w:rsidR="001442CD" w:rsidRPr="001442CD" w14:paraId="15ED3A03" w14:textId="77777777" w:rsidTr="00312EB0">
        <w:tc>
          <w:tcPr>
            <w:tcW w:w="2610" w:type="dxa"/>
            <w:tcBorders>
              <w:bottom w:val="single" w:sz="4" w:space="0" w:color="auto"/>
            </w:tcBorders>
          </w:tcPr>
          <w:p w14:paraId="7800EAEA" w14:textId="77777777" w:rsidR="001442CD" w:rsidRPr="001442CD" w:rsidRDefault="001442CD" w:rsidP="001442CD">
            <w:pPr>
              <w:pStyle w:val="NoSpacing"/>
              <w:jc w:val="both"/>
              <w:rPr>
                <w:rFonts w:ascii="Cambria" w:hAnsi="Cambria"/>
                <w:i/>
              </w:rPr>
            </w:pPr>
            <w:r w:rsidRPr="001442CD">
              <w:rPr>
                <w:rFonts w:ascii="Cambria" w:hAnsi="Cambria"/>
                <w:i/>
              </w:rPr>
              <w:t>Proportion Mediated</w:t>
            </w:r>
          </w:p>
        </w:tc>
        <w:tc>
          <w:tcPr>
            <w:tcW w:w="2520" w:type="dxa"/>
            <w:tcBorders>
              <w:bottom w:val="single" w:sz="4" w:space="0" w:color="auto"/>
            </w:tcBorders>
          </w:tcPr>
          <w:p w14:paraId="5640FB15" w14:textId="77777777" w:rsidR="001442CD" w:rsidRPr="001442CD" w:rsidRDefault="001442CD" w:rsidP="001442CD">
            <w:pPr>
              <w:pStyle w:val="NoSpacing"/>
              <w:jc w:val="both"/>
              <w:rPr>
                <w:rFonts w:ascii="Cambria" w:hAnsi="Cambria"/>
                <w:i/>
              </w:rPr>
            </w:pPr>
            <w:r w:rsidRPr="001442CD">
              <w:rPr>
                <w:rFonts w:ascii="Cambria" w:hAnsi="Cambria"/>
                <w:i/>
              </w:rPr>
              <w:t>Interpretation</w:t>
            </w:r>
          </w:p>
        </w:tc>
      </w:tr>
      <w:tr w:rsidR="001442CD" w:rsidRPr="001442CD" w14:paraId="78ED232B" w14:textId="77777777" w:rsidTr="00312EB0">
        <w:tc>
          <w:tcPr>
            <w:tcW w:w="2610" w:type="dxa"/>
            <w:tcBorders>
              <w:top w:val="single" w:sz="4" w:space="0" w:color="auto"/>
            </w:tcBorders>
          </w:tcPr>
          <w:p w14:paraId="48D72F59" w14:textId="77777777" w:rsidR="001442CD" w:rsidRPr="001442CD" w:rsidRDefault="001442CD" w:rsidP="001442CD">
            <w:pPr>
              <w:pStyle w:val="NoSpacing"/>
              <w:jc w:val="both"/>
              <w:rPr>
                <w:rFonts w:ascii="Cambria" w:hAnsi="Cambria"/>
              </w:rPr>
            </w:pPr>
            <w:r w:rsidRPr="001442CD">
              <w:rPr>
                <w:rFonts w:ascii="Cambria" w:hAnsi="Cambria"/>
              </w:rPr>
              <w:t>&lt; 0.20</w:t>
            </w:r>
          </w:p>
        </w:tc>
        <w:tc>
          <w:tcPr>
            <w:tcW w:w="2520" w:type="dxa"/>
            <w:tcBorders>
              <w:top w:val="single" w:sz="4" w:space="0" w:color="auto"/>
            </w:tcBorders>
          </w:tcPr>
          <w:p w14:paraId="02405442" w14:textId="77777777" w:rsidR="001442CD" w:rsidRPr="001442CD" w:rsidRDefault="001442CD" w:rsidP="001442CD">
            <w:pPr>
              <w:pStyle w:val="NoSpacing"/>
              <w:jc w:val="both"/>
              <w:rPr>
                <w:rFonts w:ascii="Cambria" w:hAnsi="Cambria"/>
              </w:rPr>
            </w:pPr>
            <w:r w:rsidRPr="001442CD">
              <w:rPr>
                <w:rFonts w:ascii="Cambria" w:hAnsi="Cambria"/>
              </w:rPr>
              <w:t>Weak Mediation</w:t>
            </w:r>
          </w:p>
        </w:tc>
      </w:tr>
      <w:tr w:rsidR="001442CD" w:rsidRPr="001442CD" w14:paraId="5804220C" w14:textId="77777777" w:rsidTr="00312EB0">
        <w:tc>
          <w:tcPr>
            <w:tcW w:w="2610" w:type="dxa"/>
          </w:tcPr>
          <w:p w14:paraId="3C6B157F" w14:textId="77777777" w:rsidR="001442CD" w:rsidRPr="001442CD" w:rsidRDefault="001442CD" w:rsidP="001442CD">
            <w:pPr>
              <w:pStyle w:val="NoSpacing"/>
              <w:jc w:val="both"/>
              <w:rPr>
                <w:rFonts w:ascii="Cambria" w:hAnsi="Cambria"/>
              </w:rPr>
            </w:pPr>
            <w:r w:rsidRPr="001442CD">
              <w:rPr>
                <w:rFonts w:ascii="Cambria" w:hAnsi="Cambria"/>
              </w:rPr>
              <w:t>0.20 – 0.50</w:t>
            </w:r>
          </w:p>
        </w:tc>
        <w:tc>
          <w:tcPr>
            <w:tcW w:w="2520" w:type="dxa"/>
          </w:tcPr>
          <w:p w14:paraId="732470B1" w14:textId="77777777" w:rsidR="001442CD" w:rsidRPr="001442CD" w:rsidRDefault="001442CD" w:rsidP="001442CD">
            <w:pPr>
              <w:pStyle w:val="NoSpacing"/>
              <w:jc w:val="both"/>
              <w:rPr>
                <w:rFonts w:ascii="Cambria" w:hAnsi="Cambria"/>
              </w:rPr>
            </w:pPr>
            <w:r w:rsidRPr="001442CD">
              <w:rPr>
                <w:rFonts w:ascii="Cambria" w:hAnsi="Cambria"/>
              </w:rPr>
              <w:t>Moderate Mediation</w:t>
            </w:r>
          </w:p>
        </w:tc>
      </w:tr>
      <w:tr w:rsidR="001442CD" w:rsidRPr="001442CD" w14:paraId="2955608C" w14:textId="77777777" w:rsidTr="00312EB0">
        <w:tc>
          <w:tcPr>
            <w:tcW w:w="2610" w:type="dxa"/>
          </w:tcPr>
          <w:p w14:paraId="319B07FE" w14:textId="77777777" w:rsidR="001442CD" w:rsidRPr="001442CD" w:rsidRDefault="001442CD" w:rsidP="001442CD">
            <w:pPr>
              <w:pStyle w:val="NoSpacing"/>
              <w:jc w:val="both"/>
              <w:rPr>
                <w:rFonts w:ascii="Cambria" w:hAnsi="Cambria"/>
              </w:rPr>
            </w:pPr>
            <w:r w:rsidRPr="001442CD">
              <w:rPr>
                <w:rFonts w:ascii="Cambria" w:hAnsi="Cambria"/>
              </w:rPr>
              <w:t>&gt; 0.50</w:t>
            </w:r>
          </w:p>
        </w:tc>
        <w:tc>
          <w:tcPr>
            <w:tcW w:w="2520" w:type="dxa"/>
          </w:tcPr>
          <w:p w14:paraId="238E68C0" w14:textId="77777777" w:rsidR="001442CD" w:rsidRPr="001442CD" w:rsidRDefault="001442CD" w:rsidP="001442CD">
            <w:pPr>
              <w:pStyle w:val="NoSpacing"/>
              <w:jc w:val="both"/>
              <w:rPr>
                <w:rFonts w:ascii="Cambria" w:hAnsi="Cambria"/>
              </w:rPr>
            </w:pPr>
            <w:r w:rsidRPr="001442CD">
              <w:rPr>
                <w:rFonts w:ascii="Cambria" w:hAnsi="Cambria"/>
              </w:rPr>
              <w:t>Strong Mediation</w:t>
            </w:r>
          </w:p>
        </w:tc>
      </w:tr>
    </w:tbl>
    <w:p w14:paraId="4B65A9AF" w14:textId="77777777" w:rsidR="001442CD" w:rsidRPr="001442CD" w:rsidRDefault="001442CD" w:rsidP="001442CD">
      <w:pPr>
        <w:pStyle w:val="NoSpacing"/>
        <w:jc w:val="both"/>
        <w:rPr>
          <w:rFonts w:ascii="Cambria" w:hAnsi="Cambria"/>
        </w:rPr>
      </w:pPr>
    </w:p>
    <w:p w14:paraId="162B7BB7" w14:textId="77777777" w:rsidR="001442CD" w:rsidRPr="001442CD" w:rsidRDefault="001442CD" w:rsidP="001442CD">
      <w:pPr>
        <w:pStyle w:val="NoSpacing"/>
        <w:jc w:val="both"/>
        <w:rPr>
          <w:rFonts w:ascii="Cambria" w:hAnsi="Cambria"/>
        </w:rPr>
      </w:pPr>
    </w:p>
    <w:p w14:paraId="1D35C67E" w14:textId="77777777" w:rsidR="001442CD" w:rsidRPr="001442CD" w:rsidRDefault="001442CD" w:rsidP="001442CD">
      <w:pPr>
        <w:pStyle w:val="NoSpacing"/>
        <w:jc w:val="both"/>
        <w:rPr>
          <w:rFonts w:ascii="Cambria" w:eastAsia="Arial" w:hAnsi="Cambria"/>
          <w:i/>
          <w:iCs/>
        </w:rPr>
      </w:pPr>
      <w:r w:rsidRPr="001442CD">
        <w:rPr>
          <w:rFonts w:ascii="Cambria" w:eastAsia="Arial" w:hAnsi="Cambria"/>
          <w:i/>
          <w:iCs/>
        </w:rPr>
        <w:t>Ethical Considerations</w:t>
      </w:r>
    </w:p>
    <w:p w14:paraId="330C8D4A" w14:textId="77777777" w:rsidR="001442CD" w:rsidRPr="001442CD" w:rsidRDefault="001442CD" w:rsidP="001442CD">
      <w:pPr>
        <w:pStyle w:val="NoSpacing"/>
        <w:jc w:val="both"/>
        <w:rPr>
          <w:rFonts w:ascii="Cambria" w:eastAsia="Arial" w:hAnsi="Cambria"/>
          <w:i/>
          <w:iCs/>
        </w:rPr>
      </w:pPr>
    </w:p>
    <w:p w14:paraId="78DA52CD" w14:textId="78DD3F0F" w:rsidR="001442CD" w:rsidRPr="001442CD" w:rsidRDefault="001442CD" w:rsidP="001442CD">
      <w:pPr>
        <w:pStyle w:val="NoSpacing"/>
        <w:jc w:val="both"/>
        <w:rPr>
          <w:rFonts w:ascii="Cambria" w:eastAsia="Arial" w:hAnsi="Cambria"/>
        </w:rPr>
      </w:pPr>
      <w:r w:rsidRPr="001442CD">
        <w:rPr>
          <w:rFonts w:ascii="Cambria" w:eastAsia="Arial" w:hAnsi="Cambria"/>
        </w:rPr>
        <w:t xml:space="preserve">Respondents were fully informed about the study's purpose, procedures, and their right to withdraw at any time, and informed consent was obtained prior to data collection. Participants' identities will remain confidential through the use of anonymized data and secure storage systems, with access limited solely to the research team. The study was designed to prevent harm, ensuring that participants are fully aware of their rights and are free to withdraw at any point without penalty. The research was conducted with honesty, integrity, and respect, safeguarding participants' privacy and recognizing the value of their contributions. Ethical approval was secured from the SMILE Ethics Board, and permission to conduct the study was respectfully sought and obtained from the Vice President for Academic Affairs (VPAA). Efforts have been made to maximize benefits, minimize potential risks, and ensure fairness throughout the research process, with findings reported transparently and any potential conflicts of interest properly disclosed to uphold the integrity of the research. </w:t>
      </w:r>
    </w:p>
    <w:p w14:paraId="59A21431" w14:textId="77777777" w:rsidR="001442CD" w:rsidRDefault="001442CD" w:rsidP="001442CD">
      <w:pPr>
        <w:pStyle w:val="NoSpacing"/>
        <w:jc w:val="both"/>
        <w:rPr>
          <w:rFonts w:ascii="Cambria" w:hAnsi="Cambria"/>
        </w:rPr>
      </w:pPr>
    </w:p>
    <w:p w14:paraId="39ED7A36" w14:textId="77777777" w:rsidR="001442CD" w:rsidRPr="001442CD" w:rsidRDefault="001442CD" w:rsidP="001442CD">
      <w:pPr>
        <w:pStyle w:val="NoSpacing"/>
        <w:jc w:val="both"/>
        <w:rPr>
          <w:rFonts w:ascii="Cambria" w:hAnsi="Cambria"/>
        </w:rPr>
      </w:pPr>
    </w:p>
    <w:p w14:paraId="66763E5C" w14:textId="77777777" w:rsidR="001442CD" w:rsidRPr="001442CD" w:rsidRDefault="001442CD" w:rsidP="001442CD">
      <w:pPr>
        <w:pStyle w:val="NoSpacing"/>
        <w:jc w:val="both"/>
        <w:rPr>
          <w:rFonts w:ascii="Cambria" w:hAnsi="Cambria"/>
        </w:rPr>
      </w:pPr>
      <w:r w:rsidRPr="001442CD">
        <w:rPr>
          <w:rFonts w:ascii="Cambria" w:hAnsi="Cambria"/>
        </w:rPr>
        <w:t>RESULTS</w:t>
      </w:r>
    </w:p>
    <w:p w14:paraId="614339F8" w14:textId="77777777" w:rsidR="001442CD" w:rsidRPr="001442CD" w:rsidRDefault="001442CD" w:rsidP="001442CD">
      <w:pPr>
        <w:pStyle w:val="NoSpacing"/>
        <w:jc w:val="both"/>
        <w:rPr>
          <w:rFonts w:ascii="Cambria" w:hAnsi="Cambria"/>
        </w:rPr>
      </w:pPr>
    </w:p>
    <w:p w14:paraId="6B13C42B" w14:textId="77777777" w:rsidR="001442CD" w:rsidRPr="001442CD" w:rsidRDefault="001442CD" w:rsidP="001442CD">
      <w:pPr>
        <w:pStyle w:val="NoSpacing"/>
        <w:jc w:val="both"/>
        <w:rPr>
          <w:rFonts w:ascii="Cambria" w:hAnsi="Cambria"/>
        </w:rPr>
      </w:pPr>
      <w:r w:rsidRPr="001442CD">
        <w:rPr>
          <w:rFonts w:ascii="Cambria" w:hAnsi="Cambria"/>
        </w:rPr>
        <w:t xml:space="preserve">Included in this chapter are the results of the descriptive, correlation, and mediation analysis. The summary of findings is also presented. </w:t>
      </w:r>
    </w:p>
    <w:p w14:paraId="7059A718" w14:textId="77777777" w:rsidR="001442CD" w:rsidRPr="001442CD" w:rsidRDefault="001442CD" w:rsidP="001442CD">
      <w:pPr>
        <w:pStyle w:val="NoSpacing"/>
        <w:jc w:val="both"/>
        <w:rPr>
          <w:rFonts w:ascii="Cambria" w:hAnsi="Cambria"/>
        </w:rPr>
      </w:pPr>
    </w:p>
    <w:p w14:paraId="3A6C3F20" w14:textId="77777777" w:rsidR="001442CD" w:rsidRPr="001442CD" w:rsidRDefault="001442CD" w:rsidP="001442CD">
      <w:pPr>
        <w:pStyle w:val="NoSpacing"/>
        <w:jc w:val="both"/>
        <w:rPr>
          <w:rFonts w:ascii="Cambria" w:hAnsi="Cambria"/>
          <w:i/>
          <w:iCs/>
        </w:rPr>
      </w:pPr>
      <w:r w:rsidRPr="001442CD">
        <w:rPr>
          <w:rFonts w:ascii="Cambria" w:hAnsi="Cambria"/>
          <w:i/>
          <w:iCs/>
        </w:rPr>
        <w:t>Descriptive Results</w:t>
      </w:r>
    </w:p>
    <w:p w14:paraId="65BE8EC2" w14:textId="77777777" w:rsidR="001442CD" w:rsidRPr="001442CD" w:rsidRDefault="001442CD" w:rsidP="001442CD">
      <w:pPr>
        <w:pStyle w:val="NoSpacing"/>
        <w:jc w:val="both"/>
        <w:rPr>
          <w:rFonts w:ascii="Cambria" w:hAnsi="Cambria"/>
        </w:rPr>
      </w:pPr>
    </w:p>
    <w:p w14:paraId="5A77840A" w14:textId="77777777" w:rsidR="001442CD" w:rsidRPr="001442CD" w:rsidRDefault="001442CD" w:rsidP="001442CD">
      <w:pPr>
        <w:pStyle w:val="NoSpacing"/>
        <w:jc w:val="both"/>
        <w:rPr>
          <w:rFonts w:ascii="Cambria" w:hAnsi="Cambria"/>
        </w:rPr>
      </w:pPr>
      <w:r w:rsidRPr="001442CD">
        <w:rPr>
          <w:rFonts w:ascii="Cambria" w:hAnsi="Cambria"/>
        </w:rPr>
        <w:t>Table 1 is descriptive. Shown in Table 1 are the mean, standard deviation, and descriptive interpretation of respondents' basic biotechnology knowledge, attitude towards genetically modified foods, and acceptance of genetically modified foods.</w:t>
      </w:r>
    </w:p>
    <w:p w14:paraId="36114C20" w14:textId="77777777" w:rsidR="001442CD" w:rsidRPr="001442CD" w:rsidRDefault="001442CD" w:rsidP="001442CD">
      <w:pPr>
        <w:pStyle w:val="NoSpacing"/>
        <w:jc w:val="both"/>
        <w:rPr>
          <w:rFonts w:ascii="Cambria" w:hAnsi="Cambria"/>
        </w:rPr>
      </w:pPr>
    </w:p>
    <w:p w14:paraId="50A22EF5" w14:textId="77777777" w:rsidR="001442CD" w:rsidRPr="001442CD" w:rsidRDefault="001442CD" w:rsidP="001442CD">
      <w:pPr>
        <w:pStyle w:val="NoSpacing"/>
        <w:jc w:val="both"/>
        <w:rPr>
          <w:rFonts w:ascii="Cambria" w:hAnsi="Cambria"/>
        </w:rPr>
      </w:pPr>
      <w:r w:rsidRPr="001442CD">
        <w:rPr>
          <w:rFonts w:ascii="Cambria" w:hAnsi="Cambria"/>
        </w:rPr>
        <w:t>Table 1. Descriptive Statistics (N = 576)</w:t>
      </w:r>
    </w:p>
    <w:tbl>
      <w:tblPr>
        <w:tblStyle w:val="TableGrid"/>
        <w:tblW w:w="885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2"/>
        <w:gridCol w:w="1318"/>
        <w:gridCol w:w="859"/>
        <w:gridCol w:w="2574"/>
      </w:tblGrid>
      <w:tr w:rsidR="001442CD" w:rsidRPr="001442CD" w14:paraId="75151BE5" w14:textId="77777777" w:rsidTr="00312EB0">
        <w:trPr>
          <w:trHeight w:val="534"/>
        </w:trPr>
        <w:tc>
          <w:tcPr>
            <w:tcW w:w="4102" w:type="dxa"/>
            <w:tcBorders>
              <w:top w:val="single" w:sz="4" w:space="0" w:color="auto"/>
              <w:bottom w:val="single" w:sz="4" w:space="0" w:color="auto"/>
            </w:tcBorders>
            <w:vAlign w:val="center"/>
          </w:tcPr>
          <w:p w14:paraId="78F043D8" w14:textId="77777777" w:rsidR="001442CD" w:rsidRPr="001442CD" w:rsidRDefault="001442CD" w:rsidP="001442CD">
            <w:pPr>
              <w:pStyle w:val="NoSpacing"/>
              <w:jc w:val="both"/>
              <w:rPr>
                <w:rFonts w:ascii="Cambria" w:hAnsi="Cambria"/>
              </w:rPr>
            </w:pPr>
            <w:r w:rsidRPr="001442CD">
              <w:rPr>
                <w:rFonts w:ascii="Cambria" w:hAnsi="Cambria"/>
              </w:rPr>
              <w:t>Variable</w:t>
            </w:r>
          </w:p>
        </w:tc>
        <w:tc>
          <w:tcPr>
            <w:tcW w:w="1318" w:type="dxa"/>
            <w:tcBorders>
              <w:top w:val="single" w:sz="4" w:space="0" w:color="auto"/>
              <w:bottom w:val="single" w:sz="4" w:space="0" w:color="auto"/>
            </w:tcBorders>
            <w:vAlign w:val="center"/>
          </w:tcPr>
          <w:p w14:paraId="3467A351" w14:textId="77777777" w:rsidR="001442CD" w:rsidRPr="001442CD" w:rsidRDefault="001442CD" w:rsidP="001442CD">
            <w:pPr>
              <w:pStyle w:val="NoSpacing"/>
              <w:jc w:val="both"/>
              <w:rPr>
                <w:rFonts w:ascii="Cambria" w:hAnsi="Cambria"/>
              </w:rPr>
            </w:pPr>
            <w:r w:rsidRPr="001442CD">
              <w:rPr>
                <w:rFonts w:ascii="Cambria" w:hAnsi="Cambria"/>
              </w:rPr>
              <w:t>Standard</w:t>
            </w:r>
          </w:p>
          <w:p w14:paraId="06F118FF" w14:textId="77777777" w:rsidR="001442CD" w:rsidRPr="001442CD" w:rsidRDefault="001442CD" w:rsidP="001442CD">
            <w:pPr>
              <w:pStyle w:val="NoSpacing"/>
              <w:jc w:val="both"/>
              <w:rPr>
                <w:rFonts w:ascii="Cambria" w:hAnsi="Cambria"/>
              </w:rPr>
            </w:pPr>
            <w:r w:rsidRPr="001442CD">
              <w:rPr>
                <w:rFonts w:ascii="Cambria" w:hAnsi="Cambria"/>
              </w:rPr>
              <w:t>Deviation</w:t>
            </w:r>
          </w:p>
        </w:tc>
        <w:tc>
          <w:tcPr>
            <w:tcW w:w="859" w:type="dxa"/>
            <w:tcBorders>
              <w:top w:val="single" w:sz="4" w:space="0" w:color="auto"/>
              <w:bottom w:val="single" w:sz="4" w:space="0" w:color="auto"/>
            </w:tcBorders>
            <w:vAlign w:val="center"/>
          </w:tcPr>
          <w:p w14:paraId="6A589573" w14:textId="77777777" w:rsidR="001442CD" w:rsidRPr="001442CD" w:rsidRDefault="001442CD" w:rsidP="001442CD">
            <w:pPr>
              <w:pStyle w:val="NoSpacing"/>
              <w:jc w:val="both"/>
              <w:rPr>
                <w:rFonts w:ascii="Cambria" w:hAnsi="Cambria"/>
              </w:rPr>
            </w:pPr>
            <w:r w:rsidRPr="001442CD">
              <w:rPr>
                <w:rFonts w:ascii="Cambria" w:hAnsi="Cambria"/>
              </w:rPr>
              <w:t>Mean</w:t>
            </w:r>
          </w:p>
        </w:tc>
        <w:tc>
          <w:tcPr>
            <w:tcW w:w="2574" w:type="dxa"/>
            <w:tcBorders>
              <w:top w:val="single" w:sz="4" w:space="0" w:color="auto"/>
              <w:bottom w:val="single" w:sz="4" w:space="0" w:color="auto"/>
            </w:tcBorders>
            <w:vAlign w:val="center"/>
          </w:tcPr>
          <w:p w14:paraId="636A3A10" w14:textId="77777777" w:rsidR="001442CD" w:rsidRPr="001442CD" w:rsidRDefault="001442CD" w:rsidP="001442CD">
            <w:pPr>
              <w:pStyle w:val="NoSpacing"/>
              <w:jc w:val="both"/>
              <w:rPr>
                <w:rFonts w:ascii="Cambria" w:hAnsi="Cambria"/>
              </w:rPr>
            </w:pPr>
            <w:r w:rsidRPr="001442CD">
              <w:rPr>
                <w:rFonts w:ascii="Cambria" w:hAnsi="Cambria"/>
              </w:rPr>
              <w:t>Descriptive</w:t>
            </w:r>
          </w:p>
          <w:p w14:paraId="7D42571E" w14:textId="77777777" w:rsidR="001442CD" w:rsidRPr="001442CD" w:rsidRDefault="001442CD" w:rsidP="001442CD">
            <w:pPr>
              <w:pStyle w:val="NoSpacing"/>
              <w:jc w:val="both"/>
              <w:rPr>
                <w:rFonts w:ascii="Cambria" w:hAnsi="Cambria"/>
              </w:rPr>
            </w:pPr>
            <w:r w:rsidRPr="001442CD">
              <w:rPr>
                <w:rFonts w:ascii="Cambria" w:hAnsi="Cambria"/>
              </w:rPr>
              <w:t>Level</w:t>
            </w:r>
          </w:p>
        </w:tc>
      </w:tr>
      <w:tr w:rsidR="001442CD" w:rsidRPr="001442CD" w14:paraId="6C3FA466" w14:textId="77777777" w:rsidTr="00312EB0">
        <w:trPr>
          <w:trHeight w:val="534"/>
        </w:trPr>
        <w:tc>
          <w:tcPr>
            <w:tcW w:w="4102" w:type="dxa"/>
            <w:tcBorders>
              <w:top w:val="single" w:sz="4" w:space="0" w:color="auto"/>
            </w:tcBorders>
          </w:tcPr>
          <w:p w14:paraId="45DC2617" w14:textId="77777777" w:rsidR="001442CD" w:rsidRPr="001442CD" w:rsidRDefault="001442CD" w:rsidP="001442CD">
            <w:pPr>
              <w:pStyle w:val="NoSpacing"/>
              <w:jc w:val="both"/>
              <w:rPr>
                <w:rFonts w:ascii="Cambria" w:hAnsi="Cambria"/>
              </w:rPr>
            </w:pPr>
            <w:r w:rsidRPr="001442CD">
              <w:rPr>
                <w:rFonts w:ascii="Cambria" w:hAnsi="Cambria"/>
              </w:rPr>
              <w:t>Basic Biotechnology Knowledge</w:t>
            </w:r>
          </w:p>
        </w:tc>
        <w:tc>
          <w:tcPr>
            <w:tcW w:w="1318" w:type="dxa"/>
            <w:tcBorders>
              <w:top w:val="single" w:sz="4" w:space="0" w:color="auto"/>
            </w:tcBorders>
            <w:vAlign w:val="center"/>
          </w:tcPr>
          <w:p w14:paraId="29AE0A9C" w14:textId="77777777" w:rsidR="001442CD" w:rsidRPr="001442CD" w:rsidRDefault="001442CD" w:rsidP="001442CD">
            <w:pPr>
              <w:pStyle w:val="NoSpacing"/>
              <w:jc w:val="both"/>
              <w:rPr>
                <w:rFonts w:ascii="Cambria" w:hAnsi="Cambria"/>
              </w:rPr>
            </w:pPr>
            <w:r w:rsidRPr="001442CD">
              <w:rPr>
                <w:rFonts w:ascii="Cambria" w:hAnsi="Cambria"/>
              </w:rPr>
              <w:t>0.420</w:t>
            </w:r>
          </w:p>
        </w:tc>
        <w:tc>
          <w:tcPr>
            <w:tcW w:w="859" w:type="dxa"/>
            <w:tcBorders>
              <w:top w:val="single" w:sz="4" w:space="0" w:color="auto"/>
            </w:tcBorders>
            <w:vAlign w:val="center"/>
          </w:tcPr>
          <w:p w14:paraId="14D9DCBD" w14:textId="77777777" w:rsidR="001442CD" w:rsidRPr="001442CD" w:rsidRDefault="001442CD" w:rsidP="001442CD">
            <w:pPr>
              <w:pStyle w:val="NoSpacing"/>
              <w:jc w:val="both"/>
              <w:rPr>
                <w:rFonts w:ascii="Cambria" w:hAnsi="Cambria"/>
              </w:rPr>
            </w:pPr>
            <w:r w:rsidRPr="001442CD">
              <w:rPr>
                <w:rFonts w:ascii="Cambria" w:hAnsi="Cambria"/>
              </w:rPr>
              <w:t>3.18</w:t>
            </w:r>
          </w:p>
        </w:tc>
        <w:tc>
          <w:tcPr>
            <w:tcW w:w="2574" w:type="dxa"/>
            <w:tcBorders>
              <w:top w:val="single" w:sz="4" w:space="0" w:color="auto"/>
            </w:tcBorders>
            <w:vAlign w:val="center"/>
          </w:tcPr>
          <w:p w14:paraId="04F5FEE1" w14:textId="77777777" w:rsidR="001442CD" w:rsidRPr="001442CD" w:rsidRDefault="001442CD" w:rsidP="001442CD">
            <w:pPr>
              <w:pStyle w:val="NoSpacing"/>
              <w:jc w:val="both"/>
              <w:rPr>
                <w:rFonts w:ascii="Cambria" w:hAnsi="Cambria"/>
              </w:rPr>
            </w:pPr>
            <w:r w:rsidRPr="001442CD">
              <w:rPr>
                <w:rFonts w:ascii="Cambria" w:hAnsi="Cambria"/>
              </w:rPr>
              <w:t>High</w:t>
            </w:r>
          </w:p>
        </w:tc>
      </w:tr>
      <w:tr w:rsidR="001442CD" w:rsidRPr="001442CD" w14:paraId="6BDCC7DD" w14:textId="77777777" w:rsidTr="00312EB0">
        <w:trPr>
          <w:trHeight w:val="534"/>
        </w:trPr>
        <w:tc>
          <w:tcPr>
            <w:tcW w:w="4102" w:type="dxa"/>
          </w:tcPr>
          <w:p w14:paraId="6092D2C4" w14:textId="77777777" w:rsidR="001442CD" w:rsidRPr="001442CD" w:rsidRDefault="001442CD" w:rsidP="001442CD">
            <w:pPr>
              <w:pStyle w:val="NoSpacing"/>
              <w:jc w:val="both"/>
              <w:rPr>
                <w:rFonts w:ascii="Cambria" w:hAnsi="Cambria"/>
                <w:i/>
                <w:iCs/>
              </w:rPr>
            </w:pPr>
            <w:r w:rsidRPr="001442CD">
              <w:rPr>
                <w:rFonts w:ascii="Cambria" w:hAnsi="Cambria"/>
                <w:i/>
                <w:iCs/>
              </w:rPr>
              <w:lastRenderedPageBreak/>
              <w:t>Laboratory Methods and Techniques</w:t>
            </w:r>
          </w:p>
        </w:tc>
        <w:tc>
          <w:tcPr>
            <w:tcW w:w="1318" w:type="dxa"/>
            <w:vAlign w:val="center"/>
          </w:tcPr>
          <w:p w14:paraId="7BAC90D3" w14:textId="77777777" w:rsidR="001442CD" w:rsidRPr="001442CD" w:rsidRDefault="001442CD" w:rsidP="001442CD">
            <w:pPr>
              <w:pStyle w:val="NoSpacing"/>
              <w:jc w:val="both"/>
              <w:rPr>
                <w:rFonts w:ascii="Cambria" w:hAnsi="Cambria"/>
              </w:rPr>
            </w:pPr>
            <w:r w:rsidRPr="001442CD">
              <w:rPr>
                <w:rFonts w:ascii="Cambria" w:hAnsi="Cambria"/>
              </w:rPr>
              <w:t>0.593</w:t>
            </w:r>
          </w:p>
        </w:tc>
        <w:tc>
          <w:tcPr>
            <w:tcW w:w="859" w:type="dxa"/>
            <w:vAlign w:val="center"/>
          </w:tcPr>
          <w:p w14:paraId="263CF6E0" w14:textId="77777777" w:rsidR="001442CD" w:rsidRPr="001442CD" w:rsidRDefault="001442CD" w:rsidP="001442CD">
            <w:pPr>
              <w:pStyle w:val="NoSpacing"/>
              <w:jc w:val="both"/>
              <w:rPr>
                <w:rFonts w:ascii="Cambria" w:hAnsi="Cambria"/>
              </w:rPr>
            </w:pPr>
            <w:r w:rsidRPr="001442CD">
              <w:rPr>
                <w:rFonts w:ascii="Cambria" w:hAnsi="Cambria"/>
              </w:rPr>
              <w:t>3.15</w:t>
            </w:r>
          </w:p>
        </w:tc>
        <w:tc>
          <w:tcPr>
            <w:tcW w:w="2574" w:type="dxa"/>
            <w:vAlign w:val="center"/>
          </w:tcPr>
          <w:p w14:paraId="0BD7AB8C" w14:textId="77777777" w:rsidR="001442CD" w:rsidRPr="001442CD" w:rsidRDefault="001442CD" w:rsidP="001442CD">
            <w:pPr>
              <w:pStyle w:val="NoSpacing"/>
              <w:jc w:val="both"/>
              <w:rPr>
                <w:rFonts w:ascii="Cambria" w:hAnsi="Cambria"/>
              </w:rPr>
            </w:pPr>
            <w:r w:rsidRPr="001442CD">
              <w:rPr>
                <w:rFonts w:ascii="Cambria" w:hAnsi="Cambria"/>
              </w:rPr>
              <w:t>High</w:t>
            </w:r>
          </w:p>
        </w:tc>
      </w:tr>
      <w:tr w:rsidR="001442CD" w:rsidRPr="001442CD" w14:paraId="242871A8" w14:textId="77777777" w:rsidTr="00312EB0">
        <w:trPr>
          <w:trHeight w:val="278"/>
        </w:trPr>
        <w:tc>
          <w:tcPr>
            <w:tcW w:w="4102" w:type="dxa"/>
          </w:tcPr>
          <w:p w14:paraId="0FEC575C" w14:textId="77777777" w:rsidR="001442CD" w:rsidRPr="001442CD" w:rsidRDefault="001442CD" w:rsidP="001442CD">
            <w:pPr>
              <w:pStyle w:val="NoSpacing"/>
              <w:jc w:val="both"/>
              <w:rPr>
                <w:rFonts w:ascii="Cambria" w:hAnsi="Cambria"/>
                <w:i/>
                <w:iCs/>
              </w:rPr>
            </w:pPr>
            <w:r w:rsidRPr="001442CD">
              <w:rPr>
                <w:rFonts w:ascii="Cambria" w:hAnsi="Cambria"/>
                <w:i/>
                <w:iCs/>
              </w:rPr>
              <w:t>Real-Life Practices</w:t>
            </w:r>
          </w:p>
        </w:tc>
        <w:tc>
          <w:tcPr>
            <w:tcW w:w="1318" w:type="dxa"/>
            <w:vAlign w:val="center"/>
          </w:tcPr>
          <w:p w14:paraId="78E01173" w14:textId="77777777" w:rsidR="001442CD" w:rsidRPr="001442CD" w:rsidRDefault="001442CD" w:rsidP="001442CD">
            <w:pPr>
              <w:pStyle w:val="NoSpacing"/>
              <w:jc w:val="both"/>
              <w:rPr>
                <w:rFonts w:ascii="Cambria" w:hAnsi="Cambria"/>
              </w:rPr>
            </w:pPr>
            <w:r w:rsidRPr="001442CD">
              <w:rPr>
                <w:rFonts w:ascii="Cambria" w:hAnsi="Cambria"/>
              </w:rPr>
              <w:t>0.608</w:t>
            </w:r>
          </w:p>
        </w:tc>
        <w:tc>
          <w:tcPr>
            <w:tcW w:w="859" w:type="dxa"/>
            <w:vAlign w:val="center"/>
          </w:tcPr>
          <w:p w14:paraId="470A6F59" w14:textId="77777777" w:rsidR="001442CD" w:rsidRPr="001442CD" w:rsidRDefault="001442CD" w:rsidP="001442CD">
            <w:pPr>
              <w:pStyle w:val="NoSpacing"/>
              <w:jc w:val="both"/>
              <w:rPr>
                <w:rFonts w:ascii="Cambria" w:hAnsi="Cambria"/>
              </w:rPr>
            </w:pPr>
            <w:r w:rsidRPr="001442CD">
              <w:rPr>
                <w:rFonts w:ascii="Cambria" w:hAnsi="Cambria"/>
              </w:rPr>
              <w:t>3.18</w:t>
            </w:r>
          </w:p>
        </w:tc>
        <w:tc>
          <w:tcPr>
            <w:tcW w:w="2574" w:type="dxa"/>
            <w:vAlign w:val="center"/>
          </w:tcPr>
          <w:p w14:paraId="765E8BDC" w14:textId="77777777" w:rsidR="001442CD" w:rsidRPr="001442CD" w:rsidRDefault="001442CD" w:rsidP="001442CD">
            <w:pPr>
              <w:pStyle w:val="NoSpacing"/>
              <w:jc w:val="both"/>
              <w:rPr>
                <w:rFonts w:ascii="Cambria" w:hAnsi="Cambria"/>
              </w:rPr>
            </w:pPr>
            <w:r w:rsidRPr="001442CD">
              <w:rPr>
                <w:rFonts w:ascii="Cambria" w:hAnsi="Cambria"/>
              </w:rPr>
              <w:t>High</w:t>
            </w:r>
          </w:p>
        </w:tc>
      </w:tr>
      <w:tr w:rsidR="001442CD" w:rsidRPr="001442CD" w14:paraId="0E265833" w14:textId="77777777" w:rsidTr="00312EB0">
        <w:trPr>
          <w:trHeight w:val="266"/>
        </w:trPr>
        <w:tc>
          <w:tcPr>
            <w:tcW w:w="4102" w:type="dxa"/>
          </w:tcPr>
          <w:p w14:paraId="3E9D01E3" w14:textId="77777777" w:rsidR="001442CD" w:rsidRPr="001442CD" w:rsidRDefault="001442CD" w:rsidP="001442CD">
            <w:pPr>
              <w:pStyle w:val="NoSpacing"/>
              <w:jc w:val="both"/>
              <w:rPr>
                <w:rFonts w:ascii="Cambria" w:hAnsi="Cambria"/>
                <w:i/>
                <w:iCs/>
              </w:rPr>
            </w:pPr>
            <w:r w:rsidRPr="001442CD">
              <w:rPr>
                <w:rFonts w:ascii="Cambria" w:hAnsi="Cambria"/>
                <w:i/>
                <w:iCs/>
              </w:rPr>
              <w:t>Effects of Biotechnology</w:t>
            </w:r>
          </w:p>
        </w:tc>
        <w:tc>
          <w:tcPr>
            <w:tcW w:w="1318" w:type="dxa"/>
            <w:vAlign w:val="center"/>
          </w:tcPr>
          <w:p w14:paraId="285E42B9" w14:textId="77777777" w:rsidR="001442CD" w:rsidRPr="001442CD" w:rsidRDefault="001442CD" w:rsidP="001442CD">
            <w:pPr>
              <w:pStyle w:val="NoSpacing"/>
              <w:jc w:val="both"/>
              <w:rPr>
                <w:rFonts w:ascii="Cambria" w:hAnsi="Cambria"/>
              </w:rPr>
            </w:pPr>
            <w:r w:rsidRPr="001442CD">
              <w:rPr>
                <w:rFonts w:ascii="Cambria" w:hAnsi="Cambria"/>
              </w:rPr>
              <w:t>0.562</w:t>
            </w:r>
          </w:p>
        </w:tc>
        <w:tc>
          <w:tcPr>
            <w:tcW w:w="859" w:type="dxa"/>
            <w:vAlign w:val="center"/>
          </w:tcPr>
          <w:p w14:paraId="43328434" w14:textId="77777777" w:rsidR="001442CD" w:rsidRPr="001442CD" w:rsidRDefault="001442CD" w:rsidP="001442CD">
            <w:pPr>
              <w:pStyle w:val="NoSpacing"/>
              <w:jc w:val="both"/>
              <w:rPr>
                <w:rFonts w:ascii="Cambria" w:hAnsi="Cambria"/>
              </w:rPr>
            </w:pPr>
            <w:r w:rsidRPr="001442CD">
              <w:rPr>
                <w:rFonts w:ascii="Cambria" w:hAnsi="Cambria"/>
              </w:rPr>
              <w:t>3.22</w:t>
            </w:r>
          </w:p>
        </w:tc>
        <w:tc>
          <w:tcPr>
            <w:tcW w:w="2574" w:type="dxa"/>
            <w:vAlign w:val="center"/>
          </w:tcPr>
          <w:p w14:paraId="0406A64C" w14:textId="77777777" w:rsidR="001442CD" w:rsidRPr="001442CD" w:rsidRDefault="001442CD" w:rsidP="001442CD">
            <w:pPr>
              <w:pStyle w:val="NoSpacing"/>
              <w:jc w:val="both"/>
              <w:rPr>
                <w:rFonts w:ascii="Cambria" w:hAnsi="Cambria"/>
              </w:rPr>
            </w:pPr>
            <w:r w:rsidRPr="001442CD">
              <w:rPr>
                <w:rFonts w:ascii="Cambria" w:hAnsi="Cambria"/>
              </w:rPr>
              <w:t>High</w:t>
            </w:r>
          </w:p>
        </w:tc>
      </w:tr>
      <w:tr w:rsidR="001442CD" w:rsidRPr="001442CD" w14:paraId="3DA9285B" w14:textId="77777777" w:rsidTr="00312EB0">
        <w:trPr>
          <w:trHeight w:val="534"/>
        </w:trPr>
        <w:tc>
          <w:tcPr>
            <w:tcW w:w="4102" w:type="dxa"/>
          </w:tcPr>
          <w:p w14:paraId="701264E8" w14:textId="77777777" w:rsidR="001442CD" w:rsidRPr="001442CD" w:rsidRDefault="001442CD" w:rsidP="001442CD">
            <w:pPr>
              <w:pStyle w:val="NoSpacing"/>
              <w:jc w:val="both"/>
              <w:rPr>
                <w:rFonts w:ascii="Cambria" w:hAnsi="Cambria"/>
              </w:rPr>
            </w:pPr>
            <w:r w:rsidRPr="001442CD">
              <w:rPr>
                <w:rFonts w:ascii="Cambria" w:hAnsi="Cambria"/>
              </w:rPr>
              <w:t>Attitude Towards Genetically Modified Foods</w:t>
            </w:r>
          </w:p>
        </w:tc>
        <w:tc>
          <w:tcPr>
            <w:tcW w:w="1318" w:type="dxa"/>
            <w:vAlign w:val="center"/>
          </w:tcPr>
          <w:p w14:paraId="0CB603F5" w14:textId="77777777" w:rsidR="001442CD" w:rsidRPr="001442CD" w:rsidRDefault="001442CD" w:rsidP="001442CD">
            <w:pPr>
              <w:pStyle w:val="NoSpacing"/>
              <w:jc w:val="both"/>
              <w:rPr>
                <w:rFonts w:ascii="Cambria" w:hAnsi="Cambria"/>
              </w:rPr>
            </w:pPr>
            <w:r w:rsidRPr="001442CD">
              <w:rPr>
                <w:rFonts w:ascii="Cambria" w:hAnsi="Cambria"/>
              </w:rPr>
              <w:t>0.433</w:t>
            </w:r>
          </w:p>
        </w:tc>
        <w:tc>
          <w:tcPr>
            <w:tcW w:w="859" w:type="dxa"/>
            <w:vAlign w:val="center"/>
          </w:tcPr>
          <w:p w14:paraId="3DC2823B" w14:textId="77777777" w:rsidR="001442CD" w:rsidRPr="001442CD" w:rsidRDefault="001442CD" w:rsidP="001442CD">
            <w:pPr>
              <w:pStyle w:val="NoSpacing"/>
              <w:jc w:val="both"/>
              <w:rPr>
                <w:rFonts w:ascii="Cambria" w:hAnsi="Cambria"/>
              </w:rPr>
            </w:pPr>
            <w:r w:rsidRPr="001442CD">
              <w:rPr>
                <w:rFonts w:ascii="Cambria" w:hAnsi="Cambria"/>
              </w:rPr>
              <w:t>3.19</w:t>
            </w:r>
          </w:p>
        </w:tc>
        <w:tc>
          <w:tcPr>
            <w:tcW w:w="2574" w:type="dxa"/>
            <w:vAlign w:val="center"/>
          </w:tcPr>
          <w:p w14:paraId="6A0ADC0F" w14:textId="77777777" w:rsidR="001442CD" w:rsidRPr="001442CD" w:rsidRDefault="001442CD" w:rsidP="001442CD">
            <w:pPr>
              <w:pStyle w:val="NoSpacing"/>
              <w:jc w:val="both"/>
              <w:rPr>
                <w:rFonts w:ascii="Cambria" w:hAnsi="Cambria"/>
              </w:rPr>
            </w:pPr>
            <w:r w:rsidRPr="001442CD">
              <w:rPr>
                <w:rFonts w:ascii="Cambria" w:hAnsi="Cambria"/>
              </w:rPr>
              <w:t>High</w:t>
            </w:r>
          </w:p>
        </w:tc>
      </w:tr>
      <w:tr w:rsidR="001442CD" w:rsidRPr="001442CD" w14:paraId="4FF682CD" w14:textId="77777777" w:rsidTr="00312EB0">
        <w:trPr>
          <w:trHeight w:val="534"/>
        </w:trPr>
        <w:tc>
          <w:tcPr>
            <w:tcW w:w="4102" w:type="dxa"/>
          </w:tcPr>
          <w:p w14:paraId="1D7DFD08" w14:textId="77777777" w:rsidR="001442CD" w:rsidRPr="001442CD" w:rsidRDefault="001442CD" w:rsidP="001442CD">
            <w:pPr>
              <w:pStyle w:val="NoSpacing"/>
              <w:jc w:val="both"/>
              <w:rPr>
                <w:rFonts w:ascii="Cambria" w:hAnsi="Cambria"/>
                <w:i/>
                <w:iCs/>
              </w:rPr>
            </w:pPr>
            <w:r w:rsidRPr="001442CD">
              <w:rPr>
                <w:rFonts w:ascii="Cambria" w:hAnsi="Cambria"/>
                <w:i/>
                <w:iCs/>
              </w:rPr>
              <w:t>Genetically Modified Food Implications on Health</w:t>
            </w:r>
          </w:p>
        </w:tc>
        <w:tc>
          <w:tcPr>
            <w:tcW w:w="1318" w:type="dxa"/>
            <w:vAlign w:val="center"/>
          </w:tcPr>
          <w:p w14:paraId="0560EACF" w14:textId="77777777" w:rsidR="001442CD" w:rsidRPr="001442CD" w:rsidRDefault="001442CD" w:rsidP="001442CD">
            <w:pPr>
              <w:pStyle w:val="NoSpacing"/>
              <w:jc w:val="both"/>
              <w:rPr>
                <w:rFonts w:ascii="Cambria" w:hAnsi="Cambria"/>
              </w:rPr>
            </w:pPr>
            <w:r w:rsidRPr="001442CD">
              <w:rPr>
                <w:rFonts w:ascii="Cambria" w:hAnsi="Cambria"/>
              </w:rPr>
              <w:t>0.591</w:t>
            </w:r>
          </w:p>
        </w:tc>
        <w:tc>
          <w:tcPr>
            <w:tcW w:w="859" w:type="dxa"/>
            <w:vAlign w:val="center"/>
          </w:tcPr>
          <w:p w14:paraId="721CC4F0" w14:textId="77777777" w:rsidR="001442CD" w:rsidRPr="001442CD" w:rsidRDefault="001442CD" w:rsidP="001442CD">
            <w:pPr>
              <w:pStyle w:val="NoSpacing"/>
              <w:jc w:val="both"/>
              <w:rPr>
                <w:rFonts w:ascii="Cambria" w:hAnsi="Cambria"/>
              </w:rPr>
            </w:pPr>
            <w:r w:rsidRPr="001442CD">
              <w:rPr>
                <w:rFonts w:ascii="Cambria" w:hAnsi="Cambria"/>
              </w:rPr>
              <w:t>3.23</w:t>
            </w:r>
          </w:p>
        </w:tc>
        <w:tc>
          <w:tcPr>
            <w:tcW w:w="2574" w:type="dxa"/>
            <w:vAlign w:val="center"/>
          </w:tcPr>
          <w:p w14:paraId="54BC1ECD" w14:textId="77777777" w:rsidR="001442CD" w:rsidRPr="001442CD" w:rsidRDefault="001442CD" w:rsidP="001442CD">
            <w:pPr>
              <w:pStyle w:val="NoSpacing"/>
              <w:jc w:val="both"/>
              <w:rPr>
                <w:rFonts w:ascii="Cambria" w:hAnsi="Cambria"/>
              </w:rPr>
            </w:pPr>
            <w:r w:rsidRPr="001442CD">
              <w:rPr>
                <w:rFonts w:ascii="Cambria" w:hAnsi="Cambria"/>
              </w:rPr>
              <w:t>High</w:t>
            </w:r>
          </w:p>
        </w:tc>
      </w:tr>
      <w:tr w:rsidR="001442CD" w:rsidRPr="001442CD" w14:paraId="1330ADF9" w14:textId="77777777" w:rsidTr="00312EB0">
        <w:trPr>
          <w:trHeight w:val="546"/>
        </w:trPr>
        <w:tc>
          <w:tcPr>
            <w:tcW w:w="4102" w:type="dxa"/>
          </w:tcPr>
          <w:p w14:paraId="3F04D4A1" w14:textId="77777777" w:rsidR="001442CD" w:rsidRPr="001442CD" w:rsidRDefault="001442CD" w:rsidP="001442CD">
            <w:pPr>
              <w:pStyle w:val="NoSpacing"/>
              <w:jc w:val="both"/>
              <w:rPr>
                <w:rFonts w:ascii="Cambria" w:hAnsi="Cambria"/>
                <w:i/>
                <w:iCs/>
              </w:rPr>
            </w:pPr>
            <w:r w:rsidRPr="001442CD">
              <w:rPr>
                <w:rFonts w:ascii="Cambria" w:hAnsi="Cambria"/>
                <w:i/>
                <w:iCs/>
              </w:rPr>
              <w:t xml:space="preserve">Interest in the Topic of Genetically Modified Food </w:t>
            </w:r>
          </w:p>
        </w:tc>
        <w:tc>
          <w:tcPr>
            <w:tcW w:w="1318" w:type="dxa"/>
            <w:vAlign w:val="center"/>
          </w:tcPr>
          <w:p w14:paraId="375DFC61" w14:textId="77777777" w:rsidR="001442CD" w:rsidRPr="001442CD" w:rsidRDefault="001442CD" w:rsidP="001442CD">
            <w:pPr>
              <w:pStyle w:val="NoSpacing"/>
              <w:jc w:val="both"/>
              <w:rPr>
                <w:rFonts w:ascii="Cambria" w:hAnsi="Cambria"/>
              </w:rPr>
            </w:pPr>
            <w:r w:rsidRPr="001442CD">
              <w:rPr>
                <w:rFonts w:ascii="Cambria" w:hAnsi="Cambria"/>
              </w:rPr>
              <w:t>0.622</w:t>
            </w:r>
          </w:p>
        </w:tc>
        <w:tc>
          <w:tcPr>
            <w:tcW w:w="859" w:type="dxa"/>
            <w:vAlign w:val="center"/>
          </w:tcPr>
          <w:p w14:paraId="2BA7F18D" w14:textId="77777777" w:rsidR="001442CD" w:rsidRPr="001442CD" w:rsidRDefault="001442CD" w:rsidP="001442CD">
            <w:pPr>
              <w:pStyle w:val="NoSpacing"/>
              <w:jc w:val="both"/>
              <w:rPr>
                <w:rFonts w:ascii="Cambria" w:hAnsi="Cambria"/>
              </w:rPr>
            </w:pPr>
            <w:r w:rsidRPr="001442CD">
              <w:rPr>
                <w:rFonts w:ascii="Cambria" w:hAnsi="Cambria"/>
              </w:rPr>
              <w:t>3.16</w:t>
            </w:r>
          </w:p>
        </w:tc>
        <w:tc>
          <w:tcPr>
            <w:tcW w:w="2574" w:type="dxa"/>
            <w:vAlign w:val="center"/>
          </w:tcPr>
          <w:p w14:paraId="64EA7FAB" w14:textId="77777777" w:rsidR="001442CD" w:rsidRPr="001442CD" w:rsidRDefault="001442CD" w:rsidP="001442CD">
            <w:pPr>
              <w:pStyle w:val="NoSpacing"/>
              <w:jc w:val="both"/>
              <w:rPr>
                <w:rFonts w:ascii="Cambria" w:hAnsi="Cambria"/>
              </w:rPr>
            </w:pPr>
            <w:r w:rsidRPr="001442CD">
              <w:rPr>
                <w:rFonts w:ascii="Cambria" w:hAnsi="Cambria"/>
              </w:rPr>
              <w:t xml:space="preserve"> High</w:t>
            </w:r>
          </w:p>
        </w:tc>
      </w:tr>
      <w:tr w:rsidR="001442CD" w:rsidRPr="001442CD" w14:paraId="2C862062" w14:textId="77777777" w:rsidTr="00312EB0">
        <w:trPr>
          <w:trHeight w:val="800"/>
        </w:trPr>
        <w:tc>
          <w:tcPr>
            <w:tcW w:w="4102" w:type="dxa"/>
          </w:tcPr>
          <w:p w14:paraId="4D8EDDAE" w14:textId="77777777" w:rsidR="001442CD" w:rsidRPr="001442CD" w:rsidRDefault="001442CD" w:rsidP="001442CD">
            <w:pPr>
              <w:pStyle w:val="NoSpacing"/>
              <w:jc w:val="both"/>
              <w:rPr>
                <w:rFonts w:ascii="Cambria" w:hAnsi="Cambria"/>
                <w:i/>
                <w:iCs/>
              </w:rPr>
            </w:pPr>
            <w:r w:rsidRPr="001442CD">
              <w:rPr>
                <w:rFonts w:ascii="Cambria" w:hAnsi="Cambria"/>
                <w:i/>
                <w:iCs/>
              </w:rPr>
              <w:t>Genetically Modified Food Implications on the Environment</w:t>
            </w:r>
          </w:p>
        </w:tc>
        <w:tc>
          <w:tcPr>
            <w:tcW w:w="1318" w:type="dxa"/>
            <w:vAlign w:val="center"/>
          </w:tcPr>
          <w:p w14:paraId="7CDB4D33" w14:textId="77777777" w:rsidR="001442CD" w:rsidRPr="001442CD" w:rsidRDefault="001442CD" w:rsidP="001442CD">
            <w:pPr>
              <w:pStyle w:val="NoSpacing"/>
              <w:jc w:val="both"/>
              <w:rPr>
                <w:rFonts w:ascii="Cambria" w:hAnsi="Cambria"/>
              </w:rPr>
            </w:pPr>
            <w:r w:rsidRPr="001442CD">
              <w:rPr>
                <w:rFonts w:ascii="Cambria" w:hAnsi="Cambria"/>
              </w:rPr>
              <w:t>0.579</w:t>
            </w:r>
          </w:p>
        </w:tc>
        <w:tc>
          <w:tcPr>
            <w:tcW w:w="859" w:type="dxa"/>
            <w:vAlign w:val="center"/>
          </w:tcPr>
          <w:p w14:paraId="042D9A70" w14:textId="77777777" w:rsidR="001442CD" w:rsidRPr="001442CD" w:rsidRDefault="001442CD" w:rsidP="001442CD">
            <w:pPr>
              <w:pStyle w:val="NoSpacing"/>
              <w:jc w:val="both"/>
              <w:rPr>
                <w:rFonts w:ascii="Cambria" w:hAnsi="Cambria"/>
              </w:rPr>
            </w:pPr>
            <w:r w:rsidRPr="001442CD">
              <w:rPr>
                <w:rFonts w:ascii="Cambria" w:hAnsi="Cambria"/>
              </w:rPr>
              <w:t>3.19</w:t>
            </w:r>
          </w:p>
        </w:tc>
        <w:tc>
          <w:tcPr>
            <w:tcW w:w="2574" w:type="dxa"/>
            <w:vAlign w:val="center"/>
          </w:tcPr>
          <w:p w14:paraId="648A665E" w14:textId="77777777" w:rsidR="001442CD" w:rsidRPr="001442CD" w:rsidRDefault="001442CD" w:rsidP="001442CD">
            <w:pPr>
              <w:pStyle w:val="NoSpacing"/>
              <w:jc w:val="both"/>
              <w:rPr>
                <w:rFonts w:ascii="Cambria" w:hAnsi="Cambria"/>
              </w:rPr>
            </w:pPr>
            <w:r w:rsidRPr="001442CD">
              <w:rPr>
                <w:rFonts w:ascii="Cambria" w:hAnsi="Cambria"/>
              </w:rPr>
              <w:t>High</w:t>
            </w:r>
          </w:p>
        </w:tc>
      </w:tr>
      <w:tr w:rsidR="001442CD" w:rsidRPr="001442CD" w14:paraId="2A3DDA49" w14:textId="77777777" w:rsidTr="00312EB0">
        <w:trPr>
          <w:trHeight w:val="534"/>
        </w:trPr>
        <w:tc>
          <w:tcPr>
            <w:tcW w:w="4102" w:type="dxa"/>
          </w:tcPr>
          <w:p w14:paraId="30950939" w14:textId="77777777" w:rsidR="001442CD" w:rsidRPr="001442CD" w:rsidRDefault="001442CD" w:rsidP="001442CD">
            <w:pPr>
              <w:pStyle w:val="NoSpacing"/>
              <w:jc w:val="both"/>
              <w:rPr>
                <w:rFonts w:ascii="Cambria" w:hAnsi="Cambria"/>
              </w:rPr>
            </w:pPr>
            <w:r w:rsidRPr="001442CD">
              <w:rPr>
                <w:rFonts w:ascii="Cambria" w:hAnsi="Cambria"/>
              </w:rPr>
              <w:t>Acceptance of Genetically Modified Foods</w:t>
            </w:r>
          </w:p>
        </w:tc>
        <w:tc>
          <w:tcPr>
            <w:tcW w:w="1318" w:type="dxa"/>
            <w:vAlign w:val="center"/>
          </w:tcPr>
          <w:p w14:paraId="608F9D55" w14:textId="77777777" w:rsidR="001442CD" w:rsidRPr="001442CD" w:rsidRDefault="001442CD" w:rsidP="001442CD">
            <w:pPr>
              <w:pStyle w:val="NoSpacing"/>
              <w:jc w:val="both"/>
              <w:rPr>
                <w:rFonts w:ascii="Cambria" w:hAnsi="Cambria"/>
              </w:rPr>
            </w:pPr>
            <w:r w:rsidRPr="001442CD">
              <w:rPr>
                <w:rFonts w:ascii="Cambria" w:hAnsi="Cambria"/>
              </w:rPr>
              <w:t>0.537</w:t>
            </w:r>
          </w:p>
        </w:tc>
        <w:tc>
          <w:tcPr>
            <w:tcW w:w="859" w:type="dxa"/>
            <w:vAlign w:val="center"/>
          </w:tcPr>
          <w:p w14:paraId="0093A69E" w14:textId="77777777" w:rsidR="001442CD" w:rsidRPr="001442CD" w:rsidRDefault="001442CD" w:rsidP="001442CD">
            <w:pPr>
              <w:pStyle w:val="NoSpacing"/>
              <w:jc w:val="both"/>
              <w:rPr>
                <w:rFonts w:ascii="Cambria" w:hAnsi="Cambria"/>
              </w:rPr>
            </w:pPr>
            <w:r w:rsidRPr="001442CD">
              <w:rPr>
                <w:rFonts w:ascii="Cambria" w:hAnsi="Cambria"/>
              </w:rPr>
              <w:t>3.16</w:t>
            </w:r>
          </w:p>
        </w:tc>
        <w:tc>
          <w:tcPr>
            <w:tcW w:w="2574" w:type="dxa"/>
            <w:vAlign w:val="center"/>
          </w:tcPr>
          <w:p w14:paraId="3B6B9B9E" w14:textId="77777777" w:rsidR="001442CD" w:rsidRPr="001442CD" w:rsidRDefault="001442CD" w:rsidP="001442CD">
            <w:pPr>
              <w:pStyle w:val="NoSpacing"/>
              <w:jc w:val="both"/>
              <w:rPr>
                <w:rFonts w:ascii="Cambria" w:hAnsi="Cambria"/>
              </w:rPr>
            </w:pPr>
            <w:r w:rsidRPr="001442CD">
              <w:rPr>
                <w:rFonts w:ascii="Cambria" w:hAnsi="Cambria"/>
              </w:rPr>
              <w:t>High</w:t>
            </w:r>
          </w:p>
        </w:tc>
      </w:tr>
      <w:tr w:rsidR="001442CD" w:rsidRPr="001442CD" w14:paraId="381BCBC1" w14:textId="77777777" w:rsidTr="00312EB0">
        <w:trPr>
          <w:trHeight w:val="266"/>
        </w:trPr>
        <w:tc>
          <w:tcPr>
            <w:tcW w:w="4102" w:type="dxa"/>
          </w:tcPr>
          <w:p w14:paraId="21EBF851" w14:textId="77777777" w:rsidR="001442CD" w:rsidRPr="001442CD" w:rsidRDefault="001442CD" w:rsidP="001442CD">
            <w:pPr>
              <w:pStyle w:val="NoSpacing"/>
              <w:jc w:val="both"/>
              <w:rPr>
                <w:rFonts w:ascii="Cambria" w:hAnsi="Cambria"/>
                <w:i/>
                <w:iCs/>
              </w:rPr>
            </w:pPr>
            <w:r w:rsidRPr="001442CD">
              <w:rPr>
                <w:rFonts w:ascii="Cambria" w:hAnsi="Cambria"/>
                <w:i/>
                <w:iCs/>
              </w:rPr>
              <w:t>Perceived Benefits</w:t>
            </w:r>
          </w:p>
        </w:tc>
        <w:tc>
          <w:tcPr>
            <w:tcW w:w="1318" w:type="dxa"/>
            <w:vAlign w:val="center"/>
          </w:tcPr>
          <w:p w14:paraId="74A1EE13" w14:textId="77777777" w:rsidR="001442CD" w:rsidRPr="001442CD" w:rsidRDefault="001442CD" w:rsidP="001442CD">
            <w:pPr>
              <w:pStyle w:val="NoSpacing"/>
              <w:jc w:val="both"/>
              <w:rPr>
                <w:rFonts w:ascii="Cambria" w:hAnsi="Cambria"/>
              </w:rPr>
            </w:pPr>
            <w:r w:rsidRPr="001442CD">
              <w:rPr>
                <w:rFonts w:ascii="Cambria" w:hAnsi="Cambria"/>
              </w:rPr>
              <w:t>0.629</w:t>
            </w:r>
          </w:p>
        </w:tc>
        <w:tc>
          <w:tcPr>
            <w:tcW w:w="859" w:type="dxa"/>
            <w:vAlign w:val="center"/>
          </w:tcPr>
          <w:p w14:paraId="03374704" w14:textId="77777777" w:rsidR="001442CD" w:rsidRPr="001442CD" w:rsidRDefault="001442CD" w:rsidP="001442CD">
            <w:pPr>
              <w:pStyle w:val="NoSpacing"/>
              <w:jc w:val="both"/>
              <w:rPr>
                <w:rFonts w:ascii="Cambria" w:hAnsi="Cambria"/>
              </w:rPr>
            </w:pPr>
            <w:r w:rsidRPr="001442CD">
              <w:rPr>
                <w:rFonts w:ascii="Cambria" w:hAnsi="Cambria"/>
              </w:rPr>
              <w:t>3.16</w:t>
            </w:r>
          </w:p>
        </w:tc>
        <w:tc>
          <w:tcPr>
            <w:tcW w:w="2574" w:type="dxa"/>
            <w:vAlign w:val="center"/>
          </w:tcPr>
          <w:p w14:paraId="7AAC1E85" w14:textId="77777777" w:rsidR="001442CD" w:rsidRPr="001442CD" w:rsidRDefault="001442CD" w:rsidP="001442CD">
            <w:pPr>
              <w:pStyle w:val="NoSpacing"/>
              <w:jc w:val="both"/>
              <w:rPr>
                <w:rFonts w:ascii="Cambria" w:hAnsi="Cambria"/>
              </w:rPr>
            </w:pPr>
            <w:r w:rsidRPr="001442CD">
              <w:rPr>
                <w:rFonts w:ascii="Cambria" w:hAnsi="Cambria"/>
              </w:rPr>
              <w:t>High</w:t>
            </w:r>
          </w:p>
        </w:tc>
      </w:tr>
      <w:tr w:rsidR="001442CD" w:rsidRPr="001442CD" w14:paraId="595DE9BB" w14:textId="77777777" w:rsidTr="00312EB0">
        <w:trPr>
          <w:trHeight w:val="266"/>
        </w:trPr>
        <w:tc>
          <w:tcPr>
            <w:tcW w:w="4102" w:type="dxa"/>
          </w:tcPr>
          <w:p w14:paraId="1D648A33" w14:textId="77777777" w:rsidR="001442CD" w:rsidRPr="001442CD" w:rsidRDefault="001442CD" w:rsidP="001442CD">
            <w:pPr>
              <w:pStyle w:val="NoSpacing"/>
              <w:jc w:val="both"/>
              <w:rPr>
                <w:rFonts w:ascii="Cambria" w:hAnsi="Cambria"/>
                <w:i/>
                <w:iCs/>
              </w:rPr>
            </w:pPr>
            <w:r w:rsidRPr="001442CD">
              <w:rPr>
                <w:rFonts w:ascii="Cambria" w:hAnsi="Cambria"/>
                <w:i/>
                <w:iCs/>
              </w:rPr>
              <w:t>Perceived Risks</w:t>
            </w:r>
          </w:p>
        </w:tc>
        <w:tc>
          <w:tcPr>
            <w:tcW w:w="1318" w:type="dxa"/>
            <w:vAlign w:val="center"/>
          </w:tcPr>
          <w:p w14:paraId="35168D43" w14:textId="77777777" w:rsidR="001442CD" w:rsidRPr="001442CD" w:rsidRDefault="001442CD" w:rsidP="001442CD">
            <w:pPr>
              <w:pStyle w:val="NoSpacing"/>
              <w:jc w:val="both"/>
              <w:rPr>
                <w:rFonts w:ascii="Cambria" w:hAnsi="Cambria"/>
              </w:rPr>
            </w:pPr>
            <w:r w:rsidRPr="001442CD">
              <w:rPr>
                <w:rFonts w:ascii="Cambria" w:hAnsi="Cambria"/>
              </w:rPr>
              <w:t>0.608</w:t>
            </w:r>
          </w:p>
        </w:tc>
        <w:tc>
          <w:tcPr>
            <w:tcW w:w="859" w:type="dxa"/>
            <w:vAlign w:val="center"/>
          </w:tcPr>
          <w:p w14:paraId="3D3608CD" w14:textId="77777777" w:rsidR="001442CD" w:rsidRPr="001442CD" w:rsidRDefault="001442CD" w:rsidP="001442CD">
            <w:pPr>
              <w:pStyle w:val="NoSpacing"/>
              <w:jc w:val="both"/>
              <w:rPr>
                <w:rFonts w:ascii="Cambria" w:hAnsi="Cambria"/>
              </w:rPr>
            </w:pPr>
            <w:r w:rsidRPr="001442CD">
              <w:rPr>
                <w:rFonts w:ascii="Cambria" w:hAnsi="Cambria"/>
              </w:rPr>
              <w:t>3.21</w:t>
            </w:r>
          </w:p>
        </w:tc>
        <w:tc>
          <w:tcPr>
            <w:tcW w:w="2574" w:type="dxa"/>
            <w:vAlign w:val="center"/>
          </w:tcPr>
          <w:p w14:paraId="5CFC628F" w14:textId="77777777" w:rsidR="001442CD" w:rsidRPr="001442CD" w:rsidRDefault="001442CD" w:rsidP="001442CD">
            <w:pPr>
              <w:pStyle w:val="NoSpacing"/>
              <w:jc w:val="both"/>
              <w:rPr>
                <w:rFonts w:ascii="Cambria" w:hAnsi="Cambria"/>
              </w:rPr>
            </w:pPr>
            <w:r w:rsidRPr="001442CD">
              <w:rPr>
                <w:rFonts w:ascii="Cambria" w:hAnsi="Cambria"/>
              </w:rPr>
              <w:t>High</w:t>
            </w:r>
          </w:p>
        </w:tc>
      </w:tr>
      <w:tr w:rsidR="001442CD" w:rsidRPr="001442CD" w14:paraId="4A2C8164" w14:textId="77777777" w:rsidTr="00312EB0">
        <w:trPr>
          <w:trHeight w:val="546"/>
        </w:trPr>
        <w:tc>
          <w:tcPr>
            <w:tcW w:w="4102" w:type="dxa"/>
          </w:tcPr>
          <w:p w14:paraId="02DC865A" w14:textId="77777777" w:rsidR="001442CD" w:rsidRPr="001442CD" w:rsidRDefault="001442CD" w:rsidP="001442CD">
            <w:pPr>
              <w:pStyle w:val="NoSpacing"/>
              <w:jc w:val="both"/>
              <w:rPr>
                <w:rFonts w:ascii="Cambria" w:hAnsi="Cambria"/>
                <w:i/>
                <w:iCs/>
              </w:rPr>
            </w:pPr>
            <w:r w:rsidRPr="001442CD">
              <w:rPr>
                <w:rFonts w:ascii="Cambria" w:hAnsi="Cambria"/>
                <w:i/>
                <w:iCs/>
              </w:rPr>
              <w:t>Willingness to Eat Genetically Modified Foods</w:t>
            </w:r>
          </w:p>
        </w:tc>
        <w:tc>
          <w:tcPr>
            <w:tcW w:w="1318" w:type="dxa"/>
            <w:vAlign w:val="center"/>
          </w:tcPr>
          <w:p w14:paraId="611ACEE2" w14:textId="77777777" w:rsidR="001442CD" w:rsidRPr="001442CD" w:rsidRDefault="001442CD" w:rsidP="001442CD">
            <w:pPr>
              <w:pStyle w:val="NoSpacing"/>
              <w:jc w:val="both"/>
              <w:rPr>
                <w:rFonts w:ascii="Cambria" w:hAnsi="Cambria"/>
              </w:rPr>
            </w:pPr>
            <w:r w:rsidRPr="001442CD">
              <w:rPr>
                <w:rFonts w:ascii="Cambria" w:hAnsi="Cambria"/>
              </w:rPr>
              <w:t>0.622</w:t>
            </w:r>
          </w:p>
        </w:tc>
        <w:tc>
          <w:tcPr>
            <w:tcW w:w="859" w:type="dxa"/>
            <w:vAlign w:val="center"/>
          </w:tcPr>
          <w:p w14:paraId="5C7FAA0A" w14:textId="77777777" w:rsidR="001442CD" w:rsidRPr="001442CD" w:rsidRDefault="001442CD" w:rsidP="001442CD">
            <w:pPr>
              <w:pStyle w:val="NoSpacing"/>
              <w:jc w:val="both"/>
              <w:rPr>
                <w:rFonts w:ascii="Cambria" w:hAnsi="Cambria"/>
              </w:rPr>
            </w:pPr>
            <w:r w:rsidRPr="001442CD">
              <w:rPr>
                <w:rFonts w:ascii="Cambria" w:hAnsi="Cambria"/>
              </w:rPr>
              <w:t>3.13</w:t>
            </w:r>
          </w:p>
        </w:tc>
        <w:tc>
          <w:tcPr>
            <w:tcW w:w="2574" w:type="dxa"/>
            <w:vAlign w:val="center"/>
          </w:tcPr>
          <w:p w14:paraId="28AB2EBB" w14:textId="77777777" w:rsidR="001442CD" w:rsidRPr="001442CD" w:rsidRDefault="001442CD" w:rsidP="001442CD">
            <w:pPr>
              <w:pStyle w:val="NoSpacing"/>
              <w:jc w:val="both"/>
              <w:rPr>
                <w:rFonts w:ascii="Cambria" w:hAnsi="Cambria"/>
              </w:rPr>
            </w:pPr>
            <w:r w:rsidRPr="001442CD">
              <w:rPr>
                <w:rFonts w:ascii="Cambria" w:hAnsi="Cambria"/>
              </w:rPr>
              <w:t>High</w:t>
            </w:r>
          </w:p>
        </w:tc>
      </w:tr>
    </w:tbl>
    <w:p w14:paraId="286CC1C8" w14:textId="77777777" w:rsidR="001442CD" w:rsidRPr="001442CD" w:rsidRDefault="001442CD" w:rsidP="001442CD">
      <w:pPr>
        <w:pStyle w:val="NoSpacing"/>
        <w:jc w:val="both"/>
        <w:rPr>
          <w:rFonts w:ascii="Cambria" w:hAnsi="Cambria"/>
        </w:rPr>
      </w:pPr>
    </w:p>
    <w:p w14:paraId="6F52D112" w14:textId="77777777" w:rsidR="001442CD" w:rsidRPr="001442CD" w:rsidRDefault="001442CD" w:rsidP="001442CD">
      <w:pPr>
        <w:pStyle w:val="NoSpacing"/>
        <w:jc w:val="both"/>
        <w:rPr>
          <w:rFonts w:ascii="Cambria" w:hAnsi="Cambria"/>
        </w:rPr>
      </w:pPr>
      <w:r w:rsidRPr="001442CD">
        <w:rPr>
          <w:rFonts w:ascii="Cambria" w:hAnsi="Cambria"/>
        </w:rPr>
        <w:t>Specifically, the table shows that the basic biotechnology knowledge variable obtained a mean of 3.18, described as high. This indicates that the respondent's basic biotechnology knowledge is good. All indicators obtained a high level. The standard deviation of 0.42, is described as high consistent, indicating strong and uniform perception. Furthermore, the attitude towards genetically modified foods obtained a mean of 3.19, described as high. This indicates that respondents' attitudes towards genetically modified foods are strong. All its indicators are described as high-level. The standard deviation of 0.43, described as high consistent denoting strong and uniform perception. Finally, the acceptance of genetically modified foods variable had a mean of 3.16, indicating a high level of acceptance. This signifies that the respondent's acceptance of genetically modified foods is strong. Consistently, all indicators are described as high-level. The standard deviation of 0.53, described as moderate and consistent, indicates acceptable consistency in the responses.</w:t>
      </w:r>
    </w:p>
    <w:p w14:paraId="572BA150" w14:textId="77777777" w:rsidR="001442CD" w:rsidRPr="001442CD" w:rsidRDefault="001442CD" w:rsidP="001442CD">
      <w:pPr>
        <w:pStyle w:val="NoSpacing"/>
        <w:jc w:val="both"/>
        <w:rPr>
          <w:rFonts w:ascii="Cambria" w:hAnsi="Cambria"/>
        </w:rPr>
      </w:pPr>
    </w:p>
    <w:p w14:paraId="3FD86AFB" w14:textId="77777777" w:rsidR="001442CD" w:rsidRPr="001442CD" w:rsidRDefault="001442CD" w:rsidP="001442CD">
      <w:pPr>
        <w:pStyle w:val="NoSpacing"/>
        <w:jc w:val="both"/>
        <w:rPr>
          <w:rFonts w:ascii="Cambria" w:hAnsi="Cambria"/>
        </w:rPr>
      </w:pPr>
      <w:r w:rsidRPr="001442CD">
        <w:rPr>
          <w:rFonts w:ascii="Cambria" w:hAnsi="Cambria"/>
        </w:rPr>
        <w:t>Basic biotechnology knowledge, attitude towards genetically modified foods, and acceptance of genetically modified foods are all interpreted at a high level, indicating a strong cognitive foundation in basic biotechnology concepts, a positive attitude towards genetically modified foods, and a general willingness to accept genetically modified foods.</w:t>
      </w:r>
    </w:p>
    <w:p w14:paraId="6C8CEEC1" w14:textId="77777777" w:rsidR="001442CD" w:rsidRPr="001442CD" w:rsidRDefault="001442CD" w:rsidP="001442CD">
      <w:pPr>
        <w:pStyle w:val="NoSpacing"/>
        <w:jc w:val="both"/>
        <w:rPr>
          <w:rFonts w:ascii="Cambria" w:hAnsi="Cambria"/>
        </w:rPr>
      </w:pPr>
    </w:p>
    <w:p w14:paraId="75B05E91" w14:textId="77777777" w:rsidR="001442CD" w:rsidRPr="001442CD" w:rsidRDefault="001442CD" w:rsidP="001442CD">
      <w:pPr>
        <w:pStyle w:val="NoSpacing"/>
        <w:jc w:val="both"/>
        <w:rPr>
          <w:rFonts w:ascii="Cambria" w:hAnsi="Cambria"/>
        </w:rPr>
      </w:pPr>
    </w:p>
    <w:p w14:paraId="0A28D5A4" w14:textId="77777777" w:rsidR="001442CD" w:rsidRPr="001442CD" w:rsidRDefault="001442CD" w:rsidP="001442CD">
      <w:pPr>
        <w:pStyle w:val="NoSpacing"/>
        <w:jc w:val="both"/>
        <w:rPr>
          <w:rFonts w:ascii="Cambria" w:hAnsi="Cambria"/>
          <w:i/>
          <w:iCs/>
        </w:rPr>
      </w:pPr>
      <w:r w:rsidRPr="001442CD">
        <w:rPr>
          <w:rFonts w:ascii="Cambria" w:hAnsi="Cambria"/>
          <w:i/>
          <w:iCs/>
        </w:rPr>
        <w:t>Correlation Results</w:t>
      </w:r>
    </w:p>
    <w:p w14:paraId="5B98BCE2" w14:textId="77777777" w:rsidR="001442CD" w:rsidRPr="001442CD" w:rsidRDefault="001442CD" w:rsidP="001442CD">
      <w:pPr>
        <w:pStyle w:val="NoSpacing"/>
        <w:jc w:val="both"/>
        <w:rPr>
          <w:rFonts w:ascii="Cambria" w:hAnsi="Cambria"/>
        </w:rPr>
      </w:pPr>
    </w:p>
    <w:p w14:paraId="0D930ECF" w14:textId="77777777" w:rsidR="001442CD" w:rsidRPr="001442CD" w:rsidRDefault="001442CD" w:rsidP="001442CD">
      <w:pPr>
        <w:pStyle w:val="NoSpacing"/>
        <w:jc w:val="both"/>
        <w:rPr>
          <w:rFonts w:ascii="Cambria" w:hAnsi="Cambria"/>
        </w:rPr>
      </w:pPr>
      <w:r w:rsidRPr="001442CD">
        <w:rPr>
          <w:rFonts w:ascii="Cambria" w:hAnsi="Cambria"/>
        </w:rPr>
        <w:t xml:space="preserve">Table 2 is correlational. It presents the determinant and criterion variables. It shows the </w:t>
      </w:r>
      <w:proofErr w:type="spellStart"/>
      <w:r w:rsidRPr="001442CD">
        <w:rPr>
          <w:rFonts w:ascii="Cambria" w:hAnsi="Cambria"/>
        </w:rPr>
        <w:t>r</w:t>
      </w:r>
      <w:r w:rsidRPr="001442CD">
        <w:rPr>
          <w:rFonts w:ascii="Cambria" w:hAnsi="Cambria" w:cs="Cambria Math"/>
        </w:rPr>
        <w:t>‑</w:t>
      </w:r>
      <w:r w:rsidRPr="001442CD">
        <w:rPr>
          <w:rFonts w:ascii="Cambria" w:hAnsi="Cambria"/>
        </w:rPr>
        <w:t>value</w:t>
      </w:r>
      <w:proofErr w:type="spellEnd"/>
      <w:r w:rsidRPr="001442CD">
        <w:rPr>
          <w:rFonts w:ascii="Cambria" w:hAnsi="Cambria"/>
        </w:rPr>
        <w:t>, p</w:t>
      </w:r>
      <w:r w:rsidRPr="001442CD">
        <w:rPr>
          <w:rFonts w:ascii="Cambria" w:hAnsi="Cambria" w:cs="Cambria Math"/>
        </w:rPr>
        <w:t>‑</w:t>
      </w:r>
      <w:r w:rsidRPr="001442CD">
        <w:rPr>
          <w:rFonts w:ascii="Cambria" w:hAnsi="Cambria"/>
        </w:rPr>
        <w:t>value, decision on the null hypothesis, and the corresponding interpretation.</w:t>
      </w:r>
    </w:p>
    <w:p w14:paraId="5DABD378" w14:textId="77777777" w:rsidR="001442CD" w:rsidRPr="001442CD" w:rsidRDefault="001442CD" w:rsidP="001442CD">
      <w:pPr>
        <w:pStyle w:val="NoSpacing"/>
        <w:jc w:val="both"/>
        <w:rPr>
          <w:rFonts w:ascii="Cambria" w:hAnsi="Cambria"/>
        </w:rPr>
      </w:pPr>
    </w:p>
    <w:p w14:paraId="23DC8C3F" w14:textId="77777777" w:rsidR="001442CD" w:rsidRPr="001442CD" w:rsidRDefault="001442CD" w:rsidP="001442CD">
      <w:pPr>
        <w:pStyle w:val="NoSpacing"/>
        <w:jc w:val="both"/>
        <w:rPr>
          <w:rFonts w:ascii="Cambria" w:hAnsi="Cambria"/>
          <w:i/>
        </w:rPr>
      </w:pPr>
      <w:r w:rsidRPr="001442CD">
        <w:rPr>
          <w:rFonts w:ascii="Cambria" w:hAnsi="Cambria"/>
          <w:i/>
        </w:rPr>
        <w:t xml:space="preserve">Table 2: Correlation Table (N=576) </w:t>
      </w:r>
    </w:p>
    <w:tbl>
      <w:tblPr>
        <w:tblStyle w:val="TableGrid0"/>
        <w:tblW w:w="9277" w:type="dxa"/>
        <w:tblInd w:w="-14" w:type="dxa"/>
        <w:tblLayout w:type="fixed"/>
        <w:tblCellMar>
          <w:right w:w="72" w:type="dxa"/>
        </w:tblCellMar>
        <w:tblLook w:val="04A0" w:firstRow="1" w:lastRow="0" w:firstColumn="1" w:lastColumn="0" w:noHBand="0" w:noVBand="1"/>
      </w:tblPr>
      <w:tblGrid>
        <w:gridCol w:w="2942"/>
        <w:gridCol w:w="871"/>
        <w:gridCol w:w="1346"/>
        <w:gridCol w:w="1663"/>
        <w:gridCol w:w="2455"/>
      </w:tblGrid>
      <w:tr w:rsidR="001442CD" w:rsidRPr="001442CD" w14:paraId="6A97D106" w14:textId="77777777" w:rsidTr="00312EB0">
        <w:trPr>
          <w:trHeight w:val="276"/>
        </w:trPr>
        <w:tc>
          <w:tcPr>
            <w:tcW w:w="2942" w:type="dxa"/>
            <w:vMerge w:val="restart"/>
            <w:tcBorders>
              <w:top w:val="single" w:sz="4" w:space="0" w:color="auto"/>
            </w:tcBorders>
          </w:tcPr>
          <w:p w14:paraId="5EFD04B5" w14:textId="77777777" w:rsidR="001442CD" w:rsidRPr="001442CD" w:rsidRDefault="001442CD" w:rsidP="001442CD">
            <w:pPr>
              <w:pStyle w:val="NoSpacing"/>
              <w:jc w:val="both"/>
              <w:rPr>
                <w:rFonts w:ascii="Cambria" w:hAnsi="Cambria"/>
              </w:rPr>
            </w:pPr>
            <w:r w:rsidRPr="001442CD">
              <w:rPr>
                <w:rFonts w:ascii="Cambria" w:hAnsi="Cambria"/>
              </w:rPr>
              <w:t xml:space="preserve"> </w:t>
            </w:r>
          </w:p>
          <w:p w14:paraId="2BAA79F5" w14:textId="77777777" w:rsidR="001442CD" w:rsidRPr="001442CD" w:rsidRDefault="001442CD" w:rsidP="001442CD">
            <w:pPr>
              <w:pStyle w:val="NoSpacing"/>
              <w:jc w:val="both"/>
              <w:rPr>
                <w:rFonts w:ascii="Cambria" w:hAnsi="Cambria"/>
              </w:rPr>
            </w:pPr>
            <w:r w:rsidRPr="001442CD">
              <w:rPr>
                <w:rFonts w:ascii="Cambria" w:hAnsi="Cambria"/>
              </w:rPr>
              <w:t>Variables</w:t>
            </w:r>
          </w:p>
        </w:tc>
        <w:tc>
          <w:tcPr>
            <w:tcW w:w="6335" w:type="dxa"/>
            <w:gridSpan w:val="4"/>
            <w:tcBorders>
              <w:top w:val="single" w:sz="4" w:space="0" w:color="auto"/>
            </w:tcBorders>
          </w:tcPr>
          <w:p w14:paraId="46157C8D" w14:textId="77777777" w:rsidR="001442CD" w:rsidRPr="001442CD" w:rsidRDefault="001442CD" w:rsidP="001442CD">
            <w:pPr>
              <w:pStyle w:val="NoSpacing"/>
              <w:jc w:val="both"/>
              <w:rPr>
                <w:rFonts w:ascii="Cambria" w:hAnsi="Cambria"/>
              </w:rPr>
            </w:pPr>
            <w:r w:rsidRPr="001442CD">
              <w:rPr>
                <w:rFonts w:ascii="Cambria" w:hAnsi="Cambria"/>
              </w:rPr>
              <w:t>Acceptance of Genetically Modified Foods</w:t>
            </w:r>
          </w:p>
          <w:p w14:paraId="4158112D" w14:textId="77777777" w:rsidR="001442CD" w:rsidRPr="001442CD" w:rsidRDefault="001442CD" w:rsidP="001442CD">
            <w:pPr>
              <w:pStyle w:val="NoSpacing"/>
              <w:jc w:val="both"/>
              <w:rPr>
                <w:rFonts w:ascii="Cambria" w:hAnsi="Cambria"/>
              </w:rPr>
            </w:pPr>
          </w:p>
        </w:tc>
      </w:tr>
      <w:tr w:rsidR="001442CD" w:rsidRPr="001442CD" w14:paraId="09E9E433" w14:textId="77777777" w:rsidTr="00312EB0">
        <w:trPr>
          <w:trHeight w:val="335"/>
        </w:trPr>
        <w:tc>
          <w:tcPr>
            <w:tcW w:w="2942" w:type="dxa"/>
            <w:vMerge/>
            <w:tcBorders>
              <w:bottom w:val="single" w:sz="4" w:space="0" w:color="auto"/>
            </w:tcBorders>
          </w:tcPr>
          <w:p w14:paraId="5D3ABFAD" w14:textId="77777777" w:rsidR="001442CD" w:rsidRPr="001442CD" w:rsidRDefault="001442CD" w:rsidP="001442CD">
            <w:pPr>
              <w:pStyle w:val="NoSpacing"/>
              <w:jc w:val="both"/>
              <w:rPr>
                <w:rFonts w:ascii="Cambria" w:hAnsi="Cambria"/>
              </w:rPr>
            </w:pPr>
          </w:p>
        </w:tc>
        <w:tc>
          <w:tcPr>
            <w:tcW w:w="871" w:type="dxa"/>
            <w:tcBorders>
              <w:bottom w:val="single" w:sz="4" w:space="0" w:color="auto"/>
            </w:tcBorders>
          </w:tcPr>
          <w:p w14:paraId="31D82A4A" w14:textId="77777777" w:rsidR="001442CD" w:rsidRPr="001442CD" w:rsidRDefault="001442CD" w:rsidP="001442CD">
            <w:pPr>
              <w:pStyle w:val="NoSpacing"/>
              <w:jc w:val="both"/>
              <w:rPr>
                <w:rFonts w:ascii="Cambria" w:hAnsi="Cambria"/>
              </w:rPr>
            </w:pPr>
            <w:proofErr w:type="spellStart"/>
            <w:r w:rsidRPr="001442CD">
              <w:rPr>
                <w:rFonts w:ascii="Cambria" w:hAnsi="Cambria"/>
              </w:rPr>
              <w:t>r-value</w:t>
            </w:r>
            <w:proofErr w:type="spellEnd"/>
          </w:p>
        </w:tc>
        <w:tc>
          <w:tcPr>
            <w:tcW w:w="1346" w:type="dxa"/>
            <w:tcBorders>
              <w:bottom w:val="single" w:sz="4" w:space="0" w:color="auto"/>
            </w:tcBorders>
          </w:tcPr>
          <w:p w14:paraId="4CDB1593" w14:textId="77777777" w:rsidR="001442CD" w:rsidRPr="001442CD" w:rsidRDefault="001442CD" w:rsidP="001442CD">
            <w:pPr>
              <w:pStyle w:val="NoSpacing"/>
              <w:jc w:val="both"/>
              <w:rPr>
                <w:rFonts w:ascii="Cambria" w:hAnsi="Cambria"/>
              </w:rPr>
            </w:pPr>
            <w:r w:rsidRPr="001442CD">
              <w:rPr>
                <w:rFonts w:ascii="Cambria" w:hAnsi="Cambria"/>
              </w:rPr>
              <w:t>p-value</w:t>
            </w:r>
          </w:p>
        </w:tc>
        <w:tc>
          <w:tcPr>
            <w:tcW w:w="1663" w:type="dxa"/>
            <w:tcBorders>
              <w:bottom w:val="single" w:sz="4" w:space="0" w:color="auto"/>
            </w:tcBorders>
          </w:tcPr>
          <w:p w14:paraId="0BD78731" w14:textId="77777777" w:rsidR="001442CD" w:rsidRPr="001442CD" w:rsidRDefault="001442CD" w:rsidP="001442CD">
            <w:pPr>
              <w:pStyle w:val="NoSpacing"/>
              <w:jc w:val="both"/>
              <w:rPr>
                <w:rFonts w:ascii="Cambria" w:hAnsi="Cambria"/>
              </w:rPr>
            </w:pPr>
            <w:r w:rsidRPr="001442CD">
              <w:rPr>
                <w:rFonts w:ascii="Cambria" w:hAnsi="Cambria"/>
              </w:rPr>
              <w:t>Decision on</w:t>
            </w:r>
          </w:p>
          <w:p w14:paraId="666A0DA8" w14:textId="77777777" w:rsidR="001442CD" w:rsidRPr="001442CD" w:rsidRDefault="001442CD" w:rsidP="001442CD">
            <w:pPr>
              <w:pStyle w:val="NoSpacing"/>
              <w:jc w:val="both"/>
              <w:rPr>
                <w:rFonts w:ascii="Cambria" w:hAnsi="Cambria"/>
              </w:rPr>
            </w:pPr>
            <w:r w:rsidRPr="001442CD">
              <w:rPr>
                <w:rFonts w:ascii="Cambria" w:hAnsi="Cambria"/>
                <w:i/>
              </w:rPr>
              <w:t>H</w:t>
            </w:r>
            <w:r w:rsidRPr="001442CD">
              <w:rPr>
                <w:rFonts w:ascii="Cambria" w:eastAsia="Arial" w:hAnsi="Cambria"/>
                <w:vertAlign w:val="subscript"/>
              </w:rPr>
              <w:t>0</w:t>
            </w:r>
          </w:p>
        </w:tc>
        <w:tc>
          <w:tcPr>
            <w:tcW w:w="2455" w:type="dxa"/>
            <w:tcBorders>
              <w:bottom w:val="single" w:sz="4" w:space="0" w:color="auto"/>
            </w:tcBorders>
          </w:tcPr>
          <w:p w14:paraId="0D9AE257" w14:textId="77777777" w:rsidR="001442CD" w:rsidRPr="001442CD" w:rsidRDefault="001442CD" w:rsidP="001442CD">
            <w:pPr>
              <w:pStyle w:val="NoSpacing"/>
              <w:jc w:val="both"/>
              <w:rPr>
                <w:rFonts w:ascii="Cambria" w:hAnsi="Cambria"/>
              </w:rPr>
            </w:pPr>
            <w:r w:rsidRPr="001442CD">
              <w:rPr>
                <w:rFonts w:ascii="Cambria" w:hAnsi="Cambria"/>
              </w:rPr>
              <w:t xml:space="preserve">Interpretation </w:t>
            </w:r>
          </w:p>
        </w:tc>
      </w:tr>
      <w:tr w:rsidR="001442CD" w:rsidRPr="001442CD" w14:paraId="68474999" w14:textId="77777777" w:rsidTr="00312EB0">
        <w:trPr>
          <w:trHeight w:val="266"/>
        </w:trPr>
        <w:tc>
          <w:tcPr>
            <w:tcW w:w="2942" w:type="dxa"/>
            <w:tcBorders>
              <w:top w:val="single" w:sz="4" w:space="0" w:color="auto"/>
            </w:tcBorders>
          </w:tcPr>
          <w:p w14:paraId="6CE41BAB" w14:textId="77777777" w:rsidR="001442CD" w:rsidRPr="001442CD" w:rsidRDefault="001442CD" w:rsidP="001442CD">
            <w:pPr>
              <w:pStyle w:val="NoSpacing"/>
              <w:jc w:val="both"/>
              <w:rPr>
                <w:rFonts w:ascii="Cambria" w:hAnsi="Cambria"/>
              </w:rPr>
            </w:pPr>
            <w:r w:rsidRPr="001442CD">
              <w:rPr>
                <w:rFonts w:ascii="Cambria" w:hAnsi="Cambria"/>
              </w:rPr>
              <w:t xml:space="preserve"> Basic Biotechnology Knowledge</w:t>
            </w:r>
          </w:p>
        </w:tc>
        <w:tc>
          <w:tcPr>
            <w:tcW w:w="871" w:type="dxa"/>
            <w:tcBorders>
              <w:top w:val="single" w:sz="4" w:space="0" w:color="auto"/>
            </w:tcBorders>
          </w:tcPr>
          <w:p w14:paraId="0606503B" w14:textId="77777777" w:rsidR="001442CD" w:rsidRPr="001442CD" w:rsidRDefault="001442CD" w:rsidP="001442CD">
            <w:pPr>
              <w:pStyle w:val="NoSpacing"/>
              <w:jc w:val="both"/>
              <w:rPr>
                <w:rFonts w:ascii="Cambria" w:hAnsi="Cambria"/>
              </w:rPr>
            </w:pPr>
          </w:p>
          <w:p w14:paraId="3B40AA7F" w14:textId="77777777" w:rsidR="001442CD" w:rsidRPr="001442CD" w:rsidRDefault="001442CD" w:rsidP="001442CD">
            <w:pPr>
              <w:pStyle w:val="NoSpacing"/>
              <w:jc w:val="both"/>
              <w:rPr>
                <w:rFonts w:ascii="Cambria" w:hAnsi="Cambria"/>
              </w:rPr>
            </w:pPr>
            <w:r w:rsidRPr="001442CD">
              <w:rPr>
                <w:rFonts w:ascii="Cambria" w:hAnsi="Cambria"/>
              </w:rPr>
              <w:t>0.694</w:t>
            </w:r>
          </w:p>
        </w:tc>
        <w:tc>
          <w:tcPr>
            <w:tcW w:w="1346" w:type="dxa"/>
            <w:tcBorders>
              <w:top w:val="single" w:sz="4" w:space="0" w:color="auto"/>
            </w:tcBorders>
          </w:tcPr>
          <w:p w14:paraId="3AD9936B" w14:textId="77777777" w:rsidR="001442CD" w:rsidRPr="001442CD" w:rsidRDefault="001442CD" w:rsidP="001442CD">
            <w:pPr>
              <w:pStyle w:val="NoSpacing"/>
              <w:jc w:val="both"/>
              <w:rPr>
                <w:rFonts w:ascii="Cambria" w:hAnsi="Cambria"/>
              </w:rPr>
            </w:pPr>
          </w:p>
          <w:p w14:paraId="47F93C13" w14:textId="77777777" w:rsidR="001442CD" w:rsidRPr="001442CD" w:rsidRDefault="001442CD" w:rsidP="001442CD">
            <w:pPr>
              <w:pStyle w:val="NoSpacing"/>
              <w:jc w:val="both"/>
              <w:rPr>
                <w:rFonts w:ascii="Cambria" w:hAnsi="Cambria"/>
              </w:rPr>
            </w:pPr>
            <w:r w:rsidRPr="001442CD">
              <w:rPr>
                <w:rFonts w:ascii="Cambria" w:hAnsi="Cambria"/>
              </w:rPr>
              <w:t>0.000</w:t>
            </w:r>
          </w:p>
        </w:tc>
        <w:tc>
          <w:tcPr>
            <w:tcW w:w="1663" w:type="dxa"/>
            <w:tcBorders>
              <w:top w:val="single" w:sz="4" w:space="0" w:color="auto"/>
            </w:tcBorders>
          </w:tcPr>
          <w:p w14:paraId="3F827454" w14:textId="77777777" w:rsidR="001442CD" w:rsidRPr="001442CD" w:rsidRDefault="001442CD" w:rsidP="001442CD">
            <w:pPr>
              <w:pStyle w:val="NoSpacing"/>
              <w:jc w:val="both"/>
              <w:rPr>
                <w:rFonts w:ascii="Cambria" w:hAnsi="Cambria"/>
              </w:rPr>
            </w:pPr>
          </w:p>
          <w:p w14:paraId="0AB582AD" w14:textId="77777777" w:rsidR="001442CD" w:rsidRPr="001442CD" w:rsidRDefault="001442CD" w:rsidP="001442CD">
            <w:pPr>
              <w:pStyle w:val="NoSpacing"/>
              <w:jc w:val="both"/>
              <w:rPr>
                <w:rFonts w:ascii="Cambria" w:hAnsi="Cambria"/>
              </w:rPr>
            </w:pPr>
            <w:r w:rsidRPr="001442CD">
              <w:rPr>
                <w:rFonts w:ascii="Cambria" w:hAnsi="Cambria"/>
              </w:rPr>
              <w:t xml:space="preserve">Reject </w:t>
            </w:r>
            <w:r w:rsidRPr="001442CD">
              <w:rPr>
                <w:rFonts w:ascii="Cambria" w:hAnsi="Cambria"/>
                <w:i/>
              </w:rPr>
              <w:t>H</w:t>
            </w:r>
            <w:r w:rsidRPr="001442CD">
              <w:rPr>
                <w:rFonts w:ascii="Cambria" w:eastAsia="Arial" w:hAnsi="Cambria"/>
                <w:vertAlign w:val="subscript"/>
              </w:rPr>
              <w:t>01</w:t>
            </w:r>
          </w:p>
        </w:tc>
        <w:tc>
          <w:tcPr>
            <w:tcW w:w="2455" w:type="dxa"/>
            <w:tcBorders>
              <w:top w:val="single" w:sz="4" w:space="0" w:color="auto"/>
            </w:tcBorders>
          </w:tcPr>
          <w:p w14:paraId="7062D740" w14:textId="77777777" w:rsidR="001442CD" w:rsidRPr="001442CD" w:rsidRDefault="001442CD" w:rsidP="001442CD">
            <w:pPr>
              <w:pStyle w:val="NoSpacing"/>
              <w:jc w:val="both"/>
              <w:rPr>
                <w:rFonts w:ascii="Cambria" w:hAnsi="Cambria"/>
              </w:rPr>
            </w:pPr>
          </w:p>
          <w:p w14:paraId="1AE89921" w14:textId="77777777" w:rsidR="001442CD" w:rsidRPr="001442CD" w:rsidRDefault="001442CD" w:rsidP="001442CD">
            <w:pPr>
              <w:pStyle w:val="NoSpacing"/>
              <w:jc w:val="both"/>
              <w:rPr>
                <w:rFonts w:ascii="Cambria" w:hAnsi="Cambria"/>
              </w:rPr>
            </w:pPr>
            <w:r w:rsidRPr="001442CD">
              <w:rPr>
                <w:rFonts w:ascii="Cambria" w:hAnsi="Cambria"/>
              </w:rPr>
              <w:t>Moderately High, significant correlation</w:t>
            </w:r>
          </w:p>
        </w:tc>
      </w:tr>
      <w:tr w:rsidR="001442CD" w:rsidRPr="001442CD" w14:paraId="748575E2" w14:textId="77777777" w:rsidTr="00312EB0">
        <w:trPr>
          <w:trHeight w:val="659"/>
        </w:trPr>
        <w:tc>
          <w:tcPr>
            <w:tcW w:w="2942" w:type="dxa"/>
            <w:tcBorders>
              <w:bottom w:val="single" w:sz="4" w:space="0" w:color="auto"/>
            </w:tcBorders>
          </w:tcPr>
          <w:p w14:paraId="11DF5EC8" w14:textId="77777777" w:rsidR="001442CD" w:rsidRPr="001442CD" w:rsidRDefault="001442CD" w:rsidP="001442CD">
            <w:pPr>
              <w:pStyle w:val="NoSpacing"/>
              <w:jc w:val="both"/>
              <w:rPr>
                <w:rFonts w:ascii="Cambria" w:hAnsi="Cambria"/>
              </w:rPr>
            </w:pPr>
            <w:r w:rsidRPr="001442CD">
              <w:rPr>
                <w:rFonts w:ascii="Cambria" w:hAnsi="Cambria"/>
              </w:rPr>
              <w:lastRenderedPageBreak/>
              <w:t xml:space="preserve"> Attitude Towards Genetically Modified </w:t>
            </w:r>
            <w:proofErr w:type="spellStart"/>
            <w:r w:rsidRPr="001442CD">
              <w:rPr>
                <w:rFonts w:ascii="Cambria" w:hAnsi="Cambria"/>
              </w:rPr>
              <w:t>Fooods</w:t>
            </w:r>
            <w:proofErr w:type="spellEnd"/>
          </w:p>
        </w:tc>
        <w:tc>
          <w:tcPr>
            <w:tcW w:w="871" w:type="dxa"/>
            <w:tcBorders>
              <w:bottom w:val="single" w:sz="4" w:space="0" w:color="auto"/>
            </w:tcBorders>
          </w:tcPr>
          <w:p w14:paraId="4143DD39" w14:textId="77777777" w:rsidR="001442CD" w:rsidRPr="001442CD" w:rsidRDefault="001442CD" w:rsidP="001442CD">
            <w:pPr>
              <w:pStyle w:val="NoSpacing"/>
              <w:jc w:val="both"/>
              <w:rPr>
                <w:rFonts w:ascii="Cambria" w:hAnsi="Cambria"/>
              </w:rPr>
            </w:pPr>
          </w:p>
          <w:p w14:paraId="638AA0E2" w14:textId="77777777" w:rsidR="001442CD" w:rsidRPr="001442CD" w:rsidRDefault="001442CD" w:rsidP="001442CD">
            <w:pPr>
              <w:pStyle w:val="NoSpacing"/>
              <w:jc w:val="both"/>
              <w:rPr>
                <w:rFonts w:ascii="Cambria" w:hAnsi="Cambria"/>
              </w:rPr>
            </w:pPr>
            <w:r w:rsidRPr="001442CD">
              <w:rPr>
                <w:rFonts w:ascii="Cambria" w:hAnsi="Cambria"/>
              </w:rPr>
              <w:t>0.740</w:t>
            </w:r>
          </w:p>
        </w:tc>
        <w:tc>
          <w:tcPr>
            <w:tcW w:w="1346" w:type="dxa"/>
            <w:tcBorders>
              <w:bottom w:val="single" w:sz="4" w:space="0" w:color="auto"/>
            </w:tcBorders>
          </w:tcPr>
          <w:p w14:paraId="584ADB63" w14:textId="77777777" w:rsidR="001442CD" w:rsidRPr="001442CD" w:rsidRDefault="001442CD" w:rsidP="001442CD">
            <w:pPr>
              <w:pStyle w:val="NoSpacing"/>
              <w:jc w:val="both"/>
              <w:rPr>
                <w:rFonts w:ascii="Cambria" w:hAnsi="Cambria"/>
              </w:rPr>
            </w:pPr>
          </w:p>
          <w:p w14:paraId="4ACF4446" w14:textId="77777777" w:rsidR="001442CD" w:rsidRPr="001442CD" w:rsidRDefault="001442CD" w:rsidP="001442CD">
            <w:pPr>
              <w:pStyle w:val="NoSpacing"/>
              <w:jc w:val="both"/>
              <w:rPr>
                <w:rFonts w:ascii="Cambria" w:hAnsi="Cambria"/>
              </w:rPr>
            </w:pPr>
            <w:r w:rsidRPr="001442CD">
              <w:rPr>
                <w:rFonts w:ascii="Cambria" w:hAnsi="Cambria"/>
              </w:rPr>
              <w:t>0.000</w:t>
            </w:r>
          </w:p>
        </w:tc>
        <w:tc>
          <w:tcPr>
            <w:tcW w:w="1663" w:type="dxa"/>
            <w:tcBorders>
              <w:bottom w:val="single" w:sz="4" w:space="0" w:color="auto"/>
            </w:tcBorders>
          </w:tcPr>
          <w:p w14:paraId="0C7B0D12" w14:textId="77777777" w:rsidR="001442CD" w:rsidRPr="001442CD" w:rsidRDefault="001442CD" w:rsidP="001442CD">
            <w:pPr>
              <w:pStyle w:val="NoSpacing"/>
              <w:jc w:val="both"/>
              <w:rPr>
                <w:rFonts w:ascii="Cambria" w:hAnsi="Cambria"/>
              </w:rPr>
            </w:pPr>
          </w:p>
          <w:p w14:paraId="67B124A2" w14:textId="77777777" w:rsidR="001442CD" w:rsidRPr="001442CD" w:rsidRDefault="001442CD" w:rsidP="001442CD">
            <w:pPr>
              <w:pStyle w:val="NoSpacing"/>
              <w:jc w:val="both"/>
              <w:rPr>
                <w:rFonts w:ascii="Cambria" w:hAnsi="Cambria"/>
              </w:rPr>
            </w:pPr>
            <w:r w:rsidRPr="001442CD">
              <w:rPr>
                <w:rFonts w:ascii="Cambria" w:hAnsi="Cambria"/>
              </w:rPr>
              <w:t xml:space="preserve">Reject </w:t>
            </w:r>
            <w:r w:rsidRPr="001442CD">
              <w:rPr>
                <w:rFonts w:ascii="Cambria" w:hAnsi="Cambria"/>
                <w:i/>
              </w:rPr>
              <w:t>H</w:t>
            </w:r>
            <w:r w:rsidRPr="001442CD">
              <w:rPr>
                <w:rFonts w:ascii="Cambria" w:eastAsia="Arial" w:hAnsi="Cambria"/>
                <w:vertAlign w:val="subscript"/>
              </w:rPr>
              <w:t>01</w:t>
            </w:r>
          </w:p>
        </w:tc>
        <w:tc>
          <w:tcPr>
            <w:tcW w:w="2455" w:type="dxa"/>
            <w:tcBorders>
              <w:bottom w:val="single" w:sz="4" w:space="0" w:color="auto"/>
            </w:tcBorders>
          </w:tcPr>
          <w:p w14:paraId="11D7446E" w14:textId="77777777" w:rsidR="001442CD" w:rsidRPr="001442CD" w:rsidRDefault="001442CD" w:rsidP="001442CD">
            <w:pPr>
              <w:pStyle w:val="NoSpacing"/>
              <w:jc w:val="both"/>
              <w:rPr>
                <w:rFonts w:ascii="Cambria" w:hAnsi="Cambria"/>
              </w:rPr>
            </w:pPr>
          </w:p>
          <w:p w14:paraId="0A68E0D1" w14:textId="77777777" w:rsidR="001442CD" w:rsidRPr="001442CD" w:rsidRDefault="001442CD" w:rsidP="001442CD">
            <w:pPr>
              <w:pStyle w:val="NoSpacing"/>
              <w:jc w:val="both"/>
              <w:rPr>
                <w:rFonts w:ascii="Cambria" w:hAnsi="Cambria"/>
              </w:rPr>
            </w:pPr>
            <w:r w:rsidRPr="001442CD">
              <w:rPr>
                <w:rFonts w:ascii="Cambria" w:hAnsi="Cambria"/>
              </w:rPr>
              <w:t>Moderately High, significant correlation</w:t>
            </w:r>
          </w:p>
        </w:tc>
      </w:tr>
    </w:tbl>
    <w:p w14:paraId="3F0855A3" w14:textId="77777777" w:rsidR="001442CD" w:rsidRPr="001442CD" w:rsidRDefault="001442CD" w:rsidP="001442CD">
      <w:pPr>
        <w:pStyle w:val="NoSpacing"/>
        <w:jc w:val="both"/>
        <w:rPr>
          <w:rFonts w:ascii="Cambria" w:hAnsi="Cambria"/>
          <w:i/>
        </w:rPr>
      </w:pPr>
      <w:r w:rsidRPr="001442CD">
        <w:rPr>
          <w:rFonts w:ascii="Cambria" w:hAnsi="Cambria"/>
          <w:i/>
        </w:rPr>
        <w:t>Level of Significance: 0.05, Decision Rule: Reject H</w:t>
      </w:r>
      <w:r w:rsidRPr="001442CD">
        <w:rPr>
          <w:rFonts w:ascii="Cambria" w:hAnsi="Cambria" w:cs="Cambria Math"/>
          <w:i/>
        </w:rPr>
        <w:t>₀</w:t>
      </w:r>
      <w:r w:rsidRPr="001442CD">
        <w:rPr>
          <w:rFonts w:ascii="Cambria" w:hAnsi="Cambria"/>
          <w:i/>
        </w:rPr>
        <w:t xml:space="preserve"> if p &lt; 0.05 </w:t>
      </w:r>
    </w:p>
    <w:p w14:paraId="3DCA35D7" w14:textId="77777777" w:rsidR="001442CD" w:rsidRPr="001442CD" w:rsidRDefault="001442CD" w:rsidP="001442CD">
      <w:pPr>
        <w:pStyle w:val="NoSpacing"/>
        <w:jc w:val="both"/>
        <w:rPr>
          <w:rFonts w:ascii="Cambria" w:hAnsi="Cambria"/>
        </w:rPr>
      </w:pPr>
      <w:r w:rsidRPr="001442CD">
        <w:rPr>
          <w:rFonts w:ascii="Cambria" w:hAnsi="Cambria"/>
        </w:rPr>
        <w:t xml:space="preserve">Specifically, the table shows that the correlation between Basic Biotechnology knowledge and Acceptance of Genetically Modified Foods variables obtained a p-value of 0.000, which is lower than the 0.05 level of significance; hence, the null hypothesis is rejected, indicating that the correlation is statistically significant. The </w:t>
      </w:r>
      <w:proofErr w:type="spellStart"/>
      <w:r w:rsidRPr="001442CD">
        <w:rPr>
          <w:rFonts w:ascii="Cambria" w:hAnsi="Cambria"/>
        </w:rPr>
        <w:t>r-value</w:t>
      </w:r>
      <w:proofErr w:type="spellEnd"/>
      <w:r w:rsidRPr="001442CD">
        <w:rPr>
          <w:rFonts w:ascii="Cambria" w:hAnsi="Cambria"/>
        </w:rPr>
        <w:t xml:space="preserve"> of 0.694 reflects a moderately high correlation between basic biotechnology knowledge and acceptance of genetically modified foods. It implies that for every unit change in this basic biotechnology knowledge, there is a corresponding unit change in the acceptance of genetically modified foods. Similarly, Attitude Towards Genetically Modified Foods yielded a p-value of 0.000, which is lower than the 0.05 level of significance; hence, the null hypothesis is rejected, indicating that the correlation is statistically significant. The </w:t>
      </w:r>
      <w:proofErr w:type="spellStart"/>
      <w:r w:rsidRPr="001442CD">
        <w:rPr>
          <w:rFonts w:ascii="Cambria" w:hAnsi="Cambria"/>
        </w:rPr>
        <w:t>r-value</w:t>
      </w:r>
      <w:proofErr w:type="spellEnd"/>
      <w:r w:rsidRPr="001442CD">
        <w:rPr>
          <w:rFonts w:ascii="Cambria" w:hAnsi="Cambria"/>
        </w:rPr>
        <w:t xml:space="preserve"> of 0.740 reflects a moderately high correlation between attitude towards genetically modified foods and acceptance of genetically modified foods variables. This implies that attitudes towards genetically modified foods play a significant role in influencing students' acceptance, indicating that perceptions, beliefs, and evaluations of genetically modified foods can strongly influence acceptance.</w:t>
      </w:r>
    </w:p>
    <w:p w14:paraId="11805AF7" w14:textId="77777777" w:rsidR="001442CD" w:rsidRPr="001442CD" w:rsidRDefault="001442CD" w:rsidP="001442CD">
      <w:pPr>
        <w:pStyle w:val="NoSpacing"/>
        <w:jc w:val="both"/>
        <w:rPr>
          <w:rFonts w:ascii="Cambria" w:hAnsi="Cambria"/>
        </w:rPr>
      </w:pPr>
      <w:r w:rsidRPr="001442CD">
        <w:rPr>
          <w:rFonts w:ascii="Cambria" w:hAnsi="Cambria"/>
        </w:rPr>
        <w:t>Both basic biotechnology knowledge and attitude toward genetically modified foods showed statistically significant correlations with acceptance of genetically modified foods, indicating that each factor is strongly associated with students' acceptance. However, attitude demonstrated a slightly stronger correlation than knowledge, suggesting that students' perception and evaluation of genetically modified foods may have a greater influence on acceptance than knowledge alone.</w:t>
      </w:r>
    </w:p>
    <w:p w14:paraId="042E71C1" w14:textId="77777777" w:rsidR="001442CD" w:rsidRPr="001442CD" w:rsidRDefault="001442CD" w:rsidP="001442CD">
      <w:pPr>
        <w:pStyle w:val="NoSpacing"/>
        <w:jc w:val="both"/>
        <w:rPr>
          <w:rFonts w:ascii="Cambria" w:hAnsi="Cambria"/>
        </w:rPr>
      </w:pPr>
      <w:r w:rsidRPr="001442CD">
        <w:rPr>
          <w:rStyle w:val="Emphasis"/>
          <w:rFonts w:ascii="Cambria" w:eastAsiaTheme="majorEastAsia" w:hAnsi="Cambria" w:cs="Arial"/>
          <w:b/>
          <w:bCs/>
        </w:rPr>
        <w:t>Mediation Results</w:t>
      </w:r>
    </w:p>
    <w:p w14:paraId="04CE9930" w14:textId="77777777" w:rsidR="001442CD" w:rsidRPr="001442CD" w:rsidRDefault="001442CD" w:rsidP="001442CD">
      <w:pPr>
        <w:pStyle w:val="NoSpacing"/>
        <w:jc w:val="both"/>
        <w:rPr>
          <w:rFonts w:ascii="Cambria" w:hAnsi="Cambria"/>
        </w:rPr>
      </w:pPr>
      <w:r w:rsidRPr="001442CD">
        <w:rPr>
          <w:rFonts w:ascii="Cambria" w:hAnsi="Cambria"/>
        </w:rPr>
        <w:t>Table 3 is a mediation table. It contains the path/effect, estimate Beta, standard error, Z</w:t>
      </w:r>
      <w:r w:rsidRPr="001442CD">
        <w:rPr>
          <w:rFonts w:ascii="Cambria" w:hAnsi="Cambria"/>
        </w:rPr>
        <w:noBreakHyphen/>
        <w:t>value, p</w:t>
      </w:r>
      <w:r w:rsidRPr="001442CD">
        <w:rPr>
          <w:rFonts w:ascii="Cambria" w:hAnsi="Cambria"/>
        </w:rPr>
        <w:noBreakHyphen/>
        <w:t>value, decision on null hypothesis and corresponding interpretation.</w:t>
      </w:r>
    </w:p>
    <w:p w14:paraId="04D77007" w14:textId="77777777" w:rsidR="001442CD" w:rsidRPr="001442CD" w:rsidRDefault="001442CD" w:rsidP="001442CD">
      <w:pPr>
        <w:pStyle w:val="NoSpacing"/>
        <w:jc w:val="both"/>
        <w:rPr>
          <w:rFonts w:ascii="Cambria" w:hAnsi="Cambria"/>
        </w:rPr>
      </w:pPr>
      <w:r w:rsidRPr="001442CD">
        <w:rPr>
          <w:rFonts w:ascii="Cambria" w:hAnsi="Cambria"/>
        </w:rPr>
        <w:t>Table 3. Mediation Table (N = 576)</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5"/>
        <w:gridCol w:w="1710"/>
        <w:gridCol w:w="1080"/>
        <w:gridCol w:w="900"/>
        <w:gridCol w:w="950"/>
        <w:gridCol w:w="1041"/>
        <w:gridCol w:w="1128"/>
        <w:gridCol w:w="1556"/>
      </w:tblGrid>
      <w:tr w:rsidR="001442CD" w:rsidRPr="001442CD" w14:paraId="4B88FDA9" w14:textId="77777777" w:rsidTr="00312EB0">
        <w:tc>
          <w:tcPr>
            <w:tcW w:w="985" w:type="dxa"/>
            <w:tcBorders>
              <w:top w:val="single" w:sz="4" w:space="0" w:color="auto"/>
              <w:bottom w:val="single" w:sz="4" w:space="0" w:color="auto"/>
            </w:tcBorders>
            <w:vAlign w:val="center"/>
          </w:tcPr>
          <w:p w14:paraId="57F168C0" w14:textId="77777777" w:rsidR="001442CD" w:rsidRPr="001442CD" w:rsidRDefault="001442CD" w:rsidP="001442CD">
            <w:pPr>
              <w:pStyle w:val="NoSpacing"/>
              <w:jc w:val="both"/>
              <w:rPr>
                <w:rFonts w:ascii="Cambria" w:hAnsi="Cambria"/>
              </w:rPr>
            </w:pPr>
            <w:r w:rsidRPr="001442CD">
              <w:rPr>
                <w:rFonts w:ascii="Cambria" w:hAnsi="Cambria"/>
              </w:rPr>
              <w:t>Label</w:t>
            </w:r>
          </w:p>
        </w:tc>
        <w:tc>
          <w:tcPr>
            <w:tcW w:w="1710" w:type="dxa"/>
            <w:tcBorders>
              <w:top w:val="single" w:sz="4" w:space="0" w:color="auto"/>
              <w:bottom w:val="single" w:sz="4" w:space="0" w:color="auto"/>
            </w:tcBorders>
            <w:vAlign w:val="center"/>
          </w:tcPr>
          <w:p w14:paraId="634C6E08" w14:textId="77777777" w:rsidR="001442CD" w:rsidRPr="001442CD" w:rsidRDefault="001442CD" w:rsidP="001442CD">
            <w:pPr>
              <w:pStyle w:val="NoSpacing"/>
              <w:jc w:val="both"/>
              <w:rPr>
                <w:rFonts w:ascii="Cambria" w:hAnsi="Cambria"/>
              </w:rPr>
            </w:pPr>
            <w:r w:rsidRPr="001442CD">
              <w:rPr>
                <w:rFonts w:ascii="Cambria" w:hAnsi="Cambria"/>
              </w:rPr>
              <w:t>Path/Effect</w:t>
            </w:r>
          </w:p>
        </w:tc>
        <w:tc>
          <w:tcPr>
            <w:tcW w:w="1080" w:type="dxa"/>
            <w:tcBorders>
              <w:top w:val="single" w:sz="4" w:space="0" w:color="auto"/>
              <w:bottom w:val="single" w:sz="4" w:space="0" w:color="auto"/>
            </w:tcBorders>
            <w:vAlign w:val="center"/>
          </w:tcPr>
          <w:p w14:paraId="06261269" w14:textId="77777777" w:rsidR="001442CD" w:rsidRPr="001442CD" w:rsidRDefault="001442CD" w:rsidP="001442CD">
            <w:pPr>
              <w:pStyle w:val="NoSpacing"/>
              <w:jc w:val="both"/>
              <w:rPr>
                <w:rFonts w:ascii="Cambria" w:hAnsi="Cambria"/>
              </w:rPr>
            </w:pPr>
            <w:r w:rsidRPr="001442CD">
              <w:rPr>
                <w:rFonts w:ascii="Cambria" w:hAnsi="Cambria"/>
              </w:rPr>
              <w:t>Estimate (B)</w:t>
            </w:r>
          </w:p>
        </w:tc>
        <w:tc>
          <w:tcPr>
            <w:tcW w:w="900" w:type="dxa"/>
            <w:tcBorders>
              <w:top w:val="single" w:sz="4" w:space="0" w:color="auto"/>
              <w:bottom w:val="single" w:sz="4" w:space="0" w:color="auto"/>
            </w:tcBorders>
            <w:vAlign w:val="center"/>
          </w:tcPr>
          <w:p w14:paraId="7D9CF007" w14:textId="77777777" w:rsidR="001442CD" w:rsidRPr="001442CD" w:rsidRDefault="001442CD" w:rsidP="001442CD">
            <w:pPr>
              <w:pStyle w:val="NoSpacing"/>
              <w:jc w:val="both"/>
              <w:rPr>
                <w:rFonts w:ascii="Cambria" w:hAnsi="Cambria"/>
              </w:rPr>
            </w:pPr>
            <w:r w:rsidRPr="001442CD">
              <w:rPr>
                <w:rFonts w:ascii="Cambria" w:hAnsi="Cambria"/>
              </w:rPr>
              <w:t>SE</w:t>
            </w:r>
          </w:p>
        </w:tc>
        <w:tc>
          <w:tcPr>
            <w:tcW w:w="950" w:type="dxa"/>
            <w:tcBorders>
              <w:top w:val="single" w:sz="4" w:space="0" w:color="auto"/>
              <w:bottom w:val="single" w:sz="4" w:space="0" w:color="auto"/>
            </w:tcBorders>
            <w:vAlign w:val="center"/>
          </w:tcPr>
          <w:p w14:paraId="08B12AFE" w14:textId="77777777" w:rsidR="001442CD" w:rsidRPr="001442CD" w:rsidRDefault="001442CD" w:rsidP="001442CD">
            <w:pPr>
              <w:pStyle w:val="NoSpacing"/>
              <w:jc w:val="both"/>
              <w:rPr>
                <w:rFonts w:ascii="Cambria" w:hAnsi="Cambria"/>
              </w:rPr>
            </w:pPr>
            <w:r w:rsidRPr="001442CD">
              <w:rPr>
                <w:rFonts w:ascii="Cambria" w:hAnsi="Cambria"/>
              </w:rPr>
              <w:t>z-value</w:t>
            </w:r>
          </w:p>
        </w:tc>
        <w:tc>
          <w:tcPr>
            <w:tcW w:w="1041" w:type="dxa"/>
            <w:tcBorders>
              <w:top w:val="single" w:sz="4" w:space="0" w:color="auto"/>
              <w:bottom w:val="single" w:sz="4" w:space="0" w:color="auto"/>
            </w:tcBorders>
            <w:vAlign w:val="center"/>
          </w:tcPr>
          <w:p w14:paraId="0FCAFBDD" w14:textId="77777777" w:rsidR="001442CD" w:rsidRPr="001442CD" w:rsidRDefault="001442CD" w:rsidP="001442CD">
            <w:pPr>
              <w:pStyle w:val="NoSpacing"/>
              <w:jc w:val="both"/>
              <w:rPr>
                <w:rFonts w:ascii="Cambria" w:hAnsi="Cambria"/>
              </w:rPr>
            </w:pPr>
            <w:r w:rsidRPr="001442CD">
              <w:rPr>
                <w:rFonts w:ascii="Cambria" w:hAnsi="Cambria"/>
              </w:rPr>
              <w:t>p-value</w:t>
            </w:r>
          </w:p>
        </w:tc>
        <w:tc>
          <w:tcPr>
            <w:tcW w:w="1128" w:type="dxa"/>
            <w:tcBorders>
              <w:top w:val="single" w:sz="4" w:space="0" w:color="auto"/>
              <w:bottom w:val="single" w:sz="4" w:space="0" w:color="auto"/>
            </w:tcBorders>
            <w:vAlign w:val="center"/>
          </w:tcPr>
          <w:p w14:paraId="792CF97D" w14:textId="77777777" w:rsidR="001442CD" w:rsidRPr="001442CD" w:rsidRDefault="001442CD" w:rsidP="001442CD">
            <w:pPr>
              <w:pStyle w:val="NoSpacing"/>
              <w:jc w:val="both"/>
              <w:rPr>
                <w:rFonts w:ascii="Cambria" w:hAnsi="Cambria"/>
              </w:rPr>
            </w:pPr>
            <w:r w:rsidRPr="001442CD">
              <w:rPr>
                <w:rFonts w:ascii="Cambria" w:hAnsi="Cambria"/>
              </w:rPr>
              <w:t xml:space="preserve">Decision on </w:t>
            </w:r>
            <w:r w:rsidRPr="001442CD">
              <w:rPr>
                <w:rFonts w:ascii="Cambria" w:hAnsi="Cambria"/>
                <w:i/>
                <w:iCs/>
              </w:rPr>
              <w:t>H</w:t>
            </w:r>
            <w:r w:rsidRPr="001442CD">
              <w:rPr>
                <w:rFonts w:ascii="Cambria" w:hAnsi="Cambria"/>
                <w:vertAlign w:val="subscript"/>
              </w:rPr>
              <w:t>0</w:t>
            </w:r>
          </w:p>
        </w:tc>
        <w:tc>
          <w:tcPr>
            <w:tcW w:w="1556" w:type="dxa"/>
            <w:tcBorders>
              <w:top w:val="single" w:sz="4" w:space="0" w:color="auto"/>
              <w:bottom w:val="single" w:sz="4" w:space="0" w:color="auto"/>
            </w:tcBorders>
            <w:vAlign w:val="center"/>
          </w:tcPr>
          <w:p w14:paraId="4D6C370E" w14:textId="77777777" w:rsidR="001442CD" w:rsidRPr="001442CD" w:rsidRDefault="001442CD" w:rsidP="001442CD">
            <w:pPr>
              <w:pStyle w:val="NoSpacing"/>
              <w:jc w:val="both"/>
              <w:rPr>
                <w:rFonts w:ascii="Cambria" w:hAnsi="Cambria"/>
              </w:rPr>
            </w:pPr>
            <w:r w:rsidRPr="001442CD">
              <w:rPr>
                <w:rFonts w:ascii="Cambria" w:hAnsi="Cambria"/>
              </w:rPr>
              <w:t>Interpretation</w:t>
            </w:r>
          </w:p>
        </w:tc>
      </w:tr>
      <w:tr w:rsidR="001442CD" w:rsidRPr="001442CD" w14:paraId="377BF53C" w14:textId="77777777" w:rsidTr="00312EB0">
        <w:tc>
          <w:tcPr>
            <w:tcW w:w="985" w:type="dxa"/>
            <w:tcBorders>
              <w:top w:val="single" w:sz="4" w:space="0" w:color="auto"/>
            </w:tcBorders>
            <w:vAlign w:val="center"/>
          </w:tcPr>
          <w:p w14:paraId="6178139C" w14:textId="77777777" w:rsidR="001442CD" w:rsidRPr="001442CD" w:rsidRDefault="001442CD" w:rsidP="001442CD">
            <w:pPr>
              <w:pStyle w:val="NoSpacing"/>
              <w:jc w:val="both"/>
              <w:rPr>
                <w:rFonts w:ascii="Cambria" w:hAnsi="Cambria"/>
              </w:rPr>
            </w:pPr>
            <w:r w:rsidRPr="001442CD">
              <w:rPr>
                <w:rFonts w:ascii="Cambria" w:hAnsi="Cambria"/>
              </w:rPr>
              <w:t>A</w:t>
            </w:r>
          </w:p>
        </w:tc>
        <w:tc>
          <w:tcPr>
            <w:tcW w:w="1710" w:type="dxa"/>
            <w:tcBorders>
              <w:top w:val="single" w:sz="4" w:space="0" w:color="auto"/>
            </w:tcBorders>
            <w:vAlign w:val="center"/>
          </w:tcPr>
          <w:p w14:paraId="569531FE" w14:textId="77777777" w:rsidR="001442CD" w:rsidRPr="001442CD" w:rsidRDefault="001442CD" w:rsidP="001442CD">
            <w:pPr>
              <w:pStyle w:val="NoSpacing"/>
              <w:jc w:val="both"/>
              <w:rPr>
                <w:rFonts w:ascii="Cambria" w:hAnsi="Cambria"/>
              </w:rPr>
            </w:pPr>
            <w:r w:rsidRPr="001442CD">
              <w:rPr>
                <w:rFonts w:ascii="Cambria" w:hAnsi="Cambria"/>
              </w:rPr>
              <w:t>Basic Biotechnology Knowledge → Attitude Towards Genetically Modified Foods</w:t>
            </w:r>
          </w:p>
        </w:tc>
        <w:tc>
          <w:tcPr>
            <w:tcW w:w="1080" w:type="dxa"/>
            <w:tcBorders>
              <w:top w:val="single" w:sz="4" w:space="0" w:color="auto"/>
            </w:tcBorders>
            <w:vAlign w:val="center"/>
          </w:tcPr>
          <w:p w14:paraId="34ABD3D0" w14:textId="77777777" w:rsidR="001442CD" w:rsidRPr="001442CD" w:rsidRDefault="001442CD" w:rsidP="001442CD">
            <w:pPr>
              <w:pStyle w:val="NoSpacing"/>
              <w:jc w:val="both"/>
              <w:rPr>
                <w:rFonts w:ascii="Cambria" w:hAnsi="Cambria"/>
              </w:rPr>
            </w:pPr>
            <w:r w:rsidRPr="001442CD">
              <w:rPr>
                <w:rFonts w:ascii="Cambria" w:hAnsi="Cambria"/>
              </w:rPr>
              <w:t>1.831</w:t>
            </w:r>
          </w:p>
        </w:tc>
        <w:tc>
          <w:tcPr>
            <w:tcW w:w="900" w:type="dxa"/>
            <w:tcBorders>
              <w:top w:val="single" w:sz="4" w:space="0" w:color="auto"/>
            </w:tcBorders>
            <w:vAlign w:val="center"/>
          </w:tcPr>
          <w:p w14:paraId="3EE993AD" w14:textId="77777777" w:rsidR="001442CD" w:rsidRPr="001442CD" w:rsidRDefault="001442CD" w:rsidP="001442CD">
            <w:pPr>
              <w:pStyle w:val="NoSpacing"/>
              <w:jc w:val="both"/>
              <w:rPr>
                <w:rFonts w:ascii="Cambria" w:hAnsi="Cambria"/>
              </w:rPr>
            </w:pPr>
            <w:r w:rsidRPr="001442CD">
              <w:rPr>
                <w:rFonts w:ascii="Cambria" w:hAnsi="Cambria"/>
              </w:rPr>
              <w:t>0.063</w:t>
            </w:r>
          </w:p>
        </w:tc>
        <w:tc>
          <w:tcPr>
            <w:tcW w:w="950" w:type="dxa"/>
            <w:tcBorders>
              <w:top w:val="single" w:sz="4" w:space="0" w:color="auto"/>
            </w:tcBorders>
            <w:vAlign w:val="center"/>
          </w:tcPr>
          <w:p w14:paraId="21D327C5" w14:textId="77777777" w:rsidR="001442CD" w:rsidRPr="001442CD" w:rsidRDefault="001442CD" w:rsidP="001442CD">
            <w:pPr>
              <w:pStyle w:val="NoSpacing"/>
              <w:jc w:val="both"/>
              <w:rPr>
                <w:rFonts w:ascii="Cambria" w:hAnsi="Cambria"/>
              </w:rPr>
            </w:pPr>
            <w:r w:rsidRPr="001442CD">
              <w:rPr>
                <w:rFonts w:ascii="Cambria" w:hAnsi="Cambria"/>
              </w:rPr>
              <w:t>28.926</w:t>
            </w:r>
          </w:p>
        </w:tc>
        <w:tc>
          <w:tcPr>
            <w:tcW w:w="1041" w:type="dxa"/>
            <w:tcBorders>
              <w:top w:val="single" w:sz="4" w:space="0" w:color="auto"/>
            </w:tcBorders>
            <w:vAlign w:val="center"/>
          </w:tcPr>
          <w:p w14:paraId="3CA974D4" w14:textId="77777777" w:rsidR="001442CD" w:rsidRPr="001442CD" w:rsidRDefault="001442CD" w:rsidP="001442CD">
            <w:pPr>
              <w:pStyle w:val="NoSpacing"/>
              <w:jc w:val="both"/>
              <w:rPr>
                <w:rFonts w:ascii="Cambria" w:hAnsi="Cambria"/>
              </w:rPr>
            </w:pPr>
            <w:r w:rsidRPr="001442CD">
              <w:rPr>
                <w:rFonts w:ascii="Cambria" w:hAnsi="Cambria"/>
              </w:rPr>
              <w:t>0.000</w:t>
            </w:r>
          </w:p>
        </w:tc>
        <w:tc>
          <w:tcPr>
            <w:tcW w:w="1128" w:type="dxa"/>
            <w:tcBorders>
              <w:top w:val="single" w:sz="4" w:space="0" w:color="auto"/>
            </w:tcBorders>
            <w:vAlign w:val="center"/>
          </w:tcPr>
          <w:p w14:paraId="4BF3AEB3" w14:textId="77777777" w:rsidR="001442CD" w:rsidRPr="001442CD" w:rsidRDefault="001442CD" w:rsidP="001442CD">
            <w:pPr>
              <w:pStyle w:val="NoSpacing"/>
              <w:jc w:val="both"/>
              <w:rPr>
                <w:rFonts w:ascii="Cambria" w:hAnsi="Cambria"/>
              </w:rPr>
            </w:pPr>
            <w:r w:rsidRPr="001442CD">
              <w:rPr>
                <w:rFonts w:ascii="Cambria" w:hAnsi="Cambria"/>
              </w:rPr>
              <w:t>Reject</w:t>
            </w:r>
          </w:p>
        </w:tc>
        <w:tc>
          <w:tcPr>
            <w:tcW w:w="1556" w:type="dxa"/>
            <w:tcBorders>
              <w:top w:val="single" w:sz="4" w:space="0" w:color="auto"/>
            </w:tcBorders>
            <w:vAlign w:val="center"/>
          </w:tcPr>
          <w:p w14:paraId="5E81E004" w14:textId="77777777" w:rsidR="001442CD" w:rsidRPr="001442CD" w:rsidRDefault="001442CD" w:rsidP="001442CD">
            <w:pPr>
              <w:pStyle w:val="NoSpacing"/>
              <w:jc w:val="both"/>
              <w:rPr>
                <w:rFonts w:ascii="Cambria" w:hAnsi="Cambria"/>
              </w:rPr>
            </w:pPr>
            <w:r w:rsidRPr="001442CD">
              <w:rPr>
                <w:rFonts w:ascii="Cambria" w:hAnsi="Cambria"/>
              </w:rPr>
              <w:t>Significant</w:t>
            </w:r>
          </w:p>
        </w:tc>
      </w:tr>
      <w:tr w:rsidR="001442CD" w:rsidRPr="001442CD" w14:paraId="5AFFAF70" w14:textId="77777777" w:rsidTr="00312EB0">
        <w:tc>
          <w:tcPr>
            <w:tcW w:w="985" w:type="dxa"/>
            <w:vAlign w:val="center"/>
          </w:tcPr>
          <w:p w14:paraId="297BDB56" w14:textId="77777777" w:rsidR="001442CD" w:rsidRPr="001442CD" w:rsidRDefault="001442CD" w:rsidP="001442CD">
            <w:pPr>
              <w:pStyle w:val="NoSpacing"/>
              <w:jc w:val="both"/>
              <w:rPr>
                <w:rFonts w:ascii="Cambria" w:hAnsi="Cambria"/>
              </w:rPr>
            </w:pPr>
            <w:r w:rsidRPr="001442CD">
              <w:rPr>
                <w:rFonts w:ascii="Cambria" w:hAnsi="Cambria"/>
              </w:rPr>
              <w:t>B</w:t>
            </w:r>
          </w:p>
        </w:tc>
        <w:tc>
          <w:tcPr>
            <w:tcW w:w="1710" w:type="dxa"/>
            <w:vAlign w:val="center"/>
          </w:tcPr>
          <w:p w14:paraId="0F9A323C" w14:textId="77777777" w:rsidR="001442CD" w:rsidRPr="001442CD" w:rsidRDefault="001442CD" w:rsidP="001442CD">
            <w:pPr>
              <w:pStyle w:val="NoSpacing"/>
              <w:jc w:val="both"/>
              <w:rPr>
                <w:rFonts w:ascii="Cambria" w:hAnsi="Cambria"/>
              </w:rPr>
            </w:pPr>
            <w:r w:rsidRPr="001442CD">
              <w:rPr>
                <w:rFonts w:ascii="Cambria" w:hAnsi="Cambria"/>
              </w:rPr>
              <w:t>Attitude Towards Genetically Modified Foods → Acceptance of Genetically Modified Foods</w:t>
            </w:r>
          </w:p>
        </w:tc>
        <w:tc>
          <w:tcPr>
            <w:tcW w:w="1080" w:type="dxa"/>
            <w:vAlign w:val="center"/>
          </w:tcPr>
          <w:p w14:paraId="2985DFEB" w14:textId="77777777" w:rsidR="001442CD" w:rsidRPr="001442CD" w:rsidRDefault="001442CD" w:rsidP="001442CD">
            <w:pPr>
              <w:pStyle w:val="NoSpacing"/>
              <w:jc w:val="both"/>
              <w:rPr>
                <w:rFonts w:ascii="Cambria" w:hAnsi="Cambria"/>
              </w:rPr>
            </w:pPr>
            <w:r w:rsidRPr="001442CD">
              <w:rPr>
                <w:rFonts w:ascii="Cambria" w:hAnsi="Cambria"/>
              </w:rPr>
              <w:t>0.506</w:t>
            </w:r>
          </w:p>
        </w:tc>
        <w:tc>
          <w:tcPr>
            <w:tcW w:w="900" w:type="dxa"/>
            <w:vAlign w:val="center"/>
          </w:tcPr>
          <w:p w14:paraId="0FEC1616" w14:textId="77777777" w:rsidR="001442CD" w:rsidRPr="001442CD" w:rsidRDefault="001442CD" w:rsidP="001442CD">
            <w:pPr>
              <w:pStyle w:val="NoSpacing"/>
              <w:jc w:val="both"/>
              <w:rPr>
                <w:rFonts w:ascii="Cambria" w:hAnsi="Cambria"/>
              </w:rPr>
            </w:pPr>
            <w:r w:rsidRPr="001442CD">
              <w:rPr>
                <w:rFonts w:ascii="Cambria" w:hAnsi="Cambria"/>
              </w:rPr>
              <w:t>0.042</w:t>
            </w:r>
          </w:p>
        </w:tc>
        <w:tc>
          <w:tcPr>
            <w:tcW w:w="950" w:type="dxa"/>
            <w:vAlign w:val="center"/>
          </w:tcPr>
          <w:p w14:paraId="6F180A0E" w14:textId="77777777" w:rsidR="001442CD" w:rsidRPr="001442CD" w:rsidRDefault="001442CD" w:rsidP="001442CD">
            <w:pPr>
              <w:pStyle w:val="NoSpacing"/>
              <w:jc w:val="both"/>
              <w:rPr>
                <w:rFonts w:ascii="Cambria" w:hAnsi="Cambria"/>
              </w:rPr>
            </w:pPr>
            <w:r w:rsidRPr="001442CD">
              <w:rPr>
                <w:rFonts w:ascii="Cambria" w:hAnsi="Cambria"/>
              </w:rPr>
              <w:t>12.052</w:t>
            </w:r>
          </w:p>
        </w:tc>
        <w:tc>
          <w:tcPr>
            <w:tcW w:w="1041" w:type="dxa"/>
            <w:vAlign w:val="center"/>
          </w:tcPr>
          <w:p w14:paraId="0846A08B" w14:textId="77777777" w:rsidR="001442CD" w:rsidRPr="001442CD" w:rsidRDefault="001442CD" w:rsidP="001442CD">
            <w:pPr>
              <w:pStyle w:val="NoSpacing"/>
              <w:jc w:val="both"/>
              <w:rPr>
                <w:rFonts w:ascii="Cambria" w:hAnsi="Cambria"/>
              </w:rPr>
            </w:pPr>
            <w:r w:rsidRPr="001442CD">
              <w:rPr>
                <w:rFonts w:ascii="Cambria" w:hAnsi="Cambria"/>
              </w:rPr>
              <w:t>0.000</w:t>
            </w:r>
          </w:p>
        </w:tc>
        <w:tc>
          <w:tcPr>
            <w:tcW w:w="1128" w:type="dxa"/>
            <w:vAlign w:val="center"/>
          </w:tcPr>
          <w:p w14:paraId="1889A5E0" w14:textId="77777777" w:rsidR="001442CD" w:rsidRPr="001442CD" w:rsidRDefault="001442CD" w:rsidP="001442CD">
            <w:pPr>
              <w:pStyle w:val="NoSpacing"/>
              <w:jc w:val="both"/>
              <w:rPr>
                <w:rFonts w:ascii="Cambria" w:hAnsi="Cambria"/>
              </w:rPr>
            </w:pPr>
            <w:r w:rsidRPr="001442CD">
              <w:rPr>
                <w:rFonts w:ascii="Cambria" w:hAnsi="Cambria"/>
              </w:rPr>
              <w:t>Reject</w:t>
            </w:r>
          </w:p>
        </w:tc>
        <w:tc>
          <w:tcPr>
            <w:tcW w:w="1556" w:type="dxa"/>
            <w:vAlign w:val="center"/>
          </w:tcPr>
          <w:p w14:paraId="73AD50BF" w14:textId="77777777" w:rsidR="001442CD" w:rsidRPr="001442CD" w:rsidRDefault="001442CD" w:rsidP="001442CD">
            <w:pPr>
              <w:pStyle w:val="NoSpacing"/>
              <w:jc w:val="both"/>
              <w:rPr>
                <w:rFonts w:ascii="Cambria" w:hAnsi="Cambria"/>
              </w:rPr>
            </w:pPr>
            <w:r w:rsidRPr="001442CD">
              <w:rPr>
                <w:rFonts w:ascii="Cambria" w:hAnsi="Cambria"/>
              </w:rPr>
              <w:t>Significant</w:t>
            </w:r>
          </w:p>
        </w:tc>
      </w:tr>
      <w:tr w:rsidR="001442CD" w:rsidRPr="001442CD" w14:paraId="199B0642" w14:textId="77777777" w:rsidTr="00312EB0">
        <w:tc>
          <w:tcPr>
            <w:tcW w:w="985" w:type="dxa"/>
            <w:vAlign w:val="center"/>
          </w:tcPr>
          <w:p w14:paraId="1DFA45DD" w14:textId="77777777" w:rsidR="001442CD" w:rsidRPr="001442CD" w:rsidRDefault="001442CD" w:rsidP="001442CD">
            <w:pPr>
              <w:pStyle w:val="NoSpacing"/>
              <w:jc w:val="both"/>
              <w:rPr>
                <w:rFonts w:ascii="Cambria" w:hAnsi="Cambria"/>
              </w:rPr>
            </w:pPr>
            <w:r w:rsidRPr="001442CD">
              <w:rPr>
                <w:rFonts w:ascii="Cambria" w:hAnsi="Cambria"/>
              </w:rPr>
              <w:t>C</w:t>
            </w:r>
          </w:p>
        </w:tc>
        <w:tc>
          <w:tcPr>
            <w:tcW w:w="1710" w:type="dxa"/>
            <w:vAlign w:val="center"/>
          </w:tcPr>
          <w:p w14:paraId="2556F186" w14:textId="77777777" w:rsidR="001442CD" w:rsidRPr="001442CD" w:rsidRDefault="001442CD" w:rsidP="001442CD">
            <w:pPr>
              <w:pStyle w:val="NoSpacing"/>
              <w:jc w:val="both"/>
              <w:rPr>
                <w:rFonts w:ascii="Cambria" w:hAnsi="Cambria"/>
              </w:rPr>
            </w:pPr>
            <w:r w:rsidRPr="001442CD">
              <w:rPr>
                <w:rFonts w:ascii="Cambria" w:hAnsi="Cambria"/>
              </w:rPr>
              <w:t>Basic Biotechnology Knowledge → Acceptance of Genetically Modified Foods</w:t>
            </w:r>
          </w:p>
        </w:tc>
        <w:tc>
          <w:tcPr>
            <w:tcW w:w="1080" w:type="dxa"/>
            <w:vAlign w:val="center"/>
          </w:tcPr>
          <w:p w14:paraId="137C6B0A" w14:textId="77777777" w:rsidR="001442CD" w:rsidRPr="001442CD" w:rsidRDefault="001442CD" w:rsidP="001442CD">
            <w:pPr>
              <w:pStyle w:val="NoSpacing"/>
              <w:jc w:val="both"/>
              <w:rPr>
                <w:rFonts w:ascii="Cambria" w:hAnsi="Cambria"/>
              </w:rPr>
            </w:pPr>
            <w:r w:rsidRPr="001442CD">
              <w:rPr>
                <w:rFonts w:ascii="Cambria" w:hAnsi="Cambria"/>
              </w:rPr>
              <w:t>0.725</w:t>
            </w:r>
          </w:p>
        </w:tc>
        <w:tc>
          <w:tcPr>
            <w:tcW w:w="900" w:type="dxa"/>
            <w:vAlign w:val="center"/>
          </w:tcPr>
          <w:p w14:paraId="27230B71" w14:textId="77777777" w:rsidR="001442CD" w:rsidRPr="001442CD" w:rsidRDefault="001442CD" w:rsidP="001442CD">
            <w:pPr>
              <w:pStyle w:val="NoSpacing"/>
              <w:jc w:val="both"/>
              <w:rPr>
                <w:rFonts w:ascii="Cambria" w:hAnsi="Cambria"/>
              </w:rPr>
            </w:pPr>
            <w:r w:rsidRPr="001442CD">
              <w:rPr>
                <w:rFonts w:ascii="Cambria" w:hAnsi="Cambria"/>
              </w:rPr>
              <w:t>0.100</w:t>
            </w:r>
          </w:p>
        </w:tc>
        <w:tc>
          <w:tcPr>
            <w:tcW w:w="950" w:type="dxa"/>
            <w:vAlign w:val="center"/>
          </w:tcPr>
          <w:p w14:paraId="067AB95C" w14:textId="77777777" w:rsidR="001442CD" w:rsidRPr="001442CD" w:rsidRDefault="001442CD" w:rsidP="001442CD">
            <w:pPr>
              <w:pStyle w:val="NoSpacing"/>
              <w:jc w:val="both"/>
              <w:rPr>
                <w:rFonts w:ascii="Cambria" w:hAnsi="Cambria"/>
              </w:rPr>
            </w:pPr>
            <w:r w:rsidRPr="001442CD">
              <w:rPr>
                <w:rFonts w:ascii="Cambria" w:hAnsi="Cambria"/>
              </w:rPr>
              <w:t>7.251</w:t>
            </w:r>
          </w:p>
        </w:tc>
        <w:tc>
          <w:tcPr>
            <w:tcW w:w="1041" w:type="dxa"/>
            <w:vAlign w:val="center"/>
          </w:tcPr>
          <w:p w14:paraId="2D25A097" w14:textId="77777777" w:rsidR="001442CD" w:rsidRPr="001442CD" w:rsidRDefault="001442CD" w:rsidP="001442CD">
            <w:pPr>
              <w:pStyle w:val="NoSpacing"/>
              <w:jc w:val="both"/>
              <w:rPr>
                <w:rFonts w:ascii="Cambria" w:hAnsi="Cambria"/>
              </w:rPr>
            </w:pPr>
            <w:r w:rsidRPr="001442CD">
              <w:rPr>
                <w:rFonts w:ascii="Cambria" w:hAnsi="Cambria"/>
              </w:rPr>
              <w:t>0.000</w:t>
            </w:r>
          </w:p>
        </w:tc>
        <w:tc>
          <w:tcPr>
            <w:tcW w:w="1128" w:type="dxa"/>
            <w:vAlign w:val="center"/>
          </w:tcPr>
          <w:p w14:paraId="178E941B" w14:textId="77777777" w:rsidR="001442CD" w:rsidRPr="001442CD" w:rsidRDefault="001442CD" w:rsidP="001442CD">
            <w:pPr>
              <w:pStyle w:val="NoSpacing"/>
              <w:jc w:val="both"/>
              <w:rPr>
                <w:rFonts w:ascii="Cambria" w:hAnsi="Cambria"/>
              </w:rPr>
            </w:pPr>
            <w:r w:rsidRPr="001442CD">
              <w:rPr>
                <w:rFonts w:ascii="Cambria" w:hAnsi="Cambria"/>
              </w:rPr>
              <w:t>Reject</w:t>
            </w:r>
          </w:p>
        </w:tc>
        <w:tc>
          <w:tcPr>
            <w:tcW w:w="1556" w:type="dxa"/>
            <w:vAlign w:val="center"/>
          </w:tcPr>
          <w:p w14:paraId="53D47BB7" w14:textId="77777777" w:rsidR="001442CD" w:rsidRPr="001442CD" w:rsidRDefault="001442CD" w:rsidP="001442CD">
            <w:pPr>
              <w:pStyle w:val="NoSpacing"/>
              <w:jc w:val="both"/>
              <w:rPr>
                <w:rFonts w:ascii="Cambria" w:hAnsi="Cambria"/>
              </w:rPr>
            </w:pPr>
            <w:r w:rsidRPr="001442CD">
              <w:rPr>
                <w:rFonts w:ascii="Cambria" w:hAnsi="Cambria"/>
              </w:rPr>
              <w:t>Significant</w:t>
            </w:r>
          </w:p>
        </w:tc>
      </w:tr>
      <w:tr w:rsidR="001442CD" w:rsidRPr="001442CD" w14:paraId="1D961151" w14:textId="77777777" w:rsidTr="00312EB0">
        <w:tc>
          <w:tcPr>
            <w:tcW w:w="985" w:type="dxa"/>
            <w:vAlign w:val="center"/>
          </w:tcPr>
          <w:p w14:paraId="6B4BBF3B" w14:textId="77777777" w:rsidR="001442CD" w:rsidRPr="001442CD" w:rsidRDefault="001442CD" w:rsidP="001442CD">
            <w:pPr>
              <w:pStyle w:val="NoSpacing"/>
              <w:jc w:val="both"/>
              <w:rPr>
                <w:rFonts w:ascii="Cambria" w:hAnsi="Cambria"/>
                <w:i/>
                <w:iCs/>
              </w:rPr>
            </w:pPr>
            <w:r w:rsidRPr="001442CD">
              <w:rPr>
                <w:rFonts w:ascii="Cambria" w:hAnsi="Cambria"/>
                <w:i/>
                <w:iCs/>
              </w:rPr>
              <w:t>c’</w:t>
            </w:r>
          </w:p>
        </w:tc>
        <w:tc>
          <w:tcPr>
            <w:tcW w:w="1710" w:type="dxa"/>
            <w:vAlign w:val="center"/>
          </w:tcPr>
          <w:p w14:paraId="53F42F8C" w14:textId="77777777" w:rsidR="001442CD" w:rsidRPr="001442CD" w:rsidRDefault="001442CD" w:rsidP="001442CD">
            <w:pPr>
              <w:pStyle w:val="NoSpacing"/>
              <w:jc w:val="both"/>
              <w:rPr>
                <w:rFonts w:ascii="Cambria" w:hAnsi="Cambria"/>
              </w:rPr>
            </w:pPr>
            <w:r w:rsidRPr="001442CD">
              <w:rPr>
                <w:rFonts w:ascii="Cambria" w:hAnsi="Cambria"/>
              </w:rPr>
              <w:t>Direct</w:t>
            </w:r>
          </w:p>
        </w:tc>
        <w:tc>
          <w:tcPr>
            <w:tcW w:w="1080" w:type="dxa"/>
            <w:vAlign w:val="center"/>
          </w:tcPr>
          <w:p w14:paraId="59D0E41A" w14:textId="77777777" w:rsidR="001442CD" w:rsidRPr="001442CD" w:rsidRDefault="001442CD" w:rsidP="001442CD">
            <w:pPr>
              <w:pStyle w:val="NoSpacing"/>
              <w:jc w:val="both"/>
              <w:rPr>
                <w:rFonts w:ascii="Cambria" w:hAnsi="Cambria"/>
              </w:rPr>
            </w:pPr>
            <w:r w:rsidRPr="001442CD">
              <w:rPr>
                <w:rFonts w:ascii="Cambria" w:hAnsi="Cambria"/>
              </w:rPr>
              <w:t>0.725</w:t>
            </w:r>
          </w:p>
        </w:tc>
        <w:tc>
          <w:tcPr>
            <w:tcW w:w="900" w:type="dxa"/>
            <w:vAlign w:val="center"/>
          </w:tcPr>
          <w:p w14:paraId="3DCB95E8" w14:textId="77777777" w:rsidR="001442CD" w:rsidRPr="001442CD" w:rsidRDefault="001442CD" w:rsidP="001442CD">
            <w:pPr>
              <w:pStyle w:val="NoSpacing"/>
              <w:jc w:val="both"/>
              <w:rPr>
                <w:rFonts w:ascii="Cambria" w:hAnsi="Cambria"/>
              </w:rPr>
            </w:pPr>
            <w:r w:rsidRPr="001442CD">
              <w:rPr>
                <w:rFonts w:ascii="Cambria" w:hAnsi="Cambria"/>
              </w:rPr>
              <w:t>0.100</w:t>
            </w:r>
          </w:p>
        </w:tc>
        <w:tc>
          <w:tcPr>
            <w:tcW w:w="950" w:type="dxa"/>
            <w:vAlign w:val="center"/>
          </w:tcPr>
          <w:p w14:paraId="4642C4AA" w14:textId="77777777" w:rsidR="001442CD" w:rsidRPr="001442CD" w:rsidRDefault="001442CD" w:rsidP="001442CD">
            <w:pPr>
              <w:pStyle w:val="NoSpacing"/>
              <w:jc w:val="both"/>
              <w:rPr>
                <w:rFonts w:ascii="Cambria" w:hAnsi="Cambria"/>
              </w:rPr>
            </w:pPr>
            <w:r w:rsidRPr="001442CD">
              <w:rPr>
                <w:rFonts w:ascii="Cambria" w:hAnsi="Cambria"/>
              </w:rPr>
              <w:t>7.251</w:t>
            </w:r>
          </w:p>
        </w:tc>
        <w:tc>
          <w:tcPr>
            <w:tcW w:w="1041" w:type="dxa"/>
            <w:vAlign w:val="center"/>
          </w:tcPr>
          <w:p w14:paraId="0A7F905E" w14:textId="77777777" w:rsidR="001442CD" w:rsidRPr="001442CD" w:rsidRDefault="001442CD" w:rsidP="001442CD">
            <w:pPr>
              <w:pStyle w:val="NoSpacing"/>
              <w:jc w:val="both"/>
              <w:rPr>
                <w:rFonts w:ascii="Cambria" w:hAnsi="Cambria"/>
              </w:rPr>
            </w:pPr>
            <w:r w:rsidRPr="001442CD">
              <w:rPr>
                <w:rFonts w:ascii="Cambria" w:hAnsi="Cambria"/>
              </w:rPr>
              <w:t>0.000</w:t>
            </w:r>
          </w:p>
        </w:tc>
        <w:tc>
          <w:tcPr>
            <w:tcW w:w="1128" w:type="dxa"/>
            <w:vAlign w:val="center"/>
          </w:tcPr>
          <w:p w14:paraId="5AD21B1F" w14:textId="77777777" w:rsidR="001442CD" w:rsidRPr="001442CD" w:rsidRDefault="001442CD" w:rsidP="001442CD">
            <w:pPr>
              <w:pStyle w:val="NoSpacing"/>
              <w:jc w:val="both"/>
              <w:rPr>
                <w:rFonts w:ascii="Cambria" w:hAnsi="Cambria"/>
              </w:rPr>
            </w:pPr>
            <w:r w:rsidRPr="001442CD">
              <w:rPr>
                <w:rFonts w:ascii="Cambria" w:hAnsi="Cambria"/>
              </w:rPr>
              <w:t>Reject</w:t>
            </w:r>
          </w:p>
        </w:tc>
        <w:tc>
          <w:tcPr>
            <w:tcW w:w="1556" w:type="dxa"/>
            <w:vAlign w:val="center"/>
          </w:tcPr>
          <w:p w14:paraId="49675E36" w14:textId="77777777" w:rsidR="001442CD" w:rsidRPr="001442CD" w:rsidRDefault="001442CD" w:rsidP="001442CD">
            <w:pPr>
              <w:pStyle w:val="NoSpacing"/>
              <w:jc w:val="both"/>
              <w:rPr>
                <w:rFonts w:ascii="Cambria" w:hAnsi="Cambria"/>
              </w:rPr>
            </w:pPr>
            <w:r w:rsidRPr="001442CD">
              <w:rPr>
                <w:rFonts w:ascii="Cambria" w:hAnsi="Cambria"/>
              </w:rPr>
              <w:t>Significant</w:t>
            </w:r>
          </w:p>
        </w:tc>
      </w:tr>
      <w:tr w:rsidR="001442CD" w:rsidRPr="001442CD" w14:paraId="6F55B044" w14:textId="77777777" w:rsidTr="00312EB0">
        <w:tc>
          <w:tcPr>
            <w:tcW w:w="985" w:type="dxa"/>
            <w:vAlign w:val="center"/>
          </w:tcPr>
          <w:p w14:paraId="2122FFC8" w14:textId="77777777" w:rsidR="001442CD" w:rsidRPr="001442CD" w:rsidRDefault="001442CD" w:rsidP="001442CD">
            <w:pPr>
              <w:pStyle w:val="NoSpacing"/>
              <w:jc w:val="both"/>
              <w:rPr>
                <w:rFonts w:ascii="Cambria" w:hAnsi="Cambria"/>
                <w:i/>
                <w:iCs/>
              </w:rPr>
            </w:pPr>
            <w:r w:rsidRPr="001442CD">
              <w:rPr>
                <w:rFonts w:ascii="Cambria" w:hAnsi="Cambria"/>
                <w:i/>
                <w:iCs/>
              </w:rPr>
              <w:t>a x b</w:t>
            </w:r>
          </w:p>
        </w:tc>
        <w:tc>
          <w:tcPr>
            <w:tcW w:w="1710" w:type="dxa"/>
            <w:vAlign w:val="center"/>
          </w:tcPr>
          <w:p w14:paraId="56BB6DB4" w14:textId="77777777" w:rsidR="001442CD" w:rsidRPr="001442CD" w:rsidRDefault="001442CD" w:rsidP="001442CD">
            <w:pPr>
              <w:pStyle w:val="NoSpacing"/>
              <w:jc w:val="both"/>
              <w:rPr>
                <w:rFonts w:ascii="Cambria" w:hAnsi="Cambria"/>
              </w:rPr>
            </w:pPr>
            <w:r w:rsidRPr="001442CD">
              <w:rPr>
                <w:rFonts w:ascii="Cambria" w:hAnsi="Cambria"/>
              </w:rPr>
              <w:t>Indirect</w:t>
            </w:r>
          </w:p>
        </w:tc>
        <w:tc>
          <w:tcPr>
            <w:tcW w:w="1080" w:type="dxa"/>
            <w:vAlign w:val="center"/>
          </w:tcPr>
          <w:p w14:paraId="6F6C6842" w14:textId="77777777" w:rsidR="001442CD" w:rsidRPr="001442CD" w:rsidRDefault="001442CD" w:rsidP="001442CD">
            <w:pPr>
              <w:pStyle w:val="NoSpacing"/>
              <w:jc w:val="both"/>
              <w:rPr>
                <w:rFonts w:ascii="Cambria" w:hAnsi="Cambria"/>
              </w:rPr>
            </w:pPr>
            <w:r w:rsidRPr="001442CD">
              <w:rPr>
                <w:rFonts w:ascii="Cambria" w:hAnsi="Cambria"/>
              </w:rPr>
              <w:t>0.927</w:t>
            </w:r>
          </w:p>
        </w:tc>
        <w:tc>
          <w:tcPr>
            <w:tcW w:w="900" w:type="dxa"/>
            <w:vAlign w:val="center"/>
          </w:tcPr>
          <w:p w14:paraId="2CE88BF6" w14:textId="77777777" w:rsidR="001442CD" w:rsidRPr="001442CD" w:rsidRDefault="001442CD" w:rsidP="001442CD">
            <w:pPr>
              <w:pStyle w:val="NoSpacing"/>
              <w:jc w:val="both"/>
              <w:rPr>
                <w:rFonts w:ascii="Cambria" w:hAnsi="Cambria"/>
              </w:rPr>
            </w:pPr>
            <w:r w:rsidRPr="001442CD">
              <w:rPr>
                <w:rFonts w:ascii="Cambria" w:hAnsi="Cambria"/>
              </w:rPr>
              <w:t>0.083</w:t>
            </w:r>
          </w:p>
        </w:tc>
        <w:tc>
          <w:tcPr>
            <w:tcW w:w="950" w:type="dxa"/>
            <w:vAlign w:val="center"/>
          </w:tcPr>
          <w:p w14:paraId="704E2A11" w14:textId="77777777" w:rsidR="001442CD" w:rsidRPr="001442CD" w:rsidRDefault="001442CD" w:rsidP="001442CD">
            <w:pPr>
              <w:pStyle w:val="NoSpacing"/>
              <w:jc w:val="both"/>
              <w:rPr>
                <w:rFonts w:ascii="Cambria" w:hAnsi="Cambria"/>
              </w:rPr>
            </w:pPr>
            <w:r w:rsidRPr="001442CD">
              <w:rPr>
                <w:rFonts w:ascii="Cambria" w:hAnsi="Cambria"/>
              </w:rPr>
              <w:t>11.125</w:t>
            </w:r>
          </w:p>
        </w:tc>
        <w:tc>
          <w:tcPr>
            <w:tcW w:w="1041" w:type="dxa"/>
            <w:vAlign w:val="center"/>
          </w:tcPr>
          <w:p w14:paraId="01B0B5E1" w14:textId="77777777" w:rsidR="001442CD" w:rsidRPr="001442CD" w:rsidRDefault="001442CD" w:rsidP="001442CD">
            <w:pPr>
              <w:pStyle w:val="NoSpacing"/>
              <w:jc w:val="both"/>
              <w:rPr>
                <w:rFonts w:ascii="Cambria" w:hAnsi="Cambria"/>
              </w:rPr>
            </w:pPr>
            <w:r w:rsidRPr="001442CD">
              <w:rPr>
                <w:rFonts w:ascii="Cambria" w:hAnsi="Cambria"/>
              </w:rPr>
              <w:t>0.000</w:t>
            </w:r>
          </w:p>
        </w:tc>
        <w:tc>
          <w:tcPr>
            <w:tcW w:w="1128" w:type="dxa"/>
            <w:vAlign w:val="center"/>
          </w:tcPr>
          <w:p w14:paraId="733E3B32" w14:textId="77777777" w:rsidR="001442CD" w:rsidRPr="001442CD" w:rsidRDefault="001442CD" w:rsidP="001442CD">
            <w:pPr>
              <w:pStyle w:val="NoSpacing"/>
              <w:jc w:val="both"/>
              <w:rPr>
                <w:rFonts w:ascii="Cambria" w:hAnsi="Cambria"/>
              </w:rPr>
            </w:pPr>
            <w:r w:rsidRPr="001442CD">
              <w:rPr>
                <w:rFonts w:ascii="Cambria" w:hAnsi="Cambria"/>
              </w:rPr>
              <w:t>Reject</w:t>
            </w:r>
          </w:p>
        </w:tc>
        <w:tc>
          <w:tcPr>
            <w:tcW w:w="1556" w:type="dxa"/>
            <w:vAlign w:val="center"/>
          </w:tcPr>
          <w:p w14:paraId="3571F1CA" w14:textId="77777777" w:rsidR="001442CD" w:rsidRPr="001442CD" w:rsidRDefault="001442CD" w:rsidP="001442CD">
            <w:pPr>
              <w:pStyle w:val="NoSpacing"/>
              <w:jc w:val="both"/>
              <w:rPr>
                <w:rFonts w:ascii="Cambria" w:hAnsi="Cambria"/>
              </w:rPr>
            </w:pPr>
            <w:r w:rsidRPr="001442CD">
              <w:rPr>
                <w:rFonts w:ascii="Cambria" w:hAnsi="Cambria"/>
              </w:rPr>
              <w:t>Significant</w:t>
            </w:r>
          </w:p>
        </w:tc>
      </w:tr>
      <w:tr w:rsidR="001442CD" w:rsidRPr="001442CD" w14:paraId="3BC57D2F" w14:textId="77777777" w:rsidTr="00312EB0">
        <w:tc>
          <w:tcPr>
            <w:tcW w:w="985" w:type="dxa"/>
            <w:vAlign w:val="center"/>
          </w:tcPr>
          <w:p w14:paraId="45581165" w14:textId="77777777" w:rsidR="001442CD" w:rsidRPr="001442CD" w:rsidRDefault="001442CD" w:rsidP="001442CD">
            <w:pPr>
              <w:pStyle w:val="NoSpacing"/>
              <w:jc w:val="both"/>
              <w:rPr>
                <w:rFonts w:ascii="Cambria" w:hAnsi="Cambria"/>
                <w:i/>
                <w:iCs/>
              </w:rPr>
            </w:pPr>
            <w:r w:rsidRPr="001442CD">
              <w:rPr>
                <w:rFonts w:ascii="Cambria" w:hAnsi="Cambria"/>
                <w:i/>
                <w:iCs/>
              </w:rPr>
              <w:t>c</w:t>
            </w:r>
          </w:p>
        </w:tc>
        <w:tc>
          <w:tcPr>
            <w:tcW w:w="1710" w:type="dxa"/>
            <w:vAlign w:val="center"/>
          </w:tcPr>
          <w:p w14:paraId="5EA030B9" w14:textId="77777777" w:rsidR="001442CD" w:rsidRPr="001442CD" w:rsidRDefault="001442CD" w:rsidP="001442CD">
            <w:pPr>
              <w:pStyle w:val="NoSpacing"/>
              <w:jc w:val="both"/>
              <w:rPr>
                <w:rFonts w:ascii="Cambria" w:hAnsi="Cambria"/>
              </w:rPr>
            </w:pPr>
            <w:r w:rsidRPr="001442CD">
              <w:rPr>
                <w:rFonts w:ascii="Cambria" w:hAnsi="Cambria"/>
              </w:rPr>
              <w:t>Total</w:t>
            </w:r>
          </w:p>
        </w:tc>
        <w:tc>
          <w:tcPr>
            <w:tcW w:w="1080" w:type="dxa"/>
            <w:vAlign w:val="center"/>
          </w:tcPr>
          <w:p w14:paraId="427A0BAA" w14:textId="77777777" w:rsidR="001442CD" w:rsidRPr="001442CD" w:rsidRDefault="001442CD" w:rsidP="001442CD">
            <w:pPr>
              <w:pStyle w:val="NoSpacing"/>
              <w:jc w:val="both"/>
              <w:rPr>
                <w:rFonts w:ascii="Cambria" w:hAnsi="Cambria"/>
              </w:rPr>
            </w:pPr>
            <w:r w:rsidRPr="001442CD">
              <w:rPr>
                <w:rFonts w:ascii="Cambria" w:hAnsi="Cambria"/>
              </w:rPr>
              <w:t>1.651</w:t>
            </w:r>
          </w:p>
        </w:tc>
        <w:tc>
          <w:tcPr>
            <w:tcW w:w="900" w:type="dxa"/>
            <w:vAlign w:val="center"/>
          </w:tcPr>
          <w:p w14:paraId="5F1E4628" w14:textId="77777777" w:rsidR="001442CD" w:rsidRPr="001442CD" w:rsidRDefault="001442CD" w:rsidP="001442CD">
            <w:pPr>
              <w:pStyle w:val="NoSpacing"/>
              <w:jc w:val="both"/>
              <w:rPr>
                <w:rFonts w:ascii="Cambria" w:hAnsi="Cambria"/>
              </w:rPr>
            </w:pPr>
            <w:r w:rsidRPr="001442CD">
              <w:rPr>
                <w:rFonts w:ascii="Cambria" w:hAnsi="Cambria"/>
              </w:rPr>
              <w:t>0.071</w:t>
            </w:r>
          </w:p>
        </w:tc>
        <w:tc>
          <w:tcPr>
            <w:tcW w:w="950" w:type="dxa"/>
            <w:vAlign w:val="center"/>
          </w:tcPr>
          <w:p w14:paraId="27765EB9" w14:textId="77777777" w:rsidR="001442CD" w:rsidRPr="001442CD" w:rsidRDefault="001442CD" w:rsidP="001442CD">
            <w:pPr>
              <w:pStyle w:val="NoSpacing"/>
              <w:jc w:val="both"/>
              <w:rPr>
                <w:rFonts w:ascii="Cambria" w:hAnsi="Cambria"/>
              </w:rPr>
            </w:pPr>
            <w:r w:rsidRPr="001442CD">
              <w:rPr>
                <w:rFonts w:ascii="Cambria" w:hAnsi="Cambria"/>
              </w:rPr>
              <w:t>23.129</w:t>
            </w:r>
          </w:p>
        </w:tc>
        <w:tc>
          <w:tcPr>
            <w:tcW w:w="1041" w:type="dxa"/>
            <w:vAlign w:val="center"/>
          </w:tcPr>
          <w:p w14:paraId="031CB228" w14:textId="77777777" w:rsidR="001442CD" w:rsidRPr="001442CD" w:rsidRDefault="001442CD" w:rsidP="001442CD">
            <w:pPr>
              <w:pStyle w:val="NoSpacing"/>
              <w:jc w:val="both"/>
              <w:rPr>
                <w:rFonts w:ascii="Cambria" w:hAnsi="Cambria"/>
              </w:rPr>
            </w:pPr>
            <w:r w:rsidRPr="001442CD">
              <w:rPr>
                <w:rFonts w:ascii="Cambria" w:hAnsi="Cambria"/>
              </w:rPr>
              <w:t>0.000</w:t>
            </w:r>
          </w:p>
        </w:tc>
        <w:tc>
          <w:tcPr>
            <w:tcW w:w="1128" w:type="dxa"/>
            <w:vAlign w:val="center"/>
          </w:tcPr>
          <w:p w14:paraId="7EEB5EED" w14:textId="77777777" w:rsidR="001442CD" w:rsidRPr="001442CD" w:rsidRDefault="001442CD" w:rsidP="001442CD">
            <w:pPr>
              <w:pStyle w:val="NoSpacing"/>
              <w:jc w:val="both"/>
              <w:rPr>
                <w:rFonts w:ascii="Cambria" w:hAnsi="Cambria"/>
              </w:rPr>
            </w:pPr>
            <w:r w:rsidRPr="001442CD">
              <w:rPr>
                <w:rFonts w:ascii="Cambria" w:hAnsi="Cambria"/>
              </w:rPr>
              <w:t>Reject</w:t>
            </w:r>
          </w:p>
        </w:tc>
        <w:tc>
          <w:tcPr>
            <w:tcW w:w="1556" w:type="dxa"/>
            <w:vAlign w:val="center"/>
          </w:tcPr>
          <w:p w14:paraId="26A5A55C" w14:textId="77777777" w:rsidR="001442CD" w:rsidRPr="001442CD" w:rsidRDefault="001442CD" w:rsidP="001442CD">
            <w:pPr>
              <w:pStyle w:val="NoSpacing"/>
              <w:jc w:val="both"/>
              <w:rPr>
                <w:rFonts w:ascii="Cambria" w:hAnsi="Cambria"/>
              </w:rPr>
            </w:pPr>
            <w:r w:rsidRPr="001442CD">
              <w:rPr>
                <w:rFonts w:ascii="Cambria" w:hAnsi="Cambria"/>
              </w:rPr>
              <w:t>Significant</w:t>
            </w:r>
          </w:p>
        </w:tc>
      </w:tr>
    </w:tbl>
    <w:p w14:paraId="226047D9" w14:textId="77777777" w:rsidR="001442CD" w:rsidRPr="001442CD" w:rsidRDefault="001442CD" w:rsidP="001442CD">
      <w:pPr>
        <w:pStyle w:val="NoSpacing"/>
        <w:jc w:val="both"/>
        <w:rPr>
          <w:rFonts w:ascii="Cambria" w:hAnsi="Cambria"/>
          <w:i/>
          <w:iCs/>
        </w:rPr>
      </w:pPr>
      <w:r w:rsidRPr="001442CD">
        <w:rPr>
          <w:rFonts w:ascii="Cambria" w:hAnsi="Cambria"/>
        </w:rPr>
        <w:lastRenderedPageBreak/>
        <w:t xml:space="preserve">Note. </w:t>
      </w:r>
      <w:r w:rsidRPr="001442CD">
        <w:rPr>
          <w:rFonts w:ascii="Cambria" w:hAnsi="Cambria"/>
          <w:i/>
          <w:iCs/>
        </w:rPr>
        <w:t>Bootstrap Replications: 5000; R</w:t>
      </w:r>
      <w:r w:rsidRPr="001442CD">
        <w:rPr>
          <w:rFonts w:ascii="Cambria" w:hAnsi="Cambria"/>
          <w:i/>
          <w:iCs/>
          <w:vertAlign w:val="superscript"/>
        </w:rPr>
        <w:t>2</w:t>
      </w:r>
      <w:r w:rsidRPr="001442CD">
        <w:rPr>
          <w:rFonts w:ascii="Cambria" w:hAnsi="Cambria"/>
          <w:i/>
          <w:iCs/>
        </w:rPr>
        <w:t xml:space="preserve"> Acceptance of Genetically Modified Foods = 0.586; R</w:t>
      </w:r>
      <w:r w:rsidRPr="001442CD">
        <w:rPr>
          <w:rFonts w:ascii="Cambria" w:hAnsi="Cambria"/>
          <w:i/>
          <w:iCs/>
          <w:vertAlign w:val="superscript"/>
        </w:rPr>
        <w:t>2</w:t>
      </w:r>
      <w:r w:rsidRPr="001442CD">
        <w:rPr>
          <w:rFonts w:ascii="Cambria" w:hAnsi="Cambria"/>
          <w:i/>
          <w:iCs/>
        </w:rPr>
        <w:t xml:space="preserve"> Attitude Towards Genetically Modified Foods = 0.592</w:t>
      </w:r>
    </w:p>
    <w:p w14:paraId="62B10627" w14:textId="77777777" w:rsidR="001442CD" w:rsidRPr="001442CD" w:rsidRDefault="001442CD" w:rsidP="001442CD">
      <w:pPr>
        <w:pStyle w:val="NoSpacing"/>
        <w:jc w:val="both"/>
        <w:rPr>
          <w:rFonts w:ascii="Cambria" w:hAnsi="Cambria"/>
          <w:i/>
        </w:rPr>
      </w:pPr>
      <w:r w:rsidRPr="001442CD">
        <w:rPr>
          <w:rFonts w:ascii="Cambria" w:hAnsi="Cambria"/>
          <w:i/>
        </w:rPr>
        <w:t>Level of Significance: 0.05</w:t>
      </w:r>
      <w:r w:rsidRPr="001442CD">
        <w:rPr>
          <w:rFonts w:ascii="Cambria" w:hAnsi="Cambria"/>
          <w:i/>
        </w:rPr>
        <w:br/>
        <w:t>Decision Rule: Reject H</w:t>
      </w:r>
      <w:r w:rsidRPr="001442CD">
        <w:rPr>
          <w:rFonts w:ascii="Cambria" w:hAnsi="Cambria" w:cs="Cambria Math"/>
          <w:i/>
        </w:rPr>
        <w:t>₀</w:t>
      </w:r>
      <w:r w:rsidRPr="001442CD">
        <w:rPr>
          <w:rFonts w:ascii="Cambria" w:hAnsi="Cambria"/>
          <w:i/>
        </w:rPr>
        <w:t xml:space="preserve"> if p &lt; 0.05</w:t>
      </w:r>
    </w:p>
    <w:p w14:paraId="3C45FA75" w14:textId="77777777" w:rsidR="001442CD" w:rsidRPr="001442CD" w:rsidRDefault="001442CD" w:rsidP="001442CD">
      <w:pPr>
        <w:pStyle w:val="NoSpacing"/>
        <w:jc w:val="both"/>
        <w:rPr>
          <w:rFonts w:ascii="Cambria" w:hAnsi="Cambria"/>
          <w:i/>
        </w:rPr>
      </w:pPr>
      <w:r w:rsidRPr="001442CD">
        <w:rPr>
          <w:rFonts w:ascii="Cambria" w:hAnsi="Cambria"/>
          <w:i/>
        </w:rPr>
        <w:t xml:space="preserve">Proportion Mediated:  indirect effect/ total effect = 0.56 </w:t>
      </w:r>
    </w:p>
    <w:p w14:paraId="63A630BF" w14:textId="77777777" w:rsidR="001442CD" w:rsidRPr="001442CD" w:rsidRDefault="001442CD" w:rsidP="001442CD">
      <w:pPr>
        <w:pStyle w:val="NoSpacing"/>
        <w:jc w:val="both"/>
        <w:rPr>
          <w:rFonts w:ascii="Cambria" w:hAnsi="Cambria"/>
        </w:rPr>
      </w:pPr>
    </w:p>
    <w:p w14:paraId="79A8EBD8" w14:textId="77777777" w:rsidR="001442CD" w:rsidRPr="001442CD" w:rsidRDefault="001442CD" w:rsidP="001442CD">
      <w:pPr>
        <w:pStyle w:val="NoSpacing"/>
        <w:jc w:val="both"/>
        <w:rPr>
          <w:rFonts w:ascii="Cambria" w:hAnsi="Cambria"/>
        </w:rPr>
      </w:pPr>
      <w:r w:rsidRPr="001442CD">
        <w:rPr>
          <w:rFonts w:ascii="Cambria" w:hAnsi="Cambria"/>
        </w:rPr>
        <w:t xml:space="preserve">The table specifically shows that the direct effect of basic biotechnology knowledge on acceptance of GMO foods, controlling for the attitude towards GMO foods variable, yielded an estimated Beta of 0.725. The corresponding p-value of 0.000 is less than the 0.05 level of significance. Hence, the null hypothesis was rejected. This indicates the direct effect of basic biotechnology knowledge on acceptance of GMO foods; controlling for attitude towards GMO foods is significant. Furthermore, the indirect effect of basic biotechnology knowledge on acceptance of GMO foods through attitude towards GMO foods obtained an estimated Beta of 0.927. The corresponding p-value of 0.000 is less than the 0.05 level of significance. Hence, the null was rejected. This indicates that the indirect effect of basic biotechnology knowledge on the acceptance of GMO foods, operating through attitudes towards GMO foods, is significant. Lastly, the total effect of basic biotechnology knowledge on acceptance of GM foods and on controlling attitude towards GMO foods resulted in an estimated Beta of 1.651. The corresponding p-value of 0.000 is less than the 0.05 level of significance; the null was rejected. This indicates that the total effect of basic biotechnology on basic biotechnology knowledge is significant. </w:t>
      </w:r>
    </w:p>
    <w:p w14:paraId="606CC337" w14:textId="77777777" w:rsidR="001442CD" w:rsidRPr="001442CD" w:rsidRDefault="001442CD" w:rsidP="001442CD">
      <w:pPr>
        <w:pStyle w:val="NoSpacing"/>
        <w:jc w:val="both"/>
        <w:rPr>
          <w:rFonts w:ascii="Cambria" w:hAnsi="Cambria"/>
        </w:rPr>
      </w:pPr>
    </w:p>
    <w:p w14:paraId="4789F7A9" w14:textId="77777777" w:rsidR="001442CD" w:rsidRPr="001442CD" w:rsidRDefault="001442CD" w:rsidP="001442CD">
      <w:pPr>
        <w:pStyle w:val="NoSpacing"/>
        <w:jc w:val="both"/>
        <w:rPr>
          <w:rFonts w:ascii="Cambria" w:hAnsi="Cambria"/>
        </w:rPr>
      </w:pPr>
      <w:r w:rsidRPr="001442CD">
        <w:rPr>
          <w:rFonts w:ascii="Cambria" w:hAnsi="Cambria"/>
        </w:rPr>
        <w:t>The table likewise specifies the mediated proportion, 0.561, indicating that the strength of attitude towards GMO foods in mediating the correlation between basic biotechnology knowledge and acceptance of GMO foods is strong. Since the direct effect of biotechnology knowledge is significant on acceptance of GMO foods, the indirect effect of basic biotechnology knowledge on acceptance of GMO foods is significant through attitude towards GMO foods, thus the attitude towards GMO foods mediation is significant.</w:t>
      </w:r>
    </w:p>
    <w:p w14:paraId="12EEF0B4" w14:textId="77777777" w:rsidR="001442CD" w:rsidRPr="001442CD" w:rsidRDefault="001442CD" w:rsidP="001442CD">
      <w:pPr>
        <w:pStyle w:val="NoSpacing"/>
        <w:jc w:val="both"/>
        <w:rPr>
          <w:rFonts w:ascii="Cambria" w:hAnsi="Cambria"/>
        </w:rPr>
      </w:pPr>
    </w:p>
    <w:p w14:paraId="7394E8DA" w14:textId="77777777" w:rsidR="001442CD" w:rsidRPr="001442CD" w:rsidRDefault="001442CD" w:rsidP="001442CD">
      <w:pPr>
        <w:pStyle w:val="NoSpacing"/>
        <w:jc w:val="both"/>
        <w:rPr>
          <w:rFonts w:ascii="Cambria" w:hAnsi="Cambria"/>
          <w:i/>
          <w:iCs/>
        </w:rPr>
      </w:pPr>
      <w:r w:rsidRPr="001442CD">
        <w:rPr>
          <w:rFonts w:ascii="Cambria" w:hAnsi="Cambria"/>
          <w:i/>
          <w:iCs/>
        </w:rPr>
        <w:t>Summary of Findings</w:t>
      </w:r>
    </w:p>
    <w:p w14:paraId="65407238" w14:textId="77777777" w:rsidR="001442CD" w:rsidRDefault="001442CD" w:rsidP="001442CD">
      <w:pPr>
        <w:pStyle w:val="NoSpacing"/>
        <w:jc w:val="both"/>
        <w:rPr>
          <w:rFonts w:ascii="Cambria" w:hAnsi="Cambria"/>
        </w:rPr>
      </w:pPr>
    </w:p>
    <w:p w14:paraId="32B5EDA1" w14:textId="6AEB704F" w:rsidR="001442CD" w:rsidRPr="001442CD" w:rsidRDefault="001442CD" w:rsidP="001442CD">
      <w:pPr>
        <w:pStyle w:val="NoSpacing"/>
        <w:jc w:val="both"/>
        <w:rPr>
          <w:rFonts w:ascii="Cambria" w:hAnsi="Cambria"/>
        </w:rPr>
      </w:pPr>
      <w:r w:rsidRPr="001442CD">
        <w:rPr>
          <w:rFonts w:ascii="Cambria" w:hAnsi="Cambria"/>
        </w:rPr>
        <w:t>Based on the statistical results, it was found that:</w:t>
      </w:r>
    </w:p>
    <w:p w14:paraId="086A0BD7" w14:textId="77777777" w:rsidR="001442CD" w:rsidRPr="001442CD" w:rsidRDefault="001442CD" w:rsidP="001442CD">
      <w:pPr>
        <w:pStyle w:val="NoSpacing"/>
        <w:jc w:val="both"/>
        <w:rPr>
          <w:rFonts w:ascii="Cambria" w:hAnsi="Cambria"/>
        </w:rPr>
      </w:pPr>
    </w:p>
    <w:p w14:paraId="6754DC1E" w14:textId="77777777" w:rsidR="001442CD" w:rsidRPr="001442CD" w:rsidRDefault="001442CD" w:rsidP="001442CD">
      <w:pPr>
        <w:pStyle w:val="NoSpacing"/>
        <w:jc w:val="both"/>
        <w:rPr>
          <w:rFonts w:ascii="Cambria" w:hAnsi="Cambria"/>
        </w:rPr>
      </w:pPr>
      <w:r w:rsidRPr="001442CD">
        <w:rPr>
          <w:rFonts w:ascii="Cambria" w:hAnsi="Cambria"/>
        </w:rPr>
        <w:t>Basic biotechnology knowledge and attitude towards genetically modified foods significantly correlate with acceptance of genetically modified foods among college students.</w:t>
      </w:r>
    </w:p>
    <w:p w14:paraId="3D8D60C3" w14:textId="77777777" w:rsidR="001442CD" w:rsidRPr="001442CD" w:rsidRDefault="001442CD" w:rsidP="001442CD">
      <w:pPr>
        <w:pStyle w:val="NoSpacing"/>
        <w:jc w:val="both"/>
        <w:rPr>
          <w:rFonts w:ascii="Cambria" w:hAnsi="Cambria"/>
        </w:rPr>
      </w:pPr>
      <w:r w:rsidRPr="001442CD">
        <w:rPr>
          <w:rFonts w:ascii="Cambria" w:eastAsia="Arial" w:hAnsi="Cambria"/>
        </w:rPr>
        <w:t>The direct effect of basic biotechnology knowledge on acceptance of GMO foods, controlling for attitude towards GMO foods, is significant</w:t>
      </w:r>
      <w:r w:rsidRPr="001442CD">
        <w:rPr>
          <w:rFonts w:ascii="Cambria" w:hAnsi="Cambria"/>
        </w:rPr>
        <w:t>.</w:t>
      </w:r>
    </w:p>
    <w:p w14:paraId="73C5E7F6" w14:textId="77777777" w:rsidR="001442CD" w:rsidRPr="001442CD" w:rsidRDefault="001442CD" w:rsidP="001442CD">
      <w:pPr>
        <w:pStyle w:val="NoSpacing"/>
        <w:jc w:val="both"/>
        <w:rPr>
          <w:rFonts w:ascii="Cambria" w:hAnsi="Cambria"/>
        </w:rPr>
      </w:pPr>
      <w:r w:rsidRPr="001442CD">
        <w:rPr>
          <w:rFonts w:ascii="Cambria" w:eastAsia="Arial" w:hAnsi="Cambria"/>
        </w:rPr>
        <w:t>The indirect effect of basic biotechnology knowledge on acceptance of GMO foods, through attitude towards GMO foods, is significant</w:t>
      </w:r>
      <w:r w:rsidRPr="001442CD">
        <w:rPr>
          <w:rFonts w:ascii="Cambria" w:hAnsi="Cambria"/>
        </w:rPr>
        <w:t xml:space="preserve">. </w:t>
      </w:r>
    </w:p>
    <w:p w14:paraId="0A60C161" w14:textId="77777777" w:rsidR="001442CD" w:rsidRPr="001442CD" w:rsidRDefault="001442CD" w:rsidP="001442CD">
      <w:pPr>
        <w:pStyle w:val="NoSpacing"/>
        <w:jc w:val="both"/>
        <w:rPr>
          <w:rFonts w:ascii="Cambria" w:eastAsia="Arial" w:hAnsi="Cambria"/>
        </w:rPr>
      </w:pPr>
      <w:r w:rsidRPr="001442CD">
        <w:rPr>
          <w:rFonts w:ascii="Cambria" w:eastAsia="Arial" w:hAnsi="Cambria"/>
        </w:rPr>
        <w:t>The total effect of basic biotechnology knowledge on the acceptance of GMO foods is significant.</w:t>
      </w:r>
    </w:p>
    <w:p w14:paraId="13A5E675" w14:textId="77777777" w:rsidR="002F138F" w:rsidRDefault="002F138F" w:rsidP="001442CD">
      <w:pPr>
        <w:pStyle w:val="NoSpacing"/>
        <w:jc w:val="both"/>
        <w:rPr>
          <w:rFonts w:ascii="Cambria" w:hAnsi="Cambria"/>
        </w:rPr>
      </w:pPr>
    </w:p>
    <w:p w14:paraId="19B079DE" w14:textId="77777777" w:rsidR="001442CD" w:rsidRDefault="001442CD" w:rsidP="001442CD">
      <w:pPr>
        <w:pStyle w:val="NoSpacing"/>
        <w:jc w:val="both"/>
        <w:rPr>
          <w:rFonts w:ascii="Cambria" w:hAnsi="Cambria"/>
        </w:rPr>
      </w:pPr>
    </w:p>
    <w:p w14:paraId="7455051A" w14:textId="77777777" w:rsidR="001442CD" w:rsidRDefault="001442CD" w:rsidP="001442CD">
      <w:pPr>
        <w:pStyle w:val="NoSpacing"/>
        <w:rPr>
          <w:rFonts w:ascii="Cambria" w:hAnsi="Cambria"/>
        </w:rPr>
      </w:pPr>
      <w:r w:rsidRPr="001442CD">
        <w:rPr>
          <w:rFonts w:ascii="Cambria" w:hAnsi="Cambria"/>
        </w:rPr>
        <w:t xml:space="preserve">Conclusion </w:t>
      </w:r>
    </w:p>
    <w:p w14:paraId="5E2E32C4" w14:textId="77777777" w:rsidR="001442CD" w:rsidRPr="001442CD" w:rsidRDefault="001442CD" w:rsidP="001442CD">
      <w:pPr>
        <w:pStyle w:val="NoSpacing"/>
        <w:rPr>
          <w:rFonts w:ascii="Cambria" w:hAnsi="Cambria"/>
        </w:rPr>
      </w:pPr>
    </w:p>
    <w:p w14:paraId="7CB1A4D0" w14:textId="77777777" w:rsidR="001442CD" w:rsidRPr="001442CD" w:rsidRDefault="001442CD" w:rsidP="001442CD">
      <w:pPr>
        <w:pStyle w:val="NoSpacing"/>
        <w:rPr>
          <w:rFonts w:ascii="Cambria" w:hAnsi="Cambria"/>
          <w:lang w:val="en-SG"/>
        </w:rPr>
      </w:pPr>
      <w:r w:rsidRPr="001442CD">
        <w:rPr>
          <w:rFonts w:ascii="Cambria" w:hAnsi="Cambria"/>
          <w:lang w:val="en-SG"/>
        </w:rPr>
        <w:t>Based on the findings, attitude towards genetically modified foods partially but significantly mediates the relationship between basic biotechnology knowledge and acceptance of genetically modified foods. Hence, the Knowledge-Attitude-Practice (KAP) Theory, which posits that knowledge influences attitudes that subsequently shape behavioral responses, was fully supported.</w:t>
      </w:r>
    </w:p>
    <w:p w14:paraId="460CAED5" w14:textId="77777777" w:rsidR="001442CD" w:rsidRPr="001442CD" w:rsidRDefault="001442CD" w:rsidP="001442CD">
      <w:pPr>
        <w:pStyle w:val="NoSpacing"/>
        <w:rPr>
          <w:rFonts w:ascii="Cambria" w:hAnsi="Cambria"/>
        </w:rPr>
      </w:pPr>
    </w:p>
    <w:p w14:paraId="6F9BF12D" w14:textId="77777777" w:rsidR="001442CD" w:rsidRDefault="001442CD" w:rsidP="001442CD">
      <w:pPr>
        <w:pStyle w:val="NoSpacing"/>
        <w:rPr>
          <w:rFonts w:ascii="Cambria" w:hAnsi="Cambria"/>
        </w:rPr>
      </w:pPr>
      <w:r w:rsidRPr="001442CD">
        <w:rPr>
          <w:rFonts w:ascii="Cambria" w:hAnsi="Cambria"/>
        </w:rPr>
        <w:t>Recommendations</w:t>
      </w:r>
    </w:p>
    <w:p w14:paraId="1CD32316" w14:textId="77777777" w:rsidR="001442CD" w:rsidRPr="001442CD" w:rsidRDefault="001442CD" w:rsidP="001442CD">
      <w:pPr>
        <w:pStyle w:val="NoSpacing"/>
        <w:rPr>
          <w:rFonts w:ascii="Cambria" w:hAnsi="Cambria"/>
        </w:rPr>
      </w:pPr>
    </w:p>
    <w:p w14:paraId="4C803658" w14:textId="77777777" w:rsidR="001442CD" w:rsidRPr="001442CD" w:rsidRDefault="001442CD" w:rsidP="001442CD">
      <w:pPr>
        <w:pStyle w:val="NoSpacing"/>
        <w:rPr>
          <w:rFonts w:ascii="Cambria" w:hAnsi="Cambria"/>
        </w:rPr>
      </w:pPr>
      <w:r w:rsidRPr="001442CD">
        <w:rPr>
          <w:rFonts w:ascii="Cambria" w:hAnsi="Cambria"/>
        </w:rPr>
        <w:t>Based on the findings of the study, the following recommendations are proposed:</w:t>
      </w:r>
    </w:p>
    <w:p w14:paraId="6DB1B67E" w14:textId="77777777" w:rsidR="001442CD" w:rsidRPr="001442CD" w:rsidRDefault="001442CD" w:rsidP="001442CD">
      <w:pPr>
        <w:pStyle w:val="NoSpacing"/>
        <w:numPr>
          <w:ilvl w:val="0"/>
          <w:numId w:val="6"/>
        </w:numPr>
        <w:rPr>
          <w:rFonts w:ascii="Cambria" w:hAnsi="Cambria"/>
        </w:rPr>
      </w:pPr>
      <w:r w:rsidRPr="001442CD">
        <w:rPr>
          <w:rFonts w:ascii="Cambria" w:hAnsi="Cambria"/>
        </w:rPr>
        <w:t xml:space="preserve">Educational leaders may strengthen biotechnology education by incorporating real-life applications and critical discussions to deepen understanding and improve attitudes. </w:t>
      </w:r>
    </w:p>
    <w:p w14:paraId="55B2E886" w14:textId="77777777" w:rsidR="001442CD" w:rsidRPr="001442CD" w:rsidRDefault="001442CD" w:rsidP="001442CD">
      <w:pPr>
        <w:pStyle w:val="NoSpacing"/>
        <w:numPr>
          <w:ilvl w:val="0"/>
          <w:numId w:val="6"/>
        </w:numPr>
        <w:rPr>
          <w:rFonts w:ascii="Cambria" w:hAnsi="Cambria"/>
        </w:rPr>
      </w:pPr>
      <w:r w:rsidRPr="001442CD">
        <w:rPr>
          <w:rFonts w:ascii="Cambria" w:hAnsi="Cambria"/>
        </w:rPr>
        <w:lastRenderedPageBreak/>
        <w:t>Curriculum developers may integrate interdisciplinary approaches that connect biotechnology with societal and environmental issues to enhance both knowledge and acceptance.</w:t>
      </w:r>
    </w:p>
    <w:p w14:paraId="4B8F341F" w14:textId="77777777" w:rsidR="001442CD" w:rsidRPr="001442CD" w:rsidRDefault="001442CD" w:rsidP="001442CD">
      <w:pPr>
        <w:pStyle w:val="NoSpacing"/>
        <w:numPr>
          <w:ilvl w:val="0"/>
          <w:numId w:val="6"/>
        </w:numPr>
        <w:rPr>
          <w:rFonts w:ascii="Cambria" w:hAnsi="Cambria"/>
        </w:rPr>
      </w:pPr>
      <w:r w:rsidRPr="001442CD">
        <w:rPr>
          <w:rFonts w:ascii="Cambria" w:hAnsi="Cambria"/>
        </w:rPr>
        <w:t>Future researchers may explore additional mediating variables, such as trust, risk perception, and ethical considerations, to account for the remaining 44% of the variance in the strength of the mediation.</w:t>
      </w:r>
    </w:p>
    <w:p w14:paraId="09E031A5" w14:textId="77777777" w:rsidR="001442CD" w:rsidRDefault="001442CD" w:rsidP="001442CD">
      <w:pPr>
        <w:pStyle w:val="NoSpacing"/>
        <w:jc w:val="both"/>
        <w:rPr>
          <w:rFonts w:ascii="Cambria" w:hAnsi="Cambria"/>
        </w:rPr>
      </w:pPr>
    </w:p>
    <w:p w14:paraId="6CB976EF" w14:textId="77777777" w:rsidR="001442CD" w:rsidRDefault="001442CD" w:rsidP="001442CD">
      <w:pPr>
        <w:pStyle w:val="NoSpacing"/>
        <w:jc w:val="both"/>
        <w:rPr>
          <w:rFonts w:ascii="Cambria" w:hAnsi="Cambria"/>
        </w:rPr>
      </w:pPr>
    </w:p>
    <w:p w14:paraId="0C9FE755" w14:textId="77777777" w:rsidR="001442CD" w:rsidRDefault="001442CD" w:rsidP="001442CD">
      <w:pPr>
        <w:pStyle w:val="NoSpacing"/>
        <w:jc w:val="both"/>
        <w:rPr>
          <w:rFonts w:ascii="Cambria" w:hAnsi="Cambria"/>
        </w:rPr>
      </w:pPr>
    </w:p>
    <w:p w14:paraId="693F54B4" w14:textId="77777777" w:rsidR="001442CD" w:rsidRPr="001442CD" w:rsidRDefault="001442CD" w:rsidP="001442CD">
      <w:pPr>
        <w:rPr>
          <w:rFonts w:ascii="Cambria" w:hAnsi="Cambria" w:cs="Arial"/>
          <w:b/>
          <w:bCs/>
          <w:sz w:val="24"/>
          <w:szCs w:val="24"/>
        </w:rPr>
      </w:pPr>
      <w:r w:rsidRPr="001442CD">
        <w:rPr>
          <w:rFonts w:ascii="Cambria" w:hAnsi="Cambria" w:cs="Arial"/>
          <w:b/>
          <w:bCs/>
          <w:sz w:val="24"/>
          <w:szCs w:val="24"/>
        </w:rPr>
        <w:t xml:space="preserve">REFERENCES: </w:t>
      </w:r>
    </w:p>
    <w:p w14:paraId="3DA15BA7" w14:textId="77777777" w:rsidR="001442CD" w:rsidRPr="001442CD" w:rsidRDefault="001442CD" w:rsidP="001442CD">
      <w:pPr>
        <w:spacing w:after="0" w:line="240" w:lineRule="auto"/>
        <w:ind w:left="284" w:hanging="284"/>
        <w:rPr>
          <w:rFonts w:ascii="Cambria" w:hAnsi="Cambria" w:cs="Arial"/>
          <w:sz w:val="24"/>
          <w:szCs w:val="24"/>
        </w:rPr>
      </w:pPr>
    </w:p>
    <w:p w14:paraId="7245DC79" w14:textId="77777777" w:rsidR="001442CD" w:rsidRPr="001442CD" w:rsidRDefault="001442CD" w:rsidP="001442CD">
      <w:pPr>
        <w:spacing w:after="0" w:line="276" w:lineRule="auto"/>
        <w:ind w:left="567" w:hanging="851"/>
        <w:rPr>
          <w:rFonts w:ascii="Cambria" w:hAnsi="Cambria" w:cs="Arial"/>
          <w:sz w:val="24"/>
          <w:szCs w:val="24"/>
        </w:rPr>
      </w:pPr>
      <w:r w:rsidRPr="001442CD">
        <w:rPr>
          <w:rFonts w:ascii="Cambria" w:hAnsi="Cambria" w:cs="Arial"/>
          <w:sz w:val="24"/>
          <w:szCs w:val="24"/>
        </w:rPr>
        <w:t>Abuljadail, M. H. (2025). The Role of Social Media in Shaping Knowledge, Attitudes, and Purchase Intention Toward Genetically Modified Foods in Saudi Arabia. Sustainability, 17(24), 11279.</w:t>
      </w:r>
    </w:p>
    <w:p w14:paraId="7D2800BE" w14:textId="77777777" w:rsidR="001442CD" w:rsidRPr="001442CD" w:rsidRDefault="001442CD" w:rsidP="001442CD">
      <w:pPr>
        <w:spacing w:after="0" w:line="276" w:lineRule="auto"/>
        <w:ind w:hanging="284"/>
        <w:rPr>
          <w:rFonts w:ascii="Cambria" w:hAnsi="Cambria" w:cs="Arial"/>
          <w:sz w:val="24"/>
          <w:szCs w:val="24"/>
        </w:rPr>
      </w:pPr>
    </w:p>
    <w:p w14:paraId="02B183B8" w14:textId="77777777" w:rsidR="001442CD" w:rsidRPr="001442CD" w:rsidRDefault="001442CD" w:rsidP="001442CD">
      <w:pPr>
        <w:spacing w:after="0" w:line="276" w:lineRule="auto"/>
        <w:ind w:left="567" w:hanging="851"/>
        <w:jc w:val="both"/>
        <w:rPr>
          <w:rFonts w:ascii="Cambria" w:hAnsi="Cambria" w:cs="Arial"/>
          <w:sz w:val="24"/>
          <w:szCs w:val="24"/>
        </w:rPr>
      </w:pPr>
      <w:r w:rsidRPr="001442CD">
        <w:rPr>
          <w:rFonts w:ascii="Cambria" w:hAnsi="Cambria" w:cs="Arial"/>
          <w:sz w:val="24"/>
          <w:szCs w:val="24"/>
        </w:rPr>
        <w:t>Ali, S., Nawaz, M. A., Ghufran, M., Hussain, S. N., &amp; Hussein Mohammed, A. S. (2021). GM trust shaped by trust determinants with the impact of risk/benefit framework: the contingent role of food technology neophobia. GM Crops &amp; Food, 12(1), 170-191.</w:t>
      </w:r>
    </w:p>
    <w:p w14:paraId="6F16E5B5" w14:textId="77777777" w:rsidR="001442CD" w:rsidRPr="001442CD" w:rsidRDefault="001442CD" w:rsidP="001442CD">
      <w:pPr>
        <w:spacing w:after="0" w:line="276" w:lineRule="auto"/>
        <w:ind w:hanging="284"/>
        <w:jc w:val="both"/>
        <w:rPr>
          <w:rFonts w:ascii="Cambria" w:hAnsi="Cambria" w:cs="Arial"/>
          <w:sz w:val="24"/>
          <w:szCs w:val="24"/>
        </w:rPr>
      </w:pPr>
    </w:p>
    <w:p w14:paraId="5C7755FA" w14:textId="77777777" w:rsidR="001442CD" w:rsidRPr="001442CD" w:rsidRDefault="001442CD" w:rsidP="001442CD">
      <w:pPr>
        <w:spacing w:after="0" w:line="276" w:lineRule="auto"/>
        <w:ind w:left="567" w:hanging="851"/>
        <w:jc w:val="both"/>
        <w:rPr>
          <w:rFonts w:ascii="Cambria" w:hAnsi="Cambria" w:cs="Arial"/>
          <w:sz w:val="24"/>
          <w:szCs w:val="24"/>
        </w:rPr>
      </w:pPr>
      <w:r w:rsidRPr="001442CD">
        <w:rPr>
          <w:rFonts w:ascii="Cambria" w:hAnsi="Cambria" w:cs="Arial"/>
          <w:sz w:val="24"/>
          <w:szCs w:val="24"/>
        </w:rPr>
        <w:t xml:space="preserve">Amponsah, R. K., Hui, X., Antwi, S., </w:t>
      </w:r>
      <w:proofErr w:type="spellStart"/>
      <w:r w:rsidRPr="001442CD">
        <w:rPr>
          <w:rFonts w:ascii="Cambria" w:hAnsi="Cambria" w:cs="Arial"/>
          <w:sz w:val="24"/>
          <w:szCs w:val="24"/>
        </w:rPr>
        <w:t>Gbolonyo</w:t>
      </w:r>
      <w:proofErr w:type="spellEnd"/>
      <w:r w:rsidRPr="001442CD">
        <w:rPr>
          <w:rFonts w:ascii="Cambria" w:hAnsi="Cambria" w:cs="Arial"/>
          <w:sz w:val="24"/>
          <w:szCs w:val="24"/>
        </w:rPr>
        <w:t xml:space="preserve">, P. K., Ameyaw, M. A., </w:t>
      </w:r>
      <w:proofErr w:type="spellStart"/>
      <w:r w:rsidRPr="001442CD">
        <w:rPr>
          <w:rFonts w:ascii="Cambria" w:hAnsi="Cambria" w:cs="Arial"/>
          <w:sz w:val="24"/>
          <w:szCs w:val="24"/>
        </w:rPr>
        <w:t>Bentum</w:t>
      </w:r>
      <w:proofErr w:type="spellEnd"/>
      <w:r w:rsidRPr="001442CD">
        <w:rPr>
          <w:rFonts w:ascii="Cambria" w:hAnsi="Cambria" w:cs="Arial"/>
          <w:sz w:val="24"/>
          <w:szCs w:val="24"/>
        </w:rPr>
        <w:t>-Micah, G., &amp; Adjei, E. O. (2024). Understanding the societal dilemma of genetically modified food consumption: a stimulus-organism-response investigation. Frontiers in Sustainable Food Systems, 8, 1364052.</w:t>
      </w:r>
    </w:p>
    <w:p w14:paraId="692A4716" w14:textId="77777777" w:rsidR="001442CD" w:rsidRPr="001442CD" w:rsidRDefault="001442CD" w:rsidP="001442CD">
      <w:pPr>
        <w:spacing w:after="0" w:line="276" w:lineRule="auto"/>
        <w:ind w:left="567" w:hanging="851"/>
        <w:jc w:val="both"/>
        <w:rPr>
          <w:rFonts w:ascii="Cambria" w:hAnsi="Cambria" w:cs="Arial"/>
          <w:sz w:val="24"/>
          <w:szCs w:val="24"/>
        </w:rPr>
      </w:pPr>
    </w:p>
    <w:p w14:paraId="15F60D15" w14:textId="77777777" w:rsidR="001442CD" w:rsidRPr="001442CD" w:rsidRDefault="001442CD" w:rsidP="001442CD">
      <w:pPr>
        <w:spacing w:after="0" w:line="276" w:lineRule="auto"/>
        <w:ind w:left="567" w:hanging="851"/>
        <w:jc w:val="both"/>
        <w:rPr>
          <w:rFonts w:ascii="Cambria" w:eastAsia="Times New Roman" w:hAnsi="Cambria" w:cs="Arial"/>
          <w:color w:val="222222"/>
          <w:sz w:val="24"/>
          <w:szCs w:val="24"/>
          <w:lang w:eastAsia="en-SG"/>
        </w:rPr>
      </w:pPr>
      <w:r w:rsidRPr="001442CD">
        <w:rPr>
          <w:rFonts w:ascii="Cambria" w:eastAsia="Times New Roman" w:hAnsi="Cambria" w:cs="Arial"/>
          <w:color w:val="222222"/>
          <w:sz w:val="24"/>
          <w:szCs w:val="24"/>
          <w:lang w:eastAsia="en-SG"/>
        </w:rPr>
        <w:t xml:space="preserve">Angeles-Shim, R. B., &amp; Vergara, G. V. (2025). Is the Philippines ready for the large-scale cultivation of </w:t>
      </w:r>
      <w:proofErr w:type="spellStart"/>
      <w:r w:rsidRPr="001442CD">
        <w:rPr>
          <w:rFonts w:ascii="Cambria" w:eastAsia="Times New Roman" w:hAnsi="Cambria" w:cs="Arial"/>
          <w:color w:val="222222"/>
          <w:sz w:val="24"/>
          <w:szCs w:val="24"/>
          <w:lang w:eastAsia="en-SG"/>
        </w:rPr>
        <w:t>Bt</w:t>
      </w:r>
      <w:proofErr w:type="spellEnd"/>
      <w:r w:rsidRPr="001442CD">
        <w:rPr>
          <w:rFonts w:ascii="Cambria" w:eastAsia="Times New Roman" w:hAnsi="Cambria" w:cs="Arial"/>
          <w:color w:val="222222"/>
          <w:sz w:val="24"/>
          <w:szCs w:val="24"/>
          <w:lang w:eastAsia="en-SG"/>
        </w:rPr>
        <w:t xml:space="preserve"> cotton? </w:t>
      </w:r>
      <w:r w:rsidRPr="001442CD">
        <w:rPr>
          <w:rFonts w:ascii="Cambria" w:eastAsia="Times New Roman" w:hAnsi="Cambria" w:cs="Arial"/>
          <w:i/>
          <w:iCs/>
          <w:color w:val="222222"/>
          <w:sz w:val="24"/>
          <w:szCs w:val="24"/>
          <w:lang w:eastAsia="en-SG"/>
        </w:rPr>
        <w:t>GM Crops &amp; Food</w:t>
      </w:r>
      <w:r w:rsidRPr="001442CD">
        <w:rPr>
          <w:rFonts w:ascii="Cambria" w:eastAsia="Times New Roman" w:hAnsi="Cambria" w:cs="Arial"/>
          <w:color w:val="222222"/>
          <w:sz w:val="24"/>
          <w:szCs w:val="24"/>
          <w:lang w:eastAsia="en-SG"/>
        </w:rPr>
        <w:t>, </w:t>
      </w:r>
      <w:r w:rsidRPr="001442CD">
        <w:rPr>
          <w:rFonts w:ascii="Cambria" w:eastAsia="Times New Roman" w:hAnsi="Cambria" w:cs="Arial"/>
          <w:i/>
          <w:iCs/>
          <w:color w:val="222222"/>
          <w:sz w:val="24"/>
          <w:szCs w:val="24"/>
          <w:lang w:eastAsia="en-SG"/>
        </w:rPr>
        <w:t>16</w:t>
      </w:r>
      <w:r w:rsidRPr="001442CD">
        <w:rPr>
          <w:rFonts w:ascii="Cambria" w:eastAsia="Times New Roman" w:hAnsi="Cambria" w:cs="Arial"/>
          <w:color w:val="222222"/>
          <w:sz w:val="24"/>
          <w:szCs w:val="24"/>
          <w:lang w:eastAsia="en-SG"/>
        </w:rPr>
        <w:t>(1), 360-365.</w:t>
      </w:r>
    </w:p>
    <w:p w14:paraId="1B609C4C" w14:textId="77777777" w:rsidR="001442CD" w:rsidRPr="001442CD" w:rsidRDefault="001442CD" w:rsidP="001442CD">
      <w:pPr>
        <w:spacing w:after="0" w:line="276" w:lineRule="auto"/>
        <w:ind w:left="567" w:hanging="851"/>
        <w:jc w:val="both"/>
        <w:rPr>
          <w:rFonts w:ascii="Cambria" w:eastAsia="Times New Roman" w:hAnsi="Cambria" w:cs="Arial"/>
          <w:color w:val="222222"/>
          <w:sz w:val="24"/>
          <w:szCs w:val="24"/>
          <w:lang w:eastAsia="en-SG"/>
        </w:rPr>
      </w:pPr>
    </w:p>
    <w:p w14:paraId="6458D5E4" w14:textId="77777777" w:rsidR="001442CD" w:rsidRPr="001442CD" w:rsidRDefault="001442CD" w:rsidP="001442CD">
      <w:pPr>
        <w:spacing w:after="0" w:line="240" w:lineRule="auto"/>
        <w:ind w:left="567" w:hanging="851"/>
        <w:rPr>
          <w:rFonts w:ascii="Cambria" w:hAnsi="Cambria" w:cs="Arial"/>
          <w:sz w:val="24"/>
          <w:szCs w:val="24"/>
        </w:rPr>
      </w:pPr>
      <w:r w:rsidRPr="001442CD">
        <w:rPr>
          <w:rFonts w:ascii="Cambria" w:hAnsi="Cambria" w:cs="Arial"/>
          <w:sz w:val="24"/>
          <w:szCs w:val="24"/>
        </w:rPr>
        <w:t>Celli, V. (2022). Causal mediation analysis in economics: Objectives, assumptions, models. </w:t>
      </w:r>
      <w:r w:rsidRPr="001442CD">
        <w:rPr>
          <w:rFonts w:ascii="Cambria" w:hAnsi="Cambria" w:cs="Arial"/>
          <w:i/>
          <w:iCs/>
          <w:sz w:val="24"/>
          <w:szCs w:val="24"/>
        </w:rPr>
        <w:t>Journal of Economic Surveys</w:t>
      </w:r>
      <w:r w:rsidRPr="001442CD">
        <w:rPr>
          <w:rFonts w:ascii="Cambria" w:hAnsi="Cambria" w:cs="Arial"/>
          <w:sz w:val="24"/>
          <w:szCs w:val="24"/>
        </w:rPr>
        <w:t>, </w:t>
      </w:r>
      <w:r w:rsidRPr="001442CD">
        <w:rPr>
          <w:rFonts w:ascii="Cambria" w:hAnsi="Cambria" w:cs="Arial"/>
          <w:i/>
          <w:iCs/>
          <w:sz w:val="24"/>
          <w:szCs w:val="24"/>
        </w:rPr>
        <w:t>36</w:t>
      </w:r>
      <w:r w:rsidRPr="001442CD">
        <w:rPr>
          <w:rFonts w:ascii="Cambria" w:hAnsi="Cambria" w:cs="Arial"/>
          <w:sz w:val="24"/>
          <w:szCs w:val="24"/>
        </w:rPr>
        <w:t>(1), 214-234.</w:t>
      </w:r>
    </w:p>
    <w:p w14:paraId="3F127434" w14:textId="77777777" w:rsidR="001442CD" w:rsidRPr="001442CD" w:rsidRDefault="001442CD" w:rsidP="001442CD">
      <w:pPr>
        <w:spacing w:after="0" w:line="240" w:lineRule="auto"/>
        <w:ind w:hanging="851"/>
        <w:rPr>
          <w:rFonts w:ascii="Cambria" w:hAnsi="Cambria" w:cs="Arial"/>
          <w:sz w:val="24"/>
          <w:szCs w:val="24"/>
        </w:rPr>
      </w:pPr>
    </w:p>
    <w:p w14:paraId="4200C9B4" w14:textId="77777777" w:rsidR="001442CD" w:rsidRPr="001442CD" w:rsidRDefault="001442CD" w:rsidP="001442CD">
      <w:pPr>
        <w:spacing w:after="0" w:line="276" w:lineRule="auto"/>
        <w:ind w:left="567" w:hanging="851"/>
        <w:jc w:val="both"/>
        <w:rPr>
          <w:rFonts w:ascii="Cambria" w:eastAsia="Times New Roman" w:hAnsi="Cambria" w:cs="Arial"/>
          <w:color w:val="222222"/>
          <w:sz w:val="24"/>
          <w:szCs w:val="24"/>
          <w:lang w:eastAsia="en-SG"/>
        </w:rPr>
      </w:pPr>
      <w:r w:rsidRPr="001442CD">
        <w:rPr>
          <w:rFonts w:ascii="Cambria" w:eastAsia="Times New Roman" w:hAnsi="Cambria" w:cs="Arial"/>
          <w:color w:val="222222"/>
          <w:sz w:val="24"/>
          <w:szCs w:val="24"/>
          <w:lang w:eastAsia="en-SG"/>
        </w:rPr>
        <w:t>Co, A. G. E., Soriano, R. M., Delizo, R. L., Magno, K. G. C., Lopez, L. S., &amp; Garcia, E. B. (2021). Awareness of students on genetically modified organisms in a state university: Basis for a proposed university awareness. Journal of Social Transformation and Education, 2(4), 157–168.</w:t>
      </w:r>
    </w:p>
    <w:p w14:paraId="3346DDED" w14:textId="77777777" w:rsidR="001442CD" w:rsidRPr="001442CD" w:rsidRDefault="001442CD" w:rsidP="001442CD">
      <w:pPr>
        <w:spacing w:after="0" w:line="276" w:lineRule="auto"/>
        <w:ind w:left="567" w:hanging="851"/>
        <w:jc w:val="both"/>
        <w:rPr>
          <w:rFonts w:ascii="Cambria" w:eastAsia="Times New Roman" w:hAnsi="Cambria" w:cs="Arial"/>
          <w:color w:val="222222"/>
          <w:sz w:val="24"/>
          <w:szCs w:val="24"/>
          <w:lang w:eastAsia="en-SG"/>
        </w:rPr>
      </w:pPr>
    </w:p>
    <w:p w14:paraId="40BC9747" w14:textId="77777777" w:rsidR="001442CD" w:rsidRPr="001442CD" w:rsidRDefault="001442CD" w:rsidP="001442CD">
      <w:pPr>
        <w:spacing w:after="0" w:line="240" w:lineRule="auto"/>
        <w:ind w:left="567" w:hanging="851"/>
        <w:rPr>
          <w:rFonts w:ascii="Cambria" w:hAnsi="Cambria" w:cs="Arial"/>
          <w:sz w:val="24"/>
          <w:szCs w:val="24"/>
        </w:rPr>
      </w:pPr>
      <w:r w:rsidRPr="001442CD">
        <w:rPr>
          <w:rFonts w:ascii="Cambria" w:hAnsi="Cambria" w:cs="Arial"/>
          <w:sz w:val="24"/>
          <w:szCs w:val="24"/>
        </w:rPr>
        <w:t>Costa, N. (2024). Decoding the Effect of Descriptive Statistics on Informed Decision-Making. </w:t>
      </w:r>
      <w:r w:rsidRPr="001442CD">
        <w:rPr>
          <w:rFonts w:ascii="Cambria" w:hAnsi="Cambria" w:cs="Arial"/>
          <w:i/>
          <w:iCs/>
          <w:sz w:val="24"/>
          <w:szCs w:val="24"/>
        </w:rPr>
        <w:t>Innovations in Mechatronics Engineering III</w:t>
      </w:r>
      <w:r w:rsidRPr="001442CD">
        <w:rPr>
          <w:rFonts w:ascii="Cambria" w:hAnsi="Cambria" w:cs="Arial"/>
          <w:sz w:val="24"/>
          <w:szCs w:val="24"/>
        </w:rPr>
        <w:t>, 135.</w:t>
      </w:r>
    </w:p>
    <w:p w14:paraId="1E0451E4" w14:textId="77777777" w:rsidR="001442CD" w:rsidRPr="001442CD" w:rsidRDefault="001442CD" w:rsidP="001442CD">
      <w:pPr>
        <w:spacing w:after="0" w:line="240" w:lineRule="auto"/>
        <w:ind w:left="-284"/>
        <w:rPr>
          <w:rFonts w:ascii="Cambria" w:hAnsi="Cambria" w:cs="Arial"/>
          <w:sz w:val="24"/>
          <w:szCs w:val="24"/>
        </w:rPr>
      </w:pPr>
    </w:p>
    <w:p w14:paraId="26C65C2A" w14:textId="77777777" w:rsidR="001442CD" w:rsidRPr="001442CD" w:rsidRDefault="001442CD" w:rsidP="001442CD">
      <w:pPr>
        <w:spacing w:after="0" w:line="276" w:lineRule="auto"/>
        <w:ind w:left="567" w:hanging="851"/>
        <w:jc w:val="both"/>
        <w:rPr>
          <w:rFonts w:ascii="Cambria" w:eastAsia="Times New Roman" w:hAnsi="Cambria" w:cs="Arial"/>
          <w:color w:val="222222"/>
          <w:sz w:val="24"/>
          <w:szCs w:val="24"/>
          <w:lang w:eastAsia="en-SG"/>
        </w:rPr>
      </w:pPr>
      <w:r w:rsidRPr="001442CD">
        <w:rPr>
          <w:rFonts w:ascii="Cambria" w:eastAsia="Times New Roman" w:hAnsi="Cambria" w:cs="Arial"/>
          <w:color w:val="222222"/>
          <w:sz w:val="24"/>
          <w:szCs w:val="24"/>
          <w:lang w:eastAsia="en-SG"/>
        </w:rPr>
        <w:t xml:space="preserve">Creswell, J. W., &amp; Creswell, J. D. (2018). </w:t>
      </w:r>
      <w:r w:rsidRPr="001442CD">
        <w:rPr>
          <w:rFonts w:ascii="Cambria" w:eastAsia="Times New Roman" w:hAnsi="Cambria" w:cs="Arial"/>
          <w:i/>
          <w:iCs/>
          <w:color w:val="222222"/>
          <w:sz w:val="24"/>
          <w:szCs w:val="24"/>
          <w:lang w:eastAsia="en-SG"/>
        </w:rPr>
        <w:t>Research design: Qualitative, quantitative, and mixed methods approach</w:t>
      </w:r>
      <w:r w:rsidRPr="001442CD">
        <w:rPr>
          <w:rFonts w:ascii="Cambria" w:eastAsia="Times New Roman" w:hAnsi="Cambria" w:cs="Arial"/>
          <w:color w:val="222222"/>
          <w:sz w:val="24"/>
          <w:szCs w:val="24"/>
          <w:lang w:eastAsia="en-SG"/>
        </w:rPr>
        <w:t xml:space="preserve"> (5th ed.). SAGE Publications.</w:t>
      </w:r>
    </w:p>
    <w:p w14:paraId="22CA83E9" w14:textId="77777777" w:rsidR="001442CD" w:rsidRPr="001442CD" w:rsidRDefault="001442CD" w:rsidP="001442CD">
      <w:pPr>
        <w:spacing w:after="0" w:line="276" w:lineRule="auto"/>
        <w:ind w:left="567" w:hanging="851"/>
        <w:jc w:val="both"/>
        <w:rPr>
          <w:rFonts w:ascii="Cambria" w:eastAsia="Times New Roman" w:hAnsi="Cambria" w:cs="Arial"/>
          <w:color w:val="222222"/>
          <w:sz w:val="24"/>
          <w:szCs w:val="24"/>
          <w:lang w:eastAsia="en-SG"/>
        </w:rPr>
      </w:pPr>
    </w:p>
    <w:p w14:paraId="4E335484" w14:textId="77777777" w:rsidR="001442CD" w:rsidRPr="001442CD" w:rsidRDefault="001442CD" w:rsidP="001442CD">
      <w:pPr>
        <w:spacing w:after="0" w:line="276" w:lineRule="auto"/>
        <w:ind w:left="567" w:hanging="851"/>
        <w:jc w:val="both"/>
        <w:rPr>
          <w:rFonts w:ascii="Cambria" w:hAnsi="Cambria" w:cs="Arial"/>
          <w:sz w:val="24"/>
          <w:szCs w:val="24"/>
        </w:rPr>
      </w:pPr>
      <w:r w:rsidRPr="001442CD">
        <w:rPr>
          <w:rFonts w:ascii="Cambria" w:hAnsi="Cambria" w:cs="Arial"/>
          <w:sz w:val="24"/>
          <w:szCs w:val="24"/>
        </w:rPr>
        <w:t xml:space="preserve">Dolapo, A. O., </w:t>
      </w:r>
      <w:proofErr w:type="spellStart"/>
      <w:r w:rsidRPr="001442CD">
        <w:rPr>
          <w:rFonts w:ascii="Cambria" w:hAnsi="Cambria" w:cs="Arial"/>
          <w:sz w:val="24"/>
          <w:szCs w:val="24"/>
        </w:rPr>
        <w:t>Onyeaka</w:t>
      </w:r>
      <w:proofErr w:type="spellEnd"/>
      <w:r w:rsidRPr="001442CD">
        <w:rPr>
          <w:rFonts w:ascii="Cambria" w:hAnsi="Cambria" w:cs="Arial"/>
          <w:sz w:val="24"/>
          <w:szCs w:val="24"/>
        </w:rPr>
        <w:t xml:space="preserve">, H., Ekwueme, C. T., </w:t>
      </w:r>
      <w:proofErr w:type="spellStart"/>
      <w:r w:rsidRPr="001442CD">
        <w:rPr>
          <w:rFonts w:ascii="Cambria" w:hAnsi="Cambria" w:cs="Arial"/>
          <w:sz w:val="24"/>
          <w:szCs w:val="24"/>
        </w:rPr>
        <w:t>Njoagwuani</w:t>
      </w:r>
      <w:proofErr w:type="spellEnd"/>
      <w:r w:rsidRPr="001442CD">
        <w:rPr>
          <w:rFonts w:ascii="Cambria" w:hAnsi="Cambria" w:cs="Arial"/>
          <w:sz w:val="24"/>
          <w:szCs w:val="24"/>
        </w:rPr>
        <w:t>, E. I., Ayomikun, O. O., Ngene, C. E., ... &amp; Ghosh, S. (2025). Evaluating consumer perceptions and safety of Genetically Modified Foods in Africa: a comprehensive review. Food Science &amp; Nutrition, 13(6), e4730.</w:t>
      </w:r>
    </w:p>
    <w:p w14:paraId="223E21C0" w14:textId="77777777" w:rsidR="001442CD" w:rsidRPr="001442CD" w:rsidRDefault="001442CD" w:rsidP="001442CD">
      <w:pPr>
        <w:spacing w:after="0" w:line="276" w:lineRule="auto"/>
        <w:ind w:hanging="284"/>
        <w:jc w:val="both"/>
        <w:rPr>
          <w:rFonts w:ascii="Cambria" w:hAnsi="Cambria" w:cs="Arial"/>
          <w:sz w:val="24"/>
          <w:szCs w:val="24"/>
        </w:rPr>
      </w:pPr>
    </w:p>
    <w:p w14:paraId="44A17567" w14:textId="77777777" w:rsidR="001442CD" w:rsidRPr="001442CD" w:rsidRDefault="001442CD" w:rsidP="001442CD">
      <w:pPr>
        <w:spacing w:after="0" w:line="276" w:lineRule="auto"/>
        <w:ind w:left="567" w:hanging="851"/>
        <w:jc w:val="both"/>
        <w:rPr>
          <w:rFonts w:ascii="Cambria" w:eastAsia="Times New Roman" w:hAnsi="Cambria" w:cs="Arial"/>
          <w:color w:val="222222"/>
          <w:sz w:val="24"/>
          <w:szCs w:val="24"/>
          <w:lang w:eastAsia="en-SG"/>
        </w:rPr>
      </w:pPr>
      <w:r w:rsidRPr="001442CD">
        <w:rPr>
          <w:rFonts w:ascii="Cambria" w:eastAsia="Times New Roman" w:hAnsi="Cambria" w:cs="Arial"/>
          <w:color w:val="222222"/>
          <w:sz w:val="24"/>
          <w:szCs w:val="24"/>
          <w:lang w:eastAsia="en-SG"/>
        </w:rPr>
        <w:t>Gonzalvo, C. M., Aala, W. J. F., &amp; Maharjan, K. L. (2022). Is implementing a biotech ban correct or not? Analysis of farmer perceptions and attitudes on the Philippine supreme court’s ban on biotech crops. Sustainability, 14(13), 7919.</w:t>
      </w:r>
    </w:p>
    <w:p w14:paraId="0121C22B" w14:textId="77777777" w:rsidR="001442CD" w:rsidRPr="001442CD" w:rsidRDefault="001442CD" w:rsidP="001442CD">
      <w:pPr>
        <w:spacing w:after="0" w:line="276" w:lineRule="auto"/>
        <w:ind w:hanging="284"/>
        <w:jc w:val="both"/>
        <w:rPr>
          <w:rFonts w:ascii="Cambria" w:eastAsia="Times New Roman" w:hAnsi="Cambria" w:cs="Arial"/>
          <w:color w:val="222222"/>
          <w:sz w:val="24"/>
          <w:szCs w:val="24"/>
          <w:lang w:eastAsia="en-SG"/>
        </w:rPr>
      </w:pPr>
    </w:p>
    <w:p w14:paraId="0722A59F" w14:textId="77777777" w:rsidR="001442CD" w:rsidRPr="001442CD" w:rsidRDefault="001442CD" w:rsidP="001442CD">
      <w:pPr>
        <w:spacing w:after="0" w:line="276" w:lineRule="auto"/>
        <w:ind w:left="567" w:hanging="851"/>
        <w:jc w:val="both"/>
        <w:rPr>
          <w:rFonts w:ascii="Cambria" w:hAnsi="Cambria" w:cs="Arial"/>
          <w:sz w:val="24"/>
          <w:szCs w:val="24"/>
        </w:rPr>
      </w:pPr>
      <w:r w:rsidRPr="001442CD">
        <w:rPr>
          <w:rFonts w:ascii="Cambria" w:hAnsi="Cambria" w:cs="Arial"/>
          <w:sz w:val="24"/>
          <w:szCs w:val="24"/>
        </w:rPr>
        <w:t xml:space="preserve">Hassan, H. F., Yassine, H., Chaaban, A., </w:t>
      </w:r>
      <w:proofErr w:type="spellStart"/>
      <w:r w:rsidRPr="001442CD">
        <w:rPr>
          <w:rFonts w:ascii="Cambria" w:hAnsi="Cambria" w:cs="Arial"/>
          <w:sz w:val="24"/>
          <w:szCs w:val="24"/>
        </w:rPr>
        <w:t>Chehaitly</w:t>
      </w:r>
      <w:proofErr w:type="spellEnd"/>
      <w:r w:rsidRPr="001442CD">
        <w:rPr>
          <w:rFonts w:ascii="Cambria" w:hAnsi="Cambria" w:cs="Arial"/>
          <w:sz w:val="24"/>
          <w:szCs w:val="24"/>
        </w:rPr>
        <w:t xml:space="preserve">, A., </w:t>
      </w:r>
      <w:proofErr w:type="spellStart"/>
      <w:r w:rsidRPr="001442CD">
        <w:rPr>
          <w:rFonts w:ascii="Cambria" w:hAnsi="Cambria" w:cs="Arial"/>
          <w:sz w:val="24"/>
          <w:szCs w:val="24"/>
        </w:rPr>
        <w:t>Skaineh</w:t>
      </w:r>
      <w:proofErr w:type="spellEnd"/>
      <w:r w:rsidRPr="001442CD">
        <w:rPr>
          <w:rFonts w:ascii="Cambria" w:hAnsi="Cambria" w:cs="Arial"/>
          <w:sz w:val="24"/>
          <w:szCs w:val="24"/>
        </w:rPr>
        <w:t>, Z., Cherri, N., ... &amp; Ibrahim, J. N. (2025). Public knowledge, attitudes, and perceptions toward genetically modified foods in Lebanon. GM Crops &amp; Food, 16(1), 144-155.</w:t>
      </w:r>
    </w:p>
    <w:p w14:paraId="57386881" w14:textId="77777777" w:rsidR="001442CD" w:rsidRPr="001442CD" w:rsidRDefault="001442CD" w:rsidP="001442CD">
      <w:pPr>
        <w:spacing w:after="0" w:line="276" w:lineRule="auto"/>
        <w:ind w:left="567" w:hanging="851"/>
        <w:jc w:val="both"/>
        <w:rPr>
          <w:rFonts w:ascii="Cambria" w:hAnsi="Cambria" w:cs="Arial"/>
          <w:sz w:val="24"/>
          <w:szCs w:val="24"/>
        </w:rPr>
      </w:pPr>
    </w:p>
    <w:p w14:paraId="2A0DF47E" w14:textId="77777777" w:rsidR="001442CD" w:rsidRPr="001442CD" w:rsidRDefault="001442CD" w:rsidP="001442CD">
      <w:pPr>
        <w:pStyle w:val="NoSpacing"/>
        <w:spacing w:line="276" w:lineRule="auto"/>
        <w:ind w:left="567" w:hanging="851"/>
        <w:jc w:val="both"/>
        <w:rPr>
          <w:rFonts w:ascii="Cambria" w:hAnsi="Cambria" w:cs="Arial"/>
          <w:sz w:val="24"/>
          <w:szCs w:val="24"/>
          <w:lang w:val="en-SG"/>
        </w:rPr>
      </w:pPr>
      <w:proofErr w:type="spellStart"/>
      <w:r w:rsidRPr="001442CD">
        <w:rPr>
          <w:rFonts w:ascii="Cambria" w:hAnsi="Cambria" w:cs="Arial"/>
          <w:sz w:val="24"/>
          <w:szCs w:val="24"/>
          <w:lang w:val="en-SG"/>
        </w:rPr>
        <w:t>Herodotou</w:t>
      </w:r>
      <w:proofErr w:type="spellEnd"/>
      <w:r w:rsidRPr="001442CD">
        <w:rPr>
          <w:rFonts w:ascii="Cambria" w:hAnsi="Cambria" w:cs="Arial"/>
          <w:sz w:val="24"/>
          <w:szCs w:val="24"/>
          <w:lang w:val="en-SG"/>
        </w:rPr>
        <w:t xml:space="preserve">, C., Kyza, E. A., </w:t>
      </w:r>
      <w:proofErr w:type="spellStart"/>
      <w:r w:rsidRPr="001442CD">
        <w:rPr>
          <w:rFonts w:ascii="Cambria" w:hAnsi="Cambria" w:cs="Arial"/>
          <w:sz w:val="24"/>
          <w:szCs w:val="24"/>
          <w:lang w:val="en-SG"/>
        </w:rPr>
        <w:t>Nicolaidou</w:t>
      </w:r>
      <w:proofErr w:type="spellEnd"/>
      <w:r w:rsidRPr="001442CD">
        <w:rPr>
          <w:rFonts w:ascii="Cambria" w:hAnsi="Cambria" w:cs="Arial"/>
          <w:sz w:val="24"/>
          <w:szCs w:val="24"/>
          <w:lang w:val="en-SG"/>
        </w:rPr>
        <w:t xml:space="preserve">, I., </w:t>
      </w:r>
      <w:proofErr w:type="spellStart"/>
      <w:r w:rsidRPr="001442CD">
        <w:rPr>
          <w:rFonts w:ascii="Cambria" w:hAnsi="Cambria" w:cs="Arial"/>
          <w:sz w:val="24"/>
          <w:szCs w:val="24"/>
          <w:lang w:val="en-SG"/>
        </w:rPr>
        <w:t>Hadjichambis</w:t>
      </w:r>
      <w:proofErr w:type="spellEnd"/>
      <w:r w:rsidRPr="001442CD">
        <w:rPr>
          <w:rFonts w:ascii="Cambria" w:hAnsi="Cambria" w:cs="Arial"/>
          <w:sz w:val="24"/>
          <w:szCs w:val="24"/>
          <w:lang w:val="en-SG"/>
        </w:rPr>
        <w:t xml:space="preserve">, A., </w:t>
      </w:r>
      <w:proofErr w:type="spellStart"/>
      <w:r w:rsidRPr="001442CD">
        <w:rPr>
          <w:rFonts w:ascii="Cambria" w:hAnsi="Cambria" w:cs="Arial"/>
          <w:sz w:val="24"/>
          <w:szCs w:val="24"/>
          <w:lang w:val="en-SG"/>
        </w:rPr>
        <w:t>Kafouris</w:t>
      </w:r>
      <w:proofErr w:type="spellEnd"/>
      <w:r w:rsidRPr="001442CD">
        <w:rPr>
          <w:rFonts w:ascii="Cambria" w:hAnsi="Cambria" w:cs="Arial"/>
          <w:sz w:val="24"/>
          <w:szCs w:val="24"/>
          <w:lang w:val="en-SG"/>
        </w:rPr>
        <w:t xml:space="preserve">, D., &amp; Terzian, F. (2012). The development and validation of the GMOAS, an instrument measuring secondary school students’ attitudes towards genetically modified organisms. </w:t>
      </w:r>
      <w:r w:rsidRPr="001442CD">
        <w:rPr>
          <w:rFonts w:ascii="Cambria" w:hAnsi="Cambria" w:cs="Arial"/>
          <w:i/>
          <w:iCs/>
          <w:sz w:val="24"/>
          <w:szCs w:val="24"/>
          <w:lang w:val="en-SG"/>
        </w:rPr>
        <w:t>International Journal of Science Education, Part B: Communication and Public Engagement</w:t>
      </w:r>
      <w:r w:rsidRPr="001442CD">
        <w:rPr>
          <w:rFonts w:ascii="Cambria" w:hAnsi="Cambria" w:cs="Arial"/>
          <w:sz w:val="24"/>
          <w:szCs w:val="24"/>
          <w:lang w:val="en-SG"/>
        </w:rPr>
        <w:t xml:space="preserve">, </w:t>
      </w:r>
      <w:r w:rsidRPr="001442CD">
        <w:rPr>
          <w:rFonts w:ascii="Cambria" w:hAnsi="Cambria" w:cs="Arial"/>
          <w:i/>
          <w:iCs/>
          <w:sz w:val="24"/>
          <w:szCs w:val="24"/>
          <w:lang w:val="en-SG"/>
        </w:rPr>
        <w:t>2</w:t>
      </w:r>
      <w:r w:rsidRPr="001442CD">
        <w:rPr>
          <w:rFonts w:ascii="Cambria" w:hAnsi="Cambria" w:cs="Arial"/>
          <w:sz w:val="24"/>
          <w:szCs w:val="24"/>
          <w:lang w:val="en-SG"/>
        </w:rPr>
        <w:t>(2), 131–147</w:t>
      </w:r>
    </w:p>
    <w:p w14:paraId="74695CD6" w14:textId="77777777" w:rsidR="001442CD" w:rsidRPr="001442CD" w:rsidRDefault="001442CD" w:rsidP="001442CD">
      <w:pPr>
        <w:pStyle w:val="NoSpacing"/>
        <w:spacing w:line="276" w:lineRule="auto"/>
        <w:ind w:left="567" w:hanging="851"/>
        <w:jc w:val="both"/>
        <w:rPr>
          <w:rFonts w:ascii="Cambria" w:hAnsi="Cambria" w:cs="Arial"/>
          <w:sz w:val="24"/>
          <w:szCs w:val="24"/>
          <w:lang w:val="en-SG"/>
        </w:rPr>
      </w:pPr>
    </w:p>
    <w:p w14:paraId="091B807F" w14:textId="77777777" w:rsidR="001442CD" w:rsidRPr="001442CD" w:rsidRDefault="001442CD" w:rsidP="001442CD">
      <w:pPr>
        <w:spacing w:after="0" w:line="276" w:lineRule="auto"/>
        <w:ind w:left="567" w:hanging="851"/>
        <w:jc w:val="both"/>
        <w:rPr>
          <w:rFonts w:ascii="Cambria" w:hAnsi="Cambria" w:cs="Arial"/>
          <w:sz w:val="24"/>
          <w:szCs w:val="24"/>
        </w:rPr>
      </w:pPr>
      <w:r w:rsidRPr="001442CD">
        <w:rPr>
          <w:rFonts w:ascii="Cambria" w:hAnsi="Cambria" w:cs="Arial"/>
          <w:sz w:val="24"/>
          <w:szCs w:val="24"/>
        </w:rPr>
        <w:t>Hwang, H., &amp; Nam, S. J. (2021). The influence of consumers’ knowledge on their responses to genetically modified foods. GM Crops &amp; Food, 12(1), 146-157.</w:t>
      </w:r>
    </w:p>
    <w:p w14:paraId="7F1D3A43" w14:textId="77777777" w:rsidR="001442CD" w:rsidRPr="001442CD" w:rsidRDefault="001442CD" w:rsidP="001442CD">
      <w:pPr>
        <w:spacing w:after="0" w:line="276" w:lineRule="auto"/>
        <w:ind w:left="567" w:hanging="851"/>
        <w:jc w:val="both"/>
        <w:rPr>
          <w:rFonts w:ascii="Cambria" w:hAnsi="Cambria" w:cs="Arial"/>
          <w:sz w:val="24"/>
          <w:szCs w:val="24"/>
        </w:rPr>
      </w:pPr>
    </w:p>
    <w:p w14:paraId="1F510A0A" w14:textId="77777777" w:rsidR="001442CD" w:rsidRPr="001442CD" w:rsidRDefault="001442CD" w:rsidP="001442CD">
      <w:pPr>
        <w:spacing w:after="0" w:line="276" w:lineRule="auto"/>
        <w:ind w:left="567" w:hanging="851"/>
        <w:jc w:val="both"/>
        <w:rPr>
          <w:rFonts w:ascii="Cambria" w:eastAsia="Times New Roman" w:hAnsi="Cambria" w:cs="Arial"/>
          <w:color w:val="222222"/>
          <w:sz w:val="24"/>
          <w:szCs w:val="24"/>
          <w:lang w:eastAsia="en-SG"/>
        </w:rPr>
      </w:pPr>
      <w:r w:rsidRPr="001442CD">
        <w:rPr>
          <w:rFonts w:ascii="Cambria" w:eastAsia="Times New Roman" w:hAnsi="Cambria" w:cs="Arial"/>
          <w:color w:val="222222"/>
          <w:sz w:val="24"/>
          <w:szCs w:val="24"/>
          <w:lang w:eastAsia="en-SG"/>
        </w:rPr>
        <w:t>Hwang, H., &amp; Nam, S.-J. (2020). The influence of consumers’ knowledge on their responses to genetically modified foods. GM Crops &amp; Food, 12(1), 146-157.</w:t>
      </w:r>
    </w:p>
    <w:p w14:paraId="02FAD21E" w14:textId="77777777" w:rsidR="001442CD" w:rsidRPr="001442CD" w:rsidRDefault="001442CD" w:rsidP="001442CD">
      <w:pPr>
        <w:spacing w:after="0" w:line="276" w:lineRule="auto"/>
        <w:ind w:left="567" w:hanging="851"/>
        <w:jc w:val="both"/>
        <w:rPr>
          <w:rFonts w:ascii="Cambria" w:eastAsia="Times New Roman" w:hAnsi="Cambria" w:cs="Arial"/>
          <w:color w:val="222222"/>
          <w:sz w:val="24"/>
          <w:szCs w:val="24"/>
          <w:lang w:eastAsia="en-SG"/>
        </w:rPr>
      </w:pPr>
    </w:p>
    <w:p w14:paraId="6B5B6A04" w14:textId="77777777" w:rsidR="001442CD" w:rsidRPr="001442CD" w:rsidRDefault="001442CD" w:rsidP="001442CD">
      <w:pPr>
        <w:spacing w:after="0" w:line="276" w:lineRule="auto"/>
        <w:ind w:left="567" w:hanging="851"/>
        <w:jc w:val="both"/>
        <w:rPr>
          <w:rFonts w:ascii="Cambria" w:eastAsia="Times New Roman" w:hAnsi="Cambria" w:cs="Arial"/>
          <w:color w:val="222222"/>
          <w:sz w:val="24"/>
          <w:szCs w:val="24"/>
          <w:lang w:eastAsia="en-SG"/>
        </w:rPr>
      </w:pPr>
      <w:r w:rsidRPr="001442CD">
        <w:rPr>
          <w:rFonts w:ascii="Cambria" w:eastAsia="Times New Roman" w:hAnsi="Cambria" w:cs="Arial"/>
          <w:color w:val="222222"/>
          <w:sz w:val="24"/>
          <w:szCs w:val="24"/>
          <w:lang w:eastAsia="en-SG"/>
        </w:rPr>
        <w:t>Ichim, M. C. (2021). The more favorable attitude of the citizens toward GMOs supports a new regulatory framework in the European Union. </w:t>
      </w:r>
      <w:r w:rsidRPr="001442CD">
        <w:rPr>
          <w:rFonts w:ascii="Cambria" w:eastAsia="Times New Roman" w:hAnsi="Cambria" w:cs="Arial"/>
          <w:i/>
          <w:iCs/>
          <w:color w:val="222222"/>
          <w:sz w:val="24"/>
          <w:szCs w:val="24"/>
          <w:lang w:eastAsia="en-SG"/>
        </w:rPr>
        <w:t>GM crops &amp; food</w:t>
      </w:r>
      <w:r w:rsidRPr="001442CD">
        <w:rPr>
          <w:rFonts w:ascii="Cambria" w:eastAsia="Times New Roman" w:hAnsi="Cambria" w:cs="Arial"/>
          <w:color w:val="222222"/>
          <w:sz w:val="24"/>
          <w:szCs w:val="24"/>
          <w:lang w:eastAsia="en-SG"/>
        </w:rPr>
        <w:t>, </w:t>
      </w:r>
      <w:r w:rsidRPr="001442CD">
        <w:rPr>
          <w:rFonts w:ascii="Cambria" w:eastAsia="Times New Roman" w:hAnsi="Cambria" w:cs="Arial"/>
          <w:i/>
          <w:iCs/>
          <w:color w:val="222222"/>
          <w:sz w:val="24"/>
          <w:szCs w:val="24"/>
          <w:lang w:eastAsia="en-SG"/>
        </w:rPr>
        <w:t>12</w:t>
      </w:r>
      <w:r w:rsidRPr="001442CD">
        <w:rPr>
          <w:rFonts w:ascii="Cambria" w:eastAsia="Times New Roman" w:hAnsi="Cambria" w:cs="Arial"/>
          <w:color w:val="222222"/>
          <w:sz w:val="24"/>
          <w:szCs w:val="24"/>
          <w:lang w:eastAsia="en-SG"/>
        </w:rPr>
        <w:t>(1), 18-24.</w:t>
      </w:r>
    </w:p>
    <w:p w14:paraId="2CFF003C" w14:textId="77777777" w:rsidR="001442CD" w:rsidRPr="001442CD" w:rsidRDefault="001442CD" w:rsidP="001442CD">
      <w:pPr>
        <w:spacing w:after="0" w:line="276" w:lineRule="auto"/>
        <w:ind w:left="567" w:hanging="851"/>
        <w:jc w:val="both"/>
        <w:rPr>
          <w:rFonts w:ascii="Cambria" w:eastAsia="Times New Roman" w:hAnsi="Cambria" w:cs="Arial"/>
          <w:color w:val="222222"/>
          <w:sz w:val="24"/>
          <w:szCs w:val="24"/>
          <w:lang w:eastAsia="en-SG"/>
        </w:rPr>
      </w:pPr>
    </w:p>
    <w:p w14:paraId="4DB8D40A" w14:textId="77777777" w:rsidR="001442CD" w:rsidRPr="001442CD" w:rsidRDefault="001442CD" w:rsidP="001442CD">
      <w:pPr>
        <w:spacing w:after="0" w:line="276" w:lineRule="auto"/>
        <w:ind w:left="567" w:hanging="851"/>
        <w:jc w:val="both"/>
        <w:rPr>
          <w:rFonts w:ascii="Cambria" w:hAnsi="Cambria" w:cs="Arial"/>
          <w:sz w:val="24"/>
          <w:szCs w:val="24"/>
        </w:rPr>
      </w:pPr>
      <w:r w:rsidRPr="001442CD">
        <w:rPr>
          <w:rFonts w:ascii="Cambria" w:hAnsi="Cambria" w:cs="Arial"/>
          <w:sz w:val="24"/>
          <w:szCs w:val="24"/>
        </w:rPr>
        <w:t xml:space="preserve">Jin, S., Li, W., Dawson, I. G., Clark, B., Chen, S., &amp; </w:t>
      </w:r>
      <w:proofErr w:type="spellStart"/>
      <w:r w:rsidRPr="001442CD">
        <w:rPr>
          <w:rFonts w:ascii="Cambria" w:hAnsi="Cambria" w:cs="Arial"/>
          <w:sz w:val="24"/>
          <w:szCs w:val="24"/>
        </w:rPr>
        <w:t>Frewer</w:t>
      </w:r>
      <w:proofErr w:type="spellEnd"/>
      <w:r w:rsidRPr="001442CD">
        <w:rPr>
          <w:rFonts w:ascii="Cambria" w:hAnsi="Cambria" w:cs="Arial"/>
          <w:sz w:val="24"/>
          <w:szCs w:val="24"/>
        </w:rPr>
        <w:t>, L. J. (2022). Consumer responses to genetically modified food in China: The influence of existing general attitudes, affect and perceptions of risks and benefits. Food Quality and Preference, 99, 104543.</w:t>
      </w:r>
    </w:p>
    <w:p w14:paraId="46AB6018" w14:textId="77777777" w:rsidR="001442CD" w:rsidRPr="001442CD" w:rsidRDefault="001442CD" w:rsidP="001442CD">
      <w:pPr>
        <w:spacing w:after="0" w:line="276" w:lineRule="auto"/>
        <w:ind w:left="567" w:hanging="851"/>
        <w:jc w:val="both"/>
        <w:rPr>
          <w:rFonts w:ascii="Cambria" w:hAnsi="Cambria" w:cs="Arial"/>
          <w:sz w:val="24"/>
          <w:szCs w:val="24"/>
        </w:rPr>
      </w:pPr>
    </w:p>
    <w:p w14:paraId="3792581A" w14:textId="77777777" w:rsidR="001442CD" w:rsidRPr="001442CD" w:rsidRDefault="001442CD" w:rsidP="001442CD">
      <w:pPr>
        <w:spacing w:after="0" w:line="276" w:lineRule="auto"/>
        <w:ind w:left="567" w:hanging="851"/>
        <w:jc w:val="both"/>
        <w:rPr>
          <w:rFonts w:ascii="Cambria" w:eastAsia="Times New Roman" w:hAnsi="Cambria" w:cs="Arial"/>
          <w:color w:val="222222"/>
          <w:sz w:val="24"/>
          <w:szCs w:val="24"/>
          <w:lang w:eastAsia="en-SG"/>
        </w:rPr>
      </w:pPr>
      <w:proofErr w:type="spellStart"/>
      <w:r w:rsidRPr="001442CD">
        <w:rPr>
          <w:rFonts w:ascii="Cambria" w:eastAsia="Times New Roman" w:hAnsi="Cambria" w:cs="Arial"/>
          <w:color w:val="222222"/>
          <w:sz w:val="24"/>
          <w:szCs w:val="24"/>
          <w:lang w:eastAsia="en-SG"/>
        </w:rPr>
        <w:t>Launiala</w:t>
      </w:r>
      <w:proofErr w:type="spellEnd"/>
      <w:r w:rsidRPr="001442CD">
        <w:rPr>
          <w:rFonts w:ascii="Cambria" w:eastAsia="Times New Roman" w:hAnsi="Cambria" w:cs="Arial"/>
          <w:color w:val="222222"/>
          <w:sz w:val="24"/>
          <w:szCs w:val="24"/>
          <w:lang w:eastAsia="en-SG"/>
        </w:rPr>
        <w:t>, A. (2009). How much can a KAP survey tell us about people's knowledge, attitudes and practices? Some observations from medical anthropology research on malaria in pregnancy in Malawi. </w:t>
      </w:r>
      <w:r w:rsidRPr="001442CD">
        <w:rPr>
          <w:rFonts w:ascii="Cambria" w:eastAsia="Times New Roman" w:hAnsi="Cambria" w:cs="Arial"/>
          <w:i/>
          <w:iCs/>
          <w:color w:val="222222"/>
          <w:sz w:val="24"/>
          <w:szCs w:val="24"/>
          <w:lang w:eastAsia="en-SG"/>
        </w:rPr>
        <w:t>Anthropology Matters</w:t>
      </w:r>
      <w:r w:rsidRPr="001442CD">
        <w:rPr>
          <w:rFonts w:ascii="Cambria" w:eastAsia="Times New Roman" w:hAnsi="Cambria" w:cs="Arial"/>
          <w:color w:val="222222"/>
          <w:sz w:val="24"/>
          <w:szCs w:val="24"/>
          <w:lang w:eastAsia="en-SG"/>
        </w:rPr>
        <w:t>, </w:t>
      </w:r>
      <w:r w:rsidRPr="001442CD">
        <w:rPr>
          <w:rFonts w:ascii="Cambria" w:eastAsia="Times New Roman" w:hAnsi="Cambria" w:cs="Arial"/>
          <w:i/>
          <w:iCs/>
          <w:color w:val="222222"/>
          <w:sz w:val="24"/>
          <w:szCs w:val="24"/>
          <w:lang w:eastAsia="en-SG"/>
        </w:rPr>
        <w:t>11</w:t>
      </w:r>
      <w:r w:rsidRPr="001442CD">
        <w:rPr>
          <w:rFonts w:ascii="Cambria" w:eastAsia="Times New Roman" w:hAnsi="Cambria" w:cs="Arial"/>
          <w:color w:val="222222"/>
          <w:sz w:val="24"/>
          <w:szCs w:val="24"/>
          <w:lang w:eastAsia="en-SG"/>
        </w:rPr>
        <w:t>(1).</w:t>
      </w:r>
    </w:p>
    <w:p w14:paraId="044AC00E" w14:textId="77777777" w:rsidR="001442CD" w:rsidRPr="001442CD" w:rsidRDefault="001442CD" w:rsidP="001442CD">
      <w:pPr>
        <w:spacing w:after="0" w:line="276" w:lineRule="auto"/>
        <w:ind w:left="567" w:hanging="851"/>
        <w:jc w:val="both"/>
        <w:rPr>
          <w:rFonts w:ascii="Cambria" w:eastAsia="Times New Roman" w:hAnsi="Cambria" w:cs="Arial"/>
          <w:color w:val="222222"/>
          <w:sz w:val="24"/>
          <w:szCs w:val="24"/>
          <w:lang w:eastAsia="en-SG"/>
        </w:rPr>
      </w:pPr>
    </w:p>
    <w:p w14:paraId="42B68E0F" w14:textId="77777777" w:rsidR="001442CD" w:rsidRPr="001442CD" w:rsidRDefault="001442CD" w:rsidP="001442CD">
      <w:pPr>
        <w:spacing w:after="0" w:line="276" w:lineRule="auto"/>
        <w:ind w:left="567" w:hanging="851"/>
        <w:jc w:val="both"/>
        <w:rPr>
          <w:rFonts w:ascii="Cambria" w:hAnsi="Cambria" w:cs="Arial"/>
          <w:sz w:val="24"/>
          <w:szCs w:val="24"/>
        </w:rPr>
      </w:pPr>
      <w:r w:rsidRPr="001442CD">
        <w:rPr>
          <w:rFonts w:ascii="Cambria" w:hAnsi="Cambria" w:cs="Arial"/>
          <w:sz w:val="24"/>
          <w:szCs w:val="24"/>
        </w:rPr>
        <w:t>Liu, K., Zhang, W., Li, W., Wang, T., &amp; Zheng, Y. (2023). Effectiveness of virtual reality in nursing education: a systematic review and meta-analysis. BMC medical education, 23(1), 710.</w:t>
      </w:r>
    </w:p>
    <w:p w14:paraId="7074BF65" w14:textId="77777777" w:rsidR="001442CD" w:rsidRPr="001442CD" w:rsidRDefault="001442CD" w:rsidP="001442CD">
      <w:pPr>
        <w:spacing w:after="0" w:line="276" w:lineRule="auto"/>
        <w:ind w:hanging="284"/>
        <w:jc w:val="both"/>
        <w:rPr>
          <w:rFonts w:ascii="Cambria" w:hAnsi="Cambria" w:cs="Arial"/>
          <w:sz w:val="24"/>
          <w:szCs w:val="24"/>
        </w:rPr>
      </w:pPr>
    </w:p>
    <w:p w14:paraId="49DF7FC0" w14:textId="77777777" w:rsidR="001442CD" w:rsidRPr="001442CD" w:rsidRDefault="001442CD" w:rsidP="001442CD">
      <w:pPr>
        <w:spacing w:after="0" w:line="276" w:lineRule="auto"/>
        <w:ind w:left="567" w:hanging="851"/>
        <w:jc w:val="both"/>
        <w:rPr>
          <w:rFonts w:ascii="Cambria" w:hAnsi="Cambria" w:cs="Arial"/>
          <w:sz w:val="24"/>
          <w:szCs w:val="24"/>
        </w:rPr>
      </w:pPr>
      <w:r w:rsidRPr="001442CD">
        <w:rPr>
          <w:rFonts w:ascii="Cambria" w:hAnsi="Cambria" w:cs="Arial"/>
          <w:sz w:val="24"/>
          <w:szCs w:val="24"/>
        </w:rPr>
        <w:t>Liu, Y., Wang, P., Zhang, M., Chen, X., Li, K., &amp; Qu, J. (2024). Bridging the intention–behavior gap in organic food consumption: empirical evidence from China. Foods, 13(14), 2239.</w:t>
      </w:r>
    </w:p>
    <w:p w14:paraId="1E34BE8C" w14:textId="77777777" w:rsidR="001442CD" w:rsidRPr="001442CD" w:rsidRDefault="001442CD" w:rsidP="001442CD">
      <w:pPr>
        <w:spacing w:after="0" w:line="276" w:lineRule="auto"/>
        <w:ind w:left="567" w:hanging="851"/>
        <w:jc w:val="both"/>
        <w:rPr>
          <w:rFonts w:ascii="Cambria" w:hAnsi="Cambria" w:cs="Arial"/>
          <w:sz w:val="24"/>
          <w:szCs w:val="24"/>
        </w:rPr>
      </w:pPr>
    </w:p>
    <w:p w14:paraId="687EB382" w14:textId="77777777" w:rsidR="001442CD" w:rsidRPr="001442CD" w:rsidRDefault="001442CD" w:rsidP="001442CD">
      <w:pPr>
        <w:spacing w:after="0" w:line="276" w:lineRule="auto"/>
        <w:ind w:left="567" w:hanging="851"/>
        <w:jc w:val="both"/>
        <w:rPr>
          <w:rFonts w:ascii="Cambria" w:hAnsi="Cambria" w:cs="Arial"/>
          <w:sz w:val="24"/>
          <w:szCs w:val="24"/>
        </w:rPr>
      </w:pPr>
      <w:r w:rsidRPr="001442CD">
        <w:rPr>
          <w:rFonts w:ascii="Cambria" w:hAnsi="Cambria" w:cs="Arial"/>
          <w:sz w:val="24"/>
          <w:szCs w:val="24"/>
        </w:rPr>
        <w:t xml:space="preserve">McPhetres, J., </w:t>
      </w:r>
      <w:proofErr w:type="spellStart"/>
      <w:r w:rsidRPr="001442CD">
        <w:rPr>
          <w:rFonts w:ascii="Cambria" w:hAnsi="Cambria" w:cs="Arial"/>
          <w:sz w:val="24"/>
          <w:szCs w:val="24"/>
        </w:rPr>
        <w:t>Rutjens</w:t>
      </w:r>
      <w:proofErr w:type="spellEnd"/>
      <w:r w:rsidRPr="001442CD">
        <w:rPr>
          <w:rFonts w:ascii="Cambria" w:hAnsi="Cambria" w:cs="Arial"/>
          <w:sz w:val="24"/>
          <w:szCs w:val="24"/>
        </w:rPr>
        <w:t>, B. T., Weinstein, N., &amp; Brisson, J. A. (2019). Modifying attitudes about modified foods: Increased knowledge leads to more positive attitudes. </w:t>
      </w:r>
      <w:r w:rsidRPr="001442CD">
        <w:rPr>
          <w:rFonts w:ascii="Cambria" w:hAnsi="Cambria" w:cs="Arial"/>
          <w:i/>
          <w:iCs/>
          <w:sz w:val="24"/>
          <w:szCs w:val="24"/>
        </w:rPr>
        <w:t>Journal of Environmental Psychology</w:t>
      </w:r>
      <w:r w:rsidRPr="001442CD">
        <w:rPr>
          <w:rFonts w:ascii="Cambria" w:hAnsi="Cambria" w:cs="Arial"/>
          <w:sz w:val="24"/>
          <w:szCs w:val="24"/>
        </w:rPr>
        <w:t>, </w:t>
      </w:r>
      <w:r w:rsidRPr="001442CD">
        <w:rPr>
          <w:rFonts w:ascii="Cambria" w:hAnsi="Cambria" w:cs="Arial"/>
          <w:i/>
          <w:iCs/>
          <w:sz w:val="24"/>
          <w:szCs w:val="24"/>
        </w:rPr>
        <w:t>64</w:t>
      </w:r>
      <w:r w:rsidRPr="001442CD">
        <w:rPr>
          <w:rFonts w:ascii="Cambria" w:hAnsi="Cambria" w:cs="Arial"/>
          <w:sz w:val="24"/>
          <w:szCs w:val="24"/>
        </w:rPr>
        <w:t>, 21-29.</w:t>
      </w:r>
    </w:p>
    <w:p w14:paraId="5FB97A56" w14:textId="77777777" w:rsidR="001442CD" w:rsidRPr="001442CD" w:rsidRDefault="001442CD" w:rsidP="001442CD">
      <w:pPr>
        <w:spacing w:after="0" w:line="276" w:lineRule="auto"/>
        <w:ind w:hanging="284"/>
        <w:jc w:val="both"/>
        <w:rPr>
          <w:rFonts w:ascii="Cambria" w:hAnsi="Cambria" w:cs="Arial"/>
          <w:sz w:val="24"/>
          <w:szCs w:val="24"/>
        </w:rPr>
      </w:pPr>
    </w:p>
    <w:p w14:paraId="69971599" w14:textId="77777777" w:rsidR="001442CD" w:rsidRPr="001442CD" w:rsidRDefault="001442CD" w:rsidP="001442CD">
      <w:pPr>
        <w:spacing w:after="0" w:line="276" w:lineRule="auto"/>
        <w:ind w:hanging="284"/>
        <w:jc w:val="both"/>
        <w:rPr>
          <w:rFonts w:ascii="Cambria" w:hAnsi="Cambria" w:cs="Arial"/>
          <w:sz w:val="24"/>
          <w:szCs w:val="24"/>
        </w:rPr>
      </w:pPr>
    </w:p>
    <w:p w14:paraId="64247F0C" w14:textId="77777777" w:rsidR="001442CD" w:rsidRPr="001442CD" w:rsidRDefault="001442CD" w:rsidP="001442CD">
      <w:pPr>
        <w:spacing w:after="0" w:line="276" w:lineRule="auto"/>
        <w:ind w:hanging="284"/>
        <w:jc w:val="both"/>
        <w:rPr>
          <w:rFonts w:ascii="Cambria" w:hAnsi="Cambria" w:cs="Arial"/>
          <w:sz w:val="24"/>
          <w:szCs w:val="24"/>
        </w:rPr>
      </w:pPr>
    </w:p>
    <w:p w14:paraId="672AE1D9" w14:textId="77777777" w:rsidR="001442CD" w:rsidRPr="001442CD" w:rsidRDefault="001442CD" w:rsidP="001442CD">
      <w:pPr>
        <w:spacing w:after="0" w:line="276" w:lineRule="auto"/>
        <w:ind w:left="567" w:hanging="851"/>
        <w:jc w:val="both"/>
        <w:rPr>
          <w:rFonts w:ascii="Cambria" w:hAnsi="Cambria" w:cs="Arial"/>
          <w:sz w:val="24"/>
          <w:szCs w:val="24"/>
        </w:rPr>
      </w:pPr>
      <w:r w:rsidRPr="001442CD">
        <w:rPr>
          <w:rFonts w:ascii="Cambria" w:hAnsi="Cambria" w:cs="Arial"/>
          <w:sz w:val="24"/>
          <w:szCs w:val="24"/>
        </w:rPr>
        <w:t>Medani, K. R., Neill, A., Garrod, G., Ojo, M., &amp; Hubbard, C. (2024). Societal perceptions and attitudes towards genetically modified (GM) crops, feed, and food products in the Middle East, North Africa, and Turkey (MENAT) region: A systematic literature review. Food Quality and Preference, 117, 105148.</w:t>
      </w:r>
    </w:p>
    <w:p w14:paraId="732730A6" w14:textId="77777777" w:rsidR="001442CD" w:rsidRPr="001442CD" w:rsidRDefault="001442CD" w:rsidP="001442CD">
      <w:pPr>
        <w:spacing w:after="0" w:line="276" w:lineRule="auto"/>
        <w:ind w:left="567" w:hanging="851"/>
        <w:jc w:val="both"/>
        <w:rPr>
          <w:rFonts w:ascii="Cambria" w:hAnsi="Cambria" w:cs="Arial"/>
          <w:sz w:val="24"/>
          <w:szCs w:val="24"/>
        </w:rPr>
      </w:pPr>
    </w:p>
    <w:p w14:paraId="418242F2" w14:textId="77777777" w:rsidR="001442CD" w:rsidRPr="001442CD" w:rsidRDefault="001442CD" w:rsidP="001442CD">
      <w:pPr>
        <w:spacing w:after="0" w:line="276" w:lineRule="auto"/>
        <w:ind w:left="567" w:hanging="851"/>
        <w:jc w:val="both"/>
        <w:rPr>
          <w:rFonts w:ascii="Cambria" w:hAnsi="Cambria" w:cs="Arial"/>
          <w:sz w:val="24"/>
          <w:szCs w:val="24"/>
        </w:rPr>
      </w:pPr>
      <w:r w:rsidRPr="001442CD">
        <w:rPr>
          <w:rFonts w:ascii="Cambria" w:hAnsi="Cambria" w:cs="Arial"/>
          <w:sz w:val="24"/>
          <w:szCs w:val="24"/>
        </w:rPr>
        <w:t>Mutlu, H., Ay, M., &amp; Doğan, M. (2024). Food engineers’ attitudes and purchasing intentions towards genetically modified organism products. Nutrition and Health, 30(4), 789-796.</w:t>
      </w:r>
    </w:p>
    <w:p w14:paraId="3D4F1475" w14:textId="77777777" w:rsidR="001442CD" w:rsidRPr="001442CD" w:rsidRDefault="001442CD" w:rsidP="001442CD">
      <w:pPr>
        <w:spacing w:after="0" w:line="276" w:lineRule="auto"/>
        <w:ind w:hanging="284"/>
        <w:jc w:val="both"/>
        <w:rPr>
          <w:rFonts w:ascii="Cambria" w:hAnsi="Cambria" w:cs="Arial"/>
          <w:sz w:val="24"/>
          <w:szCs w:val="24"/>
        </w:rPr>
      </w:pPr>
    </w:p>
    <w:p w14:paraId="1DD09E7A" w14:textId="77777777" w:rsidR="001442CD" w:rsidRPr="001442CD" w:rsidRDefault="001442CD" w:rsidP="001442CD">
      <w:pPr>
        <w:spacing w:after="0" w:line="276" w:lineRule="auto"/>
        <w:ind w:left="567" w:hanging="851"/>
        <w:jc w:val="both"/>
        <w:rPr>
          <w:rFonts w:ascii="Cambria" w:hAnsi="Cambria" w:cs="Arial"/>
          <w:sz w:val="24"/>
          <w:szCs w:val="24"/>
        </w:rPr>
      </w:pPr>
      <w:r w:rsidRPr="001442CD">
        <w:rPr>
          <w:rFonts w:ascii="Cambria" w:hAnsi="Cambria" w:cs="Arial"/>
          <w:sz w:val="24"/>
          <w:szCs w:val="24"/>
        </w:rPr>
        <w:t>Ngo, T. T. A., Le, T. N. T., &amp; Phan, T. Y. N. (2026). How Knowledge Influences the Purchase Intention of Generation Z toward Genetically Modified Foods. Journal of Agriculture and Food Research, 102694.</w:t>
      </w:r>
    </w:p>
    <w:p w14:paraId="675C7D38" w14:textId="77777777" w:rsidR="001442CD" w:rsidRPr="001442CD" w:rsidRDefault="001442CD" w:rsidP="001442CD">
      <w:pPr>
        <w:spacing w:after="0" w:line="276" w:lineRule="auto"/>
        <w:ind w:left="567" w:hanging="851"/>
        <w:jc w:val="both"/>
        <w:rPr>
          <w:rFonts w:ascii="Cambria" w:hAnsi="Cambria" w:cs="Arial"/>
          <w:sz w:val="24"/>
          <w:szCs w:val="24"/>
        </w:rPr>
      </w:pPr>
    </w:p>
    <w:p w14:paraId="623CB172" w14:textId="77777777" w:rsidR="001442CD" w:rsidRPr="001442CD" w:rsidRDefault="001442CD" w:rsidP="001442CD">
      <w:pPr>
        <w:spacing w:after="0" w:line="276" w:lineRule="auto"/>
        <w:ind w:left="567" w:hanging="851"/>
        <w:jc w:val="both"/>
        <w:rPr>
          <w:rFonts w:ascii="Cambria" w:hAnsi="Cambria" w:cs="Arial"/>
          <w:sz w:val="24"/>
          <w:szCs w:val="24"/>
        </w:rPr>
      </w:pPr>
      <w:r w:rsidRPr="001442CD">
        <w:rPr>
          <w:rFonts w:ascii="Cambria" w:hAnsi="Cambria" w:cs="Arial"/>
          <w:sz w:val="24"/>
          <w:szCs w:val="24"/>
        </w:rPr>
        <w:t>Ngo, T. T. A., Phan, T. Y. N., &amp; Le, T. N. T. (2024). Impacts of knowledge and trust on consumer perceptions and purchase intentions towards genetically modified foods. </w:t>
      </w:r>
      <w:proofErr w:type="spellStart"/>
      <w:r w:rsidRPr="001442CD">
        <w:rPr>
          <w:rFonts w:ascii="Cambria" w:hAnsi="Cambria" w:cs="Arial"/>
          <w:sz w:val="24"/>
          <w:szCs w:val="24"/>
        </w:rPr>
        <w:t>Plos</w:t>
      </w:r>
      <w:proofErr w:type="spellEnd"/>
      <w:r w:rsidRPr="001442CD">
        <w:rPr>
          <w:rFonts w:ascii="Cambria" w:hAnsi="Cambria" w:cs="Arial"/>
          <w:sz w:val="24"/>
          <w:szCs w:val="24"/>
        </w:rPr>
        <w:t xml:space="preserve"> one, 19(10), e0311257.</w:t>
      </w:r>
    </w:p>
    <w:p w14:paraId="4D705607" w14:textId="77777777" w:rsidR="001442CD" w:rsidRPr="001442CD" w:rsidRDefault="001442CD" w:rsidP="001442CD">
      <w:pPr>
        <w:spacing w:after="0" w:line="276" w:lineRule="auto"/>
        <w:ind w:left="567" w:hanging="851"/>
        <w:jc w:val="both"/>
        <w:rPr>
          <w:rFonts w:ascii="Cambria" w:hAnsi="Cambria" w:cs="Arial"/>
          <w:sz w:val="24"/>
          <w:szCs w:val="24"/>
        </w:rPr>
      </w:pPr>
    </w:p>
    <w:p w14:paraId="69A12ECB" w14:textId="77777777" w:rsidR="001442CD" w:rsidRPr="001442CD" w:rsidRDefault="001442CD" w:rsidP="001442CD">
      <w:pPr>
        <w:spacing w:after="0" w:line="276" w:lineRule="auto"/>
        <w:ind w:left="567" w:hanging="851"/>
        <w:jc w:val="both"/>
        <w:rPr>
          <w:rFonts w:ascii="Cambria" w:hAnsi="Cambria" w:cs="Arial"/>
          <w:sz w:val="24"/>
          <w:szCs w:val="24"/>
        </w:rPr>
      </w:pPr>
      <w:r w:rsidRPr="001442CD">
        <w:rPr>
          <w:rFonts w:ascii="Cambria" w:hAnsi="Cambria" w:cs="Arial"/>
          <w:sz w:val="24"/>
          <w:szCs w:val="24"/>
        </w:rPr>
        <w:t xml:space="preserve">Owusu-Gyan, L., </w:t>
      </w:r>
      <w:proofErr w:type="spellStart"/>
      <w:r w:rsidRPr="001442CD">
        <w:rPr>
          <w:rFonts w:ascii="Cambria" w:hAnsi="Cambria" w:cs="Arial"/>
          <w:sz w:val="24"/>
          <w:szCs w:val="24"/>
        </w:rPr>
        <w:t>Achiaa</w:t>
      </w:r>
      <w:proofErr w:type="spellEnd"/>
      <w:r w:rsidRPr="001442CD">
        <w:rPr>
          <w:rFonts w:ascii="Cambria" w:hAnsi="Cambria" w:cs="Arial"/>
          <w:sz w:val="24"/>
          <w:szCs w:val="24"/>
        </w:rPr>
        <w:t xml:space="preserve">, A. P., &amp; </w:t>
      </w:r>
      <w:proofErr w:type="spellStart"/>
      <w:r w:rsidRPr="001442CD">
        <w:rPr>
          <w:rFonts w:ascii="Cambria" w:hAnsi="Cambria" w:cs="Arial"/>
          <w:sz w:val="24"/>
          <w:szCs w:val="24"/>
        </w:rPr>
        <w:t>Chrislie</w:t>
      </w:r>
      <w:proofErr w:type="spellEnd"/>
      <w:r w:rsidRPr="001442CD">
        <w:rPr>
          <w:rFonts w:ascii="Cambria" w:hAnsi="Cambria" w:cs="Arial"/>
          <w:sz w:val="24"/>
          <w:szCs w:val="24"/>
        </w:rPr>
        <w:t>, K. N. N. (2023). The effect of objective knowledge on consumer acceptance towards GM foods in Ghana. Journal of Economics, Management and Trade, 29, 12-23.</w:t>
      </w:r>
    </w:p>
    <w:p w14:paraId="678D234C" w14:textId="77777777" w:rsidR="001442CD" w:rsidRPr="001442CD" w:rsidRDefault="001442CD" w:rsidP="001442CD">
      <w:pPr>
        <w:spacing w:after="0" w:line="276" w:lineRule="auto"/>
        <w:ind w:hanging="284"/>
        <w:jc w:val="both"/>
        <w:rPr>
          <w:rFonts w:ascii="Cambria" w:hAnsi="Cambria" w:cs="Arial"/>
          <w:sz w:val="24"/>
          <w:szCs w:val="24"/>
        </w:rPr>
      </w:pPr>
    </w:p>
    <w:p w14:paraId="2C8FF69F" w14:textId="77777777" w:rsidR="001442CD" w:rsidRPr="001442CD" w:rsidRDefault="001442CD" w:rsidP="001442CD">
      <w:pPr>
        <w:pStyle w:val="NoSpacing"/>
        <w:spacing w:line="276" w:lineRule="auto"/>
        <w:ind w:left="567" w:hanging="851"/>
        <w:jc w:val="both"/>
        <w:rPr>
          <w:rFonts w:ascii="Cambria" w:hAnsi="Cambria" w:cs="Arial"/>
          <w:sz w:val="24"/>
          <w:szCs w:val="24"/>
          <w:lang w:val="en-SG"/>
        </w:rPr>
      </w:pPr>
      <w:r w:rsidRPr="001442CD">
        <w:rPr>
          <w:rFonts w:ascii="Cambria" w:hAnsi="Cambria" w:cs="Arial"/>
          <w:sz w:val="24"/>
          <w:szCs w:val="24"/>
          <w:lang w:val="en-SG"/>
        </w:rPr>
        <w:t xml:space="preserve">Oz Aydın, S., </w:t>
      </w:r>
      <w:proofErr w:type="spellStart"/>
      <w:r w:rsidRPr="001442CD">
        <w:rPr>
          <w:rFonts w:ascii="Cambria" w:hAnsi="Cambria" w:cs="Arial"/>
          <w:sz w:val="24"/>
          <w:szCs w:val="24"/>
          <w:lang w:val="en-SG"/>
        </w:rPr>
        <w:t>Sackes</w:t>
      </w:r>
      <w:proofErr w:type="spellEnd"/>
      <w:r w:rsidRPr="001442CD">
        <w:rPr>
          <w:rFonts w:ascii="Cambria" w:hAnsi="Cambria" w:cs="Arial"/>
          <w:sz w:val="24"/>
          <w:szCs w:val="24"/>
          <w:lang w:val="en-SG"/>
        </w:rPr>
        <w:t xml:space="preserve">, M., Taskin Bedizel, N. R., &amp; </w:t>
      </w:r>
      <w:proofErr w:type="spellStart"/>
      <w:r w:rsidRPr="001442CD">
        <w:rPr>
          <w:rFonts w:ascii="Cambria" w:hAnsi="Cambria" w:cs="Arial"/>
          <w:sz w:val="24"/>
          <w:szCs w:val="24"/>
          <w:lang w:val="en-SG"/>
        </w:rPr>
        <w:t>Sicaker</w:t>
      </w:r>
      <w:proofErr w:type="spellEnd"/>
      <w:r w:rsidRPr="001442CD">
        <w:rPr>
          <w:rFonts w:ascii="Cambria" w:hAnsi="Cambria" w:cs="Arial"/>
          <w:sz w:val="24"/>
          <w:szCs w:val="24"/>
          <w:lang w:val="en-SG"/>
        </w:rPr>
        <w:t xml:space="preserve">, A. (2022). Development of Basic Biotechnology Knowledge Scale (BBKS) with Rasch Measurement Model. </w:t>
      </w:r>
      <w:proofErr w:type="spellStart"/>
      <w:r w:rsidRPr="001442CD">
        <w:rPr>
          <w:rFonts w:ascii="Cambria" w:hAnsi="Cambria" w:cs="Arial"/>
          <w:i/>
          <w:iCs/>
          <w:sz w:val="24"/>
          <w:szCs w:val="24"/>
          <w:lang w:val="en-SG"/>
        </w:rPr>
        <w:t>Necatibey</w:t>
      </w:r>
      <w:proofErr w:type="spellEnd"/>
      <w:r w:rsidRPr="001442CD">
        <w:rPr>
          <w:rFonts w:ascii="Cambria" w:hAnsi="Cambria" w:cs="Arial"/>
          <w:i/>
          <w:iCs/>
          <w:sz w:val="24"/>
          <w:szCs w:val="24"/>
          <w:lang w:val="en-SG"/>
        </w:rPr>
        <w:t xml:space="preserve"> Faculty of Education Electronic Journal of Science and Mathematics Education</w:t>
      </w:r>
      <w:r w:rsidRPr="001442CD">
        <w:rPr>
          <w:rFonts w:ascii="Cambria" w:hAnsi="Cambria" w:cs="Arial"/>
          <w:sz w:val="24"/>
          <w:szCs w:val="24"/>
          <w:lang w:val="en-SG"/>
        </w:rPr>
        <w:t xml:space="preserve">, </w:t>
      </w:r>
      <w:r w:rsidRPr="001442CD">
        <w:rPr>
          <w:rFonts w:ascii="Cambria" w:hAnsi="Cambria" w:cs="Arial"/>
          <w:i/>
          <w:iCs/>
          <w:sz w:val="24"/>
          <w:szCs w:val="24"/>
          <w:lang w:val="en-SG"/>
        </w:rPr>
        <w:t>16</w:t>
      </w:r>
      <w:r w:rsidRPr="001442CD">
        <w:rPr>
          <w:rFonts w:ascii="Cambria" w:hAnsi="Cambria" w:cs="Arial"/>
          <w:sz w:val="24"/>
          <w:szCs w:val="24"/>
          <w:lang w:val="en-SG"/>
        </w:rPr>
        <w:t>(2), 354–380.</w:t>
      </w:r>
    </w:p>
    <w:p w14:paraId="29F50DB3" w14:textId="77777777" w:rsidR="001442CD" w:rsidRPr="001442CD" w:rsidRDefault="001442CD" w:rsidP="001442CD">
      <w:pPr>
        <w:pStyle w:val="NoSpacing"/>
        <w:spacing w:line="276" w:lineRule="auto"/>
        <w:ind w:left="567" w:hanging="851"/>
        <w:jc w:val="both"/>
        <w:rPr>
          <w:rFonts w:ascii="Cambria" w:hAnsi="Cambria" w:cs="Arial"/>
          <w:sz w:val="24"/>
          <w:szCs w:val="24"/>
          <w:lang w:val="en-SG"/>
        </w:rPr>
      </w:pPr>
    </w:p>
    <w:p w14:paraId="391B60FF" w14:textId="77777777" w:rsidR="001442CD" w:rsidRPr="001442CD" w:rsidRDefault="001442CD" w:rsidP="001442CD">
      <w:pPr>
        <w:spacing w:after="0" w:line="276" w:lineRule="auto"/>
        <w:ind w:left="567" w:hanging="851"/>
        <w:jc w:val="both"/>
        <w:rPr>
          <w:rFonts w:ascii="Cambria" w:eastAsia="Times New Roman" w:hAnsi="Cambria" w:cs="Arial"/>
          <w:color w:val="222222"/>
          <w:sz w:val="24"/>
          <w:szCs w:val="24"/>
          <w:lang w:eastAsia="en-SG"/>
        </w:rPr>
      </w:pPr>
      <w:r w:rsidRPr="001442CD">
        <w:rPr>
          <w:rFonts w:ascii="Cambria" w:eastAsia="Times New Roman" w:hAnsi="Cambria" w:cs="Arial"/>
          <w:color w:val="222222"/>
          <w:sz w:val="24"/>
          <w:szCs w:val="24"/>
          <w:lang w:eastAsia="en-SG"/>
        </w:rPr>
        <w:t>Palmieri, N., Simeone, M., Russo, C., &amp; Perito, M. A. (2020). Profiling young consumers’ perceptions of GMO products: A case study on Italian undergraduate students. International Journal of Gastronomy and Food Science, 21, Article 100224</w:t>
      </w:r>
    </w:p>
    <w:p w14:paraId="6A64EFB9" w14:textId="77777777" w:rsidR="001442CD" w:rsidRPr="001442CD" w:rsidRDefault="001442CD" w:rsidP="001442CD">
      <w:pPr>
        <w:spacing w:after="0" w:line="276" w:lineRule="auto"/>
        <w:ind w:left="567" w:hanging="851"/>
        <w:jc w:val="both"/>
        <w:rPr>
          <w:rFonts w:ascii="Cambria" w:eastAsia="Times New Roman" w:hAnsi="Cambria" w:cs="Arial"/>
          <w:color w:val="222222"/>
          <w:sz w:val="24"/>
          <w:szCs w:val="24"/>
          <w:lang w:eastAsia="en-SG"/>
        </w:rPr>
      </w:pPr>
    </w:p>
    <w:p w14:paraId="3D4D8B49" w14:textId="77777777" w:rsidR="001442CD" w:rsidRPr="001442CD" w:rsidRDefault="001442CD" w:rsidP="001442CD">
      <w:pPr>
        <w:spacing w:after="0" w:line="276" w:lineRule="auto"/>
        <w:ind w:left="567" w:hanging="851"/>
        <w:jc w:val="both"/>
        <w:rPr>
          <w:rFonts w:ascii="Cambria" w:eastAsia="Times New Roman" w:hAnsi="Cambria" w:cs="Arial"/>
          <w:color w:val="222222"/>
          <w:sz w:val="24"/>
          <w:szCs w:val="24"/>
          <w:lang w:eastAsia="en-SG"/>
        </w:rPr>
      </w:pPr>
      <w:proofErr w:type="spellStart"/>
      <w:r w:rsidRPr="001442CD">
        <w:rPr>
          <w:rFonts w:ascii="Cambria" w:eastAsia="Times New Roman" w:hAnsi="Cambria" w:cs="Arial"/>
          <w:color w:val="222222"/>
          <w:sz w:val="24"/>
          <w:szCs w:val="24"/>
          <w:lang w:eastAsia="en-SG"/>
        </w:rPr>
        <w:t>Pasquito</w:t>
      </w:r>
      <w:proofErr w:type="spellEnd"/>
      <w:r w:rsidRPr="001442CD">
        <w:rPr>
          <w:rFonts w:ascii="Cambria" w:eastAsia="Times New Roman" w:hAnsi="Cambria" w:cs="Arial"/>
          <w:color w:val="222222"/>
          <w:sz w:val="24"/>
          <w:szCs w:val="24"/>
          <w:lang w:eastAsia="en-SG"/>
        </w:rPr>
        <w:t xml:space="preserve">, L. N. (2019, November). The biosafety regulatory approach and governance mechanism of GM crops in the </w:t>
      </w:r>
      <w:proofErr w:type="spellStart"/>
      <w:r w:rsidRPr="001442CD">
        <w:rPr>
          <w:rFonts w:ascii="Cambria" w:eastAsia="Times New Roman" w:hAnsi="Cambria" w:cs="Arial"/>
          <w:color w:val="222222"/>
          <w:sz w:val="24"/>
          <w:szCs w:val="24"/>
          <w:lang w:eastAsia="en-SG"/>
        </w:rPr>
        <w:t>philippines</w:t>
      </w:r>
      <w:proofErr w:type="spellEnd"/>
      <w:r w:rsidRPr="001442CD">
        <w:rPr>
          <w:rFonts w:ascii="Cambria" w:eastAsia="Times New Roman" w:hAnsi="Cambria" w:cs="Arial"/>
          <w:color w:val="222222"/>
          <w:sz w:val="24"/>
          <w:szCs w:val="24"/>
          <w:lang w:eastAsia="en-SG"/>
        </w:rPr>
        <w:t>. In </w:t>
      </w:r>
      <w:proofErr w:type="spellStart"/>
      <w:r w:rsidRPr="001442CD">
        <w:rPr>
          <w:rFonts w:ascii="Cambria" w:eastAsia="Times New Roman" w:hAnsi="Cambria" w:cs="Arial"/>
          <w:i/>
          <w:iCs/>
          <w:color w:val="222222"/>
          <w:sz w:val="24"/>
          <w:szCs w:val="24"/>
          <w:lang w:eastAsia="en-SG"/>
        </w:rPr>
        <w:t>Iapa</w:t>
      </w:r>
      <w:proofErr w:type="spellEnd"/>
      <w:r w:rsidRPr="001442CD">
        <w:rPr>
          <w:rFonts w:ascii="Cambria" w:eastAsia="Times New Roman" w:hAnsi="Cambria" w:cs="Arial"/>
          <w:i/>
          <w:iCs/>
          <w:color w:val="222222"/>
          <w:sz w:val="24"/>
          <w:szCs w:val="24"/>
          <w:lang w:eastAsia="en-SG"/>
        </w:rPr>
        <w:t xml:space="preserve"> Proceedings Conference</w:t>
      </w:r>
      <w:r w:rsidRPr="001442CD">
        <w:rPr>
          <w:rFonts w:ascii="Cambria" w:eastAsia="Times New Roman" w:hAnsi="Cambria" w:cs="Arial"/>
          <w:color w:val="222222"/>
          <w:sz w:val="24"/>
          <w:szCs w:val="24"/>
          <w:lang w:eastAsia="en-SG"/>
        </w:rPr>
        <w:t> (pp. 620-649).</w:t>
      </w:r>
    </w:p>
    <w:p w14:paraId="62E54BC1" w14:textId="77777777" w:rsidR="001442CD" w:rsidRPr="001442CD" w:rsidRDefault="001442CD" w:rsidP="001442CD">
      <w:pPr>
        <w:spacing w:after="0" w:line="276" w:lineRule="auto"/>
        <w:ind w:hanging="284"/>
        <w:jc w:val="both"/>
        <w:rPr>
          <w:rFonts w:ascii="Cambria" w:eastAsia="Times New Roman" w:hAnsi="Cambria" w:cs="Arial"/>
          <w:color w:val="222222"/>
          <w:sz w:val="24"/>
          <w:szCs w:val="24"/>
          <w:lang w:eastAsia="en-SG"/>
        </w:rPr>
      </w:pPr>
    </w:p>
    <w:p w14:paraId="11981BF5" w14:textId="77777777" w:rsidR="001442CD" w:rsidRPr="001442CD" w:rsidRDefault="001442CD" w:rsidP="001442CD">
      <w:pPr>
        <w:spacing w:after="0" w:line="276" w:lineRule="auto"/>
        <w:ind w:left="567" w:hanging="851"/>
        <w:jc w:val="both"/>
        <w:rPr>
          <w:rFonts w:ascii="Cambria" w:hAnsi="Cambria" w:cs="Arial"/>
          <w:sz w:val="24"/>
          <w:szCs w:val="24"/>
        </w:rPr>
      </w:pPr>
      <w:r w:rsidRPr="001442CD">
        <w:rPr>
          <w:rFonts w:ascii="Cambria" w:hAnsi="Cambria" w:cs="Arial"/>
          <w:sz w:val="24"/>
          <w:szCs w:val="24"/>
        </w:rPr>
        <w:t>Rathod, D., &amp; Hedaoo, R. P. (2022). Assessment of knowledge and attitudes on genetically modified foods among students studying life sciences. Cureus, 14(12).</w:t>
      </w:r>
    </w:p>
    <w:p w14:paraId="13754E9D" w14:textId="77777777" w:rsidR="001442CD" w:rsidRPr="001442CD" w:rsidRDefault="001442CD" w:rsidP="001442CD">
      <w:pPr>
        <w:spacing w:after="0" w:line="276" w:lineRule="auto"/>
        <w:ind w:left="567" w:hanging="851"/>
        <w:jc w:val="both"/>
        <w:rPr>
          <w:rFonts w:ascii="Cambria" w:hAnsi="Cambria" w:cs="Arial"/>
          <w:sz w:val="24"/>
          <w:szCs w:val="24"/>
        </w:rPr>
      </w:pPr>
    </w:p>
    <w:p w14:paraId="165590E3" w14:textId="77777777" w:rsidR="001442CD" w:rsidRPr="001442CD" w:rsidRDefault="001442CD" w:rsidP="001442CD">
      <w:pPr>
        <w:spacing w:after="0" w:line="240" w:lineRule="auto"/>
        <w:ind w:left="567" w:hanging="851"/>
        <w:rPr>
          <w:rFonts w:ascii="Cambria" w:hAnsi="Cambria" w:cs="Arial"/>
          <w:sz w:val="24"/>
          <w:szCs w:val="24"/>
        </w:rPr>
      </w:pPr>
      <w:r w:rsidRPr="001442CD">
        <w:rPr>
          <w:rFonts w:ascii="Cambria" w:hAnsi="Cambria" w:cs="Arial"/>
          <w:sz w:val="24"/>
          <w:szCs w:val="24"/>
        </w:rPr>
        <w:t>Rizk, T. H. (2023). Correlation. In </w:t>
      </w:r>
      <w:r w:rsidRPr="001442CD">
        <w:rPr>
          <w:rFonts w:ascii="Cambria" w:hAnsi="Cambria" w:cs="Arial"/>
          <w:i/>
          <w:iCs/>
          <w:sz w:val="24"/>
          <w:szCs w:val="24"/>
        </w:rPr>
        <w:t>Translational Interventional Radiology</w:t>
      </w:r>
      <w:r w:rsidRPr="001442CD">
        <w:rPr>
          <w:rFonts w:ascii="Cambria" w:hAnsi="Cambria" w:cs="Arial"/>
          <w:sz w:val="24"/>
          <w:szCs w:val="24"/>
        </w:rPr>
        <w:t> (pp. 153-156). Academic Press.</w:t>
      </w:r>
    </w:p>
    <w:p w14:paraId="6BA4229D" w14:textId="77777777" w:rsidR="001442CD" w:rsidRPr="001442CD" w:rsidRDefault="001442CD" w:rsidP="001442CD">
      <w:pPr>
        <w:spacing w:after="0" w:line="240" w:lineRule="auto"/>
        <w:ind w:left="567" w:hanging="851"/>
        <w:rPr>
          <w:rFonts w:ascii="Cambria" w:hAnsi="Cambria" w:cs="Arial"/>
          <w:sz w:val="24"/>
          <w:szCs w:val="24"/>
        </w:rPr>
      </w:pPr>
    </w:p>
    <w:p w14:paraId="12D0CC30" w14:textId="77777777" w:rsidR="001442CD" w:rsidRPr="001442CD" w:rsidRDefault="001442CD" w:rsidP="001442CD">
      <w:pPr>
        <w:spacing w:after="0" w:line="276" w:lineRule="auto"/>
        <w:ind w:left="567" w:hanging="851"/>
        <w:jc w:val="both"/>
        <w:rPr>
          <w:rFonts w:ascii="Cambria" w:eastAsia="Times New Roman" w:hAnsi="Cambria" w:cs="Arial"/>
          <w:color w:val="222222"/>
          <w:sz w:val="24"/>
          <w:szCs w:val="24"/>
          <w:lang w:eastAsia="en-SG"/>
        </w:rPr>
      </w:pPr>
      <w:proofErr w:type="spellStart"/>
      <w:r w:rsidRPr="001442CD">
        <w:rPr>
          <w:rFonts w:ascii="Cambria" w:eastAsia="Times New Roman" w:hAnsi="Cambria" w:cs="Arial"/>
          <w:color w:val="222222"/>
          <w:sz w:val="24"/>
          <w:szCs w:val="24"/>
          <w:lang w:eastAsia="en-SG"/>
        </w:rPr>
        <w:lastRenderedPageBreak/>
        <w:t>Sadikiel</w:t>
      </w:r>
      <w:proofErr w:type="spellEnd"/>
      <w:r w:rsidRPr="001442CD">
        <w:rPr>
          <w:rFonts w:ascii="Cambria" w:eastAsia="Times New Roman" w:hAnsi="Cambria" w:cs="Arial"/>
          <w:color w:val="222222"/>
          <w:sz w:val="24"/>
          <w:szCs w:val="24"/>
          <w:lang w:eastAsia="en-SG"/>
        </w:rPr>
        <w:t xml:space="preserve"> Mmbando, G. (2024). The adoption of genetically modified crops in Africa: the public’s current perception, the regulatory obstacles, and ethical challenges. </w:t>
      </w:r>
      <w:r w:rsidRPr="001442CD">
        <w:rPr>
          <w:rFonts w:ascii="Cambria" w:eastAsia="Times New Roman" w:hAnsi="Cambria" w:cs="Arial"/>
          <w:i/>
          <w:iCs/>
          <w:color w:val="222222"/>
          <w:sz w:val="24"/>
          <w:szCs w:val="24"/>
          <w:lang w:eastAsia="en-SG"/>
        </w:rPr>
        <w:t>GM crops &amp; food</w:t>
      </w:r>
      <w:r w:rsidRPr="001442CD">
        <w:rPr>
          <w:rFonts w:ascii="Cambria" w:eastAsia="Times New Roman" w:hAnsi="Cambria" w:cs="Arial"/>
          <w:color w:val="222222"/>
          <w:sz w:val="24"/>
          <w:szCs w:val="24"/>
          <w:lang w:eastAsia="en-SG"/>
        </w:rPr>
        <w:t>, </w:t>
      </w:r>
      <w:r w:rsidRPr="001442CD">
        <w:rPr>
          <w:rFonts w:ascii="Cambria" w:eastAsia="Times New Roman" w:hAnsi="Cambria" w:cs="Arial"/>
          <w:i/>
          <w:iCs/>
          <w:color w:val="222222"/>
          <w:sz w:val="24"/>
          <w:szCs w:val="24"/>
          <w:lang w:eastAsia="en-SG"/>
        </w:rPr>
        <w:t>15</w:t>
      </w:r>
      <w:r w:rsidRPr="001442CD">
        <w:rPr>
          <w:rFonts w:ascii="Cambria" w:eastAsia="Times New Roman" w:hAnsi="Cambria" w:cs="Arial"/>
          <w:color w:val="222222"/>
          <w:sz w:val="24"/>
          <w:szCs w:val="24"/>
          <w:lang w:eastAsia="en-SG"/>
        </w:rPr>
        <w:t>(1), 185-199.</w:t>
      </w:r>
    </w:p>
    <w:p w14:paraId="6F35F752" w14:textId="77777777" w:rsidR="001442CD" w:rsidRPr="001442CD" w:rsidRDefault="001442CD" w:rsidP="001442CD">
      <w:pPr>
        <w:spacing w:after="0" w:line="276" w:lineRule="auto"/>
        <w:ind w:hanging="284"/>
        <w:jc w:val="both"/>
        <w:rPr>
          <w:rFonts w:ascii="Cambria" w:eastAsia="Times New Roman" w:hAnsi="Cambria" w:cs="Arial"/>
          <w:color w:val="222222"/>
          <w:sz w:val="24"/>
          <w:szCs w:val="24"/>
          <w:lang w:eastAsia="en-SG"/>
        </w:rPr>
      </w:pPr>
    </w:p>
    <w:p w14:paraId="045DF33D" w14:textId="77777777" w:rsidR="001442CD" w:rsidRPr="001442CD" w:rsidRDefault="001442CD" w:rsidP="001442CD">
      <w:pPr>
        <w:spacing w:after="0" w:line="276" w:lineRule="auto"/>
        <w:ind w:left="567" w:hanging="851"/>
        <w:jc w:val="both"/>
        <w:rPr>
          <w:rFonts w:ascii="Cambria" w:hAnsi="Cambria" w:cs="Arial"/>
          <w:sz w:val="24"/>
          <w:szCs w:val="24"/>
        </w:rPr>
      </w:pPr>
      <w:r w:rsidRPr="001442CD">
        <w:rPr>
          <w:rFonts w:ascii="Cambria" w:hAnsi="Cambria" w:cs="Arial"/>
          <w:sz w:val="24"/>
          <w:szCs w:val="24"/>
        </w:rPr>
        <w:t>Sheikh, M. A., Bajwa, F., Aslam, M. J., &amp; Mir, B. (2024). Survey research: Descriptive and analytical power, types and usages. International Journal of Politics &amp; Social Sciences Review</w:t>
      </w:r>
    </w:p>
    <w:p w14:paraId="234914BF" w14:textId="77777777" w:rsidR="001442CD" w:rsidRPr="001442CD" w:rsidRDefault="001442CD" w:rsidP="001442CD">
      <w:pPr>
        <w:spacing w:after="0" w:line="276" w:lineRule="auto"/>
        <w:ind w:left="567" w:hanging="851"/>
        <w:jc w:val="both"/>
        <w:rPr>
          <w:rFonts w:ascii="Cambria" w:hAnsi="Cambria" w:cs="Arial"/>
          <w:sz w:val="24"/>
          <w:szCs w:val="24"/>
        </w:rPr>
      </w:pPr>
    </w:p>
    <w:p w14:paraId="45ADB5F5" w14:textId="77777777" w:rsidR="001442CD" w:rsidRPr="001442CD" w:rsidRDefault="001442CD" w:rsidP="001442CD">
      <w:pPr>
        <w:spacing w:after="0" w:line="276" w:lineRule="auto"/>
        <w:ind w:left="567" w:hanging="851"/>
        <w:jc w:val="both"/>
        <w:rPr>
          <w:rFonts w:ascii="Cambria" w:eastAsia="Times New Roman" w:hAnsi="Cambria" w:cs="Arial"/>
          <w:color w:val="222222"/>
          <w:sz w:val="24"/>
          <w:szCs w:val="24"/>
          <w:lang w:eastAsia="en-SG"/>
        </w:rPr>
      </w:pPr>
      <w:r w:rsidRPr="001442CD">
        <w:rPr>
          <w:rFonts w:ascii="Cambria" w:eastAsia="Times New Roman" w:hAnsi="Cambria" w:cs="Arial"/>
          <w:color w:val="222222"/>
          <w:sz w:val="24"/>
          <w:szCs w:val="24"/>
          <w:lang w:eastAsia="en-SG"/>
        </w:rPr>
        <w:t>Siegrist, M., &amp; Hartmann, C. (2020). Consumer acceptance of novel food technologies. </w:t>
      </w:r>
      <w:r w:rsidRPr="001442CD">
        <w:rPr>
          <w:rFonts w:ascii="Cambria" w:eastAsia="Times New Roman" w:hAnsi="Cambria" w:cs="Arial"/>
          <w:i/>
          <w:iCs/>
          <w:color w:val="222222"/>
          <w:sz w:val="24"/>
          <w:szCs w:val="24"/>
          <w:lang w:eastAsia="en-SG"/>
        </w:rPr>
        <w:t>Nature Food</w:t>
      </w:r>
      <w:r w:rsidRPr="001442CD">
        <w:rPr>
          <w:rFonts w:ascii="Cambria" w:eastAsia="Times New Roman" w:hAnsi="Cambria" w:cs="Arial"/>
          <w:color w:val="222222"/>
          <w:sz w:val="24"/>
          <w:szCs w:val="24"/>
          <w:lang w:eastAsia="en-SG"/>
        </w:rPr>
        <w:t>, </w:t>
      </w:r>
      <w:r w:rsidRPr="001442CD">
        <w:rPr>
          <w:rFonts w:ascii="Cambria" w:eastAsia="Times New Roman" w:hAnsi="Cambria" w:cs="Arial"/>
          <w:i/>
          <w:iCs/>
          <w:color w:val="222222"/>
          <w:sz w:val="24"/>
          <w:szCs w:val="24"/>
          <w:lang w:eastAsia="en-SG"/>
        </w:rPr>
        <w:t>1</w:t>
      </w:r>
      <w:r w:rsidRPr="001442CD">
        <w:rPr>
          <w:rFonts w:ascii="Cambria" w:eastAsia="Times New Roman" w:hAnsi="Cambria" w:cs="Arial"/>
          <w:color w:val="222222"/>
          <w:sz w:val="24"/>
          <w:szCs w:val="24"/>
          <w:lang w:eastAsia="en-SG"/>
        </w:rPr>
        <w:t>(6), 343-350.</w:t>
      </w:r>
    </w:p>
    <w:p w14:paraId="342A584A" w14:textId="77777777" w:rsidR="001442CD" w:rsidRPr="001442CD" w:rsidRDefault="001442CD" w:rsidP="001442CD">
      <w:pPr>
        <w:spacing w:after="0" w:line="276" w:lineRule="auto"/>
        <w:ind w:left="567" w:hanging="851"/>
        <w:jc w:val="both"/>
        <w:rPr>
          <w:rFonts w:ascii="Cambria" w:eastAsia="Times New Roman" w:hAnsi="Cambria" w:cs="Arial"/>
          <w:color w:val="222222"/>
          <w:sz w:val="24"/>
          <w:szCs w:val="24"/>
          <w:lang w:eastAsia="en-SG"/>
        </w:rPr>
      </w:pPr>
    </w:p>
    <w:p w14:paraId="5789D204" w14:textId="77777777" w:rsidR="001442CD" w:rsidRPr="001442CD" w:rsidRDefault="001442CD" w:rsidP="001442CD">
      <w:pPr>
        <w:spacing w:after="0" w:line="276" w:lineRule="auto"/>
        <w:ind w:left="567" w:hanging="851"/>
        <w:jc w:val="both"/>
        <w:rPr>
          <w:rFonts w:ascii="Cambria" w:eastAsia="Times New Roman" w:hAnsi="Cambria" w:cs="Arial"/>
          <w:color w:val="222222"/>
          <w:sz w:val="24"/>
          <w:szCs w:val="24"/>
          <w:lang w:eastAsia="en-SG"/>
        </w:rPr>
      </w:pPr>
      <w:r w:rsidRPr="001442CD">
        <w:rPr>
          <w:rFonts w:ascii="Cambria" w:eastAsia="Times New Roman" w:hAnsi="Cambria" w:cs="Arial"/>
          <w:color w:val="222222"/>
          <w:sz w:val="24"/>
          <w:szCs w:val="24"/>
          <w:lang w:eastAsia="en-SG"/>
        </w:rPr>
        <w:t xml:space="preserve">Sikora, D., &amp; </w:t>
      </w:r>
      <w:proofErr w:type="spellStart"/>
      <w:r w:rsidRPr="001442CD">
        <w:rPr>
          <w:rFonts w:ascii="Cambria" w:eastAsia="Times New Roman" w:hAnsi="Cambria" w:cs="Arial"/>
          <w:color w:val="222222"/>
          <w:sz w:val="24"/>
          <w:szCs w:val="24"/>
          <w:lang w:eastAsia="en-SG"/>
        </w:rPr>
        <w:t>Rzymski</w:t>
      </w:r>
      <w:proofErr w:type="spellEnd"/>
      <w:r w:rsidRPr="001442CD">
        <w:rPr>
          <w:rFonts w:ascii="Cambria" w:eastAsia="Times New Roman" w:hAnsi="Cambria" w:cs="Arial"/>
          <w:color w:val="222222"/>
          <w:sz w:val="24"/>
          <w:szCs w:val="24"/>
          <w:lang w:eastAsia="en-SG"/>
        </w:rPr>
        <w:t>, P. (2021). Public acceptance of GM foods: a global perspective (1999–2019). </w:t>
      </w:r>
      <w:r w:rsidRPr="001442CD">
        <w:rPr>
          <w:rFonts w:ascii="Cambria" w:eastAsia="Times New Roman" w:hAnsi="Cambria" w:cs="Arial"/>
          <w:i/>
          <w:iCs/>
          <w:color w:val="222222"/>
          <w:sz w:val="24"/>
          <w:szCs w:val="24"/>
          <w:lang w:eastAsia="en-SG"/>
        </w:rPr>
        <w:t>Policy issues in genetically modified crops</w:t>
      </w:r>
      <w:r w:rsidRPr="001442CD">
        <w:rPr>
          <w:rFonts w:ascii="Cambria" w:eastAsia="Times New Roman" w:hAnsi="Cambria" w:cs="Arial"/>
          <w:color w:val="222222"/>
          <w:sz w:val="24"/>
          <w:szCs w:val="24"/>
          <w:lang w:eastAsia="en-SG"/>
        </w:rPr>
        <w:t>, 293-315.</w:t>
      </w:r>
    </w:p>
    <w:p w14:paraId="5D4ADA10" w14:textId="77777777" w:rsidR="001442CD" w:rsidRPr="001442CD" w:rsidRDefault="001442CD" w:rsidP="001442CD">
      <w:pPr>
        <w:spacing w:after="0" w:line="276" w:lineRule="auto"/>
        <w:ind w:left="567" w:hanging="851"/>
        <w:jc w:val="both"/>
        <w:rPr>
          <w:rFonts w:ascii="Cambria" w:eastAsia="Times New Roman" w:hAnsi="Cambria" w:cs="Arial"/>
          <w:color w:val="222222"/>
          <w:sz w:val="24"/>
          <w:szCs w:val="24"/>
          <w:lang w:eastAsia="en-SG"/>
        </w:rPr>
      </w:pPr>
    </w:p>
    <w:p w14:paraId="1B9C8642" w14:textId="77777777" w:rsidR="001442CD" w:rsidRPr="001442CD" w:rsidRDefault="001442CD" w:rsidP="001442CD">
      <w:pPr>
        <w:spacing w:after="0" w:line="276" w:lineRule="auto"/>
        <w:ind w:left="567" w:hanging="851"/>
        <w:jc w:val="both"/>
        <w:rPr>
          <w:rFonts w:ascii="Cambria" w:eastAsia="Times New Roman" w:hAnsi="Cambria" w:cs="Arial"/>
          <w:color w:val="222222"/>
          <w:sz w:val="24"/>
          <w:szCs w:val="24"/>
          <w:lang w:eastAsia="en-SG"/>
        </w:rPr>
      </w:pPr>
      <w:proofErr w:type="spellStart"/>
      <w:r w:rsidRPr="001442CD">
        <w:rPr>
          <w:rFonts w:ascii="Cambria" w:eastAsia="Times New Roman" w:hAnsi="Cambria" w:cs="Arial"/>
          <w:color w:val="222222"/>
          <w:sz w:val="24"/>
          <w:szCs w:val="24"/>
          <w:lang w:eastAsia="en-SG"/>
        </w:rPr>
        <w:t>Spök</w:t>
      </w:r>
      <w:proofErr w:type="spellEnd"/>
      <w:r w:rsidRPr="001442CD">
        <w:rPr>
          <w:rFonts w:ascii="Cambria" w:eastAsia="Times New Roman" w:hAnsi="Cambria" w:cs="Arial"/>
          <w:color w:val="222222"/>
          <w:sz w:val="24"/>
          <w:szCs w:val="24"/>
          <w:lang w:eastAsia="en-SG"/>
        </w:rPr>
        <w:t xml:space="preserve">, A., </w:t>
      </w:r>
      <w:proofErr w:type="spellStart"/>
      <w:r w:rsidRPr="001442CD">
        <w:rPr>
          <w:rFonts w:ascii="Cambria" w:eastAsia="Times New Roman" w:hAnsi="Cambria" w:cs="Arial"/>
          <w:color w:val="222222"/>
          <w:sz w:val="24"/>
          <w:szCs w:val="24"/>
          <w:lang w:eastAsia="en-SG"/>
        </w:rPr>
        <w:t>Sprink</w:t>
      </w:r>
      <w:proofErr w:type="spellEnd"/>
      <w:r w:rsidRPr="001442CD">
        <w:rPr>
          <w:rFonts w:ascii="Cambria" w:eastAsia="Times New Roman" w:hAnsi="Cambria" w:cs="Arial"/>
          <w:color w:val="222222"/>
          <w:sz w:val="24"/>
          <w:szCs w:val="24"/>
          <w:lang w:eastAsia="en-SG"/>
        </w:rPr>
        <w:t xml:space="preserve">, T., Allan, A. C., Yamaguchi, T., &amp; </w:t>
      </w:r>
      <w:proofErr w:type="spellStart"/>
      <w:r w:rsidRPr="001442CD">
        <w:rPr>
          <w:rFonts w:ascii="Cambria" w:eastAsia="Times New Roman" w:hAnsi="Cambria" w:cs="Arial"/>
          <w:color w:val="222222"/>
          <w:sz w:val="24"/>
          <w:szCs w:val="24"/>
          <w:lang w:eastAsia="en-SG"/>
        </w:rPr>
        <w:t>Dayé</w:t>
      </w:r>
      <w:proofErr w:type="spellEnd"/>
      <w:r w:rsidRPr="001442CD">
        <w:rPr>
          <w:rFonts w:ascii="Cambria" w:eastAsia="Times New Roman" w:hAnsi="Cambria" w:cs="Arial"/>
          <w:color w:val="222222"/>
          <w:sz w:val="24"/>
          <w:szCs w:val="24"/>
          <w:lang w:eastAsia="en-SG"/>
        </w:rPr>
        <w:t xml:space="preserve">, C. (2022). Towards social acceptability of genome-edited plants in </w:t>
      </w:r>
      <w:proofErr w:type="spellStart"/>
      <w:r w:rsidRPr="001442CD">
        <w:rPr>
          <w:rFonts w:ascii="Cambria" w:eastAsia="Times New Roman" w:hAnsi="Cambria" w:cs="Arial"/>
          <w:color w:val="222222"/>
          <w:sz w:val="24"/>
          <w:szCs w:val="24"/>
          <w:lang w:eastAsia="en-SG"/>
        </w:rPr>
        <w:t>industrialised</w:t>
      </w:r>
      <w:proofErr w:type="spellEnd"/>
      <w:r w:rsidRPr="001442CD">
        <w:rPr>
          <w:rFonts w:ascii="Cambria" w:eastAsia="Times New Roman" w:hAnsi="Cambria" w:cs="Arial"/>
          <w:color w:val="222222"/>
          <w:sz w:val="24"/>
          <w:szCs w:val="24"/>
          <w:lang w:eastAsia="en-SG"/>
        </w:rPr>
        <w:t xml:space="preserve"> countries? Emerging evidence from Europe, United States, Canada, Australia, New Zealand, and Japan. </w:t>
      </w:r>
      <w:r w:rsidRPr="001442CD">
        <w:rPr>
          <w:rFonts w:ascii="Cambria" w:eastAsia="Times New Roman" w:hAnsi="Cambria" w:cs="Arial"/>
          <w:i/>
          <w:iCs/>
          <w:color w:val="222222"/>
          <w:sz w:val="24"/>
          <w:szCs w:val="24"/>
          <w:lang w:eastAsia="en-SG"/>
        </w:rPr>
        <w:t>Frontiers in genome editing</w:t>
      </w:r>
      <w:r w:rsidRPr="001442CD">
        <w:rPr>
          <w:rFonts w:ascii="Cambria" w:eastAsia="Times New Roman" w:hAnsi="Cambria" w:cs="Arial"/>
          <w:color w:val="222222"/>
          <w:sz w:val="24"/>
          <w:szCs w:val="24"/>
          <w:lang w:eastAsia="en-SG"/>
        </w:rPr>
        <w:t>, </w:t>
      </w:r>
      <w:r w:rsidRPr="001442CD">
        <w:rPr>
          <w:rFonts w:ascii="Cambria" w:eastAsia="Times New Roman" w:hAnsi="Cambria" w:cs="Arial"/>
          <w:i/>
          <w:iCs/>
          <w:color w:val="222222"/>
          <w:sz w:val="24"/>
          <w:szCs w:val="24"/>
          <w:lang w:eastAsia="en-SG"/>
        </w:rPr>
        <w:t>4</w:t>
      </w:r>
      <w:r w:rsidRPr="001442CD">
        <w:rPr>
          <w:rFonts w:ascii="Cambria" w:eastAsia="Times New Roman" w:hAnsi="Cambria" w:cs="Arial"/>
          <w:color w:val="222222"/>
          <w:sz w:val="24"/>
          <w:szCs w:val="24"/>
          <w:lang w:eastAsia="en-SG"/>
        </w:rPr>
        <w:t>, 899331.</w:t>
      </w:r>
    </w:p>
    <w:p w14:paraId="5ED761C6" w14:textId="77777777" w:rsidR="001442CD" w:rsidRPr="001442CD" w:rsidRDefault="001442CD" w:rsidP="001442CD">
      <w:pPr>
        <w:spacing w:after="0" w:line="276" w:lineRule="auto"/>
        <w:ind w:hanging="284"/>
        <w:jc w:val="both"/>
        <w:rPr>
          <w:rFonts w:ascii="Cambria" w:eastAsia="Times New Roman" w:hAnsi="Cambria" w:cs="Arial"/>
          <w:color w:val="222222"/>
          <w:sz w:val="24"/>
          <w:szCs w:val="24"/>
          <w:lang w:eastAsia="en-SG"/>
        </w:rPr>
      </w:pPr>
    </w:p>
    <w:p w14:paraId="07CED3EE" w14:textId="77777777" w:rsidR="001442CD" w:rsidRPr="001442CD" w:rsidRDefault="001442CD" w:rsidP="001442CD">
      <w:pPr>
        <w:spacing w:after="0" w:line="276" w:lineRule="auto"/>
        <w:ind w:left="567" w:hanging="851"/>
        <w:jc w:val="both"/>
        <w:rPr>
          <w:rFonts w:ascii="Cambria" w:eastAsia="Times New Roman" w:hAnsi="Cambria" w:cs="Arial"/>
          <w:color w:val="222222"/>
          <w:sz w:val="24"/>
          <w:szCs w:val="24"/>
          <w:lang w:eastAsia="en-SG"/>
        </w:rPr>
      </w:pPr>
      <w:r w:rsidRPr="001442CD">
        <w:rPr>
          <w:rFonts w:ascii="Cambria" w:eastAsia="Times New Roman" w:hAnsi="Cambria" w:cs="Arial"/>
          <w:color w:val="222222"/>
          <w:sz w:val="24"/>
          <w:szCs w:val="24"/>
          <w:lang w:eastAsia="en-SG"/>
        </w:rPr>
        <w:t xml:space="preserve">Spreen, N., &amp; </w:t>
      </w:r>
      <w:proofErr w:type="spellStart"/>
      <w:r w:rsidRPr="001442CD">
        <w:rPr>
          <w:rFonts w:ascii="Cambria" w:eastAsia="Times New Roman" w:hAnsi="Cambria" w:cs="Arial"/>
          <w:color w:val="222222"/>
          <w:sz w:val="24"/>
          <w:szCs w:val="24"/>
          <w:lang w:eastAsia="en-SG"/>
        </w:rPr>
        <w:t>Klimmt</w:t>
      </w:r>
      <w:proofErr w:type="spellEnd"/>
      <w:r w:rsidRPr="001442CD">
        <w:rPr>
          <w:rFonts w:ascii="Cambria" w:eastAsia="Times New Roman" w:hAnsi="Cambria" w:cs="Arial"/>
          <w:color w:val="222222"/>
          <w:sz w:val="24"/>
          <w:szCs w:val="24"/>
          <w:lang w:eastAsia="en-SG"/>
        </w:rPr>
        <w:t xml:space="preserve">, C. (2024). Misconceptions still drive citizens’ </w:t>
      </w:r>
      <w:proofErr w:type="spellStart"/>
      <w:r w:rsidRPr="001442CD">
        <w:rPr>
          <w:rFonts w:ascii="Cambria" w:eastAsia="Times New Roman" w:hAnsi="Cambria" w:cs="Arial"/>
          <w:color w:val="222222"/>
          <w:sz w:val="24"/>
          <w:szCs w:val="24"/>
          <w:lang w:eastAsia="en-SG"/>
        </w:rPr>
        <w:t>scepticism</w:t>
      </w:r>
      <w:proofErr w:type="spellEnd"/>
      <w:r w:rsidRPr="001442CD">
        <w:rPr>
          <w:rFonts w:ascii="Cambria" w:eastAsia="Times New Roman" w:hAnsi="Cambria" w:cs="Arial"/>
          <w:color w:val="222222"/>
          <w:sz w:val="24"/>
          <w:szCs w:val="24"/>
          <w:lang w:eastAsia="en-SG"/>
        </w:rPr>
        <w:t xml:space="preserve"> towards biotechnologically produced food. Bulletin of Science, Technology &amp; Society, 44(1-2), 33-43.</w:t>
      </w:r>
    </w:p>
    <w:p w14:paraId="24A513A0" w14:textId="77777777" w:rsidR="001442CD" w:rsidRPr="001442CD" w:rsidRDefault="001442CD" w:rsidP="001442CD">
      <w:pPr>
        <w:spacing w:after="0" w:line="276" w:lineRule="auto"/>
        <w:ind w:left="567" w:hanging="851"/>
        <w:jc w:val="both"/>
        <w:rPr>
          <w:rFonts w:ascii="Cambria" w:eastAsia="Times New Roman" w:hAnsi="Cambria" w:cs="Arial"/>
          <w:color w:val="222222"/>
          <w:sz w:val="24"/>
          <w:szCs w:val="24"/>
          <w:lang w:eastAsia="en-SG"/>
        </w:rPr>
      </w:pPr>
    </w:p>
    <w:p w14:paraId="6BEEA382" w14:textId="77777777" w:rsidR="001442CD" w:rsidRPr="001442CD" w:rsidRDefault="001442CD" w:rsidP="001442CD">
      <w:pPr>
        <w:spacing w:after="0" w:line="276" w:lineRule="auto"/>
        <w:ind w:left="567" w:hanging="851"/>
        <w:jc w:val="both"/>
        <w:rPr>
          <w:rFonts w:ascii="Cambria" w:hAnsi="Cambria" w:cs="Arial"/>
          <w:sz w:val="24"/>
          <w:szCs w:val="24"/>
        </w:rPr>
      </w:pPr>
      <w:r w:rsidRPr="001442CD">
        <w:rPr>
          <w:rFonts w:ascii="Cambria" w:hAnsi="Cambria" w:cs="Arial"/>
          <w:sz w:val="24"/>
          <w:szCs w:val="24"/>
        </w:rPr>
        <w:t xml:space="preserve">Thomas, L. (2023, December 18). Simple random sampling | Definition, steps &amp; examples. </w:t>
      </w:r>
      <w:proofErr w:type="spellStart"/>
      <w:r w:rsidRPr="001442CD">
        <w:rPr>
          <w:rFonts w:ascii="Cambria" w:hAnsi="Cambria" w:cs="Arial"/>
          <w:sz w:val="24"/>
          <w:szCs w:val="24"/>
        </w:rPr>
        <w:t>Scribbr</w:t>
      </w:r>
      <w:proofErr w:type="spellEnd"/>
      <w:r w:rsidRPr="001442CD">
        <w:rPr>
          <w:rFonts w:ascii="Cambria" w:hAnsi="Cambria" w:cs="Arial"/>
          <w:sz w:val="24"/>
          <w:szCs w:val="24"/>
        </w:rPr>
        <w:t xml:space="preserve">. </w:t>
      </w:r>
    </w:p>
    <w:p w14:paraId="3D03AFE2" w14:textId="77777777" w:rsidR="001442CD" w:rsidRPr="001442CD" w:rsidRDefault="001442CD" w:rsidP="001442CD">
      <w:pPr>
        <w:spacing w:after="0" w:line="276" w:lineRule="auto"/>
        <w:ind w:left="567" w:hanging="851"/>
        <w:jc w:val="both"/>
        <w:rPr>
          <w:rFonts w:ascii="Cambria" w:hAnsi="Cambria" w:cs="Arial"/>
          <w:sz w:val="24"/>
          <w:szCs w:val="24"/>
        </w:rPr>
      </w:pPr>
    </w:p>
    <w:p w14:paraId="517F3C1B" w14:textId="77777777" w:rsidR="001442CD" w:rsidRPr="001442CD" w:rsidRDefault="001442CD" w:rsidP="001442CD">
      <w:pPr>
        <w:spacing w:after="0" w:line="276" w:lineRule="auto"/>
        <w:ind w:left="567" w:hanging="851"/>
        <w:jc w:val="both"/>
        <w:rPr>
          <w:rFonts w:ascii="Cambria" w:hAnsi="Cambria" w:cs="Arial"/>
          <w:sz w:val="24"/>
          <w:szCs w:val="24"/>
        </w:rPr>
      </w:pPr>
      <w:r w:rsidRPr="001442CD">
        <w:rPr>
          <w:rFonts w:ascii="Cambria" w:hAnsi="Cambria" w:cs="Arial"/>
          <w:sz w:val="24"/>
          <w:szCs w:val="24"/>
        </w:rPr>
        <w:t xml:space="preserve">Van </w:t>
      </w:r>
      <w:proofErr w:type="spellStart"/>
      <w:r w:rsidRPr="001442CD">
        <w:rPr>
          <w:rFonts w:ascii="Cambria" w:hAnsi="Cambria" w:cs="Arial"/>
          <w:sz w:val="24"/>
          <w:szCs w:val="24"/>
        </w:rPr>
        <w:t>Zuydam</w:t>
      </w:r>
      <w:proofErr w:type="spellEnd"/>
      <w:r w:rsidRPr="001442CD">
        <w:rPr>
          <w:rFonts w:ascii="Cambria" w:hAnsi="Cambria" w:cs="Arial"/>
          <w:sz w:val="24"/>
          <w:szCs w:val="24"/>
        </w:rPr>
        <w:t>, S. C., &amp; Kempen, E. (2025). Exploring consumer beliefs of genetically modified foods and their influence on food security in South Africa. Agriculture &amp; Food Security, 14(1), 21.</w:t>
      </w:r>
    </w:p>
    <w:p w14:paraId="1931AAD5" w14:textId="77777777" w:rsidR="001442CD" w:rsidRPr="001442CD" w:rsidRDefault="001442CD" w:rsidP="001442CD">
      <w:pPr>
        <w:spacing w:after="0" w:line="276" w:lineRule="auto"/>
        <w:ind w:hanging="284"/>
        <w:jc w:val="both"/>
        <w:rPr>
          <w:rFonts w:ascii="Cambria" w:hAnsi="Cambria" w:cs="Arial"/>
          <w:sz w:val="24"/>
          <w:szCs w:val="24"/>
        </w:rPr>
      </w:pPr>
    </w:p>
    <w:p w14:paraId="21736ABF" w14:textId="77777777" w:rsidR="001442CD" w:rsidRPr="001442CD" w:rsidRDefault="001442CD" w:rsidP="001442CD">
      <w:pPr>
        <w:spacing w:after="0" w:line="276" w:lineRule="auto"/>
        <w:ind w:left="567" w:hanging="851"/>
        <w:jc w:val="both"/>
        <w:rPr>
          <w:rFonts w:ascii="Cambria" w:hAnsi="Cambria" w:cs="Arial"/>
          <w:sz w:val="24"/>
          <w:szCs w:val="24"/>
        </w:rPr>
      </w:pPr>
      <w:proofErr w:type="spellStart"/>
      <w:r w:rsidRPr="001442CD">
        <w:rPr>
          <w:rFonts w:ascii="Cambria" w:hAnsi="Cambria" w:cs="Arial"/>
          <w:sz w:val="24"/>
          <w:szCs w:val="24"/>
        </w:rPr>
        <w:t>Veličković</w:t>
      </w:r>
      <w:proofErr w:type="spellEnd"/>
      <w:r w:rsidRPr="001442CD">
        <w:rPr>
          <w:rFonts w:ascii="Cambria" w:hAnsi="Cambria" w:cs="Arial"/>
          <w:sz w:val="24"/>
          <w:szCs w:val="24"/>
        </w:rPr>
        <w:t xml:space="preserve">, N., Ferreira, E., Djan, M., Ernst, M., </w:t>
      </w:r>
      <w:proofErr w:type="spellStart"/>
      <w:r w:rsidRPr="001442CD">
        <w:rPr>
          <w:rFonts w:ascii="Cambria" w:hAnsi="Cambria" w:cs="Arial"/>
          <w:sz w:val="24"/>
          <w:szCs w:val="24"/>
        </w:rPr>
        <w:t>Obreht</w:t>
      </w:r>
      <w:proofErr w:type="spellEnd"/>
      <w:r w:rsidRPr="001442CD">
        <w:rPr>
          <w:rFonts w:ascii="Cambria" w:hAnsi="Cambria" w:cs="Arial"/>
          <w:sz w:val="24"/>
          <w:szCs w:val="24"/>
        </w:rPr>
        <w:t xml:space="preserve"> Vidaković, D., Monaco, A., &amp; Fonseca, C. (2016). Demographic history, current expansion and future management challenges of wild boar populations in the Balkans and Europe. </w:t>
      </w:r>
      <w:r w:rsidRPr="001442CD">
        <w:rPr>
          <w:rFonts w:ascii="Cambria" w:hAnsi="Cambria" w:cs="Arial"/>
          <w:i/>
          <w:iCs/>
          <w:sz w:val="24"/>
          <w:szCs w:val="24"/>
        </w:rPr>
        <w:t>Heredity</w:t>
      </w:r>
      <w:r w:rsidRPr="001442CD">
        <w:rPr>
          <w:rFonts w:ascii="Cambria" w:hAnsi="Cambria" w:cs="Arial"/>
          <w:sz w:val="24"/>
          <w:szCs w:val="24"/>
        </w:rPr>
        <w:t>, </w:t>
      </w:r>
      <w:r w:rsidRPr="001442CD">
        <w:rPr>
          <w:rFonts w:ascii="Cambria" w:hAnsi="Cambria" w:cs="Arial"/>
          <w:i/>
          <w:iCs/>
          <w:sz w:val="24"/>
          <w:szCs w:val="24"/>
        </w:rPr>
        <w:t>117</w:t>
      </w:r>
      <w:r w:rsidRPr="001442CD">
        <w:rPr>
          <w:rFonts w:ascii="Cambria" w:hAnsi="Cambria" w:cs="Arial"/>
          <w:sz w:val="24"/>
          <w:szCs w:val="24"/>
        </w:rPr>
        <w:t>(5), 348-357.</w:t>
      </w:r>
    </w:p>
    <w:p w14:paraId="63D2F228" w14:textId="77777777" w:rsidR="001442CD" w:rsidRPr="001442CD" w:rsidRDefault="001442CD" w:rsidP="001442CD">
      <w:pPr>
        <w:spacing w:after="0" w:line="276" w:lineRule="auto"/>
        <w:ind w:left="567" w:hanging="851"/>
        <w:jc w:val="both"/>
        <w:rPr>
          <w:rFonts w:ascii="Cambria" w:hAnsi="Cambria" w:cs="Arial"/>
          <w:sz w:val="24"/>
          <w:szCs w:val="24"/>
        </w:rPr>
      </w:pPr>
    </w:p>
    <w:p w14:paraId="2EA0E164" w14:textId="77777777" w:rsidR="001442CD" w:rsidRPr="001442CD" w:rsidRDefault="001442CD" w:rsidP="001442CD">
      <w:pPr>
        <w:spacing w:after="0" w:line="276" w:lineRule="auto"/>
        <w:ind w:left="567" w:hanging="851"/>
        <w:jc w:val="both"/>
        <w:rPr>
          <w:rFonts w:ascii="Cambria" w:hAnsi="Cambria" w:cs="Arial"/>
          <w:sz w:val="24"/>
          <w:szCs w:val="24"/>
        </w:rPr>
      </w:pPr>
      <w:r w:rsidRPr="001442CD">
        <w:rPr>
          <w:rFonts w:ascii="Cambria" w:hAnsi="Cambria" w:cs="Arial"/>
          <w:sz w:val="24"/>
          <w:szCs w:val="24"/>
        </w:rPr>
        <w:t>Woźniak-Gientka, E., Agata, T., Milica, P., Anna, B., Dennis, E., Nick, V., ... &amp; Tomasz, T. (2022). Public perception of plant gene technologies worldwide in the light of food security. </w:t>
      </w:r>
      <w:r w:rsidRPr="001442CD">
        <w:rPr>
          <w:rFonts w:ascii="Cambria" w:hAnsi="Cambria" w:cs="Arial"/>
          <w:i/>
          <w:iCs/>
          <w:sz w:val="24"/>
          <w:szCs w:val="24"/>
        </w:rPr>
        <w:t>GM Crops &amp; Food</w:t>
      </w:r>
      <w:r w:rsidRPr="001442CD">
        <w:rPr>
          <w:rFonts w:ascii="Cambria" w:hAnsi="Cambria" w:cs="Arial"/>
          <w:sz w:val="24"/>
          <w:szCs w:val="24"/>
        </w:rPr>
        <w:t>, </w:t>
      </w:r>
      <w:r w:rsidRPr="001442CD">
        <w:rPr>
          <w:rFonts w:ascii="Cambria" w:hAnsi="Cambria" w:cs="Arial"/>
          <w:i/>
          <w:iCs/>
          <w:sz w:val="24"/>
          <w:szCs w:val="24"/>
        </w:rPr>
        <w:t>13</w:t>
      </w:r>
      <w:r w:rsidRPr="001442CD">
        <w:rPr>
          <w:rFonts w:ascii="Cambria" w:hAnsi="Cambria" w:cs="Arial"/>
          <w:sz w:val="24"/>
          <w:szCs w:val="24"/>
        </w:rPr>
        <w:t>(1), 218-241.</w:t>
      </w:r>
    </w:p>
    <w:p w14:paraId="6CF392A4" w14:textId="77777777" w:rsidR="001442CD" w:rsidRPr="001442CD" w:rsidRDefault="001442CD" w:rsidP="001442CD">
      <w:pPr>
        <w:spacing w:after="0" w:line="276" w:lineRule="auto"/>
        <w:ind w:left="567" w:hanging="851"/>
        <w:jc w:val="both"/>
        <w:rPr>
          <w:rFonts w:ascii="Cambria" w:hAnsi="Cambria" w:cs="Arial"/>
          <w:sz w:val="24"/>
          <w:szCs w:val="24"/>
        </w:rPr>
      </w:pPr>
    </w:p>
    <w:p w14:paraId="574D8B32" w14:textId="77777777" w:rsidR="001442CD" w:rsidRPr="001442CD" w:rsidRDefault="001442CD" w:rsidP="001442CD">
      <w:pPr>
        <w:spacing w:after="0" w:line="276" w:lineRule="auto"/>
        <w:ind w:left="567" w:hanging="851"/>
        <w:jc w:val="both"/>
        <w:rPr>
          <w:rFonts w:ascii="Cambria" w:hAnsi="Cambria" w:cs="Arial"/>
          <w:sz w:val="24"/>
          <w:szCs w:val="24"/>
        </w:rPr>
      </w:pPr>
      <w:r w:rsidRPr="001442CD">
        <w:rPr>
          <w:rFonts w:ascii="Cambria" w:hAnsi="Cambria" w:cs="Arial"/>
          <w:sz w:val="24"/>
          <w:szCs w:val="24"/>
        </w:rPr>
        <w:t>Zhan, J., Ma, Y., Deng, P., Li, Y., Xu, M., &amp; Xiong, H. (2020). Designing enhanced labeling information to increase consumer willingness to pay for genetically modified foods. British Food Journal, 123(1), 405-418.</w:t>
      </w:r>
    </w:p>
    <w:p w14:paraId="49B32389" w14:textId="77777777" w:rsidR="001442CD" w:rsidRPr="001442CD" w:rsidRDefault="001442CD" w:rsidP="001442CD">
      <w:pPr>
        <w:pStyle w:val="NoSpacing"/>
        <w:jc w:val="both"/>
        <w:rPr>
          <w:rFonts w:ascii="Cambria" w:hAnsi="Cambria"/>
        </w:rPr>
      </w:pPr>
    </w:p>
    <w:sectPr w:rsidR="001442CD" w:rsidRPr="001442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53F2"/>
    <w:multiLevelType w:val="hybridMultilevel"/>
    <w:tmpl w:val="4FF28BA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1DAA3046"/>
    <w:multiLevelType w:val="multilevel"/>
    <w:tmpl w:val="3CBEB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AF7713"/>
    <w:multiLevelType w:val="multilevel"/>
    <w:tmpl w:val="B80C3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6D1961"/>
    <w:multiLevelType w:val="hybridMultilevel"/>
    <w:tmpl w:val="BB3436F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68780579"/>
    <w:multiLevelType w:val="multilevel"/>
    <w:tmpl w:val="049C4CFE"/>
    <w:lvl w:ilvl="0">
      <w:start w:val="1"/>
      <w:numFmt w:val="decimal"/>
      <w:lvlText w:val="%1."/>
      <w:lvlJc w:val="left"/>
      <w:pPr>
        <w:ind w:left="360" w:hanging="360"/>
      </w:pPr>
      <w:rPr>
        <w:rFonts w:hint="default"/>
      </w:rPr>
    </w:lvl>
    <w:lvl w:ilvl="1">
      <w:start w:val="1"/>
      <w:numFmt w:val="decimal"/>
      <w:isLgl/>
      <w:lvlText w:val="%1.%2."/>
      <w:lvlJc w:val="left"/>
      <w:pPr>
        <w:ind w:left="75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3E97F8D"/>
    <w:multiLevelType w:val="hybridMultilevel"/>
    <w:tmpl w:val="948C63E2"/>
    <w:lvl w:ilvl="0" w:tplc="581CA93E">
      <w:start w:val="1"/>
      <w:numFmt w:val="decimal"/>
      <w:lvlText w:val="%1."/>
      <w:lvlJc w:val="left"/>
      <w:pPr>
        <w:ind w:left="720" w:hanging="360"/>
      </w:pPr>
      <w:rPr>
        <w:rFonts w:ascii="Cambria" w:eastAsia="Arial" w:hAnsi="Cambria" w:cs="Arial"/>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526291807">
    <w:abstractNumId w:val="5"/>
  </w:num>
  <w:num w:numId="2" w16cid:durableId="2032338627">
    <w:abstractNumId w:val="4"/>
  </w:num>
  <w:num w:numId="3" w16cid:durableId="113670996">
    <w:abstractNumId w:val="2"/>
  </w:num>
  <w:num w:numId="4" w16cid:durableId="416099655">
    <w:abstractNumId w:val="3"/>
  </w:num>
  <w:num w:numId="5" w16cid:durableId="683021896">
    <w:abstractNumId w:val="1"/>
  </w:num>
  <w:num w:numId="6" w16cid:durableId="32389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2CD"/>
    <w:rsid w:val="001442CD"/>
    <w:rsid w:val="002118C0"/>
    <w:rsid w:val="002F138F"/>
    <w:rsid w:val="00605081"/>
    <w:rsid w:val="0066462B"/>
    <w:rsid w:val="0076289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44CD2"/>
  <w15:chartTrackingRefBased/>
  <w15:docId w15:val="{FFE5A580-D67B-43C4-8807-626DBAEE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CD"/>
    <w:rPr>
      <w:rFonts w:ascii="Aptos" w:eastAsia="Aptos" w:hAnsi="Aptos" w:cs="Aptos"/>
      <w:kern w:val="0"/>
      <w:lang w:val="en-PH" w:eastAsia="en-PH"/>
      <w14:ligatures w14:val="none"/>
    </w:rPr>
  </w:style>
  <w:style w:type="paragraph" w:styleId="Heading1">
    <w:name w:val="heading 1"/>
    <w:basedOn w:val="Normal"/>
    <w:next w:val="Normal"/>
    <w:link w:val="Heading1Char"/>
    <w:uiPriority w:val="9"/>
    <w:qFormat/>
    <w:rsid w:val="001442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42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442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42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42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4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2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42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442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42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42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4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2CD"/>
    <w:rPr>
      <w:rFonts w:eastAsiaTheme="majorEastAsia" w:cstheme="majorBidi"/>
      <w:color w:val="272727" w:themeColor="text1" w:themeTint="D8"/>
    </w:rPr>
  </w:style>
  <w:style w:type="paragraph" w:styleId="Title">
    <w:name w:val="Title"/>
    <w:basedOn w:val="Normal"/>
    <w:next w:val="Normal"/>
    <w:link w:val="TitleChar"/>
    <w:uiPriority w:val="10"/>
    <w:qFormat/>
    <w:rsid w:val="00144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2CD"/>
    <w:pPr>
      <w:spacing w:before="160"/>
      <w:jc w:val="center"/>
    </w:pPr>
    <w:rPr>
      <w:i/>
      <w:iCs/>
      <w:color w:val="404040" w:themeColor="text1" w:themeTint="BF"/>
    </w:rPr>
  </w:style>
  <w:style w:type="character" w:customStyle="1" w:styleId="QuoteChar">
    <w:name w:val="Quote Char"/>
    <w:basedOn w:val="DefaultParagraphFont"/>
    <w:link w:val="Quote"/>
    <w:uiPriority w:val="29"/>
    <w:rsid w:val="001442CD"/>
    <w:rPr>
      <w:i/>
      <w:iCs/>
      <w:color w:val="404040" w:themeColor="text1" w:themeTint="BF"/>
    </w:rPr>
  </w:style>
  <w:style w:type="paragraph" w:styleId="ListParagraph">
    <w:name w:val="List Paragraph"/>
    <w:basedOn w:val="Normal"/>
    <w:uiPriority w:val="34"/>
    <w:qFormat/>
    <w:rsid w:val="001442CD"/>
    <w:pPr>
      <w:ind w:left="720"/>
      <w:contextualSpacing/>
    </w:pPr>
  </w:style>
  <w:style w:type="character" w:styleId="IntenseEmphasis">
    <w:name w:val="Intense Emphasis"/>
    <w:basedOn w:val="DefaultParagraphFont"/>
    <w:uiPriority w:val="21"/>
    <w:qFormat/>
    <w:rsid w:val="001442CD"/>
    <w:rPr>
      <w:i/>
      <w:iCs/>
      <w:color w:val="2F5496" w:themeColor="accent1" w:themeShade="BF"/>
    </w:rPr>
  </w:style>
  <w:style w:type="paragraph" w:styleId="IntenseQuote">
    <w:name w:val="Intense Quote"/>
    <w:basedOn w:val="Normal"/>
    <w:next w:val="Normal"/>
    <w:link w:val="IntenseQuoteChar"/>
    <w:uiPriority w:val="30"/>
    <w:qFormat/>
    <w:rsid w:val="001442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42CD"/>
    <w:rPr>
      <w:i/>
      <w:iCs/>
      <w:color w:val="2F5496" w:themeColor="accent1" w:themeShade="BF"/>
    </w:rPr>
  </w:style>
  <w:style w:type="character" w:styleId="IntenseReference">
    <w:name w:val="Intense Reference"/>
    <w:basedOn w:val="DefaultParagraphFont"/>
    <w:uiPriority w:val="32"/>
    <w:qFormat/>
    <w:rsid w:val="001442CD"/>
    <w:rPr>
      <w:b/>
      <w:bCs/>
      <w:smallCaps/>
      <w:color w:val="2F5496" w:themeColor="accent1" w:themeShade="BF"/>
      <w:spacing w:val="5"/>
    </w:rPr>
  </w:style>
  <w:style w:type="paragraph" w:styleId="NoSpacing">
    <w:name w:val="No Spacing"/>
    <w:link w:val="NoSpacingChar"/>
    <w:uiPriority w:val="1"/>
    <w:qFormat/>
    <w:rsid w:val="001442CD"/>
    <w:pPr>
      <w:spacing w:after="0" w:line="240" w:lineRule="auto"/>
    </w:pPr>
    <w:rPr>
      <w:rFonts w:ascii="Aptos" w:eastAsia="Aptos" w:hAnsi="Aptos" w:cs="Aptos"/>
      <w:kern w:val="0"/>
      <w:lang w:val="en-PH" w:eastAsia="en-PH"/>
      <w14:ligatures w14:val="none"/>
    </w:rPr>
  </w:style>
  <w:style w:type="character" w:customStyle="1" w:styleId="NoSpacingChar">
    <w:name w:val="No Spacing Char"/>
    <w:link w:val="NoSpacing"/>
    <w:uiPriority w:val="1"/>
    <w:rsid w:val="001442CD"/>
    <w:rPr>
      <w:rFonts w:ascii="Aptos" w:eastAsia="Aptos" w:hAnsi="Aptos" w:cs="Aptos"/>
      <w:kern w:val="0"/>
      <w:lang w:val="en-PH" w:eastAsia="en-PH"/>
      <w14:ligatures w14:val="none"/>
    </w:rPr>
  </w:style>
  <w:style w:type="character" w:styleId="Hyperlink">
    <w:name w:val="Hyperlink"/>
    <w:basedOn w:val="DefaultParagraphFont"/>
    <w:uiPriority w:val="99"/>
    <w:unhideWhenUsed/>
    <w:rsid w:val="001442CD"/>
    <w:rPr>
      <w:color w:val="0563C1" w:themeColor="hyperlink"/>
      <w:u w:val="single"/>
    </w:rPr>
  </w:style>
  <w:style w:type="table" w:styleId="TableGrid">
    <w:name w:val="Table Grid"/>
    <w:basedOn w:val="TableNormal"/>
    <w:uiPriority w:val="39"/>
    <w:rsid w:val="001442C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42C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442CD"/>
    <w:rPr>
      <w:i/>
      <w:iCs/>
    </w:rPr>
  </w:style>
  <w:style w:type="table" w:customStyle="1" w:styleId="TableGrid0">
    <w:name w:val="TableGrid"/>
    <w:rsid w:val="001442CD"/>
    <w:pPr>
      <w:spacing w:after="0" w:line="240" w:lineRule="auto"/>
    </w:pPr>
    <w:rPr>
      <w:rFonts w:eastAsiaTheme="minorEastAsia"/>
      <w:kern w:val="0"/>
      <w:lang w:val="en-PH" w:eastAsia="en-PH"/>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5500</Words>
  <Characters>31352</Characters>
  <Application>Microsoft Office Word</Application>
  <DocSecurity>0</DocSecurity>
  <Lines>261</Lines>
  <Paragraphs>73</Paragraphs>
  <ScaleCrop>false</ScaleCrop>
  <Company/>
  <LinksUpToDate>false</LinksUpToDate>
  <CharactersWithSpaces>36779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hnnymonc@outlook.com</dc:creator>
  <cp:keywords/>
  <dc:description/>
  <cp:lastModifiedBy>hnnymonc@outlook.com</cp:lastModifiedBy>
  <cp:revision>1</cp:revision>
  <dcterms:created xsi:type="dcterms:W3CDTF">2026-06-25T11:20:00Z</dcterms:created>
  <dcterms:modified xsi:type="dcterms:W3CDTF">2026-06-25T11:27:00Z</dcterms:modified>
</cp:coreProperties>
</file>