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18D1" w14:textId="77777777" w:rsidR="006E10F3" w:rsidRPr="00F027F8" w:rsidRDefault="006E10F3" w:rsidP="00F027F8">
      <w:pPr>
        <w:spacing w:after="0" w:line="240" w:lineRule="auto"/>
        <w:jc w:val="center"/>
        <w:rPr>
          <w:rFonts w:ascii="Arial" w:hAnsi="Arial" w:cs="Arial"/>
          <w:b/>
          <w:bCs/>
          <w:sz w:val="22"/>
          <w:szCs w:val="22"/>
        </w:rPr>
      </w:pPr>
      <w:r w:rsidRPr="00F027F8">
        <w:rPr>
          <w:rFonts w:ascii="Arial" w:hAnsi="Arial" w:cs="Arial"/>
          <w:b/>
          <w:bCs/>
          <w:sz w:val="22"/>
          <w:szCs w:val="22"/>
        </w:rPr>
        <w:t xml:space="preserve">Pre-Retirement Financial Practices and Job Exit Preparedness Among Hospital Employees </w:t>
      </w:r>
    </w:p>
    <w:p w14:paraId="5C0CB9C5" w14:textId="58CE4ED5" w:rsidR="00BC1322" w:rsidRPr="00F027F8" w:rsidRDefault="006E10F3" w:rsidP="00F027F8">
      <w:pPr>
        <w:spacing w:after="0" w:line="240" w:lineRule="auto"/>
        <w:jc w:val="center"/>
        <w:rPr>
          <w:rFonts w:ascii="Arial" w:hAnsi="Arial" w:cs="Arial"/>
          <w:b/>
          <w:bCs/>
          <w:sz w:val="22"/>
          <w:szCs w:val="22"/>
        </w:rPr>
      </w:pPr>
      <w:r w:rsidRPr="00F027F8">
        <w:rPr>
          <w:rFonts w:ascii="Arial" w:hAnsi="Arial" w:cs="Arial"/>
          <w:b/>
          <w:bCs/>
          <w:sz w:val="22"/>
          <w:szCs w:val="22"/>
        </w:rPr>
        <w:t/>
      </w:r>
    </w:p>
    <w:p w14:paraId="6088077D" w14:textId="2CB3EA6D" w:rsidR="006E10F3" w:rsidRPr="008A2ACE" w:rsidRDefault="006E10F3" w:rsidP="00F027F8">
      <w:pPr>
        <w:spacing w:after="0" w:line="240" w:lineRule="auto"/>
        <w:jc w:val="center"/>
        <w:rPr>
          <w:rFonts w:ascii="Arial" w:hAnsi="Arial" w:cs="Arial"/>
          <w:sz w:val="22"/>
          <w:szCs w:val="22"/>
        </w:rPr>
      </w:pPr>
      <w:proofErr w:type="spellStart"/>
      <w:r w:rsidRPr="00F027F8">
        <w:rPr>
          <w:rFonts w:ascii="Arial" w:hAnsi="Arial" w:cs="Arial"/>
          <w:sz w:val="22"/>
          <w:szCs w:val="22"/>
        </w:rPr>
        <w:t/>
      </w:r>
      <w:proofErr w:type="spellEnd"/>
      <w:r w:rsidRPr="00F027F8">
        <w:rPr>
          <w:rFonts w:ascii="Arial" w:hAnsi="Arial" w:cs="Arial"/>
          <w:sz w:val="22"/>
          <w:szCs w:val="22"/>
        </w:rPr>
        <w:t xml:space="preserve"/>
      </w:r>
      <w:r w:rsidRPr="008A2ACE">
        <w:rPr>
          <w:rFonts w:ascii="Arial" w:hAnsi="Arial" w:cs="Arial"/>
          <w:sz w:val="22"/>
          <w:szCs w:val="22"/>
        </w:rPr>
        <w:t xml:space="preserve"/>
      </w:r>
      <w:proofErr w:type="spellStart"/>
      <w:r w:rsidRPr="008A2ACE">
        <w:rPr>
          <w:rFonts w:ascii="Arial" w:hAnsi="Arial" w:cs="Arial"/>
          <w:sz w:val="22"/>
          <w:szCs w:val="22"/>
        </w:rPr>
        <w:t/>
      </w:r>
      <w:proofErr w:type="spellEnd"/>
      <w:r w:rsidRPr="008A2ACE">
        <w:rPr>
          <w:rFonts w:ascii="Arial" w:hAnsi="Arial" w:cs="Arial"/>
          <w:sz w:val="22"/>
          <w:szCs w:val="22"/>
        </w:rPr>
        <w:t xml:space="preserve"/>
      </w:r>
      <w:r w:rsidRPr="008A2ACE">
        <w:rPr>
          <w:rFonts w:ascii="Arial" w:hAnsi="Arial" w:cs="Arial"/>
          <w:sz w:val="22"/>
          <w:szCs w:val="22"/>
        </w:rPr>
        <w:t xml:space="preserve"/>
      </w:r>
      <w:proofErr w:type="spellStart"/>
      <w:r w:rsidRPr="008A2ACE">
        <w:rPr>
          <w:rFonts w:ascii="Arial" w:hAnsi="Arial" w:cs="Arial"/>
          <w:sz w:val="22"/>
          <w:szCs w:val="22"/>
        </w:rPr>
        <w:t/>
      </w:r>
      <w:proofErr w:type="spellEnd"/>
    </w:p>
    <w:p w14:paraId="0E8298A2" w14:textId="38EDDF64" w:rsidR="006E10F3" w:rsidRPr="008A2ACE" w:rsidRDefault="006E10F3" w:rsidP="00F027F8">
      <w:pPr>
        <w:spacing w:after="0" w:line="240" w:lineRule="auto"/>
        <w:jc w:val="center"/>
        <w:rPr>
          <w:rFonts w:ascii="Arial" w:hAnsi="Arial" w:cs="Arial"/>
          <w:sz w:val="22"/>
          <w:szCs w:val="22"/>
        </w:rPr>
      </w:pPr>
      <w:hyperlink r:id="rId5" w:history="1">
        <w:r w:rsidRPr="008A2ACE">
          <w:rPr>
            <w:rStyle w:val="Hyperlink"/>
            <w:rFonts w:ascii="Arial" w:hAnsi="Arial" w:cs="Arial"/>
            <w:color w:val="auto"/>
            <w:sz w:val="22"/>
            <w:szCs w:val="22"/>
            <w:u w:val="none"/>
          </w:rPr>
          <w:t/>
        </w:r>
      </w:hyperlink>
      <w:r w:rsidRPr="008A2ACE">
        <w:rPr>
          <w:rFonts w:ascii="Arial" w:hAnsi="Arial" w:cs="Arial"/>
          <w:sz w:val="22"/>
          <w:szCs w:val="22"/>
        </w:rPr>
        <w:t xml:space="preserve"/>
      </w:r>
      <w:hyperlink r:id="rId6" w:history="1">
        <w:r w:rsidRPr="008A2ACE">
          <w:rPr>
            <w:rStyle w:val="Hyperlink"/>
            <w:rFonts w:ascii="Arial" w:hAnsi="Arial" w:cs="Arial"/>
            <w:color w:val="auto"/>
            <w:sz w:val="22"/>
            <w:szCs w:val="22"/>
            <w:u w:val="none"/>
          </w:rPr>
          <w:t/>
        </w:r>
      </w:hyperlink>
    </w:p>
    <w:p w14:paraId="110EC825" w14:textId="77777777" w:rsidR="006E10F3" w:rsidRPr="00F027F8" w:rsidRDefault="006E10F3" w:rsidP="00F027F8">
      <w:pPr>
        <w:spacing w:after="0" w:line="240" w:lineRule="auto"/>
        <w:jc w:val="center"/>
        <w:rPr>
          <w:rFonts w:ascii="Arial" w:hAnsi="Arial" w:cs="Arial"/>
          <w:sz w:val="22"/>
          <w:szCs w:val="22"/>
        </w:rPr>
      </w:pPr>
    </w:p>
    <w:p w14:paraId="40855C1D" w14:textId="7CEB951F" w:rsidR="006E10F3" w:rsidRPr="00F027F8" w:rsidRDefault="006E10F3" w:rsidP="00F027F8">
      <w:pPr>
        <w:spacing w:after="0" w:line="240" w:lineRule="auto"/>
        <w:rPr>
          <w:rFonts w:ascii="Arial" w:hAnsi="Arial" w:cs="Arial"/>
          <w:b/>
          <w:bCs/>
          <w:sz w:val="22"/>
          <w:szCs w:val="22"/>
        </w:rPr>
      </w:pPr>
      <w:r w:rsidRPr="00F027F8">
        <w:rPr>
          <w:rFonts w:ascii="Arial" w:hAnsi="Arial" w:cs="Arial"/>
          <w:b/>
          <w:bCs/>
          <w:sz w:val="22"/>
          <w:szCs w:val="22"/>
        </w:rPr>
        <w:t>Abstract</w:t>
      </w:r>
    </w:p>
    <w:p w14:paraId="3A175CEF" w14:textId="37B21D85" w:rsidR="004A2215" w:rsidRPr="00F027F8" w:rsidRDefault="004A2215" w:rsidP="00F027F8">
      <w:pPr>
        <w:spacing w:before="120" w:after="0" w:line="240" w:lineRule="auto"/>
        <w:jc w:val="both"/>
        <w:rPr>
          <w:rFonts w:ascii="Arial" w:hAnsi="Arial" w:cs="Arial"/>
          <w:sz w:val="22"/>
          <w:szCs w:val="22"/>
        </w:rPr>
      </w:pPr>
      <w:r w:rsidRPr="00F027F8">
        <w:rPr>
          <w:rFonts w:ascii="Arial" w:hAnsi="Arial" w:cs="Arial"/>
          <w:sz w:val="22"/>
          <w:szCs w:val="22"/>
        </w:rPr>
        <w:t>This research examined the Pre-Retirement Financial Practices and Job Exit Preparedness among employees of St. Elizabeth Hospital</w:t>
      </w:r>
      <w:r w:rsidR="00DC2F0B">
        <w:rPr>
          <w:rFonts w:ascii="Arial" w:hAnsi="Arial" w:cs="Arial"/>
          <w:sz w:val="22"/>
          <w:szCs w:val="22"/>
        </w:rPr>
        <w:t xml:space="preserve"> Inc.</w:t>
      </w:r>
      <w:r w:rsidRPr="00F027F8">
        <w:rPr>
          <w:rFonts w:ascii="Arial" w:hAnsi="Arial" w:cs="Arial"/>
          <w:sz w:val="22"/>
          <w:szCs w:val="22"/>
        </w:rPr>
        <w:t xml:space="preserve"> in General Santos City. The study assessed financial awareness, training, and financial behavior as important indicators for pre-retirement financial </w:t>
      </w:r>
      <w:r w:rsidR="008A2ACE" w:rsidRPr="00F027F8">
        <w:rPr>
          <w:rFonts w:ascii="Arial" w:hAnsi="Arial" w:cs="Arial"/>
          <w:sz w:val="22"/>
          <w:szCs w:val="22"/>
        </w:rPr>
        <w:t>behavior</w:t>
      </w:r>
      <w:r w:rsidRPr="00F027F8">
        <w:rPr>
          <w:rFonts w:ascii="Arial" w:hAnsi="Arial" w:cs="Arial"/>
          <w:sz w:val="22"/>
          <w:szCs w:val="22"/>
        </w:rPr>
        <w:t>, while assessing the extent to which employees feel financially prepared to leave their jobs in terms of debt management, savings, and post-retirement employment plans.</w:t>
      </w:r>
    </w:p>
    <w:p w14:paraId="360835C6" w14:textId="77777777" w:rsidR="004A2215" w:rsidRPr="00F027F8" w:rsidRDefault="004A2215" w:rsidP="00F027F8">
      <w:pPr>
        <w:spacing w:before="120" w:after="0" w:line="240" w:lineRule="auto"/>
        <w:jc w:val="both"/>
        <w:rPr>
          <w:rFonts w:ascii="Arial" w:hAnsi="Arial" w:cs="Arial"/>
          <w:sz w:val="22"/>
          <w:szCs w:val="22"/>
        </w:rPr>
      </w:pPr>
      <w:r w:rsidRPr="00F027F8">
        <w:rPr>
          <w:rFonts w:ascii="Arial" w:hAnsi="Arial" w:cs="Arial"/>
          <w:sz w:val="22"/>
          <w:szCs w:val="22"/>
        </w:rPr>
        <w:t>The data was collected using a quantitative method by administering survey questionnaire to 288 employees who work in hospitals. The data was analyzed using descriptive statistics, Pearson correlations and moderation analyses. The results showed that Hospital Employees demonstrated a moderate level of Pre-Retirement Financial Practices and high levels of Job Exit Preparedness.</w:t>
      </w:r>
    </w:p>
    <w:p w14:paraId="4DF91BBE" w14:textId="77777777" w:rsidR="004A2215" w:rsidRPr="00F027F8" w:rsidRDefault="004A2215" w:rsidP="00F027F8">
      <w:pPr>
        <w:spacing w:before="120" w:after="0" w:line="240" w:lineRule="auto"/>
        <w:jc w:val="both"/>
        <w:rPr>
          <w:rFonts w:ascii="Arial" w:hAnsi="Arial" w:cs="Arial"/>
          <w:sz w:val="22"/>
          <w:szCs w:val="22"/>
        </w:rPr>
      </w:pPr>
      <w:r w:rsidRPr="00F027F8">
        <w:rPr>
          <w:rFonts w:ascii="Arial" w:hAnsi="Arial" w:cs="Arial"/>
          <w:sz w:val="22"/>
          <w:szCs w:val="22"/>
        </w:rPr>
        <w:t>Results showed a strong correlation between pre-retirement financial practices and job exit preparedness (r=.616, p&lt;.001) suggesting an increase in retirement preparedness is related to positive financial behaviors prior to retiring. In addition, the demographic variables including age, gender, position, income, marital status and type of employment did not statistically moderate the relationship (p&gt;.05), indicating that the relationship observed apply equally to all demographic groups.</w:t>
      </w:r>
    </w:p>
    <w:p w14:paraId="3DF87E37" w14:textId="74382BA9" w:rsidR="006E10F3" w:rsidRPr="00F027F8" w:rsidRDefault="004A2215" w:rsidP="00F027F8">
      <w:pPr>
        <w:spacing w:before="120" w:after="0" w:line="240" w:lineRule="auto"/>
        <w:jc w:val="both"/>
        <w:rPr>
          <w:rFonts w:ascii="Arial" w:hAnsi="Arial" w:cs="Arial"/>
          <w:sz w:val="22"/>
          <w:szCs w:val="22"/>
        </w:rPr>
      </w:pPr>
      <w:r w:rsidRPr="00F027F8">
        <w:rPr>
          <w:rFonts w:ascii="Arial" w:hAnsi="Arial" w:cs="Arial"/>
          <w:sz w:val="22"/>
          <w:szCs w:val="22"/>
        </w:rPr>
        <w:t xml:space="preserve">According to findings from this research, enhancing pre-retirement financial behaviors will allow workers to be more prepared to leave their place of employment, irrespective of demographic characteristics. It is recommended for the hospital to develop and offer formalized education for financial literacy and retirement strategy development, as it can </w:t>
      </w:r>
      <w:r w:rsidRPr="00F027F8">
        <w:rPr>
          <w:rFonts w:ascii="Arial" w:hAnsi="Arial" w:cs="Arial"/>
          <w:sz w:val="22"/>
          <w:szCs w:val="22"/>
        </w:rPr>
        <w:t>help employees</w:t>
      </w:r>
      <w:r w:rsidRPr="00F027F8">
        <w:rPr>
          <w:rFonts w:ascii="Arial" w:hAnsi="Arial" w:cs="Arial"/>
          <w:sz w:val="22"/>
          <w:szCs w:val="22"/>
        </w:rPr>
        <w:t xml:space="preserve"> to be financially prepared for retirement and improve the continuity of the transition from the workforce to retirement.</w:t>
      </w:r>
    </w:p>
    <w:p w14:paraId="736EBE05" w14:textId="4D9A1238" w:rsidR="004A2215" w:rsidRPr="00F027F8" w:rsidRDefault="004A2215" w:rsidP="00F027F8">
      <w:pPr>
        <w:spacing w:before="120" w:after="0" w:line="240" w:lineRule="auto"/>
        <w:jc w:val="both"/>
        <w:rPr>
          <w:rFonts w:ascii="Arial" w:hAnsi="Arial" w:cs="Arial"/>
          <w:i/>
          <w:iCs/>
          <w:sz w:val="22"/>
          <w:szCs w:val="22"/>
        </w:rPr>
      </w:pPr>
      <w:r w:rsidRPr="00F027F8">
        <w:rPr>
          <w:rFonts w:ascii="Arial" w:hAnsi="Arial" w:cs="Arial"/>
          <w:sz w:val="22"/>
          <w:szCs w:val="22"/>
        </w:rPr>
        <w:t xml:space="preserve">Keywords: </w:t>
      </w:r>
      <w:r w:rsidRPr="00F027F8">
        <w:rPr>
          <w:rFonts w:ascii="Arial" w:hAnsi="Arial" w:cs="Arial"/>
          <w:i/>
          <w:iCs/>
          <w:sz w:val="22"/>
          <w:szCs w:val="22"/>
        </w:rPr>
        <w:t>Pre-Retirement Financial Practices, Job Exit Preparedness, Financial Literacy, Retirement Planning, Hospital Employees</w:t>
      </w:r>
    </w:p>
    <w:p w14:paraId="32953804" w14:textId="77777777" w:rsidR="004A2215" w:rsidRPr="00F027F8" w:rsidRDefault="004A2215" w:rsidP="00F027F8">
      <w:pPr>
        <w:spacing w:before="120" w:after="0" w:line="240" w:lineRule="auto"/>
        <w:jc w:val="both"/>
        <w:rPr>
          <w:rFonts w:ascii="Arial" w:hAnsi="Arial" w:cs="Arial"/>
          <w:i/>
          <w:iCs/>
          <w:sz w:val="22"/>
          <w:szCs w:val="22"/>
        </w:rPr>
      </w:pPr>
    </w:p>
    <w:p w14:paraId="17852E4F" w14:textId="399418AB" w:rsidR="004A2215" w:rsidRPr="00F027F8" w:rsidRDefault="004A2215" w:rsidP="00F027F8">
      <w:pPr>
        <w:spacing w:before="120" w:after="0" w:line="240" w:lineRule="auto"/>
        <w:jc w:val="both"/>
        <w:rPr>
          <w:rFonts w:ascii="Arial" w:hAnsi="Arial" w:cs="Arial"/>
          <w:b/>
          <w:bCs/>
          <w:sz w:val="22"/>
          <w:szCs w:val="22"/>
        </w:rPr>
      </w:pPr>
      <w:r w:rsidRPr="00F027F8">
        <w:rPr>
          <w:rFonts w:ascii="Arial" w:hAnsi="Arial" w:cs="Arial"/>
          <w:b/>
          <w:bCs/>
          <w:sz w:val="22"/>
          <w:szCs w:val="22"/>
        </w:rPr>
        <w:t>Introduction</w:t>
      </w:r>
    </w:p>
    <w:p w14:paraId="41F44390" w14:textId="4AB015F6" w:rsidR="004A2215" w:rsidRPr="00F027F8" w:rsidRDefault="000E43CC" w:rsidP="00F027F8">
      <w:pPr>
        <w:spacing w:before="120" w:after="0" w:line="240" w:lineRule="auto"/>
        <w:jc w:val="both"/>
        <w:rPr>
          <w:rFonts w:ascii="Arial" w:hAnsi="Arial" w:cs="Arial"/>
          <w:sz w:val="22"/>
          <w:szCs w:val="22"/>
        </w:rPr>
      </w:pPr>
      <w:r w:rsidRPr="00F027F8">
        <w:rPr>
          <w:rFonts w:ascii="Arial" w:hAnsi="Arial" w:cs="Arial"/>
          <w:sz w:val="22"/>
          <w:szCs w:val="22"/>
        </w:rPr>
        <w:t xml:space="preserve">Retirement planning and financial security face global challenges with an aging workforce due to longer life expectancy. People use retirement schemes as a way to financially prepare for life after they stop working. Studies show that an individual’s level of financial literacy, their </w:t>
      </w:r>
      <w:r w:rsidRPr="00F027F8">
        <w:rPr>
          <w:rFonts w:ascii="Arial" w:hAnsi="Arial" w:cs="Arial"/>
          <w:sz w:val="22"/>
          <w:szCs w:val="22"/>
        </w:rPr>
        <w:t>behavior</w:t>
      </w:r>
      <w:r w:rsidRPr="00F027F8">
        <w:rPr>
          <w:rFonts w:ascii="Arial" w:hAnsi="Arial" w:cs="Arial"/>
          <w:sz w:val="22"/>
          <w:szCs w:val="22"/>
        </w:rPr>
        <w:t xml:space="preserve"> when planning for retirement and their understanding of the retirement benefits that are available to them will often impact their job exit preparedness.</w:t>
      </w:r>
    </w:p>
    <w:p w14:paraId="2DBC07A8" w14:textId="08873B8E" w:rsidR="000E43CC" w:rsidRPr="00F027F8" w:rsidRDefault="000E43CC" w:rsidP="00F027F8">
      <w:pPr>
        <w:spacing w:before="120" w:after="0" w:line="240" w:lineRule="auto"/>
        <w:jc w:val="both"/>
        <w:rPr>
          <w:rFonts w:ascii="Arial" w:hAnsi="Arial" w:cs="Arial"/>
          <w:sz w:val="22"/>
          <w:szCs w:val="22"/>
        </w:rPr>
      </w:pPr>
      <w:r w:rsidRPr="00F027F8">
        <w:rPr>
          <w:rFonts w:ascii="Arial" w:hAnsi="Arial" w:cs="Arial"/>
          <w:sz w:val="22"/>
          <w:szCs w:val="22"/>
        </w:rPr>
        <w:t xml:space="preserve">Healthcare workers in various nations face the risk of having to retire early due to oppressive work stresses, excessive working hours and both physical and emotional demands. According to a report from the World Health </w:t>
      </w:r>
      <w:r w:rsidR="00C16553" w:rsidRPr="00F027F8">
        <w:rPr>
          <w:rFonts w:ascii="Arial" w:hAnsi="Arial" w:cs="Arial"/>
          <w:sz w:val="22"/>
          <w:szCs w:val="22"/>
        </w:rPr>
        <w:t>Organization</w:t>
      </w:r>
      <w:r w:rsidRPr="00F027F8">
        <w:rPr>
          <w:rFonts w:ascii="Arial" w:hAnsi="Arial" w:cs="Arial"/>
          <w:sz w:val="22"/>
          <w:szCs w:val="22"/>
        </w:rPr>
        <w:t xml:space="preserve"> (WHO, 2020) healthcare workers regularly experience high levels of stress which can contribute to burnout, depression and early exit from the workforce. Because of this, financial and retirement planning is typically neglected by many healthcare workers resulting in high levels of retirement insecurity.</w:t>
      </w:r>
    </w:p>
    <w:p w14:paraId="48080775" w14:textId="6FC7DB0E" w:rsidR="000E43CC" w:rsidRPr="00F027F8" w:rsidRDefault="00C16553" w:rsidP="00F027F8">
      <w:pPr>
        <w:spacing w:before="120" w:after="0" w:line="240" w:lineRule="auto"/>
        <w:jc w:val="both"/>
        <w:rPr>
          <w:rFonts w:ascii="Arial" w:hAnsi="Arial" w:cs="Arial"/>
          <w:sz w:val="22"/>
          <w:szCs w:val="22"/>
        </w:rPr>
      </w:pPr>
      <w:r w:rsidRPr="00F027F8">
        <w:rPr>
          <w:rFonts w:ascii="Arial" w:hAnsi="Arial" w:cs="Arial"/>
          <w:sz w:val="22"/>
          <w:szCs w:val="22"/>
        </w:rPr>
        <w:t xml:space="preserve">The retirement policy for private sector employees in the Philippines is covered by P.D. 442 (The Labor Code, Article 287) that governs the retirement benefits based on the employees' age and length of service. However, many employees in the healthcare sector retire early for reasons including poor health and high job stress. Studies have indicated that financial literacy, training and financial </w:t>
      </w:r>
      <w:proofErr w:type="spellStart"/>
      <w:r w:rsidRPr="00F027F8">
        <w:rPr>
          <w:rFonts w:ascii="Arial" w:hAnsi="Arial" w:cs="Arial"/>
          <w:sz w:val="22"/>
          <w:szCs w:val="22"/>
        </w:rPr>
        <w:t>behaviour</w:t>
      </w:r>
      <w:proofErr w:type="spellEnd"/>
      <w:r w:rsidRPr="00F027F8">
        <w:rPr>
          <w:rFonts w:ascii="Arial" w:hAnsi="Arial" w:cs="Arial"/>
          <w:sz w:val="22"/>
          <w:szCs w:val="22"/>
        </w:rPr>
        <w:t xml:space="preserve"> have a large impact on employees' preparedness for retirement (Frank et al., 2023, </w:t>
      </w:r>
      <w:proofErr w:type="spellStart"/>
      <w:r w:rsidRPr="00F027F8">
        <w:rPr>
          <w:rFonts w:ascii="Arial" w:hAnsi="Arial" w:cs="Arial"/>
          <w:sz w:val="22"/>
          <w:szCs w:val="22"/>
        </w:rPr>
        <w:t>Ghadwan</w:t>
      </w:r>
      <w:proofErr w:type="spellEnd"/>
      <w:r w:rsidRPr="00F027F8">
        <w:rPr>
          <w:rFonts w:ascii="Arial" w:hAnsi="Arial" w:cs="Arial"/>
          <w:sz w:val="22"/>
          <w:szCs w:val="22"/>
        </w:rPr>
        <w:t xml:space="preserve"> et al., 2022).</w:t>
      </w:r>
    </w:p>
    <w:p w14:paraId="60F586DF" w14:textId="5CCE6938" w:rsidR="00C16553" w:rsidRPr="00F027F8" w:rsidRDefault="00C16553" w:rsidP="00F027F8">
      <w:pPr>
        <w:spacing w:before="120" w:after="0" w:line="240" w:lineRule="auto"/>
        <w:jc w:val="both"/>
        <w:rPr>
          <w:rFonts w:ascii="Arial" w:hAnsi="Arial" w:cs="Arial"/>
          <w:sz w:val="22"/>
          <w:szCs w:val="22"/>
        </w:rPr>
      </w:pPr>
      <w:r w:rsidRPr="00F027F8">
        <w:rPr>
          <w:rFonts w:ascii="Arial" w:hAnsi="Arial" w:cs="Arial"/>
          <w:sz w:val="22"/>
          <w:szCs w:val="22"/>
        </w:rPr>
        <w:t>Nonetheless, there remains a lack of institutional-level research related to how pre-retirement financial practices influences job exit preparedness for hospital workers working at certain health care facilities, such as the St. Elizabeth Hospital in General Santos City. Such gaps indicate that further research should be done on a local scale to gain a more complete understanding of preparedness to retire in a hospital situation.</w:t>
      </w:r>
    </w:p>
    <w:p w14:paraId="335DDF2F" w14:textId="09C949E2" w:rsidR="00C16553" w:rsidRPr="00F027F8" w:rsidRDefault="00C16553" w:rsidP="00F027F8">
      <w:pPr>
        <w:spacing w:before="120" w:after="0" w:line="240" w:lineRule="auto"/>
        <w:jc w:val="both"/>
        <w:rPr>
          <w:rFonts w:ascii="Arial" w:hAnsi="Arial" w:cs="Arial"/>
          <w:sz w:val="22"/>
          <w:szCs w:val="22"/>
        </w:rPr>
      </w:pPr>
      <w:r w:rsidRPr="00F027F8">
        <w:rPr>
          <w:rFonts w:ascii="Arial" w:hAnsi="Arial" w:cs="Arial"/>
          <w:sz w:val="22"/>
          <w:szCs w:val="22"/>
        </w:rPr>
        <w:t xml:space="preserve">In this research, the researcher examined how pre-retirement financial practices influence the job exit preparedness of St. Elizabeth Hospital employees. This research will assist in increasing financial literacy and </w:t>
      </w:r>
      <w:r w:rsidRPr="00F027F8">
        <w:rPr>
          <w:rFonts w:ascii="Arial" w:hAnsi="Arial" w:cs="Arial"/>
          <w:sz w:val="22"/>
          <w:szCs w:val="22"/>
        </w:rPr>
        <w:lastRenderedPageBreak/>
        <w:t>retiree preparation among healthcare employees, and may assist in providing hospital administrators with developing programs to increase financial stability and provide smooth workforce transition to retirement.</w:t>
      </w:r>
    </w:p>
    <w:p w14:paraId="314CA308" w14:textId="64D13117" w:rsidR="00C16553" w:rsidRPr="00F027F8" w:rsidRDefault="00C16553" w:rsidP="00F027F8">
      <w:pPr>
        <w:spacing w:before="120" w:after="0" w:line="240" w:lineRule="auto"/>
        <w:jc w:val="both"/>
        <w:rPr>
          <w:rFonts w:ascii="Arial" w:hAnsi="Arial" w:cs="Arial"/>
          <w:b/>
          <w:bCs/>
          <w:sz w:val="22"/>
          <w:szCs w:val="22"/>
        </w:rPr>
      </w:pPr>
      <w:r w:rsidRPr="00F027F8">
        <w:rPr>
          <w:rFonts w:ascii="Arial" w:hAnsi="Arial" w:cs="Arial"/>
          <w:b/>
          <w:bCs/>
          <w:sz w:val="22"/>
          <w:szCs w:val="22"/>
        </w:rPr>
        <w:t>Statement of the Problem</w:t>
      </w:r>
    </w:p>
    <w:p w14:paraId="03CE43AD" w14:textId="7A4144D8" w:rsidR="00C16553" w:rsidRPr="00F027F8" w:rsidRDefault="00F03F5C" w:rsidP="00F027F8">
      <w:pPr>
        <w:spacing w:before="120" w:after="0" w:line="240" w:lineRule="auto"/>
        <w:jc w:val="both"/>
        <w:rPr>
          <w:rFonts w:ascii="Arial" w:hAnsi="Arial" w:cs="Arial"/>
          <w:sz w:val="22"/>
          <w:szCs w:val="22"/>
        </w:rPr>
      </w:pPr>
      <w:r w:rsidRPr="00F027F8">
        <w:rPr>
          <w:rFonts w:ascii="Arial" w:hAnsi="Arial" w:cs="Arial"/>
          <w:sz w:val="22"/>
          <w:szCs w:val="22"/>
        </w:rPr>
        <w:t>This study focused on determining the relationship between Pre-Retirement Financial Practices and Job Exit Preparedness of hospital employees in St. Elizabeth hospitals in General Santos City. Specifically, this study aimed to provide answers the following questions:</w:t>
      </w:r>
    </w:p>
    <w:p w14:paraId="69A05627" w14:textId="77777777" w:rsidR="00F03F5C" w:rsidRPr="00F027F8" w:rsidRDefault="00F03F5C" w:rsidP="00F027F8">
      <w:pPr>
        <w:spacing w:before="120" w:after="0" w:line="240" w:lineRule="auto"/>
        <w:jc w:val="both"/>
        <w:rPr>
          <w:rFonts w:ascii="Arial" w:hAnsi="Arial" w:cs="Arial"/>
          <w:sz w:val="22"/>
          <w:szCs w:val="22"/>
        </w:rPr>
      </w:pPr>
      <w:r w:rsidRPr="00F027F8">
        <w:rPr>
          <w:rFonts w:ascii="Arial" w:hAnsi="Arial" w:cs="Arial"/>
          <w:sz w:val="22"/>
          <w:szCs w:val="22"/>
        </w:rPr>
        <w:t>1. What was the demographic profile of St. Elizabeth Hospital employees in terms of Age, Gender, Position, Monthly income, Marital status, and Employment type?</w:t>
      </w:r>
    </w:p>
    <w:p w14:paraId="4715FBEC" w14:textId="77777777" w:rsidR="00F03F5C" w:rsidRPr="00F027F8" w:rsidRDefault="00F03F5C" w:rsidP="00F027F8">
      <w:pPr>
        <w:spacing w:before="120" w:after="0" w:line="240" w:lineRule="auto"/>
        <w:jc w:val="both"/>
        <w:rPr>
          <w:rFonts w:ascii="Arial" w:hAnsi="Arial" w:cs="Arial"/>
          <w:sz w:val="22"/>
          <w:szCs w:val="22"/>
        </w:rPr>
      </w:pPr>
      <w:r w:rsidRPr="00F027F8">
        <w:rPr>
          <w:rFonts w:ascii="Arial" w:hAnsi="Arial" w:cs="Arial"/>
          <w:sz w:val="22"/>
          <w:szCs w:val="22"/>
        </w:rPr>
        <w:t>2. What was the level of Pre-Retirement Financial Practices of St. Elizabeth Hospital employees in General Santos City in terms of Financial Awareness in Retirement, Financial Training on Retirement Planning, and Financial Behavior in Retirement?</w:t>
      </w:r>
    </w:p>
    <w:p w14:paraId="316E59D6" w14:textId="77777777" w:rsidR="00F03F5C" w:rsidRPr="00F027F8" w:rsidRDefault="00F03F5C" w:rsidP="00F027F8">
      <w:pPr>
        <w:spacing w:before="120" w:after="0" w:line="240" w:lineRule="auto"/>
        <w:jc w:val="both"/>
        <w:rPr>
          <w:rFonts w:ascii="Arial" w:hAnsi="Arial" w:cs="Arial"/>
          <w:sz w:val="22"/>
          <w:szCs w:val="22"/>
        </w:rPr>
      </w:pPr>
      <w:r w:rsidRPr="00F027F8">
        <w:rPr>
          <w:rFonts w:ascii="Arial" w:hAnsi="Arial" w:cs="Arial"/>
          <w:sz w:val="22"/>
          <w:szCs w:val="22"/>
        </w:rPr>
        <w:t>3. What was the extent of job exit preparedness of St. Elizabeth Hospital employees in terms of Debt Level, Level of Savings, and Working after Retirement?</w:t>
      </w:r>
    </w:p>
    <w:p w14:paraId="71793D0F" w14:textId="77777777" w:rsidR="00F03F5C" w:rsidRPr="00F027F8" w:rsidRDefault="00F03F5C" w:rsidP="00F027F8">
      <w:pPr>
        <w:spacing w:before="120" w:after="0" w:line="240" w:lineRule="auto"/>
        <w:jc w:val="both"/>
        <w:rPr>
          <w:rFonts w:ascii="Arial" w:hAnsi="Arial" w:cs="Arial"/>
          <w:sz w:val="22"/>
          <w:szCs w:val="22"/>
        </w:rPr>
      </w:pPr>
      <w:r w:rsidRPr="00F027F8">
        <w:rPr>
          <w:rFonts w:ascii="Arial" w:hAnsi="Arial" w:cs="Arial"/>
          <w:sz w:val="22"/>
          <w:szCs w:val="22"/>
        </w:rPr>
        <w:t>4. Was there a significant relationship between Pre-Retirement Financial Practices and job Exit Preparedness among St. Elizabeth Hospital employees?</w:t>
      </w:r>
    </w:p>
    <w:p w14:paraId="1C5C0103" w14:textId="53284BE1" w:rsidR="00F03F5C" w:rsidRPr="00F027F8" w:rsidRDefault="00F03F5C" w:rsidP="00F027F8">
      <w:pPr>
        <w:spacing w:before="120" w:after="0" w:line="240" w:lineRule="auto"/>
        <w:jc w:val="both"/>
        <w:rPr>
          <w:rFonts w:ascii="Arial" w:hAnsi="Arial" w:cs="Arial"/>
          <w:sz w:val="22"/>
          <w:szCs w:val="22"/>
        </w:rPr>
      </w:pPr>
      <w:r w:rsidRPr="00F027F8">
        <w:rPr>
          <w:rFonts w:ascii="Arial" w:hAnsi="Arial" w:cs="Arial"/>
          <w:sz w:val="22"/>
          <w:szCs w:val="22"/>
        </w:rPr>
        <w:t>5. Does the demographic profile of the respondents significantly moderate the relationship between Pre-Retirement Financial Practices and Job Exit Preparedness among hospital employees of St. Elizabeth Hospital?</w:t>
      </w:r>
    </w:p>
    <w:p w14:paraId="63CF0CD9" w14:textId="77777777" w:rsidR="00F03F5C" w:rsidRPr="00F027F8" w:rsidRDefault="00F03F5C" w:rsidP="00F027F8">
      <w:pPr>
        <w:spacing w:before="120" w:after="0" w:line="240" w:lineRule="auto"/>
        <w:jc w:val="both"/>
        <w:rPr>
          <w:rFonts w:ascii="Arial" w:hAnsi="Arial" w:cs="Arial"/>
          <w:sz w:val="22"/>
          <w:szCs w:val="22"/>
        </w:rPr>
      </w:pPr>
    </w:p>
    <w:p w14:paraId="0B1A4E37" w14:textId="6F9A784B" w:rsidR="00F03F5C" w:rsidRPr="00F027F8" w:rsidRDefault="00F03F5C" w:rsidP="00F027F8">
      <w:pPr>
        <w:spacing w:before="120" w:after="0" w:line="240" w:lineRule="auto"/>
        <w:jc w:val="both"/>
        <w:rPr>
          <w:rFonts w:ascii="Arial" w:hAnsi="Arial" w:cs="Arial"/>
          <w:sz w:val="22"/>
          <w:szCs w:val="22"/>
        </w:rPr>
      </w:pPr>
      <w:r w:rsidRPr="00F027F8">
        <w:rPr>
          <w:rFonts w:ascii="Arial" w:eastAsia="Arial" w:hAnsi="Arial" w:cs="Arial"/>
          <w:noProof/>
          <w:sz w:val="22"/>
          <w:szCs w:val="22"/>
        </w:rPr>
        <w:drawing>
          <wp:anchor distT="0" distB="0" distL="114300" distR="114300" simplePos="0" relativeHeight="251658240" behindDoc="1" locked="0" layoutInCell="1" allowOverlap="1" wp14:anchorId="1405C963" wp14:editId="45108FAB">
            <wp:simplePos x="0" y="0"/>
            <wp:positionH relativeFrom="column">
              <wp:posOffset>666750</wp:posOffset>
            </wp:positionH>
            <wp:positionV relativeFrom="paragraph">
              <wp:posOffset>102870</wp:posOffset>
            </wp:positionV>
            <wp:extent cx="4968410" cy="2544585"/>
            <wp:effectExtent l="0" t="0" r="3810" b="8255"/>
            <wp:wrapTight wrapText="bothSides">
              <wp:wrapPolygon edited="0">
                <wp:start x="0" y="0"/>
                <wp:lineTo x="0" y="21508"/>
                <wp:lineTo x="21534" y="21508"/>
                <wp:lineTo x="21534" y="0"/>
                <wp:lineTo x="0" y="0"/>
              </wp:wrapPolygon>
            </wp:wrapTight>
            <wp:docPr id="19602837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968410" cy="2544585"/>
                    </a:xfrm>
                    <a:prstGeom prst="rect">
                      <a:avLst/>
                    </a:prstGeom>
                    <a:ln/>
                  </pic:spPr>
                </pic:pic>
              </a:graphicData>
            </a:graphic>
            <wp14:sizeRelH relativeFrom="page">
              <wp14:pctWidth>0</wp14:pctWidth>
            </wp14:sizeRelH>
            <wp14:sizeRelV relativeFrom="page">
              <wp14:pctHeight>0</wp14:pctHeight>
            </wp14:sizeRelV>
          </wp:anchor>
        </w:drawing>
      </w:r>
    </w:p>
    <w:p w14:paraId="63723D07" w14:textId="77777777" w:rsidR="00F03F5C" w:rsidRPr="00F027F8" w:rsidRDefault="00F03F5C" w:rsidP="00F027F8">
      <w:pPr>
        <w:spacing w:before="120" w:after="0" w:line="240" w:lineRule="auto"/>
        <w:jc w:val="both"/>
        <w:rPr>
          <w:rFonts w:ascii="Arial" w:hAnsi="Arial" w:cs="Arial"/>
          <w:sz w:val="22"/>
          <w:szCs w:val="22"/>
        </w:rPr>
      </w:pPr>
    </w:p>
    <w:p w14:paraId="6F4BC5A8" w14:textId="77777777" w:rsidR="00F03F5C" w:rsidRPr="00F027F8" w:rsidRDefault="00F03F5C" w:rsidP="00F027F8">
      <w:pPr>
        <w:spacing w:before="120" w:after="0" w:line="240" w:lineRule="auto"/>
        <w:jc w:val="both"/>
        <w:rPr>
          <w:rFonts w:ascii="Arial" w:hAnsi="Arial" w:cs="Arial"/>
          <w:sz w:val="22"/>
          <w:szCs w:val="22"/>
        </w:rPr>
      </w:pPr>
    </w:p>
    <w:p w14:paraId="6FB37F93" w14:textId="77777777" w:rsidR="00F03F5C" w:rsidRPr="00F027F8" w:rsidRDefault="00F03F5C" w:rsidP="00F027F8">
      <w:pPr>
        <w:spacing w:before="120" w:after="0" w:line="240" w:lineRule="auto"/>
        <w:jc w:val="both"/>
        <w:rPr>
          <w:rFonts w:ascii="Arial" w:hAnsi="Arial" w:cs="Arial"/>
          <w:sz w:val="22"/>
          <w:szCs w:val="22"/>
        </w:rPr>
      </w:pPr>
    </w:p>
    <w:p w14:paraId="4A5C9D1C" w14:textId="77777777" w:rsidR="00F03F5C" w:rsidRPr="00F027F8" w:rsidRDefault="00F03F5C" w:rsidP="00F027F8">
      <w:pPr>
        <w:spacing w:before="120" w:after="0" w:line="240" w:lineRule="auto"/>
        <w:jc w:val="both"/>
        <w:rPr>
          <w:rFonts w:ascii="Arial" w:hAnsi="Arial" w:cs="Arial"/>
          <w:sz w:val="22"/>
          <w:szCs w:val="22"/>
        </w:rPr>
      </w:pPr>
    </w:p>
    <w:p w14:paraId="5DB5451D" w14:textId="77777777" w:rsidR="00F03F5C" w:rsidRPr="00F027F8" w:rsidRDefault="00F03F5C" w:rsidP="00F027F8">
      <w:pPr>
        <w:spacing w:before="120" w:after="0" w:line="240" w:lineRule="auto"/>
        <w:jc w:val="both"/>
        <w:rPr>
          <w:rFonts w:ascii="Arial" w:hAnsi="Arial" w:cs="Arial"/>
          <w:sz w:val="22"/>
          <w:szCs w:val="22"/>
        </w:rPr>
      </w:pPr>
    </w:p>
    <w:p w14:paraId="62A28DAC" w14:textId="77777777" w:rsidR="00F03F5C" w:rsidRPr="00F027F8" w:rsidRDefault="00F03F5C" w:rsidP="00F027F8">
      <w:pPr>
        <w:spacing w:before="120" w:after="0" w:line="240" w:lineRule="auto"/>
        <w:jc w:val="both"/>
        <w:rPr>
          <w:rFonts w:ascii="Arial" w:hAnsi="Arial" w:cs="Arial"/>
          <w:sz w:val="22"/>
          <w:szCs w:val="22"/>
        </w:rPr>
      </w:pPr>
    </w:p>
    <w:p w14:paraId="5B9AEB50" w14:textId="77777777" w:rsidR="00F03F5C" w:rsidRPr="00F027F8" w:rsidRDefault="00F03F5C" w:rsidP="00F027F8">
      <w:pPr>
        <w:spacing w:before="120" w:after="0" w:line="240" w:lineRule="auto"/>
        <w:jc w:val="both"/>
        <w:rPr>
          <w:rFonts w:ascii="Arial" w:hAnsi="Arial" w:cs="Arial"/>
          <w:sz w:val="22"/>
          <w:szCs w:val="22"/>
        </w:rPr>
      </w:pPr>
    </w:p>
    <w:p w14:paraId="55A8BABC" w14:textId="77777777" w:rsidR="00F03F5C" w:rsidRPr="00F027F8" w:rsidRDefault="00F03F5C" w:rsidP="00F027F8">
      <w:pPr>
        <w:spacing w:before="120" w:after="0" w:line="240" w:lineRule="auto"/>
        <w:jc w:val="both"/>
        <w:rPr>
          <w:rFonts w:ascii="Arial" w:hAnsi="Arial" w:cs="Arial"/>
          <w:sz w:val="22"/>
          <w:szCs w:val="22"/>
        </w:rPr>
      </w:pPr>
    </w:p>
    <w:p w14:paraId="4554A0D8" w14:textId="77777777" w:rsidR="00487F02" w:rsidRPr="00F027F8" w:rsidRDefault="00487F02" w:rsidP="00F027F8">
      <w:pPr>
        <w:spacing w:before="120" w:after="0" w:line="240" w:lineRule="auto"/>
        <w:jc w:val="both"/>
        <w:rPr>
          <w:rFonts w:ascii="Arial" w:hAnsi="Arial" w:cs="Arial"/>
          <w:sz w:val="22"/>
          <w:szCs w:val="22"/>
        </w:rPr>
      </w:pPr>
    </w:p>
    <w:p w14:paraId="216E8718" w14:textId="77777777" w:rsidR="00F03F5C" w:rsidRPr="00F027F8" w:rsidRDefault="00F03F5C" w:rsidP="00F027F8">
      <w:pPr>
        <w:spacing w:before="120" w:after="0" w:line="240" w:lineRule="auto"/>
        <w:jc w:val="both"/>
        <w:rPr>
          <w:rFonts w:ascii="Arial" w:hAnsi="Arial" w:cs="Arial"/>
          <w:sz w:val="22"/>
          <w:szCs w:val="22"/>
        </w:rPr>
      </w:pPr>
    </w:p>
    <w:p w14:paraId="68D6328B" w14:textId="77777777" w:rsidR="00F03F5C" w:rsidRPr="00F027F8" w:rsidRDefault="00F03F5C" w:rsidP="00F027F8">
      <w:pPr>
        <w:spacing w:before="120" w:after="0" w:line="240" w:lineRule="auto"/>
        <w:jc w:val="both"/>
        <w:rPr>
          <w:rFonts w:ascii="Arial" w:hAnsi="Arial" w:cs="Arial"/>
          <w:sz w:val="22"/>
          <w:szCs w:val="22"/>
        </w:rPr>
      </w:pPr>
    </w:p>
    <w:p w14:paraId="2D8D37C0" w14:textId="77777777" w:rsidR="00F03F5C" w:rsidRPr="00F027F8" w:rsidRDefault="00F03F5C" w:rsidP="00F027F8">
      <w:pPr>
        <w:spacing w:after="0" w:line="240" w:lineRule="auto"/>
        <w:jc w:val="both"/>
        <w:rPr>
          <w:rFonts w:ascii="Arial" w:eastAsia="Arial" w:hAnsi="Arial" w:cs="Arial"/>
          <w:sz w:val="22"/>
          <w:szCs w:val="22"/>
        </w:rPr>
      </w:pPr>
      <w:r w:rsidRPr="00F027F8">
        <w:rPr>
          <w:rFonts w:ascii="Arial" w:eastAsia="Arial" w:hAnsi="Arial" w:cs="Arial"/>
          <w:sz w:val="22"/>
          <w:szCs w:val="22"/>
        </w:rPr>
        <w:t>H</w:t>
      </w:r>
      <w:r w:rsidRPr="00F027F8">
        <w:rPr>
          <w:rFonts w:ascii="Arial" w:eastAsia="Arial" w:hAnsi="Arial" w:cs="Arial"/>
          <w:sz w:val="22"/>
          <w:szCs w:val="22"/>
          <w:vertAlign w:val="subscript"/>
        </w:rPr>
        <w:t>0</w:t>
      </w:r>
      <w:r w:rsidRPr="00F027F8">
        <w:rPr>
          <w:rFonts w:ascii="Arial" w:eastAsia="Arial" w:hAnsi="Arial" w:cs="Arial"/>
          <w:sz w:val="22"/>
          <w:szCs w:val="22"/>
        </w:rPr>
        <w:t>1: There is no significant relationship between the level of Pre-Retirement Financial Practices and the extent of Job Exit Preparedness of St. Elizabeth Hospital employees.</w:t>
      </w:r>
    </w:p>
    <w:p w14:paraId="1DA0993E" w14:textId="77777777" w:rsidR="00F03F5C" w:rsidRPr="00F027F8" w:rsidRDefault="00F03F5C" w:rsidP="00F027F8">
      <w:pPr>
        <w:spacing w:after="0" w:line="240" w:lineRule="auto"/>
        <w:jc w:val="both"/>
        <w:rPr>
          <w:rFonts w:ascii="Arial" w:eastAsia="Arial" w:hAnsi="Arial" w:cs="Arial"/>
          <w:sz w:val="22"/>
          <w:szCs w:val="22"/>
        </w:rPr>
      </w:pPr>
      <w:r w:rsidRPr="00F027F8">
        <w:rPr>
          <w:rFonts w:ascii="Arial" w:eastAsia="Arial" w:hAnsi="Arial" w:cs="Arial"/>
          <w:sz w:val="22"/>
          <w:szCs w:val="22"/>
        </w:rPr>
        <w:t>H</w:t>
      </w:r>
      <w:r w:rsidRPr="00F027F8">
        <w:rPr>
          <w:rFonts w:ascii="Arial" w:eastAsia="Arial" w:hAnsi="Arial" w:cs="Arial"/>
          <w:sz w:val="22"/>
          <w:szCs w:val="22"/>
          <w:vertAlign w:val="subscript"/>
        </w:rPr>
        <w:t>0</w:t>
      </w:r>
      <w:r w:rsidRPr="00F027F8">
        <w:rPr>
          <w:rFonts w:ascii="Arial" w:eastAsia="Arial" w:hAnsi="Arial" w:cs="Arial"/>
          <w:sz w:val="22"/>
          <w:szCs w:val="22"/>
        </w:rPr>
        <w:t>2: Demographic characteristics do not significantly moderate the relationship between Pre-Retirement Financial Practices and Job Exit Preparedness among hospital employees of St. Elizabeth Hospital.</w:t>
      </w:r>
    </w:p>
    <w:p w14:paraId="766C1DDC" w14:textId="7D4B8E24" w:rsidR="00487F02" w:rsidRPr="00F027F8" w:rsidRDefault="00487F02" w:rsidP="00F027F8">
      <w:pPr>
        <w:spacing w:before="120" w:after="0" w:line="240" w:lineRule="auto"/>
        <w:jc w:val="both"/>
        <w:rPr>
          <w:rFonts w:ascii="Arial" w:hAnsi="Arial" w:cs="Arial"/>
          <w:sz w:val="22"/>
          <w:szCs w:val="22"/>
        </w:rPr>
      </w:pPr>
      <w:r w:rsidRPr="00F027F8">
        <w:rPr>
          <w:rFonts w:ascii="Arial" w:hAnsi="Arial" w:cs="Arial"/>
          <w:sz w:val="22"/>
          <w:szCs w:val="22"/>
        </w:rPr>
        <w:t xml:space="preserve">This research explores how Pre-Retirement Financial Practices impact Job Exit Preparedness among employees of St. Elizabeth Hospital in General Santos City. In this study, Pre-Retirement Financial Practice is the independent variable examined through financial awareness, financial training, and financial </w:t>
      </w:r>
      <w:proofErr w:type="spellStart"/>
      <w:r w:rsidRPr="00F027F8">
        <w:rPr>
          <w:rFonts w:ascii="Arial" w:hAnsi="Arial" w:cs="Arial"/>
          <w:sz w:val="22"/>
          <w:szCs w:val="22"/>
        </w:rPr>
        <w:t>behaviour</w:t>
      </w:r>
      <w:proofErr w:type="spellEnd"/>
      <w:r w:rsidRPr="00F027F8">
        <w:rPr>
          <w:rFonts w:ascii="Arial" w:hAnsi="Arial" w:cs="Arial"/>
          <w:sz w:val="22"/>
          <w:szCs w:val="22"/>
        </w:rPr>
        <w:t>. Job Exit Preparedness represents the dependent variable and is assessed with regard to debt level, level of savings, and plans for working after retirement.</w:t>
      </w:r>
    </w:p>
    <w:p w14:paraId="47C435B2" w14:textId="1580623C" w:rsidR="00487F02" w:rsidRPr="00F027F8" w:rsidRDefault="00487F02" w:rsidP="00F027F8">
      <w:pPr>
        <w:spacing w:before="120" w:after="0" w:line="240" w:lineRule="auto"/>
        <w:jc w:val="both"/>
        <w:rPr>
          <w:rFonts w:ascii="Arial" w:hAnsi="Arial" w:cs="Arial"/>
          <w:sz w:val="22"/>
          <w:szCs w:val="22"/>
        </w:rPr>
      </w:pPr>
      <w:r w:rsidRPr="00F027F8">
        <w:rPr>
          <w:rFonts w:ascii="Arial" w:hAnsi="Arial" w:cs="Arial"/>
          <w:sz w:val="22"/>
          <w:szCs w:val="22"/>
        </w:rPr>
        <w:t>There are two main hypotheses that guide this study. The first hypothesis, Ho1, is designed to evaluate whether or not there is a meaningful relationship between pre-retirement financial practices and job exit preparedness through the use of correlation analysis. The second hypothesis, Ho2, will investigate if demographic profile variables such as age, gender, position, monthly income, marital status, and employment type, have a moderating effect on the relationship between pre-retirement financial practices and job exit preparedness.</w:t>
      </w:r>
    </w:p>
    <w:p w14:paraId="79508C5B" w14:textId="77777777" w:rsidR="005B62F0" w:rsidRPr="00F027F8" w:rsidRDefault="005B62F0" w:rsidP="00F027F8">
      <w:pPr>
        <w:spacing w:before="120" w:after="0" w:line="240" w:lineRule="auto"/>
        <w:jc w:val="both"/>
        <w:rPr>
          <w:rFonts w:ascii="Arial" w:hAnsi="Arial" w:cs="Arial"/>
          <w:sz w:val="22"/>
          <w:szCs w:val="22"/>
        </w:rPr>
      </w:pPr>
    </w:p>
    <w:p w14:paraId="197E849F" w14:textId="32C0DE54" w:rsidR="008B5924" w:rsidRPr="00F027F8" w:rsidRDefault="008B5924" w:rsidP="00F027F8">
      <w:pPr>
        <w:spacing w:before="120" w:after="0" w:line="240" w:lineRule="auto"/>
        <w:jc w:val="both"/>
        <w:rPr>
          <w:rFonts w:ascii="Arial" w:hAnsi="Arial" w:cs="Arial"/>
          <w:b/>
          <w:bCs/>
          <w:sz w:val="22"/>
          <w:szCs w:val="22"/>
        </w:rPr>
      </w:pPr>
      <w:r w:rsidRPr="00F027F8">
        <w:rPr>
          <w:rFonts w:ascii="Arial" w:hAnsi="Arial" w:cs="Arial"/>
          <w:b/>
          <w:bCs/>
          <w:sz w:val="22"/>
          <w:szCs w:val="22"/>
        </w:rPr>
        <w:t>Review of Related Literature</w:t>
      </w:r>
    </w:p>
    <w:p w14:paraId="64A11DB1" w14:textId="77777777" w:rsidR="007732BE" w:rsidRPr="00F027F8" w:rsidRDefault="007732BE" w:rsidP="00F027F8">
      <w:pPr>
        <w:spacing w:line="240" w:lineRule="auto"/>
        <w:jc w:val="both"/>
        <w:rPr>
          <w:rFonts w:ascii="Arial" w:hAnsi="Arial" w:cs="Arial"/>
          <w:sz w:val="22"/>
          <w:szCs w:val="22"/>
        </w:rPr>
      </w:pPr>
      <w:r w:rsidRPr="00F027F8">
        <w:rPr>
          <w:rFonts w:ascii="Arial" w:hAnsi="Arial" w:cs="Arial"/>
          <w:sz w:val="22"/>
          <w:szCs w:val="22"/>
        </w:rPr>
        <w:t xml:space="preserve">The sociodemographic characteristics of the employer such as age, income and other work-related characteristics play a role in readiness for retirement and </w:t>
      </w:r>
      <w:proofErr w:type="spellStart"/>
      <w:r w:rsidRPr="00F027F8">
        <w:rPr>
          <w:rFonts w:ascii="Arial" w:hAnsi="Arial" w:cs="Arial"/>
          <w:sz w:val="22"/>
          <w:szCs w:val="22"/>
        </w:rPr>
        <w:t>behaviour</w:t>
      </w:r>
      <w:proofErr w:type="spellEnd"/>
      <w:r w:rsidRPr="00F027F8">
        <w:rPr>
          <w:rFonts w:ascii="Arial" w:hAnsi="Arial" w:cs="Arial"/>
          <w:sz w:val="22"/>
          <w:szCs w:val="22"/>
        </w:rPr>
        <w:t xml:space="preserve"> when planning financially for retirement (Castillo et al., 2022; Andres et al., 2024). An employer's sociodemographic characteristics influence their ability to plan for the future and have an impact on long term planning, particularly with regard to health care, due to income and job characteristics (Fabian et al., 2022). It has been found that demographic variables affect an individual's perception of retirement and how they make financial decisions with regard to retirement (Karim et al., 2003; Zhang et al., 2022). Additionally, financial self-efficacy and methods of planning for one's retirement vary depending on a person's level of income and type of job, as different income levels and job types yield different levels of readiness for retirement based on an individual's financial capacity (Frank et al., 2023; Mishra, 2024; Apostol et al., 2025). Women represent a significant portion of the healthcare workforce, especially in nursing and patient care roles, indicating a global pattern within the workforce in healthcare (</w:t>
      </w:r>
      <w:proofErr w:type="spellStart"/>
      <w:r w:rsidRPr="00F027F8">
        <w:rPr>
          <w:rFonts w:ascii="Arial" w:hAnsi="Arial" w:cs="Arial"/>
          <w:sz w:val="22"/>
          <w:szCs w:val="22"/>
        </w:rPr>
        <w:t>Stanimirović</w:t>
      </w:r>
      <w:proofErr w:type="spellEnd"/>
      <w:r w:rsidRPr="00F027F8">
        <w:rPr>
          <w:rFonts w:ascii="Arial" w:hAnsi="Arial" w:cs="Arial"/>
          <w:sz w:val="22"/>
          <w:szCs w:val="22"/>
        </w:rPr>
        <w:t xml:space="preserve"> &amp; </w:t>
      </w:r>
      <w:proofErr w:type="spellStart"/>
      <w:r w:rsidRPr="00F027F8">
        <w:rPr>
          <w:rFonts w:ascii="Arial" w:hAnsi="Arial" w:cs="Arial"/>
          <w:sz w:val="22"/>
          <w:szCs w:val="22"/>
        </w:rPr>
        <w:t>Brinovec</w:t>
      </w:r>
      <w:proofErr w:type="spellEnd"/>
      <w:r w:rsidRPr="00F027F8">
        <w:rPr>
          <w:rFonts w:ascii="Arial" w:hAnsi="Arial" w:cs="Arial"/>
          <w:sz w:val="22"/>
          <w:szCs w:val="22"/>
        </w:rPr>
        <w:t xml:space="preserve">, 2023; </w:t>
      </w:r>
      <w:proofErr w:type="spellStart"/>
      <w:r w:rsidRPr="00F027F8">
        <w:rPr>
          <w:rFonts w:ascii="Arial" w:hAnsi="Arial" w:cs="Arial"/>
          <w:sz w:val="22"/>
          <w:szCs w:val="22"/>
        </w:rPr>
        <w:t>Faghihi</w:t>
      </w:r>
      <w:proofErr w:type="spellEnd"/>
      <w:r w:rsidRPr="00F027F8">
        <w:rPr>
          <w:rFonts w:ascii="Arial" w:hAnsi="Arial" w:cs="Arial"/>
          <w:sz w:val="22"/>
          <w:szCs w:val="22"/>
        </w:rPr>
        <w:t xml:space="preserve"> et al., 2024). Moreover, as evidence of the changing demographic trends of the healthcare workforce, younger healthcare professionals are increasing in number in response to workforce sustainability and system demands (Silver et al., 2025; Grah et al., 2021). In summary, demographic characteristics continue to be a meaningful factor in explaining differences in the retirement readiness of hospital employees.</w:t>
      </w:r>
    </w:p>
    <w:p w14:paraId="012EEE36" w14:textId="3023EE7F" w:rsidR="007732BE" w:rsidRPr="00F027F8" w:rsidRDefault="007732BE" w:rsidP="00F027F8">
      <w:pPr>
        <w:spacing w:line="240" w:lineRule="auto"/>
        <w:jc w:val="both"/>
        <w:rPr>
          <w:rFonts w:ascii="Arial" w:hAnsi="Arial" w:cs="Arial"/>
          <w:b/>
          <w:bCs/>
          <w:sz w:val="22"/>
          <w:szCs w:val="22"/>
        </w:rPr>
      </w:pPr>
      <w:r w:rsidRPr="00F027F8">
        <w:rPr>
          <w:rFonts w:ascii="Arial" w:hAnsi="Arial" w:cs="Arial"/>
          <w:b/>
          <w:bCs/>
          <w:sz w:val="22"/>
          <w:szCs w:val="22"/>
        </w:rPr>
        <w:t>Pre-Retirement Financial Practices</w:t>
      </w:r>
    </w:p>
    <w:p w14:paraId="12924C1B" w14:textId="3758F87C" w:rsidR="007732BE" w:rsidRPr="00F027F8" w:rsidRDefault="007732BE" w:rsidP="00F027F8">
      <w:pPr>
        <w:spacing w:line="240" w:lineRule="auto"/>
        <w:jc w:val="both"/>
        <w:rPr>
          <w:rFonts w:ascii="Arial" w:hAnsi="Arial" w:cs="Arial"/>
          <w:sz w:val="22"/>
          <w:szCs w:val="22"/>
        </w:rPr>
      </w:pPr>
      <w:r w:rsidRPr="00F027F8">
        <w:rPr>
          <w:rFonts w:ascii="Arial" w:hAnsi="Arial" w:cs="Arial"/>
          <w:sz w:val="22"/>
          <w:szCs w:val="22"/>
        </w:rPr>
        <w:t xml:space="preserve">Pre-Retirement Financial Practices are various financial actions like saving for retirement, investing in retirement savings, managing debt, and putting together emergency savings that help individuals prepare for retirement (Frank et al., 2023). These practices are important to an individual's ability to have financial stability while transitioning from </w:t>
      </w:r>
      <w:r w:rsidRPr="00F027F8">
        <w:rPr>
          <w:rFonts w:ascii="Arial" w:hAnsi="Arial" w:cs="Arial"/>
          <w:sz w:val="22"/>
          <w:szCs w:val="22"/>
        </w:rPr>
        <w:t xml:space="preserve">employment to retirement. </w:t>
      </w:r>
    </w:p>
    <w:p w14:paraId="4D6A526B" w14:textId="03F3EFBE" w:rsidR="007732BE" w:rsidRPr="00F027F8" w:rsidRDefault="007732BE" w:rsidP="00F027F8">
      <w:pPr>
        <w:spacing w:line="240" w:lineRule="auto"/>
        <w:jc w:val="both"/>
        <w:rPr>
          <w:rFonts w:ascii="Arial" w:hAnsi="Arial" w:cs="Arial"/>
          <w:sz w:val="22"/>
          <w:szCs w:val="22"/>
        </w:rPr>
      </w:pPr>
      <w:r w:rsidRPr="00F027F8">
        <w:rPr>
          <w:rFonts w:ascii="Arial" w:hAnsi="Arial" w:cs="Arial"/>
          <w:sz w:val="22"/>
          <w:szCs w:val="22"/>
        </w:rPr>
        <w:t>Financial awareness consists of understanding costs that will occur in the future, such as the expenditures needed for retirement, sources of income during retirement, and healthcare costs (</w:t>
      </w:r>
      <w:proofErr w:type="spellStart"/>
      <w:r w:rsidRPr="00F027F8">
        <w:rPr>
          <w:rFonts w:ascii="Arial" w:hAnsi="Arial" w:cs="Arial"/>
          <w:sz w:val="22"/>
          <w:szCs w:val="22"/>
        </w:rPr>
        <w:t>Padhiyar</w:t>
      </w:r>
      <w:proofErr w:type="spellEnd"/>
      <w:r w:rsidRPr="00F027F8">
        <w:rPr>
          <w:rFonts w:ascii="Arial" w:hAnsi="Arial" w:cs="Arial"/>
          <w:sz w:val="22"/>
          <w:szCs w:val="22"/>
        </w:rPr>
        <w:t xml:space="preserve"> &amp; Trivedi, 2025; Yusoff et al., 2024). People who are more financially aware tend to plan for retirement and feel more confident about managing their finances (Lusardi &amp; Mitchell, 2014; Lan &amp; Lee, 2024). Many individuals still believe that they are prepared for retirement; however, this overestimation can create a possible shortfall in retirement income (Panich et al. 2026).</w:t>
      </w:r>
    </w:p>
    <w:p w14:paraId="1777301B" w14:textId="63A75F9C" w:rsidR="007732BE" w:rsidRPr="00F027F8" w:rsidRDefault="00AC5252" w:rsidP="00F027F8">
      <w:pPr>
        <w:spacing w:line="240" w:lineRule="auto"/>
        <w:jc w:val="both"/>
        <w:rPr>
          <w:rFonts w:ascii="Arial" w:hAnsi="Arial" w:cs="Arial"/>
          <w:sz w:val="22"/>
          <w:szCs w:val="22"/>
        </w:rPr>
      </w:pPr>
      <w:r w:rsidRPr="00F027F8">
        <w:rPr>
          <w:rFonts w:ascii="Arial" w:hAnsi="Arial" w:cs="Arial"/>
          <w:sz w:val="22"/>
          <w:szCs w:val="22"/>
        </w:rPr>
        <w:t>Conducting financial training workshops and seminars increases the capacity of employees to effectively handle savings and retirement planning (Frank et al., 2023). Financial education improves an individual's readiness for retirement and their ability and confidence to make sound decisions. However, the levels of participation in financial training programs by employees remain average (Clark 2023; Orencia, 2026). Additionally, employees' preparation for retirement could be restricted due to limited institutional training assistance (Reyes, 2024).</w:t>
      </w:r>
    </w:p>
    <w:p w14:paraId="3CF680A6" w14:textId="18F091B6" w:rsidR="005B62F0" w:rsidRPr="00F027F8" w:rsidRDefault="005B62F0" w:rsidP="00F027F8">
      <w:pPr>
        <w:spacing w:line="240" w:lineRule="auto"/>
        <w:jc w:val="both"/>
        <w:rPr>
          <w:rFonts w:ascii="Arial" w:hAnsi="Arial" w:cs="Arial"/>
          <w:sz w:val="22"/>
          <w:szCs w:val="22"/>
        </w:rPr>
      </w:pPr>
      <w:r w:rsidRPr="00F027F8">
        <w:rPr>
          <w:rFonts w:ascii="Arial" w:hAnsi="Arial" w:cs="Arial"/>
          <w:sz w:val="22"/>
          <w:szCs w:val="22"/>
        </w:rPr>
        <w:t xml:space="preserve">Financial </w:t>
      </w:r>
      <w:r w:rsidRPr="00F027F8">
        <w:rPr>
          <w:rFonts w:ascii="Arial" w:hAnsi="Arial" w:cs="Arial"/>
          <w:sz w:val="22"/>
          <w:szCs w:val="22"/>
        </w:rPr>
        <w:t>behavior</w:t>
      </w:r>
      <w:r w:rsidRPr="00F027F8">
        <w:rPr>
          <w:rFonts w:ascii="Arial" w:hAnsi="Arial" w:cs="Arial"/>
          <w:sz w:val="22"/>
          <w:szCs w:val="22"/>
        </w:rPr>
        <w:t xml:space="preserve"> is the way people handle their savings, investments and planning for retirement (Reyes, 2024). Studies have shown that people who consistently save money, keep track of their finances and plan ahead will experience greater satisfaction and security in their retirement (Ramli &amp; Shariff, 2023; Goyal &amp; Kansal, 2025). While practicing proactive financial </w:t>
      </w:r>
      <w:r w:rsidRPr="00F027F8">
        <w:rPr>
          <w:rFonts w:ascii="Arial" w:hAnsi="Arial" w:cs="Arial"/>
          <w:sz w:val="22"/>
          <w:szCs w:val="22"/>
        </w:rPr>
        <w:t>behaviors</w:t>
      </w:r>
      <w:r w:rsidRPr="00F027F8">
        <w:rPr>
          <w:rFonts w:ascii="Arial" w:hAnsi="Arial" w:cs="Arial"/>
          <w:sz w:val="22"/>
          <w:szCs w:val="22"/>
        </w:rPr>
        <w:t xml:space="preserve"> will help reduce financial risks and improve one's ability to prepare for retirement over a longer period of time (Ganguly &amp; Prakash, 2023; Lan &amp; Lee, 2024).</w:t>
      </w:r>
    </w:p>
    <w:p w14:paraId="193B2538" w14:textId="77777777" w:rsidR="005B62F0" w:rsidRPr="00F027F8" w:rsidRDefault="005B62F0" w:rsidP="00F027F8">
      <w:pPr>
        <w:spacing w:before="120" w:after="0" w:line="240" w:lineRule="auto"/>
        <w:jc w:val="both"/>
        <w:rPr>
          <w:rFonts w:ascii="Arial" w:hAnsi="Arial" w:cs="Arial"/>
          <w:b/>
          <w:bCs/>
          <w:sz w:val="22"/>
          <w:szCs w:val="22"/>
        </w:rPr>
      </w:pPr>
      <w:r w:rsidRPr="00F027F8">
        <w:rPr>
          <w:rFonts w:ascii="Arial" w:hAnsi="Arial" w:cs="Arial"/>
          <w:b/>
          <w:bCs/>
          <w:sz w:val="22"/>
          <w:szCs w:val="22"/>
        </w:rPr>
        <w:t>Job Exit Preparedness</w:t>
      </w:r>
    </w:p>
    <w:p w14:paraId="31C97931" w14:textId="68879753" w:rsidR="005B62F0" w:rsidRPr="00F027F8" w:rsidRDefault="005B62F0" w:rsidP="00F027F8">
      <w:pPr>
        <w:spacing w:line="240" w:lineRule="auto"/>
        <w:jc w:val="both"/>
        <w:rPr>
          <w:rFonts w:ascii="Arial" w:hAnsi="Arial" w:cs="Arial"/>
          <w:sz w:val="22"/>
          <w:szCs w:val="22"/>
        </w:rPr>
      </w:pPr>
      <w:r w:rsidRPr="00F027F8">
        <w:rPr>
          <w:rFonts w:ascii="Arial" w:hAnsi="Arial" w:cs="Arial"/>
          <w:sz w:val="22"/>
          <w:szCs w:val="22"/>
        </w:rPr>
        <w:t xml:space="preserve">Planning for job exit is a multi-faceted process that includes financial aspects, psychological adjustments, and structural preparations to aid in the transition from employment to retirement (Baguio &amp; </w:t>
      </w:r>
      <w:proofErr w:type="spellStart"/>
      <w:r w:rsidRPr="00F027F8">
        <w:rPr>
          <w:rFonts w:ascii="Arial" w:hAnsi="Arial" w:cs="Arial"/>
          <w:sz w:val="22"/>
          <w:szCs w:val="22"/>
        </w:rPr>
        <w:t>Nemino</w:t>
      </w:r>
      <w:proofErr w:type="spellEnd"/>
      <w:r w:rsidRPr="00F027F8">
        <w:rPr>
          <w:rFonts w:ascii="Arial" w:hAnsi="Arial" w:cs="Arial"/>
          <w:sz w:val="22"/>
          <w:szCs w:val="22"/>
        </w:rPr>
        <w:t>, 2025; Castillo et al., 2022). Job exit preparedness reflects confidence in the ability to make sound financial decisions and adjusting to being unemployed (</w:t>
      </w:r>
      <w:proofErr w:type="spellStart"/>
      <w:r w:rsidRPr="00F027F8">
        <w:rPr>
          <w:rFonts w:ascii="Arial" w:hAnsi="Arial" w:cs="Arial"/>
          <w:sz w:val="22"/>
          <w:szCs w:val="22"/>
        </w:rPr>
        <w:t>Ujoatuonu</w:t>
      </w:r>
      <w:proofErr w:type="spellEnd"/>
      <w:r w:rsidRPr="00F027F8">
        <w:rPr>
          <w:rFonts w:ascii="Arial" w:hAnsi="Arial" w:cs="Arial"/>
          <w:sz w:val="22"/>
          <w:szCs w:val="22"/>
        </w:rPr>
        <w:t xml:space="preserve"> et al., 2023). </w:t>
      </w:r>
    </w:p>
    <w:p w14:paraId="0D988E60" w14:textId="77777777" w:rsidR="005B62F0" w:rsidRPr="00F027F8" w:rsidRDefault="005B62F0" w:rsidP="00F027F8">
      <w:pPr>
        <w:spacing w:line="240" w:lineRule="auto"/>
        <w:jc w:val="both"/>
        <w:rPr>
          <w:rFonts w:ascii="Arial" w:hAnsi="Arial" w:cs="Arial"/>
          <w:sz w:val="22"/>
          <w:szCs w:val="22"/>
        </w:rPr>
      </w:pPr>
    </w:p>
    <w:p w14:paraId="4435B246" w14:textId="77777777" w:rsidR="005B62F0" w:rsidRPr="00F027F8" w:rsidRDefault="005B62F0" w:rsidP="00F027F8">
      <w:pPr>
        <w:spacing w:line="240" w:lineRule="auto"/>
        <w:jc w:val="both"/>
        <w:rPr>
          <w:rFonts w:ascii="Arial" w:hAnsi="Arial" w:cs="Arial"/>
          <w:sz w:val="22"/>
          <w:szCs w:val="22"/>
        </w:rPr>
      </w:pPr>
    </w:p>
    <w:p w14:paraId="66E8CB8B" w14:textId="77777777" w:rsidR="00147B7E" w:rsidRPr="00F027F8" w:rsidRDefault="00147B7E" w:rsidP="00F027F8">
      <w:pPr>
        <w:spacing w:before="120" w:after="0" w:line="240" w:lineRule="auto"/>
        <w:jc w:val="both"/>
        <w:rPr>
          <w:rFonts w:ascii="Arial" w:hAnsi="Arial" w:cs="Arial"/>
          <w:sz w:val="22"/>
          <w:szCs w:val="22"/>
        </w:rPr>
      </w:pPr>
      <w:r w:rsidRPr="00F027F8">
        <w:rPr>
          <w:rFonts w:ascii="Arial" w:hAnsi="Arial" w:cs="Arial"/>
          <w:sz w:val="22"/>
          <w:szCs w:val="22"/>
        </w:rPr>
        <w:t xml:space="preserve">The level of debt significantly impacts the readiness to retire; having outstanding debts limits the available funds for support in retirement and creates increased uncertainty with regard to financial security in retirement (Reyes, </w:t>
      </w:r>
      <w:r w:rsidRPr="00F027F8">
        <w:rPr>
          <w:rFonts w:ascii="Arial" w:hAnsi="Arial" w:cs="Arial"/>
          <w:sz w:val="22"/>
          <w:szCs w:val="22"/>
        </w:rPr>
        <w:lastRenderedPageBreak/>
        <w:t>2024; Yusoff et al., 2024). High debt is correlated with anxiety, low life satisfaction, and poor post-retirement financial stability (Lan &amp; Lee, 2024). On the contrary, people who pay-off debts have greater financial security and are better prepared for retirement (</w:t>
      </w:r>
      <w:proofErr w:type="spellStart"/>
      <w:r w:rsidRPr="00F027F8">
        <w:rPr>
          <w:rFonts w:ascii="Arial" w:hAnsi="Arial" w:cs="Arial"/>
          <w:sz w:val="22"/>
          <w:szCs w:val="22"/>
        </w:rPr>
        <w:t>Ghadwan</w:t>
      </w:r>
      <w:proofErr w:type="spellEnd"/>
      <w:r w:rsidRPr="00F027F8">
        <w:rPr>
          <w:rFonts w:ascii="Arial" w:hAnsi="Arial" w:cs="Arial"/>
          <w:sz w:val="22"/>
          <w:szCs w:val="22"/>
        </w:rPr>
        <w:t xml:space="preserve"> et al., 2022). Continuously tracking their debt obligations allows employees to proactively minimize potential adverse effects from financial hardship during their transition into retirement (Brown et al., 2021).</w:t>
      </w:r>
    </w:p>
    <w:p w14:paraId="19BB80C8" w14:textId="77777777" w:rsidR="00147B7E" w:rsidRPr="00F027F8" w:rsidRDefault="00147B7E" w:rsidP="00F027F8">
      <w:pPr>
        <w:spacing w:before="120" w:after="0" w:line="240" w:lineRule="auto"/>
        <w:jc w:val="both"/>
        <w:rPr>
          <w:rFonts w:ascii="Arial" w:hAnsi="Arial" w:cs="Arial"/>
          <w:sz w:val="22"/>
          <w:szCs w:val="22"/>
        </w:rPr>
      </w:pPr>
      <w:r w:rsidRPr="00F027F8">
        <w:rPr>
          <w:rFonts w:ascii="Arial" w:hAnsi="Arial" w:cs="Arial"/>
          <w:sz w:val="22"/>
          <w:szCs w:val="22"/>
        </w:rPr>
        <w:t xml:space="preserve">One of the key factors in retirement security is having the savings to sustain oneself and maintain one’s finances once employment has ended (Frank et al. 2023). Having good savings habits also increases an individual’s capacity to prepare for their future needs and create a buffer against the inescapable risks related to finances (Zulkarnaen et al. 2024). In addition, having emergency savings provides a degree of financial resilience against unforeseen costs and loss of income due to unforeseen circumstances such as medical emergencies and accidents (Andres, 2025; </w:t>
      </w:r>
      <w:proofErr w:type="spellStart"/>
      <w:r w:rsidRPr="00F027F8">
        <w:rPr>
          <w:rFonts w:ascii="Arial" w:hAnsi="Arial" w:cs="Arial"/>
          <w:sz w:val="22"/>
          <w:szCs w:val="22"/>
        </w:rPr>
        <w:t>Ciputra</w:t>
      </w:r>
      <w:proofErr w:type="spellEnd"/>
      <w:r w:rsidRPr="00F027F8">
        <w:rPr>
          <w:rFonts w:ascii="Arial" w:hAnsi="Arial" w:cs="Arial"/>
          <w:sz w:val="22"/>
          <w:szCs w:val="22"/>
        </w:rPr>
        <w:t xml:space="preserve"> &amp; Syah, 2025).</w:t>
      </w:r>
    </w:p>
    <w:p w14:paraId="34463E9F" w14:textId="73AEE50B" w:rsidR="00147B7E" w:rsidRPr="00F027F8" w:rsidRDefault="00147B7E" w:rsidP="00F027F8">
      <w:pPr>
        <w:spacing w:before="120" w:after="0" w:line="240" w:lineRule="auto"/>
        <w:jc w:val="both"/>
        <w:rPr>
          <w:rFonts w:ascii="Arial" w:hAnsi="Arial" w:cs="Arial"/>
          <w:sz w:val="22"/>
          <w:szCs w:val="22"/>
        </w:rPr>
      </w:pPr>
      <w:r w:rsidRPr="00F027F8">
        <w:rPr>
          <w:rFonts w:ascii="Arial" w:hAnsi="Arial" w:cs="Arial"/>
          <w:sz w:val="22"/>
          <w:szCs w:val="22"/>
        </w:rPr>
        <w:t>Post-retirement work, commonly referred to as "bridge employment," can supplement pension income and cover any shortfalls in pension adequacy (</w:t>
      </w:r>
      <w:proofErr w:type="spellStart"/>
      <w:r w:rsidRPr="00F027F8">
        <w:rPr>
          <w:rFonts w:ascii="Arial" w:hAnsi="Arial" w:cs="Arial"/>
          <w:sz w:val="22"/>
          <w:szCs w:val="22"/>
        </w:rPr>
        <w:t>Tolondon</w:t>
      </w:r>
      <w:proofErr w:type="spellEnd"/>
      <w:r w:rsidRPr="00F027F8">
        <w:rPr>
          <w:rFonts w:ascii="Arial" w:hAnsi="Arial" w:cs="Arial"/>
          <w:sz w:val="22"/>
          <w:szCs w:val="22"/>
        </w:rPr>
        <w:t xml:space="preserve"> &amp; </w:t>
      </w:r>
      <w:proofErr w:type="spellStart"/>
      <w:r w:rsidRPr="00F027F8">
        <w:rPr>
          <w:rFonts w:ascii="Arial" w:hAnsi="Arial" w:cs="Arial"/>
          <w:sz w:val="22"/>
          <w:szCs w:val="22"/>
        </w:rPr>
        <w:t>Ortizo</w:t>
      </w:r>
      <w:proofErr w:type="spellEnd"/>
      <w:r w:rsidRPr="00F027F8">
        <w:rPr>
          <w:rFonts w:ascii="Arial" w:hAnsi="Arial" w:cs="Arial"/>
          <w:sz w:val="22"/>
          <w:szCs w:val="22"/>
        </w:rPr>
        <w:t>, 2024). Many retirees are taking up jobs or starting businesses to achieve financial independence and stability after they retire (</w:t>
      </w:r>
      <w:proofErr w:type="spellStart"/>
      <w:r w:rsidRPr="00F027F8">
        <w:rPr>
          <w:rFonts w:ascii="Arial" w:hAnsi="Arial" w:cs="Arial"/>
          <w:sz w:val="22"/>
          <w:szCs w:val="22"/>
        </w:rPr>
        <w:t>Galorio</w:t>
      </w:r>
      <w:proofErr w:type="spellEnd"/>
      <w:r w:rsidRPr="00F027F8">
        <w:rPr>
          <w:rFonts w:ascii="Arial" w:hAnsi="Arial" w:cs="Arial"/>
          <w:sz w:val="22"/>
          <w:szCs w:val="22"/>
        </w:rPr>
        <w:t xml:space="preserve"> &amp; </w:t>
      </w:r>
      <w:proofErr w:type="spellStart"/>
      <w:r w:rsidRPr="00F027F8">
        <w:rPr>
          <w:rFonts w:ascii="Arial" w:hAnsi="Arial" w:cs="Arial"/>
          <w:sz w:val="22"/>
          <w:szCs w:val="22"/>
        </w:rPr>
        <w:t>Quibra</w:t>
      </w:r>
      <w:proofErr w:type="spellEnd"/>
      <w:r w:rsidRPr="00F027F8">
        <w:rPr>
          <w:rFonts w:ascii="Arial" w:hAnsi="Arial" w:cs="Arial"/>
          <w:sz w:val="22"/>
          <w:szCs w:val="22"/>
        </w:rPr>
        <w:t xml:space="preserve">, 2026; Apostol et al., 2025). This </w:t>
      </w:r>
      <w:proofErr w:type="spellStart"/>
      <w:r w:rsidRPr="00F027F8">
        <w:rPr>
          <w:rFonts w:ascii="Arial" w:hAnsi="Arial" w:cs="Arial"/>
          <w:sz w:val="22"/>
          <w:szCs w:val="22"/>
        </w:rPr>
        <w:t>behaviour</w:t>
      </w:r>
      <w:proofErr w:type="spellEnd"/>
      <w:r w:rsidRPr="00F027F8">
        <w:rPr>
          <w:rFonts w:ascii="Arial" w:hAnsi="Arial" w:cs="Arial"/>
          <w:sz w:val="22"/>
          <w:szCs w:val="22"/>
        </w:rPr>
        <w:t xml:space="preserve"> is indicative of a more successive way of approaching retirement and financial sustainability (</w:t>
      </w:r>
      <w:proofErr w:type="spellStart"/>
      <w:r w:rsidRPr="00F027F8">
        <w:rPr>
          <w:rFonts w:ascii="Arial" w:hAnsi="Arial" w:cs="Arial"/>
          <w:sz w:val="22"/>
          <w:szCs w:val="22"/>
        </w:rPr>
        <w:t>Asiones</w:t>
      </w:r>
      <w:proofErr w:type="spellEnd"/>
      <w:r w:rsidRPr="00F027F8">
        <w:rPr>
          <w:rFonts w:ascii="Arial" w:hAnsi="Arial" w:cs="Arial"/>
          <w:sz w:val="22"/>
          <w:szCs w:val="22"/>
        </w:rPr>
        <w:t>, 2023). Income diversification has also been thought to provide an opportunity to reduce financial risks and ensure long-term retirement security (Yusoff et al., 2024).</w:t>
      </w:r>
    </w:p>
    <w:p w14:paraId="52811D4C" w14:textId="4278C185" w:rsidR="00147B7E" w:rsidRPr="00F027F8" w:rsidRDefault="00147B7E" w:rsidP="00F027F8">
      <w:pPr>
        <w:spacing w:before="120" w:after="0" w:line="240" w:lineRule="auto"/>
        <w:jc w:val="both"/>
        <w:rPr>
          <w:rFonts w:ascii="Arial" w:hAnsi="Arial" w:cs="Arial"/>
          <w:sz w:val="22"/>
          <w:szCs w:val="22"/>
        </w:rPr>
      </w:pPr>
      <w:r w:rsidRPr="00F027F8">
        <w:rPr>
          <w:rFonts w:ascii="Arial" w:hAnsi="Arial" w:cs="Arial"/>
          <w:sz w:val="22"/>
          <w:szCs w:val="22"/>
        </w:rPr>
        <w:t>Although there is a growing body of literature regarding retirement preparation, the majority of research has focused on larger populations or larger healthcare settings and the research has given little attention to the specific context of individual institutions. Specifically, there continues to be a dearth of research on the relationship of pre-retirement financial practices with job exit readiness among hospital employees in a single institution context such as St Elizabeth Hospital in General Santos City.</w:t>
      </w:r>
      <w:r w:rsidRPr="00F027F8">
        <w:rPr>
          <w:rFonts w:ascii="Arial" w:hAnsi="Arial" w:cs="Arial"/>
          <w:sz w:val="22"/>
          <w:szCs w:val="22"/>
        </w:rPr>
        <w:t xml:space="preserve"> </w:t>
      </w:r>
      <w:r w:rsidRPr="00F027F8">
        <w:rPr>
          <w:rFonts w:ascii="Arial" w:hAnsi="Arial" w:cs="Arial"/>
          <w:sz w:val="22"/>
          <w:szCs w:val="22"/>
        </w:rPr>
        <w:t xml:space="preserve">In addition, very few studies have taken the time to look at the moderating impact of demographic characteristics on this relationship across a localized healthcare workforce. </w:t>
      </w:r>
      <w:r w:rsidR="000030CC" w:rsidRPr="000030CC">
        <w:rPr>
          <w:rFonts w:ascii="Arial" w:hAnsi="Arial" w:cs="Arial"/>
          <w:sz w:val="22"/>
          <w:szCs w:val="22"/>
        </w:rPr>
        <w:t xml:space="preserve">These gaps </w:t>
      </w:r>
      <w:r w:rsidR="000030CC" w:rsidRPr="000030CC">
        <w:rPr>
          <w:rFonts w:ascii="Arial" w:hAnsi="Arial" w:cs="Arial"/>
          <w:sz w:val="22"/>
          <w:szCs w:val="22"/>
        </w:rPr>
        <w:t>indicate</w:t>
      </w:r>
      <w:r w:rsidR="000030CC" w:rsidRPr="000030CC">
        <w:rPr>
          <w:rFonts w:ascii="Arial" w:hAnsi="Arial" w:cs="Arial"/>
          <w:sz w:val="22"/>
          <w:szCs w:val="22"/>
        </w:rPr>
        <w:t xml:space="preserve"> a need to do further investigations regarding the impact of financial practices on retirement readiness, and how demographic characteristics may strengthen or weaken that relationship within the local context of St. Elizabeth Hospital employees.</w:t>
      </w:r>
    </w:p>
    <w:p w14:paraId="4B76693D" w14:textId="475DA714" w:rsidR="00147B7E" w:rsidRPr="00F027F8" w:rsidRDefault="00147B7E" w:rsidP="00F027F8">
      <w:pPr>
        <w:spacing w:before="120" w:after="0" w:line="240" w:lineRule="auto"/>
        <w:jc w:val="both"/>
        <w:rPr>
          <w:rFonts w:ascii="Arial" w:hAnsi="Arial" w:cs="Arial"/>
          <w:b/>
          <w:bCs/>
          <w:sz w:val="22"/>
          <w:szCs w:val="22"/>
        </w:rPr>
      </w:pPr>
      <w:r w:rsidRPr="00F027F8">
        <w:rPr>
          <w:rFonts w:ascii="Arial" w:hAnsi="Arial" w:cs="Arial"/>
          <w:b/>
          <w:bCs/>
          <w:sz w:val="22"/>
          <w:szCs w:val="22"/>
        </w:rPr>
        <w:t>Methodology</w:t>
      </w:r>
    </w:p>
    <w:p w14:paraId="1D737F12" w14:textId="4DD00937" w:rsidR="0001697F" w:rsidRPr="00F027F8" w:rsidRDefault="000030CC" w:rsidP="00F027F8">
      <w:pPr>
        <w:spacing w:before="120" w:after="0" w:line="240" w:lineRule="auto"/>
        <w:jc w:val="both"/>
        <w:rPr>
          <w:rFonts w:ascii="Arial" w:hAnsi="Arial" w:cs="Arial"/>
          <w:sz w:val="22"/>
          <w:szCs w:val="22"/>
        </w:rPr>
      </w:pPr>
      <w:r w:rsidRPr="000030CC">
        <w:rPr>
          <w:rFonts w:ascii="Arial" w:hAnsi="Arial" w:cs="Arial"/>
          <w:sz w:val="22"/>
          <w:szCs w:val="22"/>
        </w:rPr>
        <w:t>This study utilized quantitative research practices to determine the correlation between preretirement financial practices and job exit</w:t>
      </w:r>
      <w:r>
        <w:rPr>
          <w:rFonts w:ascii="Arial" w:hAnsi="Arial" w:cs="Arial"/>
          <w:sz w:val="22"/>
          <w:szCs w:val="22"/>
        </w:rPr>
        <w:t xml:space="preserve"> preparedness of</w:t>
      </w:r>
      <w:r w:rsidRPr="000030CC">
        <w:rPr>
          <w:rFonts w:ascii="Arial" w:hAnsi="Arial" w:cs="Arial"/>
          <w:sz w:val="22"/>
          <w:szCs w:val="22"/>
        </w:rPr>
        <w:t xml:space="preserve"> employees at St. Elizabeth’s Hospital in General Santos City. </w:t>
      </w:r>
      <w:r w:rsidR="0001697F" w:rsidRPr="00F027F8">
        <w:rPr>
          <w:rFonts w:ascii="Arial" w:hAnsi="Arial" w:cs="Arial"/>
          <w:sz w:val="22"/>
          <w:szCs w:val="22"/>
        </w:rPr>
        <w:t>Additionally, a</w:t>
      </w:r>
      <w:r w:rsidR="0001697F" w:rsidRPr="00F027F8">
        <w:rPr>
          <w:rFonts w:ascii="Arial" w:hAnsi="Arial" w:cs="Arial"/>
          <w:sz w:val="22"/>
          <w:szCs w:val="22"/>
        </w:rPr>
        <w:t xml:space="preserve"> moderation analysis was conducted using the General Linear Model (GLM) to analyze if demographic characteristics impacted the relationship between the two primary variables.</w:t>
      </w:r>
      <w:r w:rsidR="0001697F" w:rsidRPr="00F027F8">
        <w:rPr>
          <w:rFonts w:ascii="Arial" w:hAnsi="Arial" w:cs="Arial"/>
          <w:sz w:val="22"/>
          <w:szCs w:val="22"/>
        </w:rPr>
        <w:t xml:space="preserve"> </w:t>
      </w:r>
      <w:r w:rsidR="0001697F" w:rsidRPr="00F027F8">
        <w:rPr>
          <w:rFonts w:ascii="Arial" w:hAnsi="Arial" w:cs="Arial"/>
          <w:sz w:val="22"/>
          <w:szCs w:val="22"/>
        </w:rPr>
        <w:t>A simple random sampling method was employed to collect a sample of 288 respondents for this research. Employees were given an individual ID number, and then a computer program generated random numbers that identified which 288 employees were selected to ensure equal chance of selection.</w:t>
      </w:r>
      <w:r w:rsidR="0001697F" w:rsidRPr="00F027F8">
        <w:rPr>
          <w:rFonts w:ascii="Arial" w:hAnsi="Arial" w:cs="Arial"/>
          <w:sz w:val="22"/>
          <w:szCs w:val="22"/>
        </w:rPr>
        <w:t xml:space="preserve"> </w:t>
      </w:r>
      <w:r w:rsidR="0001697F" w:rsidRPr="00F027F8">
        <w:rPr>
          <w:rFonts w:ascii="Arial" w:hAnsi="Arial" w:cs="Arial"/>
          <w:sz w:val="22"/>
          <w:szCs w:val="22"/>
        </w:rPr>
        <w:t>Eligible respondents included employees currently employed by St. Elizabeth Hospital who were 21 years of age or older, and could answer the survey questions. Excluded from the survey were any individuals who were not actively employed during the time of data collection.</w:t>
      </w:r>
    </w:p>
    <w:p w14:paraId="191B0470" w14:textId="473815F4" w:rsidR="0059265F" w:rsidRPr="00F027F8" w:rsidRDefault="0059265F" w:rsidP="00F027F8">
      <w:pPr>
        <w:spacing w:before="120" w:after="0" w:line="240" w:lineRule="auto"/>
        <w:jc w:val="both"/>
        <w:rPr>
          <w:rFonts w:ascii="Arial" w:hAnsi="Arial" w:cs="Arial"/>
          <w:sz w:val="22"/>
          <w:szCs w:val="22"/>
        </w:rPr>
      </w:pPr>
      <w:r w:rsidRPr="00F027F8">
        <w:rPr>
          <w:rFonts w:ascii="Arial" w:hAnsi="Arial" w:cs="Arial"/>
          <w:sz w:val="22"/>
          <w:szCs w:val="22"/>
        </w:rPr>
        <w:t>Reliability of all instruments was confirmed using Cronbach's Alpha and McDonald's Omega. The resulting values were α = 0.895 and ω = 0.898 which indicates high levels of internal consistency providing assurance that the questionnaire had sufficient reliability for data analysis.</w:t>
      </w:r>
    </w:p>
    <w:p w14:paraId="5DD38BA4" w14:textId="06C03E40" w:rsidR="0001697F" w:rsidRPr="00F027F8" w:rsidRDefault="0059265F" w:rsidP="00F027F8">
      <w:pPr>
        <w:spacing w:before="120" w:after="0" w:line="240" w:lineRule="auto"/>
        <w:jc w:val="both"/>
        <w:rPr>
          <w:rFonts w:ascii="Arial" w:hAnsi="Arial" w:cs="Arial"/>
          <w:sz w:val="22"/>
          <w:szCs w:val="22"/>
        </w:rPr>
      </w:pPr>
      <w:r w:rsidRPr="00F027F8">
        <w:rPr>
          <w:rFonts w:ascii="Arial" w:hAnsi="Arial" w:cs="Arial"/>
          <w:sz w:val="22"/>
          <w:szCs w:val="22"/>
        </w:rPr>
        <w:t>Ethical approval was obtained prior to commencing the research agenda using ethical approval as a basis for collecting data. Approval number 130-2025-MSUGSC-IERC and study protocol code 2025-146-SR were provided as confirmation of approval by the institutional ethics review committee before any research began. During the course of the study, informed consent and confidentiality of all research participants were maintained along with complying with established data protection standards.</w:t>
      </w:r>
    </w:p>
    <w:p w14:paraId="2BBB4364" w14:textId="77777777" w:rsidR="00F027F8" w:rsidRPr="00F027F8" w:rsidRDefault="00F027F8" w:rsidP="00F027F8">
      <w:pPr>
        <w:spacing w:before="120" w:after="0" w:line="240" w:lineRule="auto"/>
        <w:jc w:val="both"/>
        <w:rPr>
          <w:rFonts w:ascii="Arial" w:hAnsi="Arial" w:cs="Arial"/>
          <w:b/>
          <w:bCs/>
          <w:sz w:val="22"/>
          <w:szCs w:val="22"/>
        </w:rPr>
      </w:pPr>
    </w:p>
    <w:p w14:paraId="29951ABE" w14:textId="77777777" w:rsidR="00F027F8" w:rsidRPr="00F027F8" w:rsidRDefault="00F027F8" w:rsidP="00F027F8">
      <w:pPr>
        <w:spacing w:before="120" w:after="0" w:line="240" w:lineRule="auto"/>
        <w:jc w:val="both"/>
        <w:rPr>
          <w:rFonts w:ascii="Arial" w:hAnsi="Arial" w:cs="Arial"/>
          <w:b/>
          <w:bCs/>
          <w:sz w:val="22"/>
          <w:szCs w:val="22"/>
        </w:rPr>
      </w:pPr>
    </w:p>
    <w:p w14:paraId="39E577E0" w14:textId="77777777" w:rsidR="00F027F8" w:rsidRPr="00F027F8" w:rsidRDefault="00F027F8" w:rsidP="00F027F8">
      <w:pPr>
        <w:spacing w:before="120" w:after="0" w:line="240" w:lineRule="auto"/>
        <w:jc w:val="both"/>
        <w:rPr>
          <w:rFonts w:ascii="Arial" w:hAnsi="Arial" w:cs="Arial"/>
          <w:b/>
          <w:bCs/>
          <w:sz w:val="22"/>
          <w:szCs w:val="22"/>
        </w:rPr>
      </w:pPr>
    </w:p>
    <w:p w14:paraId="03277CB2" w14:textId="77777777" w:rsidR="00F027F8" w:rsidRPr="00F027F8" w:rsidRDefault="00F027F8" w:rsidP="00F027F8">
      <w:pPr>
        <w:spacing w:before="120" w:after="0" w:line="240" w:lineRule="auto"/>
        <w:jc w:val="both"/>
        <w:rPr>
          <w:rFonts w:ascii="Arial" w:hAnsi="Arial" w:cs="Arial"/>
          <w:b/>
          <w:bCs/>
          <w:sz w:val="22"/>
          <w:szCs w:val="22"/>
        </w:rPr>
      </w:pPr>
    </w:p>
    <w:p w14:paraId="73D94203" w14:textId="77777777" w:rsidR="00F027F8" w:rsidRPr="00F027F8" w:rsidRDefault="00F027F8" w:rsidP="00F027F8">
      <w:pPr>
        <w:spacing w:before="120" w:after="0" w:line="240" w:lineRule="auto"/>
        <w:jc w:val="both"/>
        <w:rPr>
          <w:rFonts w:ascii="Arial" w:hAnsi="Arial" w:cs="Arial"/>
          <w:b/>
          <w:bCs/>
          <w:sz w:val="22"/>
          <w:szCs w:val="22"/>
        </w:rPr>
      </w:pPr>
    </w:p>
    <w:p w14:paraId="3B9E5C24" w14:textId="1CE7634D" w:rsidR="0059265F" w:rsidRDefault="00F027F8" w:rsidP="00F027F8">
      <w:pPr>
        <w:spacing w:before="120" w:after="0" w:line="240" w:lineRule="auto"/>
        <w:jc w:val="both"/>
        <w:rPr>
          <w:rFonts w:ascii="Arial" w:hAnsi="Arial" w:cs="Arial"/>
          <w:b/>
          <w:bCs/>
          <w:sz w:val="22"/>
          <w:szCs w:val="22"/>
        </w:rPr>
      </w:pPr>
      <w:r w:rsidRPr="00F027F8">
        <w:rPr>
          <w:rFonts w:ascii="Arial" w:hAnsi="Arial" w:cs="Arial"/>
          <w:b/>
          <w:bCs/>
          <w:sz w:val="22"/>
          <w:szCs w:val="22"/>
        </w:rPr>
        <w:lastRenderedPageBreak/>
        <w:t>Results</w:t>
      </w:r>
    </w:p>
    <w:p w14:paraId="16787749" w14:textId="77777777" w:rsidR="00F027F8" w:rsidRDefault="00F027F8" w:rsidP="00F027F8">
      <w:pPr>
        <w:spacing w:after="0" w:line="240" w:lineRule="auto"/>
        <w:jc w:val="both"/>
        <w:rPr>
          <w:rFonts w:ascii="Arial" w:hAnsi="Arial" w:cs="Arial"/>
          <w:b/>
          <w:bCs/>
          <w:sz w:val="22"/>
          <w:szCs w:val="22"/>
        </w:rPr>
      </w:pPr>
    </w:p>
    <w:p w14:paraId="455717F7" w14:textId="523230E5" w:rsidR="00F027F8" w:rsidRPr="00F027F8" w:rsidRDefault="00F027F8" w:rsidP="00F027F8">
      <w:pPr>
        <w:spacing w:after="0" w:line="240" w:lineRule="auto"/>
        <w:jc w:val="both"/>
        <w:rPr>
          <w:rFonts w:ascii="Arial" w:hAnsi="Arial" w:cs="Arial"/>
          <w:b/>
          <w:bCs/>
          <w:sz w:val="22"/>
          <w:szCs w:val="22"/>
        </w:rPr>
      </w:pPr>
      <w:r w:rsidRPr="00F027F8">
        <w:rPr>
          <w:rFonts w:ascii="Arial" w:hAnsi="Arial" w:cs="Arial"/>
          <w:b/>
          <w:bCs/>
          <w:sz w:val="22"/>
          <w:szCs w:val="22"/>
        </w:rPr>
        <w:t xml:space="preserve">Table </w:t>
      </w:r>
      <w:r>
        <w:rPr>
          <w:rFonts w:ascii="Arial" w:hAnsi="Arial" w:cs="Arial"/>
          <w:b/>
          <w:bCs/>
          <w:sz w:val="22"/>
          <w:szCs w:val="22"/>
        </w:rPr>
        <w:t>1</w:t>
      </w:r>
      <w:r w:rsidRPr="00F027F8">
        <w:rPr>
          <w:rFonts w:ascii="Arial" w:hAnsi="Arial" w:cs="Arial"/>
          <w:b/>
          <w:bCs/>
          <w:sz w:val="22"/>
          <w:szCs w:val="22"/>
        </w:rPr>
        <w:t>. Demographic Profile of the Respondents from St. Elizabeth Hospital</w:t>
      </w:r>
    </w:p>
    <w:tbl>
      <w:tblPr>
        <w:tblStyle w:val="TableGrid"/>
        <w:tblW w:w="873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982"/>
        <w:gridCol w:w="1506"/>
        <w:gridCol w:w="1595"/>
      </w:tblGrid>
      <w:tr w:rsidR="00F027F8" w:rsidRPr="00F027F8" w14:paraId="6745EE9E" w14:textId="77777777" w:rsidTr="00755608">
        <w:trPr>
          <w:trHeight w:val="199"/>
          <w:jc w:val="center"/>
        </w:trPr>
        <w:tc>
          <w:tcPr>
            <w:tcW w:w="1651" w:type="dxa"/>
            <w:tcBorders>
              <w:top w:val="single" w:sz="4" w:space="0" w:color="auto"/>
              <w:bottom w:val="single" w:sz="4" w:space="0" w:color="auto"/>
            </w:tcBorders>
            <w:vAlign w:val="center"/>
          </w:tcPr>
          <w:p w14:paraId="393F374C" w14:textId="77777777" w:rsidR="00F027F8" w:rsidRPr="00F027F8" w:rsidRDefault="00F027F8" w:rsidP="00F027F8">
            <w:pPr>
              <w:rPr>
                <w:rFonts w:ascii="Arial" w:hAnsi="Arial" w:cs="Arial"/>
                <w:b/>
                <w:bCs/>
              </w:rPr>
            </w:pPr>
            <w:r w:rsidRPr="00F027F8">
              <w:rPr>
                <w:rFonts w:ascii="Arial" w:hAnsi="Arial" w:cs="Arial"/>
                <w:b/>
                <w:bCs/>
              </w:rPr>
              <w:t>Variable</w:t>
            </w:r>
          </w:p>
        </w:tc>
        <w:tc>
          <w:tcPr>
            <w:tcW w:w="3982" w:type="dxa"/>
            <w:tcBorders>
              <w:top w:val="single" w:sz="4" w:space="0" w:color="auto"/>
              <w:bottom w:val="single" w:sz="4" w:space="0" w:color="auto"/>
            </w:tcBorders>
            <w:vAlign w:val="center"/>
          </w:tcPr>
          <w:p w14:paraId="49392CE9" w14:textId="77777777" w:rsidR="00F027F8" w:rsidRPr="00F027F8" w:rsidRDefault="00F027F8" w:rsidP="00F027F8">
            <w:pPr>
              <w:rPr>
                <w:rFonts w:ascii="Arial" w:hAnsi="Arial" w:cs="Arial"/>
                <w:b/>
                <w:bCs/>
              </w:rPr>
            </w:pPr>
            <w:r w:rsidRPr="00F027F8">
              <w:rPr>
                <w:rFonts w:ascii="Arial" w:hAnsi="Arial" w:cs="Arial"/>
                <w:b/>
                <w:bCs/>
              </w:rPr>
              <w:t>Category</w:t>
            </w:r>
          </w:p>
        </w:tc>
        <w:tc>
          <w:tcPr>
            <w:tcW w:w="1506" w:type="dxa"/>
            <w:tcBorders>
              <w:top w:val="single" w:sz="4" w:space="0" w:color="auto"/>
              <w:bottom w:val="single" w:sz="4" w:space="0" w:color="auto"/>
            </w:tcBorders>
            <w:vAlign w:val="center"/>
          </w:tcPr>
          <w:p w14:paraId="317CB95E" w14:textId="77777777" w:rsidR="00F027F8" w:rsidRPr="00F027F8" w:rsidRDefault="00F027F8" w:rsidP="00F027F8">
            <w:pPr>
              <w:jc w:val="center"/>
              <w:rPr>
                <w:rFonts w:ascii="Arial" w:hAnsi="Arial" w:cs="Arial"/>
                <w:b/>
                <w:bCs/>
              </w:rPr>
            </w:pPr>
            <w:r w:rsidRPr="00F027F8">
              <w:rPr>
                <w:rFonts w:ascii="Arial" w:hAnsi="Arial" w:cs="Arial"/>
                <w:b/>
                <w:bCs/>
              </w:rPr>
              <w:t>Frequency</w:t>
            </w:r>
          </w:p>
        </w:tc>
        <w:tc>
          <w:tcPr>
            <w:tcW w:w="1595" w:type="dxa"/>
            <w:tcBorders>
              <w:top w:val="single" w:sz="4" w:space="0" w:color="auto"/>
              <w:bottom w:val="single" w:sz="4" w:space="0" w:color="auto"/>
            </w:tcBorders>
            <w:vAlign w:val="center"/>
          </w:tcPr>
          <w:p w14:paraId="18E01302" w14:textId="77777777" w:rsidR="00F027F8" w:rsidRPr="00F027F8" w:rsidRDefault="00F027F8" w:rsidP="00F027F8">
            <w:pPr>
              <w:jc w:val="center"/>
              <w:rPr>
                <w:rFonts w:ascii="Arial" w:hAnsi="Arial" w:cs="Arial"/>
                <w:b/>
                <w:bCs/>
              </w:rPr>
            </w:pPr>
            <w:r w:rsidRPr="00F027F8">
              <w:rPr>
                <w:rFonts w:ascii="Arial" w:hAnsi="Arial" w:cs="Arial"/>
                <w:b/>
                <w:bCs/>
              </w:rPr>
              <w:t>%</w:t>
            </w:r>
          </w:p>
        </w:tc>
      </w:tr>
      <w:tr w:rsidR="00F027F8" w:rsidRPr="00F027F8" w14:paraId="297A4BFF" w14:textId="77777777" w:rsidTr="00755608">
        <w:trPr>
          <w:trHeight w:val="199"/>
          <w:jc w:val="center"/>
        </w:trPr>
        <w:tc>
          <w:tcPr>
            <w:tcW w:w="1651" w:type="dxa"/>
            <w:tcBorders>
              <w:top w:val="single" w:sz="4" w:space="0" w:color="auto"/>
            </w:tcBorders>
            <w:vAlign w:val="center"/>
          </w:tcPr>
          <w:p w14:paraId="00E01AC3" w14:textId="77777777" w:rsidR="00F027F8" w:rsidRPr="00F027F8" w:rsidRDefault="00F027F8" w:rsidP="00F027F8">
            <w:pPr>
              <w:rPr>
                <w:rFonts w:ascii="Arial" w:hAnsi="Arial" w:cs="Arial"/>
                <w:b/>
                <w:bCs/>
              </w:rPr>
            </w:pPr>
            <w:r w:rsidRPr="00F027F8">
              <w:rPr>
                <w:rFonts w:ascii="Arial" w:hAnsi="Arial" w:cs="Arial"/>
                <w:b/>
                <w:bCs/>
              </w:rPr>
              <w:t>Age</w:t>
            </w:r>
          </w:p>
        </w:tc>
        <w:tc>
          <w:tcPr>
            <w:tcW w:w="3982" w:type="dxa"/>
            <w:tcBorders>
              <w:top w:val="single" w:sz="4" w:space="0" w:color="auto"/>
            </w:tcBorders>
            <w:vAlign w:val="center"/>
          </w:tcPr>
          <w:p w14:paraId="306F6BE1" w14:textId="77777777" w:rsidR="00F027F8" w:rsidRPr="00F027F8" w:rsidRDefault="00F027F8" w:rsidP="00F027F8">
            <w:pPr>
              <w:rPr>
                <w:rFonts w:ascii="Arial" w:hAnsi="Arial" w:cs="Arial"/>
              </w:rPr>
            </w:pPr>
            <w:r w:rsidRPr="00F027F8">
              <w:rPr>
                <w:rFonts w:ascii="Arial" w:hAnsi="Arial" w:cs="Arial"/>
              </w:rPr>
              <w:t>21-30 years old</w:t>
            </w:r>
          </w:p>
        </w:tc>
        <w:tc>
          <w:tcPr>
            <w:tcW w:w="1506" w:type="dxa"/>
            <w:tcBorders>
              <w:top w:val="single" w:sz="4" w:space="0" w:color="auto"/>
            </w:tcBorders>
            <w:vAlign w:val="center"/>
          </w:tcPr>
          <w:p w14:paraId="3D8A63B1" w14:textId="77777777" w:rsidR="00F027F8" w:rsidRPr="00F027F8" w:rsidRDefault="00F027F8" w:rsidP="00F027F8">
            <w:pPr>
              <w:jc w:val="center"/>
              <w:rPr>
                <w:rFonts w:ascii="Arial" w:hAnsi="Arial" w:cs="Arial"/>
              </w:rPr>
            </w:pPr>
            <w:r w:rsidRPr="00F027F8">
              <w:rPr>
                <w:rFonts w:ascii="Arial" w:hAnsi="Arial" w:cs="Arial"/>
              </w:rPr>
              <w:t>159</w:t>
            </w:r>
          </w:p>
        </w:tc>
        <w:tc>
          <w:tcPr>
            <w:tcW w:w="1595" w:type="dxa"/>
            <w:tcBorders>
              <w:top w:val="single" w:sz="4" w:space="0" w:color="auto"/>
            </w:tcBorders>
            <w:vAlign w:val="center"/>
          </w:tcPr>
          <w:p w14:paraId="011F5130" w14:textId="77777777" w:rsidR="00F027F8" w:rsidRPr="00F027F8" w:rsidRDefault="00F027F8" w:rsidP="00F027F8">
            <w:pPr>
              <w:jc w:val="center"/>
              <w:rPr>
                <w:rFonts w:ascii="Arial" w:hAnsi="Arial" w:cs="Arial"/>
              </w:rPr>
            </w:pPr>
            <w:r w:rsidRPr="00F027F8">
              <w:rPr>
                <w:rFonts w:ascii="Arial" w:hAnsi="Arial" w:cs="Arial"/>
              </w:rPr>
              <w:t>55.21</w:t>
            </w:r>
          </w:p>
        </w:tc>
      </w:tr>
      <w:tr w:rsidR="00F027F8" w:rsidRPr="00F027F8" w14:paraId="5A5DDF35" w14:textId="77777777" w:rsidTr="00755608">
        <w:trPr>
          <w:trHeight w:val="199"/>
          <w:jc w:val="center"/>
        </w:trPr>
        <w:tc>
          <w:tcPr>
            <w:tcW w:w="1651" w:type="dxa"/>
            <w:vAlign w:val="center"/>
          </w:tcPr>
          <w:p w14:paraId="53C239E6" w14:textId="77777777" w:rsidR="00F027F8" w:rsidRPr="00F027F8" w:rsidRDefault="00F027F8" w:rsidP="00F027F8">
            <w:pPr>
              <w:rPr>
                <w:rFonts w:ascii="Arial" w:hAnsi="Arial" w:cs="Arial"/>
                <w:b/>
                <w:bCs/>
              </w:rPr>
            </w:pPr>
          </w:p>
        </w:tc>
        <w:tc>
          <w:tcPr>
            <w:tcW w:w="3982" w:type="dxa"/>
            <w:vAlign w:val="center"/>
          </w:tcPr>
          <w:p w14:paraId="5D33FDBD" w14:textId="77777777" w:rsidR="00F027F8" w:rsidRPr="00F027F8" w:rsidRDefault="00F027F8" w:rsidP="00F027F8">
            <w:pPr>
              <w:rPr>
                <w:rFonts w:ascii="Arial" w:hAnsi="Arial" w:cs="Arial"/>
              </w:rPr>
            </w:pPr>
            <w:r w:rsidRPr="00F027F8">
              <w:rPr>
                <w:rFonts w:ascii="Arial" w:hAnsi="Arial" w:cs="Arial"/>
              </w:rPr>
              <w:t>31-40 years old</w:t>
            </w:r>
          </w:p>
        </w:tc>
        <w:tc>
          <w:tcPr>
            <w:tcW w:w="1506" w:type="dxa"/>
            <w:vAlign w:val="center"/>
          </w:tcPr>
          <w:p w14:paraId="2E9A2144" w14:textId="77777777" w:rsidR="00F027F8" w:rsidRPr="00F027F8" w:rsidRDefault="00F027F8" w:rsidP="00F027F8">
            <w:pPr>
              <w:jc w:val="center"/>
              <w:rPr>
                <w:rFonts w:ascii="Arial" w:hAnsi="Arial" w:cs="Arial"/>
              </w:rPr>
            </w:pPr>
            <w:r w:rsidRPr="00F027F8">
              <w:rPr>
                <w:rFonts w:ascii="Arial" w:hAnsi="Arial" w:cs="Arial"/>
              </w:rPr>
              <w:t>83</w:t>
            </w:r>
          </w:p>
        </w:tc>
        <w:tc>
          <w:tcPr>
            <w:tcW w:w="1595" w:type="dxa"/>
            <w:vAlign w:val="center"/>
          </w:tcPr>
          <w:p w14:paraId="69FAECDE" w14:textId="77777777" w:rsidR="00F027F8" w:rsidRPr="00F027F8" w:rsidRDefault="00F027F8" w:rsidP="00F027F8">
            <w:pPr>
              <w:jc w:val="center"/>
              <w:rPr>
                <w:rFonts w:ascii="Arial" w:hAnsi="Arial" w:cs="Arial"/>
              </w:rPr>
            </w:pPr>
            <w:r w:rsidRPr="00F027F8">
              <w:rPr>
                <w:rFonts w:ascii="Arial" w:hAnsi="Arial" w:cs="Arial"/>
              </w:rPr>
              <w:t>28.82</w:t>
            </w:r>
          </w:p>
        </w:tc>
      </w:tr>
      <w:tr w:rsidR="00F027F8" w:rsidRPr="00F027F8" w14:paraId="01D37DD6" w14:textId="77777777" w:rsidTr="00755608">
        <w:trPr>
          <w:trHeight w:val="199"/>
          <w:jc w:val="center"/>
        </w:trPr>
        <w:tc>
          <w:tcPr>
            <w:tcW w:w="1651" w:type="dxa"/>
            <w:vAlign w:val="center"/>
          </w:tcPr>
          <w:p w14:paraId="5E48D6EF" w14:textId="77777777" w:rsidR="00F027F8" w:rsidRPr="00F027F8" w:rsidRDefault="00F027F8" w:rsidP="00F027F8">
            <w:pPr>
              <w:rPr>
                <w:rFonts w:ascii="Arial" w:hAnsi="Arial" w:cs="Arial"/>
                <w:b/>
                <w:bCs/>
              </w:rPr>
            </w:pPr>
          </w:p>
        </w:tc>
        <w:tc>
          <w:tcPr>
            <w:tcW w:w="3982" w:type="dxa"/>
            <w:vAlign w:val="center"/>
          </w:tcPr>
          <w:p w14:paraId="2B6A7122" w14:textId="77777777" w:rsidR="00F027F8" w:rsidRPr="00F027F8" w:rsidRDefault="00F027F8" w:rsidP="00F027F8">
            <w:pPr>
              <w:rPr>
                <w:rFonts w:ascii="Arial" w:hAnsi="Arial" w:cs="Arial"/>
              </w:rPr>
            </w:pPr>
            <w:r w:rsidRPr="00F027F8">
              <w:rPr>
                <w:rFonts w:ascii="Arial" w:hAnsi="Arial" w:cs="Arial"/>
              </w:rPr>
              <w:t>41 and above</w:t>
            </w:r>
          </w:p>
        </w:tc>
        <w:tc>
          <w:tcPr>
            <w:tcW w:w="1506" w:type="dxa"/>
            <w:vAlign w:val="center"/>
          </w:tcPr>
          <w:p w14:paraId="2D82E4D1" w14:textId="77777777" w:rsidR="00F027F8" w:rsidRPr="00F027F8" w:rsidRDefault="00F027F8" w:rsidP="00F027F8">
            <w:pPr>
              <w:jc w:val="center"/>
              <w:rPr>
                <w:rFonts w:ascii="Arial" w:hAnsi="Arial" w:cs="Arial"/>
              </w:rPr>
            </w:pPr>
            <w:r w:rsidRPr="00F027F8">
              <w:rPr>
                <w:rFonts w:ascii="Arial" w:hAnsi="Arial" w:cs="Arial"/>
              </w:rPr>
              <w:t>46</w:t>
            </w:r>
          </w:p>
        </w:tc>
        <w:tc>
          <w:tcPr>
            <w:tcW w:w="1595" w:type="dxa"/>
            <w:vAlign w:val="center"/>
          </w:tcPr>
          <w:p w14:paraId="1190FA00" w14:textId="77777777" w:rsidR="00F027F8" w:rsidRPr="00F027F8" w:rsidRDefault="00F027F8" w:rsidP="00F027F8">
            <w:pPr>
              <w:jc w:val="center"/>
              <w:rPr>
                <w:rFonts w:ascii="Arial" w:hAnsi="Arial" w:cs="Arial"/>
              </w:rPr>
            </w:pPr>
            <w:r w:rsidRPr="00F027F8">
              <w:rPr>
                <w:rFonts w:ascii="Arial" w:hAnsi="Arial" w:cs="Arial"/>
              </w:rPr>
              <w:t>15.97</w:t>
            </w:r>
          </w:p>
        </w:tc>
      </w:tr>
      <w:tr w:rsidR="00F027F8" w:rsidRPr="00F027F8" w14:paraId="7CD552CB" w14:textId="77777777" w:rsidTr="00755608">
        <w:trPr>
          <w:trHeight w:val="199"/>
          <w:jc w:val="center"/>
        </w:trPr>
        <w:tc>
          <w:tcPr>
            <w:tcW w:w="1651" w:type="dxa"/>
            <w:vAlign w:val="center"/>
          </w:tcPr>
          <w:p w14:paraId="298F382F" w14:textId="77777777" w:rsidR="00F027F8" w:rsidRPr="00F027F8" w:rsidRDefault="00F027F8" w:rsidP="00F027F8">
            <w:pPr>
              <w:rPr>
                <w:rFonts w:ascii="Arial" w:hAnsi="Arial" w:cs="Arial"/>
                <w:b/>
                <w:bCs/>
              </w:rPr>
            </w:pPr>
          </w:p>
        </w:tc>
        <w:tc>
          <w:tcPr>
            <w:tcW w:w="3982" w:type="dxa"/>
            <w:vAlign w:val="center"/>
          </w:tcPr>
          <w:p w14:paraId="766B3AD1" w14:textId="77777777" w:rsidR="00F027F8" w:rsidRPr="00F027F8" w:rsidRDefault="00F027F8" w:rsidP="00F027F8">
            <w:pPr>
              <w:rPr>
                <w:rFonts w:ascii="Arial" w:hAnsi="Arial" w:cs="Arial"/>
              </w:rPr>
            </w:pPr>
          </w:p>
        </w:tc>
        <w:tc>
          <w:tcPr>
            <w:tcW w:w="1506" w:type="dxa"/>
            <w:vAlign w:val="center"/>
          </w:tcPr>
          <w:p w14:paraId="0ABC494F" w14:textId="77777777" w:rsidR="00F027F8" w:rsidRPr="00F027F8" w:rsidRDefault="00F027F8" w:rsidP="00F027F8">
            <w:pPr>
              <w:jc w:val="center"/>
              <w:rPr>
                <w:rFonts w:ascii="Arial" w:hAnsi="Arial" w:cs="Arial"/>
              </w:rPr>
            </w:pPr>
          </w:p>
        </w:tc>
        <w:tc>
          <w:tcPr>
            <w:tcW w:w="1595" w:type="dxa"/>
            <w:vAlign w:val="center"/>
          </w:tcPr>
          <w:p w14:paraId="74550608" w14:textId="77777777" w:rsidR="00F027F8" w:rsidRPr="00F027F8" w:rsidRDefault="00F027F8" w:rsidP="00F027F8">
            <w:pPr>
              <w:jc w:val="center"/>
              <w:rPr>
                <w:rFonts w:ascii="Arial" w:hAnsi="Arial" w:cs="Arial"/>
              </w:rPr>
            </w:pPr>
          </w:p>
        </w:tc>
      </w:tr>
      <w:tr w:rsidR="00F027F8" w:rsidRPr="00F027F8" w14:paraId="3E3FD100" w14:textId="77777777" w:rsidTr="00755608">
        <w:trPr>
          <w:trHeight w:val="261"/>
          <w:jc w:val="center"/>
        </w:trPr>
        <w:tc>
          <w:tcPr>
            <w:tcW w:w="1651" w:type="dxa"/>
            <w:vAlign w:val="center"/>
          </w:tcPr>
          <w:p w14:paraId="1ED6398C" w14:textId="77777777" w:rsidR="00F027F8" w:rsidRPr="00F027F8" w:rsidRDefault="00F027F8" w:rsidP="00F027F8">
            <w:pPr>
              <w:rPr>
                <w:rFonts w:ascii="Arial" w:hAnsi="Arial" w:cs="Arial"/>
                <w:b/>
                <w:bCs/>
              </w:rPr>
            </w:pPr>
            <w:r w:rsidRPr="00F027F8">
              <w:rPr>
                <w:rFonts w:ascii="Arial" w:hAnsi="Arial" w:cs="Arial"/>
                <w:b/>
                <w:bCs/>
              </w:rPr>
              <w:t>Gender</w:t>
            </w:r>
          </w:p>
        </w:tc>
        <w:tc>
          <w:tcPr>
            <w:tcW w:w="3982" w:type="dxa"/>
          </w:tcPr>
          <w:p w14:paraId="1B6A76D2" w14:textId="77777777" w:rsidR="00F027F8" w:rsidRPr="00F027F8" w:rsidRDefault="00F027F8" w:rsidP="00F027F8">
            <w:pPr>
              <w:jc w:val="both"/>
              <w:rPr>
                <w:rFonts w:ascii="Arial" w:hAnsi="Arial" w:cs="Arial"/>
              </w:rPr>
            </w:pPr>
            <w:r w:rsidRPr="00F027F8">
              <w:rPr>
                <w:rFonts w:ascii="Arial" w:hAnsi="Arial" w:cs="Arial"/>
              </w:rPr>
              <w:t xml:space="preserve">Male </w:t>
            </w:r>
          </w:p>
        </w:tc>
        <w:tc>
          <w:tcPr>
            <w:tcW w:w="1506" w:type="dxa"/>
          </w:tcPr>
          <w:p w14:paraId="5E5D0A4A" w14:textId="77777777" w:rsidR="00F027F8" w:rsidRPr="00F027F8" w:rsidRDefault="00F027F8" w:rsidP="00F027F8">
            <w:pPr>
              <w:jc w:val="center"/>
              <w:rPr>
                <w:rFonts w:ascii="Arial" w:hAnsi="Arial" w:cs="Arial"/>
              </w:rPr>
            </w:pPr>
            <w:r w:rsidRPr="00F027F8">
              <w:rPr>
                <w:rFonts w:ascii="Arial" w:hAnsi="Arial" w:cs="Arial"/>
              </w:rPr>
              <w:t>99</w:t>
            </w:r>
          </w:p>
        </w:tc>
        <w:tc>
          <w:tcPr>
            <w:tcW w:w="1595" w:type="dxa"/>
          </w:tcPr>
          <w:p w14:paraId="326094F9" w14:textId="77777777" w:rsidR="00F027F8" w:rsidRPr="00F027F8" w:rsidRDefault="00F027F8" w:rsidP="00F027F8">
            <w:pPr>
              <w:jc w:val="center"/>
              <w:rPr>
                <w:rFonts w:ascii="Arial" w:hAnsi="Arial" w:cs="Arial"/>
              </w:rPr>
            </w:pPr>
            <w:r w:rsidRPr="00F027F8">
              <w:rPr>
                <w:rFonts w:ascii="Arial" w:hAnsi="Arial" w:cs="Arial"/>
              </w:rPr>
              <w:t>34.38</w:t>
            </w:r>
          </w:p>
        </w:tc>
      </w:tr>
      <w:tr w:rsidR="00F027F8" w:rsidRPr="00F027F8" w14:paraId="210330F3" w14:textId="77777777" w:rsidTr="00755608">
        <w:trPr>
          <w:trHeight w:val="277"/>
          <w:jc w:val="center"/>
        </w:trPr>
        <w:tc>
          <w:tcPr>
            <w:tcW w:w="1651" w:type="dxa"/>
            <w:vAlign w:val="center"/>
          </w:tcPr>
          <w:p w14:paraId="3141BDD9" w14:textId="77777777" w:rsidR="00F027F8" w:rsidRPr="00F027F8" w:rsidRDefault="00F027F8" w:rsidP="00F027F8">
            <w:pPr>
              <w:rPr>
                <w:rFonts w:ascii="Arial" w:hAnsi="Arial" w:cs="Arial"/>
                <w:b/>
                <w:bCs/>
              </w:rPr>
            </w:pPr>
          </w:p>
        </w:tc>
        <w:tc>
          <w:tcPr>
            <w:tcW w:w="3982" w:type="dxa"/>
          </w:tcPr>
          <w:p w14:paraId="421D074C" w14:textId="77777777" w:rsidR="00F027F8" w:rsidRPr="00F027F8" w:rsidRDefault="00F027F8" w:rsidP="00F027F8">
            <w:pPr>
              <w:jc w:val="both"/>
              <w:rPr>
                <w:rFonts w:ascii="Arial" w:hAnsi="Arial" w:cs="Arial"/>
              </w:rPr>
            </w:pPr>
            <w:r w:rsidRPr="00F027F8">
              <w:rPr>
                <w:rFonts w:ascii="Arial" w:hAnsi="Arial" w:cs="Arial"/>
              </w:rPr>
              <w:t>Female</w:t>
            </w:r>
          </w:p>
        </w:tc>
        <w:tc>
          <w:tcPr>
            <w:tcW w:w="1506" w:type="dxa"/>
          </w:tcPr>
          <w:p w14:paraId="6EADC3CD" w14:textId="77777777" w:rsidR="00F027F8" w:rsidRPr="00F027F8" w:rsidRDefault="00F027F8" w:rsidP="00F027F8">
            <w:pPr>
              <w:jc w:val="center"/>
              <w:rPr>
                <w:rFonts w:ascii="Arial" w:hAnsi="Arial" w:cs="Arial"/>
              </w:rPr>
            </w:pPr>
            <w:r w:rsidRPr="00F027F8">
              <w:rPr>
                <w:rFonts w:ascii="Arial" w:hAnsi="Arial" w:cs="Arial"/>
              </w:rPr>
              <w:t>189</w:t>
            </w:r>
          </w:p>
        </w:tc>
        <w:tc>
          <w:tcPr>
            <w:tcW w:w="1595" w:type="dxa"/>
          </w:tcPr>
          <w:p w14:paraId="1B3D7D78" w14:textId="77777777" w:rsidR="00F027F8" w:rsidRPr="00F027F8" w:rsidRDefault="00F027F8" w:rsidP="00F027F8">
            <w:pPr>
              <w:jc w:val="center"/>
              <w:rPr>
                <w:rFonts w:ascii="Arial" w:hAnsi="Arial" w:cs="Arial"/>
              </w:rPr>
            </w:pPr>
            <w:r w:rsidRPr="00F027F8">
              <w:rPr>
                <w:rFonts w:ascii="Arial" w:hAnsi="Arial" w:cs="Arial"/>
              </w:rPr>
              <w:t>65.63</w:t>
            </w:r>
          </w:p>
        </w:tc>
      </w:tr>
      <w:tr w:rsidR="00F027F8" w:rsidRPr="00F027F8" w14:paraId="05C13A9C" w14:textId="77777777" w:rsidTr="00755608">
        <w:trPr>
          <w:trHeight w:val="277"/>
          <w:jc w:val="center"/>
        </w:trPr>
        <w:tc>
          <w:tcPr>
            <w:tcW w:w="1651" w:type="dxa"/>
            <w:vAlign w:val="center"/>
          </w:tcPr>
          <w:p w14:paraId="12799147" w14:textId="77777777" w:rsidR="00F027F8" w:rsidRPr="00F027F8" w:rsidRDefault="00F027F8" w:rsidP="00F027F8">
            <w:pPr>
              <w:rPr>
                <w:rFonts w:ascii="Arial" w:hAnsi="Arial" w:cs="Arial"/>
                <w:b/>
                <w:bCs/>
              </w:rPr>
            </w:pPr>
          </w:p>
        </w:tc>
        <w:tc>
          <w:tcPr>
            <w:tcW w:w="3982" w:type="dxa"/>
          </w:tcPr>
          <w:p w14:paraId="5CC710B5" w14:textId="77777777" w:rsidR="00F027F8" w:rsidRPr="00F027F8" w:rsidRDefault="00F027F8" w:rsidP="00F027F8">
            <w:pPr>
              <w:jc w:val="both"/>
              <w:rPr>
                <w:rFonts w:ascii="Arial" w:hAnsi="Arial" w:cs="Arial"/>
              </w:rPr>
            </w:pPr>
          </w:p>
        </w:tc>
        <w:tc>
          <w:tcPr>
            <w:tcW w:w="1506" w:type="dxa"/>
          </w:tcPr>
          <w:p w14:paraId="5BD8C745" w14:textId="77777777" w:rsidR="00F027F8" w:rsidRPr="00F027F8" w:rsidRDefault="00F027F8" w:rsidP="00F027F8">
            <w:pPr>
              <w:jc w:val="center"/>
              <w:rPr>
                <w:rFonts w:ascii="Arial" w:hAnsi="Arial" w:cs="Arial"/>
              </w:rPr>
            </w:pPr>
          </w:p>
        </w:tc>
        <w:tc>
          <w:tcPr>
            <w:tcW w:w="1595" w:type="dxa"/>
          </w:tcPr>
          <w:p w14:paraId="266181E7" w14:textId="77777777" w:rsidR="00F027F8" w:rsidRPr="00F027F8" w:rsidRDefault="00F027F8" w:rsidP="00F027F8">
            <w:pPr>
              <w:jc w:val="center"/>
              <w:rPr>
                <w:rFonts w:ascii="Arial" w:hAnsi="Arial" w:cs="Arial"/>
              </w:rPr>
            </w:pPr>
          </w:p>
        </w:tc>
      </w:tr>
      <w:tr w:rsidR="00F027F8" w:rsidRPr="00F027F8" w14:paraId="5608AE68" w14:textId="77777777" w:rsidTr="00755608">
        <w:trPr>
          <w:trHeight w:val="277"/>
          <w:jc w:val="center"/>
        </w:trPr>
        <w:tc>
          <w:tcPr>
            <w:tcW w:w="1651" w:type="dxa"/>
            <w:vAlign w:val="center"/>
          </w:tcPr>
          <w:p w14:paraId="60F23548" w14:textId="77777777" w:rsidR="00F027F8" w:rsidRPr="00F027F8" w:rsidRDefault="00F027F8" w:rsidP="00F027F8">
            <w:pPr>
              <w:rPr>
                <w:rFonts w:ascii="Arial" w:hAnsi="Arial" w:cs="Arial"/>
                <w:b/>
                <w:bCs/>
              </w:rPr>
            </w:pPr>
            <w:r w:rsidRPr="00F027F8">
              <w:rPr>
                <w:rFonts w:ascii="Arial" w:hAnsi="Arial" w:cs="Arial"/>
                <w:b/>
                <w:bCs/>
              </w:rPr>
              <w:t>Position</w:t>
            </w:r>
          </w:p>
        </w:tc>
        <w:tc>
          <w:tcPr>
            <w:tcW w:w="3982" w:type="dxa"/>
            <w:vAlign w:val="bottom"/>
          </w:tcPr>
          <w:p w14:paraId="46F2F75A" w14:textId="77777777" w:rsidR="00F027F8" w:rsidRPr="00F027F8" w:rsidRDefault="00F027F8" w:rsidP="00F027F8">
            <w:pPr>
              <w:jc w:val="both"/>
              <w:rPr>
                <w:rFonts w:ascii="Arial" w:hAnsi="Arial" w:cs="Arial"/>
                <w:color w:val="000000"/>
              </w:rPr>
            </w:pPr>
            <w:r w:rsidRPr="00F027F8">
              <w:rPr>
                <w:rFonts w:ascii="Arial" w:hAnsi="Arial" w:cs="Arial"/>
                <w:color w:val="000000"/>
              </w:rPr>
              <w:t xml:space="preserve">Administrative Staff </w:t>
            </w:r>
          </w:p>
        </w:tc>
        <w:tc>
          <w:tcPr>
            <w:tcW w:w="1506" w:type="dxa"/>
            <w:vAlign w:val="bottom"/>
          </w:tcPr>
          <w:p w14:paraId="72081C9F" w14:textId="77777777" w:rsidR="00F027F8" w:rsidRPr="00F027F8" w:rsidRDefault="00F027F8" w:rsidP="00F027F8">
            <w:pPr>
              <w:jc w:val="center"/>
              <w:rPr>
                <w:rFonts w:ascii="Arial" w:hAnsi="Arial" w:cs="Arial"/>
              </w:rPr>
            </w:pPr>
            <w:r w:rsidRPr="00F027F8">
              <w:rPr>
                <w:rFonts w:ascii="Arial" w:hAnsi="Arial" w:cs="Arial"/>
              </w:rPr>
              <w:t>127</w:t>
            </w:r>
          </w:p>
        </w:tc>
        <w:tc>
          <w:tcPr>
            <w:tcW w:w="1595" w:type="dxa"/>
            <w:vAlign w:val="bottom"/>
          </w:tcPr>
          <w:p w14:paraId="3C3EF34D" w14:textId="77777777" w:rsidR="00F027F8" w:rsidRPr="00F027F8" w:rsidRDefault="00F027F8" w:rsidP="00F027F8">
            <w:pPr>
              <w:jc w:val="center"/>
              <w:rPr>
                <w:rFonts w:ascii="Arial" w:hAnsi="Arial" w:cs="Arial"/>
              </w:rPr>
            </w:pPr>
            <w:r w:rsidRPr="00F027F8">
              <w:rPr>
                <w:rFonts w:ascii="Arial" w:hAnsi="Arial" w:cs="Arial"/>
              </w:rPr>
              <w:t>44.10</w:t>
            </w:r>
          </w:p>
        </w:tc>
      </w:tr>
      <w:tr w:rsidR="00F027F8" w:rsidRPr="00F027F8" w14:paraId="5D5F6326" w14:textId="77777777" w:rsidTr="00755608">
        <w:trPr>
          <w:trHeight w:val="277"/>
          <w:jc w:val="center"/>
        </w:trPr>
        <w:tc>
          <w:tcPr>
            <w:tcW w:w="1651" w:type="dxa"/>
            <w:vAlign w:val="center"/>
          </w:tcPr>
          <w:p w14:paraId="2617B907" w14:textId="77777777" w:rsidR="00F027F8" w:rsidRPr="00F027F8" w:rsidRDefault="00F027F8" w:rsidP="00F027F8">
            <w:pPr>
              <w:rPr>
                <w:rFonts w:ascii="Arial" w:hAnsi="Arial" w:cs="Arial"/>
                <w:b/>
                <w:bCs/>
              </w:rPr>
            </w:pPr>
          </w:p>
        </w:tc>
        <w:tc>
          <w:tcPr>
            <w:tcW w:w="3982" w:type="dxa"/>
            <w:vAlign w:val="bottom"/>
          </w:tcPr>
          <w:p w14:paraId="772214EF" w14:textId="77777777" w:rsidR="00F027F8" w:rsidRPr="00F027F8" w:rsidRDefault="00F027F8" w:rsidP="00F027F8">
            <w:pPr>
              <w:jc w:val="both"/>
              <w:rPr>
                <w:rFonts w:ascii="Arial" w:hAnsi="Arial" w:cs="Arial"/>
                <w:color w:val="000000"/>
              </w:rPr>
            </w:pPr>
            <w:r w:rsidRPr="00F027F8">
              <w:rPr>
                <w:rFonts w:ascii="Arial" w:hAnsi="Arial" w:cs="Arial"/>
                <w:color w:val="000000"/>
              </w:rPr>
              <w:t>Health Professional</w:t>
            </w:r>
          </w:p>
        </w:tc>
        <w:tc>
          <w:tcPr>
            <w:tcW w:w="1506" w:type="dxa"/>
            <w:vAlign w:val="bottom"/>
          </w:tcPr>
          <w:p w14:paraId="718A1B65" w14:textId="77777777" w:rsidR="00F027F8" w:rsidRPr="00F027F8" w:rsidRDefault="00F027F8" w:rsidP="00F027F8">
            <w:pPr>
              <w:jc w:val="center"/>
              <w:rPr>
                <w:rFonts w:ascii="Arial" w:hAnsi="Arial" w:cs="Arial"/>
              </w:rPr>
            </w:pPr>
            <w:r w:rsidRPr="00F027F8">
              <w:rPr>
                <w:rFonts w:ascii="Arial" w:hAnsi="Arial" w:cs="Arial"/>
              </w:rPr>
              <w:t>161</w:t>
            </w:r>
          </w:p>
        </w:tc>
        <w:tc>
          <w:tcPr>
            <w:tcW w:w="1595" w:type="dxa"/>
            <w:vAlign w:val="bottom"/>
          </w:tcPr>
          <w:p w14:paraId="5A49D439" w14:textId="77777777" w:rsidR="00F027F8" w:rsidRPr="00F027F8" w:rsidRDefault="00F027F8" w:rsidP="00F027F8">
            <w:pPr>
              <w:jc w:val="center"/>
              <w:rPr>
                <w:rFonts w:ascii="Arial" w:hAnsi="Arial" w:cs="Arial"/>
              </w:rPr>
            </w:pPr>
            <w:r w:rsidRPr="00F027F8">
              <w:rPr>
                <w:rFonts w:ascii="Arial" w:hAnsi="Arial" w:cs="Arial"/>
              </w:rPr>
              <w:t>55.90</w:t>
            </w:r>
          </w:p>
        </w:tc>
      </w:tr>
      <w:tr w:rsidR="00F027F8" w:rsidRPr="00F027F8" w14:paraId="1DDBBD5B" w14:textId="77777777" w:rsidTr="00755608">
        <w:trPr>
          <w:trHeight w:val="277"/>
          <w:jc w:val="center"/>
        </w:trPr>
        <w:tc>
          <w:tcPr>
            <w:tcW w:w="1651" w:type="dxa"/>
            <w:vAlign w:val="center"/>
          </w:tcPr>
          <w:p w14:paraId="2F6B9DD8" w14:textId="77777777" w:rsidR="00F027F8" w:rsidRPr="00F027F8" w:rsidRDefault="00F027F8" w:rsidP="00F027F8">
            <w:pPr>
              <w:rPr>
                <w:rFonts w:ascii="Arial" w:hAnsi="Arial" w:cs="Arial"/>
                <w:b/>
                <w:bCs/>
              </w:rPr>
            </w:pPr>
          </w:p>
        </w:tc>
        <w:tc>
          <w:tcPr>
            <w:tcW w:w="3982" w:type="dxa"/>
            <w:vAlign w:val="bottom"/>
          </w:tcPr>
          <w:p w14:paraId="4E9336AB" w14:textId="77777777" w:rsidR="00F027F8" w:rsidRPr="00F027F8" w:rsidRDefault="00F027F8" w:rsidP="00F027F8">
            <w:pPr>
              <w:jc w:val="both"/>
              <w:rPr>
                <w:rFonts w:ascii="Arial" w:hAnsi="Arial" w:cs="Arial"/>
                <w:color w:val="000000"/>
              </w:rPr>
            </w:pPr>
          </w:p>
        </w:tc>
        <w:tc>
          <w:tcPr>
            <w:tcW w:w="1506" w:type="dxa"/>
            <w:vAlign w:val="bottom"/>
          </w:tcPr>
          <w:p w14:paraId="00A517BD" w14:textId="77777777" w:rsidR="00F027F8" w:rsidRPr="00F027F8" w:rsidRDefault="00F027F8" w:rsidP="00F027F8">
            <w:pPr>
              <w:jc w:val="center"/>
              <w:rPr>
                <w:rFonts w:ascii="Arial" w:hAnsi="Arial" w:cs="Arial"/>
              </w:rPr>
            </w:pPr>
          </w:p>
        </w:tc>
        <w:tc>
          <w:tcPr>
            <w:tcW w:w="1595" w:type="dxa"/>
            <w:vAlign w:val="bottom"/>
          </w:tcPr>
          <w:p w14:paraId="588C6A6D" w14:textId="77777777" w:rsidR="00F027F8" w:rsidRPr="00F027F8" w:rsidRDefault="00F027F8" w:rsidP="00F027F8">
            <w:pPr>
              <w:jc w:val="center"/>
              <w:rPr>
                <w:rFonts w:ascii="Arial" w:hAnsi="Arial" w:cs="Arial"/>
              </w:rPr>
            </w:pPr>
          </w:p>
        </w:tc>
      </w:tr>
      <w:tr w:rsidR="00F027F8" w:rsidRPr="00F027F8" w14:paraId="4FD1BF46" w14:textId="77777777" w:rsidTr="00755608">
        <w:trPr>
          <w:trHeight w:val="277"/>
          <w:jc w:val="center"/>
        </w:trPr>
        <w:tc>
          <w:tcPr>
            <w:tcW w:w="1651" w:type="dxa"/>
            <w:vMerge w:val="restart"/>
            <w:vAlign w:val="center"/>
          </w:tcPr>
          <w:p w14:paraId="11FBFE44" w14:textId="77777777" w:rsidR="00F027F8" w:rsidRPr="00F027F8" w:rsidRDefault="00F027F8" w:rsidP="00F027F8">
            <w:pPr>
              <w:rPr>
                <w:rFonts w:ascii="Arial" w:hAnsi="Arial" w:cs="Arial"/>
                <w:b/>
                <w:bCs/>
              </w:rPr>
            </w:pPr>
            <w:r w:rsidRPr="00F027F8">
              <w:rPr>
                <w:rFonts w:ascii="Arial" w:hAnsi="Arial" w:cs="Arial"/>
                <w:b/>
                <w:bCs/>
              </w:rPr>
              <w:t>Monthly Income</w:t>
            </w:r>
          </w:p>
        </w:tc>
        <w:tc>
          <w:tcPr>
            <w:tcW w:w="3982" w:type="dxa"/>
            <w:vAlign w:val="bottom"/>
          </w:tcPr>
          <w:p w14:paraId="0B561EA5" w14:textId="77777777" w:rsidR="00F027F8" w:rsidRPr="00F027F8" w:rsidRDefault="00F027F8" w:rsidP="00F027F8">
            <w:pPr>
              <w:jc w:val="both"/>
              <w:rPr>
                <w:rFonts w:ascii="Arial" w:hAnsi="Arial" w:cs="Arial"/>
                <w:color w:val="000000"/>
              </w:rPr>
            </w:pPr>
            <w:r w:rsidRPr="00F027F8">
              <w:rPr>
                <w:rFonts w:ascii="Arial" w:hAnsi="Arial" w:cs="Arial"/>
                <w:color w:val="000000"/>
              </w:rPr>
              <w:t>Below ₱15,000</w:t>
            </w:r>
          </w:p>
        </w:tc>
        <w:tc>
          <w:tcPr>
            <w:tcW w:w="1506" w:type="dxa"/>
            <w:vAlign w:val="bottom"/>
          </w:tcPr>
          <w:p w14:paraId="01E24C4E" w14:textId="77777777" w:rsidR="00F027F8" w:rsidRPr="00F027F8" w:rsidRDefault="00F027F8" w:rsidP="00F027F8">
            <w:pPr>
              <w:jc w:val="center"/>
              <w:rPr>
                <w:rFonts w:ascii="Arial" w:hAnsi="Arial" w:cs="Arial"/>
              </w:rPr>
            </w:pPr>
            <w:r w:rsidRPr="00F027F8">
              <w:rPr>
                <w:rFonts w:ascii="Arial" w:hAnsi="Arial" w:cs="Arial"/>
              </w:rPr>
              <w:t>119</w:t>
            </w:r>
          </w:p>
        </w:tc>
        <w:tc>
          <w:tcPr>
            <w:tcW w:w="1595" w:type="dxa"/>
          </w:tcPr>
          <w:p w14:paraId="6195EDD4" w14:textId="77777777" w:rsidR="00F027F8" w:rsidRPr="00F027F8" w:rsidRDefault="00F027F8" w:rsidP="00F027F8">
            <w:pPr>
              <w:jc w:val="center"/>
              <w:rPr>
                <w:rFonts w:ascii="Arial" w:hAnsi="Arial" w:cs="Arial"/>
              </w:rPr>
            </w:pPr>
            <w:r w:rsidRPr="00F027F8">
              <w:rPr>
                <w:rFonts w:ascii="Arial" w:hAnsi="Arial" w:cs="Arial"/>
              </w:rPr>
              <w:t>41.32</w:t>
            </w:r>
          </w:p>
        </w:tc>
      </w:tr>
      <w:tr w:rsidR="00F027F8" w:rsidRPr="00F027F8" w14:paraId="49D5E483" w14:textId="77777777" w:rsidTr="00755608">
        <w:trPr>
          <w:trHeight w:val="277"/>
          <w:jc w:val="center"/>
        </w:trPr>
        <w:tc>
          <w:tcPr>
            <w:tcW w:w="1651" w:type="dxa"/>
            <w:vMerge/>
            <w:vAlign w:val="center"/>
          </w:tcPr>
          <w:p w14:paraId="3CA3C86E" w14:textId="77777777" w:rsidR="00F027F8" w:rsidRPr="00F027F8" w:rsidRDefault="00F027F8" w:rsidP="00F027F8">
            <w:pPr>
              <w:rPr>
                <w:rFonts w:ascii="Arial" w:hAnsi="Arial" w:cs="Arial"/>
                <w:b/>
                <w:bCs/>
              </w:rPr>
            </w:pPr>
          </w:p>
        </w:tc>
        <w:tc>
          <w:tcPr>
            <w:tcW w:w="3982" w:type="dxa"/>
            <w:vAlign w:val="bottom"/>
          </w:tcPr>
          <w:p w14:paraId="724D024B" w14:textId="77777777" w:rsidR="00F027F8" w:rsidRPr="00F027F8" w:rsidRDefault="00F027F8" w:rsidP="00F027F8">
            <w:pPr>
              <w:jc w:val="both"/>
              <w:rPr>
                <w:rFonts w:ascii="Arial" w:hAnsi="Arial" w:cs="Arial"/>
                <w:color w:val="000000"/>
              </w:rPr>
            </w:pPr>
            <w:r w:rsidRPr="00F027F8">
              <w:rPr>
                <w:rFonts w:ascii="Arial" w:hAnsi="Arial" w:cs="Arial"/>
                <w:color w:val="000000"/>
              </w:rPr>
              <w:t>₱15,000 - ₱30,000</w:t>
            </w:r>
          </w:p>
        </w:tc>
        <w:tc>
          <w:tcPr>
            <w:tcW w:w="1506" w:type="dxa"/>
            <w:vAlign w:val="bottom"/>
          </w:tcPr>
          <w:p w14:paraId="0F5DEB63" w14:textId="77777777" w:rsidR="00F027F8" w:rsidRPr="00F027F8" w:rsidRDefault="00F027F8" w:rsidP="00F027F8">
            <w:pPr>
              <w:jc w:val="center"/>
              <w:rPr>
                <w:rFonts w:ascii="Arial" w:hAnsi="Arial" w:cs="Arial"/>
              </w:rPr>
            </w:pPr>
            <w:r w:rsidRPr="00F027F8">
              <w:rPr>
                <w:rFonts w:ascii="Arial" w:hAnsi="Arial" w:cs="Arial"/>
              </w:rPr>
              <w:t>142</w:t>
            </w:r>
          </w:p>
        </w:tc>
        <w:tc>
          <w:tcPr>
            <w:tcW w:w="1595" w:type="dxa"/>
          </w:tcPr>
          <w:p w14:paraId="211BFD6C" w14:textId="77777777" w:rsidR="00F027F8" w:rsidRPr="00F027F8" w:rsidRDefault="00F027F8" w:rsidP="00F027F8">
            <w:pPr>
              <w:jc w:val="center"/>
              <w:rPr>
                <w:rFonts w:ascii="Arial" w:hAnsi="Arial" w:cs="Arial"/>
              </w:rPr>
            </w:pPr>
            <w:r w:rsidRPr="00F027F8">
              <w:rPr>
                <w:rFonts w:ascii="Arial" w:hAnsi="Arial" w:cs="Arial"/>
              </w:rPr>
              <w:t>49.31</w:t>
            </w:r>
          </w:p>
        </w:tc>
      </w:tr>
      <w:tr w:rsidR="00F027F8" w:rsidRPr="00F027F8" w14:paraId="01CFB689" w14:textId="77777777" w:rsidTr="00755608">
        <w:trPr>
          <w:trHeight w:val="277"/>
          <w:jc w:val="center"/>
        </w:trPr>
        <w:tc>
          <w:tcPr>
            <w:tcW w:w="1651" w:type="dxa"/>
            <w:vAlign w:val="center"/>
          </w:tcPr>
          <w:p w14:paraId="2DAC4BFC" w14:textId="77777777" w:rsidR="00F027F8" w:rsidRPr="00F027F8" w:rsidRDefault="00F027F8" w:rsidP="00F027F8">
            <w:pPr>
              <w:rPr>
                <w:rFonts w:ascii="Arial" w:hAnsi="Arial" w:cs="Arial"/>
                <w:b/>
                <w:bCs/>
              </w:rPr>
            </w:pPr>
          </w:p>
        </w:tc>
        <w:tc>
          <w:tcPr>
            <w:tcW w:w="3982" w:type="dxa"/>
            <w:vAlign w:val="bottom"/>
          </w:tcPr>
          <w:p w14:paraId="45EBC695" w14:textId="77777777" w:rsidR="00F027F8" w:rsidRPr="00F027F8" w:rsidRDefault="00F027F8" w:rsidP="00F027F8">
            <w:pPr>
              <w:jc w:val="both"/>
              <w:rPr>
                <w:rFonts w:ascii="Arial" w:hAnsi="Arial" w:cs="Arial"/>
                <w:color w:val="000000"/>
              </w:rPr>
            </w:pPr>
            <w:r w:rsidRPr="00F027F8">
              <w:rPr>
                <w:rFonts w:ascii="Arial" w:hAnsi="Arial" w:cs="Arial"/>
                <w:color w:val="000000"/>
              </w:rPr>
              <w:t>Above ₱60,000</w:t>
            </w:r>
          </w:p>
        </w:tc>
        <w:tc>
          <w:tcPr>
            <w:tcW w:w="1506" w:type="dxa"/>
            <w:vAlign w:val="bottom"/>
          </w:tcPr>
          <w:p w14:paraId="012E1946" w14:textId="77777777" w:rsidR="00F027F8" w:rsidRPr="00F027F8" w:rsidRDefault="00F027F8" w:rsidP="00F027F8">
            <w:pPr>
              <w:jc w:val="center"/>
              <w:rPr>
                <w:rFonts w:ascii="Arial" w:hAnsi="Arial" w:cs="Arial"/>
              </w:rPr>
            </w:pPr>
            <w:r w:rsidRPr="00F027F8">
              <w:rPr>
                <w:rFonts w:ascii="Arial" w:hAnsi="Arial" w:cs="Arial"/>
              </w:rPr>
              <w:t>27</w:t>
            </w:r>
          </w:p>
        </w:tc>
        <w:tc>
          <w:tcPr>
            <w:tcW w:w="1595" w:type="dxa"/>
          </w:tcPr>
          <w:p w14:paraId="608C4F6B" w14:textId="77777777" w:rsidR="00F027F8" w:rsidRPr="00F027F8" w:rsidRDefault="00F027F8" w:rsidP="00F027F8">
            <w:pPr>
              <w:jc w:val="center"/>
              <w:rPr>
                <w:rFonts w:ascii="Arial" w:hAnsi="Arial" w:cs="Arial"/>
              </w:rPr>
            </w:pPr>
            <w:r w:rsidRPr="00F027F8">
              <w:rPr>
                <w:rFonts w:ascii="Arial" w:hAnsi="Arial" w:cs="Arial"/>
              </w:rPr>
              <w:t>9.38</w:t>
            </w:r>
          </w:p>
        </w:tc>
      </w:tr>
      <w:tr w:rsidR="00F027F8" w:rsidRPr="00F027F8" w14:paraId="07BD2327" w14:textId="77777777" w:rsidTr="00755608">
        <w:trPr>
          <w:trHeight w:val="277"/>
          <w:jc w:val="center"/>
        </w:trPr>
        <w:tc>
          <w:tcPr>
            <w:tcW w:w="1651" w:type="dxa"/>
            <w:vAlign w:val="center"/>
          </w:tcPr>
          <w:p w14:paraId="189A4B9C" w14:textId="77777777" w:rsidR="00F027F8" w:rsidRPr="00F027F8" w:rsidRDefault="00F027F8" w:rsidP="00F027F8">
            <w:pPr>
              <w:rPr>
                <w:rFonts w:ascii="Arial" w:hAnsi="Arial" w:cs="Arial"/>
                <w:b/>
                <w:bCs/>
              </w:rPr>
            </w:pPr>
          </w:p>
        </w:tc>
        <w:tc>
          <w:tcPr>
            <w:tcW w:w="3982" w:type="dxa"/>
            <w:vAlign w:val="bottom"/>
          </w:tcPr>
          <w:p w14:paraId="72536F18" w14:textId="77777777" w:rsidR="00F027F8" w:rsidRPr="00F027F8" w:rsidRDefault="00F027F8" w:rsidP="00F027F8">
            <w:pPr>
              <w:jc w:val="both"/>
              <w:rPr>
                <w:rFonts w:ascii="Arial" w:hAnsi="Arial" w:cs="Arial"/>
                <w:color w:val="000000"/>
              </w:rPr>
            </w:pPr>
          </w:p>
        </w:tc>
        <w:tc>
          <w:tcPr>
            <w:tcW w:w="1506" w:type="dxa"/>
            <w:vAlign w:val="bottom"/>
          </w:tcPr>
          <w:p w14:paraId="05D9F13F" w14:textId="77777777" w:rsidR="00F027F8" w:rsidRPr="00F027F8" w:rsidRDefault="00F027F8" w:rsidP="00F027F8">
            <w:pPr>
              <w:jc w:val="center"/>
              <w:rPr>
                <w:rFonts w:ascii="Arial" w:hAnsi="Arial" w:cs="Arial"/>
              </w:rPr>
            </w:pPr>
          </w:p>
        </w:tc>
        <w:tc>
          <w:tcPr>
            <w:tcW w:w="1595" w:type="dxa"/>
          </w:tcPr>
          <w:p w14:paraId="1508A560" w14:textId="77777777" w:rsidR="00F027F8" w:rsidRPr="00F027F8" w:rsidRDefault="00F027F8" w:rsidP="00F027F8">
            <w:pPr>
              <w:jc w:val="center"/>
              <w:rPr>
                <w:rFonts w:ascii="Arial" w:hAnsi="Arial" w:cs="Arial"/>
              </w:rPr>
            </w:pPr>
          </w:p>
        </w:tc>
      </w:tr>
      <w:tr w:rsidR="00F027F8" w:rsidRPr="00F027F8" w14:paraId="1E20D19E" w14:textId="77777777" w:rsidTr="00755608">
        <w:trPr>
          <w:trHeight w:val="277"/>
          <w:jc w:val="center"/>
        </w:trPr>
        <w:tc>
          <w:tcPr>
            <w:tcW w:w="1651" w:type="dxa"/>
            <w:vAlign w:val="center"/>
          </w:tcPr>
          <w:p w14:paraId="7DFA4962" w14:textId="77777777" w:rsidR="00F027F8" w:rsidRPr="00F027F8" w:rsidRDefault="00F027F8" w:rsidP="00F027F8">
            <w:pPr>
              <w:rPr>
                <w:rFonts w:ascii="Arial" w:hAnsi="Arial" w:cs="Arial"/>
                <w:b/>
                <w:bCs/>
              </w:rPr>
            </w:pPr>
            <w:r w:rsidRPr="00F027F8">
              <w:rPr>
                <w:rFonts w:ascii="Arial" w:hAnsi="Arial" w:cs="Arial"/>
                <w:b/>
                <w:bCs/>
              </w:rPr>
              <w:t>Marital Status</w:t>
            </w:r>
          </w:p>
        </w:tc>
        <w:tc>
          <w:tcPr>
            <w:tcW w:w="3982" w:type="dxa"/>
            <w:vAlign w:val="bottom"/>
          </w:tcPr>
          <w:p w14:paraId="05DE39FA" w14:textId="77777777" w:rsidR="00F027F8" w:rsidRPr="00F027F8" w:rsidRDefault="00F027F8" w:rsidP="00F027F8">
            <w:pPr>
              <w:jc w:val="both"/>
              <w:rPr>
                <w:rFonts w:ascii="Arial" w:hAnsi="Arial" w:cs="Arial"/>
                <w:color w:val="000000"/>
              </w:rPr>
            </w:pPr>
            <w:r w:rsidRPr="00F027F8">
              <w:rPr>
                <w:rFonts w:ascii="Arial" w:hAnsi="Arial" w:cs="Arial"/>
                <w:color w:val="000000"/>
              </w:rPr>
              <w:t>Single</w:t>
            </w:r>
          </w:p>
        </w:tc>
        <w:tc>
          <w:tcPr>
            <w:tcW w:w="1506" w:type="dxa"/>
            <w:vAlign w:val="bottom"/>
          </w:tcPr>
          <w:p w14:paraId="3962EB96" w14:textId="77777777" w:rsidR="00F027F8" w:rsidRPr="00F027F8" w:rsidRDefault="00F027F8" w:rsidP="00F027F8">
            <w:pPr>
              <w:jc w:val="center"/>
              <w:rPr>
                <w:rFonts w:ascii="Arial" w:hAnsi="Arial" w:cs="Arial"/>
              </w:rPr>
            </w:pPr>
            <w:r w:rsidRPr="00F027F8">
              <w:rPr>
                <w:rFonts w:ascii="Arial" w:hAnsi="Arial" w:cs="Arial"/>
              </w:rPr>
              <w:t>195</w:t>
            </w:r>
          </w:p>
        </w:tc>
        <w:tc>
          <w:tcPr>
            <w:tcW w:w="1595" w:type="dxa"/>
            <w:vAlign w:val="bottom"/>
          </w:tcPr>
          <w:p w14:paraId="22F4A313" w14:textId="77777777" w:rsidR="00F027F8" w:rsidRPr="00F027F8" w:rsidRDefault="00F027F8" w:rsidP="00F027F8">
            <w:pPr>
              <w:jc w:val="center"/>
              <w:rPr>
                <w:rFonts w:ascii="Arial" w:hAnsi="Arial" w:cs="Arial"/>
              </w:rPr>
            </w:pPr>
            <w:r w:rsidRPr="00F027F8">
              <w:rPr>
                <w:rFonts w:ascii="Arial" w:hAnsi="Arial" w:cs="Arial"/>
                <w:color w:val="000000"/>
              </w:rPr>
              <w:t>67.71</w:t>
            </w:r>
          </w:p>
        </w:tc>
      </w:tr>
      <w:tr w:rsidR="00F027F8" w:rsidRPr="00F027F8" w14:paraId="684623EB" w14:textId="77777777" w:rsidTr="00755608">
        <w:trPr>
          <w:trHeight w:val="277"/>
          <w:jc w:val="center"/>
        </w:trPr>
        <w:tc>
          <w:tcPr>
            <w:tcW w:w="1651" w:type="dxa"/>
            <w:vAlign w:val="center"/>
          </w:tcPr>
          <w:p w14:paraId="6C165956" w14:textId="77777777" w:rsidR="00F027F8" w:rsidRPr="00F027F8" w:rsidRDefault="00F027F8" w:rsidP="00F027F8">
            <w:pPr>
              <w:rPr>
                <w:rFonts w:ascii="Arial" w:hAnsi="Arial" w:cs="Arial"/>
                <w:b/>
                <w:bCs/>
              </w:rPr>
            </w:pPr>
          </w:p>
        </w:tc>
        <w:tc>
          <w:tcPr>
            <w:tcW w:w="3982" w:type="dxa"/>
            <w:vAlign w:val="bottom"/>
          </w:tcPr>
          <w:p w14:paraId="306E2843" w14:textId="77777777" w:rsidR="00F027F8" w:rsidRPr="00F027F8" w:rsidRDefault="00F027F8" w:rsidP="00F027F8">
            <w:pPr>
              <w:jc w:val="both"/>
              <w:rPr>
                <w:rFonts w:ascii="Arial" w:hAnsi="Arial" w:cs="Arial"/>
                <w:color w:val="000000"/>
              </w:rPr>
            </w:pPr>
            <w:r w:rsidRPr="00F027F8">
              <w:rPr>
                <w:rFonts w:ascii="Arial" w:hAnsi="Arial" w:cs="Arial"/>
                <w:color w:val="000000"/>
              </w:rPr>
              <w:t>Married/ Partnered</w:t>
            </w:r>
          </w:p>
        </w:tc>
        <w:tc>
          <w:tcPr>
            <w:tcW w:w="1506" w:type="dxa"/>
            <w:vAlign w:val="bottom"/>
          </w:tcPr>
          <w:p w14:paraId="0D0B5B19" w14:textId="77777777" w:rsidR="00F027F8" w:rsidRPr="00F027F8" w:rsidRDefault="00F027F8" w:rsidP="00F027F8">
            <w:pPr>
              <w:jc w:val="center"/>
              <w:rPr>
                <w:rFonts w:ascii="Arial" w:hAnsi="Arial" w:cs="Arial"/>
              </w:rPr>
            </w:pPr>
            <w:r w:rsidRPr="00F027F8">
              <w:rPr>
                <w:rFonts w:ascii="Arial" w:hAnsi="Arial" w:cs="Arial"/>
              </w:rPr>
              <w:t>93</w:t>
            </w:r>
          </w:p>
        </w:tc>
        <w:tc>
          <w:tcPr>
            <w:tcW w:w="1595" w:type="dxa"/>
            <w:vAlign w:val="bottom"/>
          </w:tcPr>
          <w:p w14:paraId="07B28FDF" w14:textId="77777777" w:rsidR="00F027F8" w:rsidRPr="00F027F8" w:rsidRDefault="00F027F8" w:rsidP="00F027F8">
            <w:pPr>
              <w:jc w:val="center"/>
              <w:rPr>
                <w:rFonts w:ascii="Arial" w:hAnsi="Arial" w:cs="Arial"/>
              </w:rPr>
            </w:pPr>
            <w:r w:rsidRPr="00F027F8">
              <w:rPr>
                <w:rFonts w:ascii="Arial" w:hAnsi="Arial" w:cs="Arial"/>
                <w:color w:val="000000"/>
              </w:rPr>
              <w:t>32.29</w:t>
            </w:r>
          </w:p>
        </w:tc>
      </w:tr>
      <w:tr w:rsidR="00F027F8" w:rsidRPr="00F027F8" w14:paraId="0D4C3CB7" w14:textId="77777777" w:rsidTr="00755608">
        <w:trPr>
          <w:trHeight w:val="277"/>
          <w:jc w:val="center"/>
        </w:trPr>
        <w:tc>
          <w:tcPr>
            <w:tcW w:w="1651" w:type="dxa"/>
            <w:vAlign w:val="center"/>
          </w:tcPr>
          <w:p w14:paraId="65DCDA44" w14:textId="77777777" w:rsidR="00F027F8" w:rsidRPr="00F027F8" w:rsidRDefault="00F027F8" w:rsidP="00F027F8">
            <w:pPr>
              <w:rPr>
                <w:rFonts w:ascii="Arial" w:hAnsi="Arial" w:cs="Arial"/>
                <w:b/>
                <w:bCs/>
              </w:rPr>
            </w:pPr>
          </w:p>
        </w:tc>
        <w:tc>
          <w:tcPr>
            <w:tcW w:w="3982" w:type="dxa"/>
            <w:vAlign w:val="bottom"/>
          </w:tcPr>
          <w:p w14:paraId="64AE521F" w14:textId="77777777" w:rsidR="00F027F8" w:rsidRPr="00F027F8" w:rsidRDefault="00F027F8" w:rsidP="00F027F8">
            <w:pPr>
              <w:jc w:val="both"/>
              <w:rPr>
                <w:rFonts w:ascii="Arial" w:hAnsi="Arial" w:cs="Arial"/>
                <w:color w:val="000000"/>
              </w:rPr>
            </w:pPr>
          </w:p>
        </w:tc>
        <w:tc>
          <w:tcPr>
            <w:tcW w:w="1506" w:type="dxa"/>
            <w:vAlign w:val="bottom"/>
          </w:tcPr>
          <w:p w14:paraId="0E914CED" w14:textId="77777777" w:rsidR="00F027F8" w:rsidRPr="00F027F8" w:rsidRDefault="00F027F8" w:rsidP="00F027F8">
            <w:pPr>
              <w:jc w:val="center"/>
              <w:rPr>
                <w:rFonts w:ascii="Arial" w:hAnsi="Arial" w:cs="Arial"/>
              </w:rPr>
            </w:pPr>
          </w:p>
        </w:tc>
        <w:tc>
          <w:tcPr>
            <w:tcW w:w="1595" w:type="dxa"/>
            <w:vAlign w:val="bottom"/>
          </w:tcPr>
          <w:p w14:paraId="7740D585" w14:textId="77777777" w:rsidR="00F027F8" w:rsidRPr="00F027F8" w:rsidRDefault="00F027F8" w:rsidP="00F027F8">
            <w:pPr>
              <w:jc w:val="center"/>
              <w:rPr>
                <w:rFonts w:ascii="Arial" w:hAnsi="Arial" w:cs="Arial"/>
                <w:color w:val="000000"/>
              </w:rPr>
            </w:pPr>
          </w:p>
        </w:tc>
      </w:tr>
      <w:tr w:rsidR="00F027F8" w:rsidRPr="00F027F8" w14:paraId="0C8C857E" w14:textId="77777777" w:rsidTr="00755608">
        <w:trPr>
          <w:trHeight w:val="261"/>
          <w:jc w:val="center"/>
        </w:trPr>
        <w:tc>
          <w:tcPr>
            <w:tcW w:w="1651" w:type="dxa"/>
            <w:vMerge w:val="restart"/>
            <w:vAlign w:val="center"/>
          </w:tcPr>
          <w:p w14:paraId="40C1F373" w14:textId="77777777" w:rsidR="00F027F8" w:rsidRPr="00F027F8" w:rsidRDefault="00F027F8" w:rsidP="00F027F8">
            <w:pPr>
              <w:rPr>
                <w:rFonts w:ascii="Arial" w:hAnsi="Arial" w:cs="Arial"/>
                <w:b/>
                <w:bCs/>
              </w:rPr>
            </w:pPr>
            <w:r w:rsidRPr="00F027F8">
              <w:rPr>
                <w:rFonts w:ascii="Arial" w:hAnsi="Arial" w:cs="Arial"/>
                <w:b/>
                <w:bCs/>
              </w:rPr>
              <w:t>Employment Type</w:t>
            </w:r>
          </w:p>
        </w:tc>
        <w:tc>
          <w:tcPr>
            <w:tcW w:w="3982" w:type="dxa"/>
            <w:vAlign w:val="bottom"/>
          </w:tcPr>
          <w:p w14:paraId="6BA55ABE" w14:textId="77777777" w:rsidR="00F027F8" w:rsidRPr="00F027F8" w:rsidRDefault="00F027F8" w:rsidP="00F027F8">
            <w:pPr>
              <w:jc w:val="both"/>
              <w:rPr>
                <w:rFonts w:ascii="Arial" w:hAnsi="Arial" w:cs="Arial"/>
              </w:rPr>
            </w:pPr>
            <w:r w:rsidRPr="00F027F8">
              <w:rPr>
                <w:rFonts w:ascii="Arial" w:hAnsi="Arial" w:cs="Arial"/>
              </w:rPr>
              <w:t xml:space="preserve">Permanent </w:t>
            </w:r>
          </w:p>
        </w:tc>
        <w:tc>
          <w:tcPr>
            <w:tcW w:w="1506" w:type="dxa"/>
          </w:tcPr>
          <w:p w14:paraId="41970E4E" w14:textId="77777777" w:rsidR="00F027F8" w:rsidRPr="00F027F8" w:rsidRDefault="00F027F8" w:rsidP="00F027F8">
            <w:pPr>
              <w:jc w:val="center"/>
              <w:rPr>
                <w:rFonts w:ascii="Arial" w:hAnsi="Arial" w:cs="Arial"/>
              </w:rPr>
            </w:pPr>
            <w:r w:rsidRPr="00F027F8">
              <w:rPr>
                <w:rFonts w:ascii="Arial" w:hAnsi="Arial" w:cs="Arial"/>
              </w:rPr>
              <w:t>249</w:t>
            </w:r>
          </w:p>
        </w:tc>
        <w:tc>
          <w:tcPr>
            <w:tcW w:w="1595" w:type="dxa"/>
            <w:vAlign w:val="bottom"/>
          </w:tcPr>
          <w:p w14:paraId="5B0C93BC" w14:textId="77777777" w:rsidR="00F027F8" w:rsidRPr="00F027F8" w:rsidRDefault="00F027F8" w:rsidP="00F027F8">
            <w:pPr>
              <w:jc w:val="center"/>
              <w:rPr>
                <w:rFonts w:ascii="Arial" w:hAnsi="Arial" w:cs="Arial"/>
              </w:rPr>
            </w:pPr>
            <w:r w:rsidRPr="00F027F8">
              <w:rPr>
                <w:rFonts w:ascii="Arial" w:hAnsi="Arial" w:cs="Arial"/>
                <w:color w:val="000000"/>
              </w:rPr>
              <w:t>86.64</w:t>
            </w:r>
          </w:p>
        </w:tc>
      </w:tr>
      <w:tr w:rsidR="00F027F8" w:rsidRPr="00F027F8" w14:paraId="162282E0" w14:textId="77777777" w:rsidTr="00755608">
        <w:trPr>
          <w:trHeight w:val="277"/>
          <w:jc w:val="center"/>
        </w:trPr>
        <w:tc>
          <w:tcPr>
            <w:tcW w:w="1651" w:type="dxa"/>
            <w:vMerge/>
            <w:vAlign w:val="bottom"/>
          </w:tcPr>
          <w:p w14:paraId="05E9DF5C" w14:textId="77777777" w:rsidR="00F027F8" w:rsidRPr="00F027F8" w:rsidRDefault="00F027F8" w:rsidP="00F027F8">
            <w:pPr>
              <w:rPr>
                <w:rFonts w:ascii="Arial" w:hAnsi="Arial" w:cs="Arial"/>
              </w:rPr>
            </w:pPr>
          </w:p>
        </w:tc>
        <w:tc>
          <w:tcPr>
            <w:tcW w:w="3982" w:type="dxa"/>
            <w:vAlign w:val="bottom"/>
          </w:tcPr>
          <w:p w14:paraId="782A82D1" w14:textId="77777777" w:rsidR="00F027F8" w:rsidRPr="00F027F8" w:rsidRDefault="00F027F8" w:rsidP="00F027F8">
            <w:pPr>
              <w:jc w:val="both"/>
              <w:rPr>
                <w:rFonts w:ascii="Arial" w:hAnsi="Arial" w:cs="Arial"/>
              </w:rPr>
            </w:pPr>
            <w:r w:rsidRPr="00F027F8">
              <w:rPr>
                <w:rFonts w:ascii="Arial" w:hAnsi="Arial" w:cs="Arial"/>
              </w:rPr>
              <w:t>Non-permanent</w:t>
            </w:r>
          </w:p>
        </w:tc>
        <w:tc>
          <w:tcPr>
            <w:tcW w:w="1506" w:type="dxa"/>
          </w:tcPr>
          <w:p w14:paraId="11E98730" w14:textId="77777777" w:rsidR="00F027F8" w:rsidRPr="00F027F8" w:rsidRDefault="00F027F8" w:rsidP="00F027F8">
            <w:pPr>
              <w:jc w:val="center"/>
              <w:rPr>
                <w:rFonts w:ascii="Arial" w:hAnsi="Arial" w:cs="Arial"/>
              </w:rPr>
            </w:pPr>
            <w:r w:rsidRPr="00F027F8">
              <w:rPr>
                <w:rFonts w:ascii="Arial" w:hAnsi="Arial" w:cs="Arial"/>
              </w:rPr>
              <w:t>39</w:t>
            </w:r>
          </w:p>
        </w:tc>
        <w:tc>
          <w:tcPr>
            <w:tcW w:w="1595" w:type="dxa"/>
            <w:vAlign w:val="bottom"/>
          </w:tcPr>
          <w:p w14:paraId="46F3E845" w14:textId="77777777" w:rsidR="00F027F8" w:rsidRPr="00F027F8" w:rsidRDefault="00F027F8" w:rsidP="00F027F8">
            <w:pPr>
              <w:jc w:val="center"/>
              <w:rPr>
                <w:rFonts w:ascii="Arial" w:hAnsi="Arial" w:cs="Arial"/>
              </w:rPr>
            </w:pPr>
            <w:r w:rsidRPr="00F027F8">
              <w:rPr>
                <w:rFonts w:ascii="Arial" w:hAnsi="Arial" w:cs="Arial"/>
                <w:color w:val="000000"/>
              </w:rPr>
              <w:t>13.54</w:t>
            </w:r>
          </w:p>
        </w:tc>
      </w:tr>
      <w:tr w:rsidR="00F027F8" w:rsidRPr="00F027F8" w14:paraId="53AE402E" w14:textId="77777777" w:rsidTr="00755608">
        <w:trPr>
          <w:trHeight w:val="261"/>
          <w:jc w:val="center"/>
        </w:trPr>
        <w:tc>
          <w:tcPr>
            <w:tcW w:w="5633" w:type="dxa"/>
            <w:gridSpan w:val="2"/>
            <w:vAlign w:val="bottom"/>
          </w:tcPr>
          <w:p w14:paraId="45037CC1" w14:textId="77777777" w:rsidR="00F027F8" w:rsidRPr="00F027F8" w:rsidRDefault="00F027F8" w:rsidP="00F027F8">
            <w:pPr>
              <w:jc w:val="right"/>
              <w:rPr>
                <w:rFonts w:ascii="Arial" w:hAnsi="Arial" w:cs="Arial"/>
                <w:b/>
                <w:bCs/>
                <w:color w:val="000000"/>
              </w:rPr>
            </w:pPr>
            <w:r w:rsidRPr="00F027F8">
              <w:rPr>
                <w:rFonts w:ascii="Arial" w:hAnsi="Arial" w:cs="Arial"/>
                <w:b/>
                <w:bCs/>
                <w:color w:val="000000"/>
              </w:rPr>
              <w:t>Total</w:t>
            </w:r>
          </w:p>
        </w:tc>
        <w:tc>
          <w:tcPr>
            <w:tcW w:w="1506" w:type="dxa"/>
          </w:tcPr>
          <w:p w14:paraId="31D5C67D" w14:textId="77777777" w:rsidR="00F027F8" w:rsidRPr="00F027F8" w:rsidRDefault="00F027F8" w:rsidP="00F027F8">
            <w:pPr>
              <w:jc w:val="center"/>
              <w:rPr>
                <w:rFonts w:ascii="Arial" w:hAnsi="Arial" w:cs="Arial"/>
                <w:b/>
                <w:bCs/>
              </w:rPr>
            </w:pPr>
            <w:r w:rsidRPr="00F027F8">
              <w:rPr>
                <w:rFonts w:ascii="Arial" w:hAnsi="Arial" w:cs="Arial"/>
                <w:b/>
                <w:bCs/>
              </w:rPr>
              <w:t>288</w:t>
            </w:r>
          </w:p>
        </w:tc>
        <w:tc>
          <w:tcPr>
            <w:tcW w:w="1595" w:type="dxa"/>
            <w:vAlign w:val="bottom"/>
          </w:tcPr>
          <w:p w14:paraId="712C8319" w14:textId="77777777" w:rsidR="00F027F8" w:rsidRPr="00F027F8" w:rsidRDefault="00F027F8" w:rsidP="00F027F8">
            <w:pPr>
              <w:jc w:val="center"/>
              <w:rPr>
                <w:rFonts w:ascii="Arial" w:hAnsi="Arial" w:cs="Arial"/>
                <w:b/>
                <w:bCs/>
              </w:rPr>
            </w:pPr>
            <w:r w:rsidRPr="00F027F8">
              <w:rPr>
                <w:rFonts w:ascii="Arial" w:hAnsi="Arial" w:cs="Arial"/>
                <w:b/>
                <w:bCs/>
              </w:rPr>
              <w:t>100.0</w:t>
            </w:r>
          </w:p>
        </w:tc>
      </w:tr>
    </w:tbl>
    <w:p w14:paraId="79BD2B71" w14:textId="5F2004C4" w:rsidR="00F027F8" w:rsidRPr="00F027F8" w:rsidRDefault="00F027F8" w:rsidP="00A81877">
      <w:pPr>
        <w:tabs>
          <w:tab w:val="left" w:pos="567"/>
          <w:tab w:val="left" w:pos="4956"/>
        </w:tabs>
        <w:spacing w:before="120" w:after="0" w:line="240" w:lineRule="auto"/>
        <w:jc w:val="both"/>
        <w:rPr>
          <w:rFonts w:ascii="Arial" w:hAnsi="Arial" w:cs="Arial"/>
          <w:sz w:val="22"/>
          <w:szCs w:val="22"/>
        </w:rPr>
      </w:pPr>
      <w:r w:rsidRPr="00F027F8">
        <w:rPr>
          <w:rFonts w:ascii="Arial" w:hAnsi="Arial" w:cs="Arial"/>
          <w:sz w:val="22"/>
          <w:szCs w:val="22"/>
        </w:rPr>
        <w:t xml:space="preserve">The result on the demographic profile of the respondents from St. Elizabeth Hospital in terms of age shows that most of the respondents were those between 21-30 years old, followed by those 31 to 40 years old, and lastly, those who are 41 years old and above. This demonstrates that the respondents from St. Elizabeth Hospital were mostly younger employees seeking a job to build experience, develop skills, and discover job stability. </w:t>
      </w:r>
    </w:p>
    <w:p w14:paraId="69388735"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This result on age contradicts the result on the study of </w:t>
      </w:r>
      <w:proofErr w:type="spellStart"/>
      <w:r w:rsidRPr="00F027F8">
        <w:rPr>
          <w:rFonts w:ascii="Arial" w:hAnsi="Arial" w:cs="Arial"/>
          <w:sz w:val="22"/>
          <w:szCs w:val="22"/>
        </w:rPr>
        <w:t>Karaferis</w:t>
      </w:r>
      <w:proofErr w:type="spellEnd"/>
      <w:r w:rsidRPr="00F027F8">
        <w:rPr>
          <w:rFonts w:ascii="Arial" w:hAnsi="Arial" w:cs="Arial"/>
          <w:sz w:val="22"/>
          <w:szCs w:val="22"/>
        </w:rPr>
        <w:t xml:space="preserve"> et al. (2022) in one of the public hospitals in Greece which shows that the majority of their workforce is between 36 and 45 years old. However, this is consistent with the findings of Diakos et al. (2022) in which the majority of hospital employees are young working professionals.</w:t>
      </w:r>
    </w:p>
    <w:p w14:paraId="38A7F184"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The result on gender shows that the respondent group from St. Elizabeth Hospital was dominated by female employees with a frequency count of 189 (65.63%), while male respondents have 99 counts (34.38%). This high dominance of females, and smaller proportion of male shows an imbalance in workforce composition in St. Elizabeth hospital. This indicates that the respondent group from St. Elizabeth Hospital is predominantly female, which reflects the gender distribution in this study population. </w:t>
      </w:r>
    </w:p>
    <w:p w14:paraId="1DE9390F"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The result on gender is consistent with the findings of </w:t>
      </w:r>
      <w:proofErr w:type="spellStart"/>
      <w:r w:rsidRPr="00F027F8">
        <w:rPr>
          <w:rFonts w:ascii="Arial" w:hAnsi="Arial" w:cs="Arial"/>
          <w:sz w:val="22"/>
          <w:szCs w:val="22"/>
        </w:rPr>
        <w:t>Karaferis</w:t>
      </w:r>
      <w:proofErr w:type="spellEnd"/>
      <w:r w:rsidRPr="00F027F8">
        <w:rPr>
          <w:rFonts w:ascii="Arial" w:hAnsi="Arial" w:cs="Arial"/>
          <w:sz w:val="22"/>
          <w:szCs w:val="22"/>
        </w:rPr>
        <w:t xml:space="preserve"> et al. (2022) and Diakos et al. (2022) which shows that majority of the workforce in a selected hospital in Greece is composed of female employees. This suggest that there is a common reason for hiring female employees. This could be attributed to the normal nature of female in terms of care and empathy. </w:t>
      </w:r>
    </w:p>
    <w:p w14:paraId="173EC1B4"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 result shows that majority of the employees in St. Elizabeth hospital were health professionals with 161 respondents (55.90%). While those working as administrative staff were represented by 127 respondents (44.10). This result suggest that St. Elizabeth hospital focuses on ensuring that patients are provided with quality clinical services by hiring more professionals for medical tasks. While the presence of administrative staff implies that St. Elizabeth hospital ensures the efficient function of support systems, such as those managing administrative tasks. This balance is important in ensuring effective healthcare services and efficient operations. This implies the hospital needs to promote a collaborative work environment by providing sufficient training for both administrative staff and health professionals.</w:t>
      </w:r>
    </w:p>
    <w:p w14:paraId="5D99D448"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lastRenderedPageBreak/>
        <w:t>The result is consistent with the findings of Diakos et al. (2022) which shows that majority of the hospital employees are composed of health professionals in different specializations. This may imply that, in hospital settings, clinical personnel commonly compose a major part of the workforce because of the need to provide direct healthcare services.</w:t>
      </w:r>
    </w:p>
    <w:p w14:paraId="7171A957" w14:textId="7B019E33"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The result on the monthly income shows that majority of the employees in St. Elizabeth Hospital were earning between ₱15,000 - ₱30,000 with 142 counts (49.31%) comprising almost half of the total respondents, followed by those earning less than ₱15,000 with 119 counts (41.32%), and lastly those earning above ₱60,000 with 27 counts (9.38%). </w:t>
      </w:r>
      <w:r w:rsidR="000030CC" w:rsidRPr="000030CC">
        <w:rPr>
          <w:rFonts w:ascii="Arial" w:hAnsi="Arial" w:cs="Arial"/>
          <w:sz w:val="22"/>
          <w:szCs w:val="22"/>
        </w:rPr>
        <w:t xml:space="preserve">This implies that the respondents are in the low and lower-middle classes and this can have an effect on their ability to save and prepare financially for their retirement. </w:t>
      </w:r>
    </w:p>
    <w:p w14:paraId="307A70FB" w14:textId="1DEA8DF9" w:rsidR="00F027F8" w:rsidRPr="00F027F8" w:rsidRDefault="003B7EA1" w:rsidP="00A81877">
      <w:pPr>
        <w:spacing w:before="120" w:after="0" w:line="240" w:lineRule="auto"/>
        <w:jc w:val="both"/>
        <w:rPr>
          <w:rFonts w:ascii="Arial" w:hAnsi="Arial" w:cs="Arial"/>
          <w:sz w:val="22"/>
          <w:szCs w:val="22"/>
        </w:rPr>
      </w:pPr>
      <w:r w:rsidRPr="003B7EA1">
        <w:rPr>
          <w:rFonts w:ascii="Arial" w:hAnsi="Arial" w:cs="Arial"/>
          <w:sz w:val="22"/>
          <w:szCs w:val="22"/>
        </w:rPr>
        <w:t xml:space="preserve">The result on income distribution shows that most employees are receiving low salaries and this may have an impact on their financial preparation for retirement. According to </w:t>
      </w:r>
      <w:proofErr w:type="spellStart"/>
      <w:r w:rsidRPr="003B7EA1">
        <w:rPr>
          <w:rFonts w:ascii="Arial" w:hAnsi="Arial" w:cs="Arial"/>
          <w:sz w:val="22"/>
          <w:szCs w:val="22"/>
        </w:rPr>
        <w:t>Ghadwan</w:t>
      </w:r>
      <w:proofErr w:type="spellEnd"/>
      <w:r w:rsidRPr="003B7EA1">
        <w:rPr>
          <w:rFonts w:ascii="Arial" w:hAnsi="Arial" w:cs="Arial"/>
          <w:sz w:val="22"/>
          <w:szCs w:val="22"/>
        </w:rPr>
        <w:t xml:space="preserve"> et al., (2022), individuals with higher income also tend to be able to save more towards retirement than do lower-income individuals</w:t>
      </w:r>
      <w:r w:rsidR="00F027F8" w:rsidRPr="00F027F8">
        <w:rPr>
          <w:rFonts w:ascii="Arial" w:hAnsi="Arial" w:cs="Arial"/>
          <w:sz w:val="22"/>
          <w:szCs w:val="22"/>
        </w:rPr>
        <w:t>. Thus, the income distribution of respondents may be relevant in understanding their financial capacity for retirement preparation.</w:t>
      </w:r>
    </w:p>
    <w:p w14:paraId="644D291E" w14:textId="50E6E7C6"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The result on marital status shows that a large proportion of the respondents were not yet married or single with proportion count of 195 (67.71%). While the remaining proportion of 93 (32.29%) were married or living with a partner. This is consistent with the result on age distribution showing that most respondents are young adults who are at an early stage of their career. his data shows a need for tailored benefits, such as personal development and career growth programs, to support young employees and prepare them for long-term service in the hospital. This also calls for programs that will support work-life balance considering that some employees have familial obligations. This finding describes the marital status distribution of the respondents and may provide context in understanding differences in financial responsibilities among employees. The result is consistent with the findings of </w:t>
      </w:r>
      <w:proofErr w:type="spellStart"/>
      <w:r w:rsidRPr="00F027F8">
        <w:rPr>
          <w:rFonts w:ascii="Arial" w:hAnsi="Arial" w:cs="Arial"/>
          <w:sz w:val="22"/>
          <w:szCs w:val="22"/>
        </w:rPr>
        <w:t>Karaferis</w:t>
      </w:r>
      <w:proofErr w:type="spellEnd"/>
      <w:r w:rsidRPr="00F027F8">
        <w:rPr>
          <w:rFonts w:ascii="Arial" w:hAnsi="Arial" w:cs="Arial"/>
          <w:sz w:val="22"/>
          <w:szCs w:val="22"/>
        </w:rPr>
        <w:t xml:space="preserve"> et al. (2022) in which the majority of the hospital workforce in Greece is composed of single individuals who have no familial obligations.</w:t>
      </w:r>
    </w:p>
    <w:p w14:paraId="7F2F5F3A"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In terms of employment distribution, most of the respondents had secured permanent positions at St. Elizabeth Hospital with 249 counts (86.64%). While only 39 respondents (13.54) still belonged to non-permanent positions. This result on low-permanent status may indicate that these individuals are still on the probationary status and may need to complete a minimum number of months to transition from non-permanent to permanent. The high proportion of permanent employees indicates that most respondents have stable employment status at St. Elizabeth Hospital. This also suggests that the hospital has initiative in place to protect and promote the welfare of its employees by providing a structured approach to staffing.</w:t>
      </w:r>
    </w:p>
    <w:p w14:paraId="57653386"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The findings on the employment status reveal a consistent result with </w:t>
      </w:r>
      <w:proofErr w:type="spellStart"/>
      <w:r w:rsidRPr="00F027F8">
        <w:rPr>
          <w:rFonts w:ascii="Arial" w:hAnsi="Arial" w:cs="Arial"/>
          <w:sz w:val="22"/>
          <w:szCs w:val="22"/>
        </w:rPr>
        <w:t>Karaferis</w:t>
      </w:r>
      <w:proofErr w:type="spellEnd"/>
      <w:r w:rsidRPr="00F027F8">
        <w:rPr>
          <w:rFonts w:ascii="Arial" w:hAnsi="Arial" w:cs="Arial"/>
          <w:sz w:val="22"/>
          <w:szCs w:val="22"/>
        </w:rPr>
        <w:t xml:space="preserve"> et al. (2022) whose findings show that majority of their workforce is composed of permanent employees. This suggests that the employment pattern observed at St. Elizabeth Hospital reflects a relatively stable workforce composition among the respondents.</w:t>
      </w:r>
    </w:p>
    <w:p w14:paraId="22E84896" w14:textId="51F1BC2C" w:rsidR="00A81877" w:rsidRDefault="003B7EA1" w:rsidP="00A81877">
      <w:pPr>
        <w:spacing w:before="120" w:after="0" w:line="240" w:lineRule="auto"/>
        <w:jc w:val="both"/>
        <w:rPr>
          <w:rFonts w:ascii="Arial" w:hAnsi="Arial" w:cs="Arial"/>
          <w:sz w:val="22"/>
          <w:szCs w:val="22"/>
        </w:rPr>
      </w:pPr>
      <w:r w:rsidRPr="003B7EA1">
        <w:rPr>
          <w:rFonts w:ascii="Arial" w:hAnsi="Arial" w:cs="Arial"/>
          <w:sz w:val="22"/>
          <w:szCs w:val="22"/>
        </w:rPr>
        <w:t xml:space="preserve">The </w:t>
      </w:r>
      <w:r>
        <w:rPr>
          <w:rFonts w:ascii="Arial" w:hAnsi="Arial" w:cs="Arial"/>
          <w:sz w:val="22"/>
          <w:szCs w:val="22"/>
        </w:rPr>
        <w:t>findings</w:t>
      </w:r>
      <w:r w:rsidRPr="003B7EA1">
        <w:rPr>
          <w:rFonts w:ascii="Arial" w:hAnsi="Arial" w:cs="Arial"/>
          <w:sz w:val="22"/>
          <w:szCs w:val="22"/>
        </w:rPr>
        <w:t xml:space="preserve"> also reveal that the respondent's workforce consists mainly of young, educated individuals who appear to have stable employment, all of which could influence how they manage their finances or plan for retirement.</w:t>
      </w:r>
    </w:p>
    <w:p w14:paraId="52010549" w14:textId="77777777" w:rsidR="00A81877" w:rsidRDefault="00A81877" w:rsidP="00A81877">
      <w:pPr>
        <w:spacing w:before="120" w:after="0" w:line="240" w:lineRule="auto"/>
        <w:jc w:val="both"/>
        <w:rPr>
          <w:rFonts w:ascii="Arial" w:hAnsi="Arial" w:cs="Arial"/>
          <w:sz w:val="22"/>
          <w:szCs w:val="22"/>
        </w:rPr>
      </w:pPr>
    </w:p>
    <w:p w14:paraId="58AC106E" w14:textId="77777777" w:rsidR="00A81877" w:rsidRDefault="00A81877" w:rsidP="00A81877">
      <w:pPr>
        <w:spacing w:before="120" w:after="0" w:line="240" w:lineRule="auto"/>
        <w:jc w:val="both"/>
        <w:rPr>
          <w:rFonts w:ascii="Arial" w:hAnsi="Arial" w:cs="Arial"/>
          <w:sz w:val="22"/>
          <w:szCs w:val="22"/>
        </w:rPr>
      </w:pPr>
    </w:p>
    <w:p w14:paraId="67CCCA76" w14:textId="77777777" w:rsidR="00A81877" w:rsidRDefault="00A81877" w:rsidP="00A81877">
      <w:pPr>
        <w:spacing w:before="120" w:after="0" w:line="240" w:lineRule="auto"/>
        <w:jc w:val="both"/>
        <w:rPr>
          <w:rFonts w:ascii="Arial" w:hAnsi="Arial" w:cs="Arial"/>
          <w:sz w:val="22"/>
          <w:szCs w:val="22"/>
        </w:rPr>
      </w:pPr>
    </w:p>
    <w:p w14:paraId="651C8AC2" w14:textId="77777777" w:rsidR="00A81877" w:rsidRDefault="00A81877" w:rsidP="00A81877">
      <w:pPr>
        <w:spacing w:before="120" w:after="0" w:line="240" w:lineRule="auto"/>
        <w:jc w:val="both"/>
        <w:rPr>
          <w:rFonts w:ascii="Arial" w:hAnsi="Arial" w:cs="Arial"/>
          <w:sz w:val="22"/>
          <w:szCs w:val="22"/>
        </w:rPr>
      </w:pPr>
    </w:p>
    <w:p w14:paraId="223236B9" w14:textId="77777777" w:rsidR="00A81877" w:rsidRDefault="00A81877" w:rsidP="00A81877">
      <w:pPr>
        <w:spacing w:before="120" w:after="0" w:line="240" w:lineRule="auto"/>
        <w:jc w:val="both"/>
        <w:rPr>
          <w:rFonts w:ascii="Arial" w:hAnsi="Arial" w:cs="Arial"/>
          <w:sz w:val="22"/>
          <w:szCs w:val="22"/>
        </w:rPr>
      </w:pPr>
    </w:p>
    <w:p w14:paraId="689DA22C" w14:textId="77777777" w:rsidR="003B7EA1" w:rsidRDefault="003B7EA1" w:rsidP="00A81877">
      <w:pPr>
        <w:spacing w:before="120" w:after="0" w:line="240" w:lineRule="auto"/>
        <w:jc w:val="both"/>
        <w:rPr>
          <w:rFonts w:ascii="Arial" w:hAnsi="Arial" w:cs="Arial"/>
          <w:sz w:val="22"/>
          <w:szCs w:val="22"/>
        </w:rPr>
      </w:pPr>
    </w:p>
    <w:p w14:paraId="3ABEDD04" w14:textId="77777777" w:rsidR="003B7EA1" w:rsidRDefault="003B7EA1" w:rsidP="00A81877">
      <w:pPr>
        <w:spacing w:before="120" w:after="0" w:line="240" w:lineRule="auto"/>
        <w:jc w:val="both"/>
        <w:rPr>
          <w:rFonts w:ascii="Arial" w:hAnsi="Arial" w:cs="Arial"/>
          <w:sz w:val="22"/>
          <w:szCs w:val="22"/>
        </w:rPr>
      </w:pPr>
    </w:p>
    <w:p w14:paraId="30EEAD4E" w14:textId="77777777" w:rsidR="00A81877" w:rsidRDefault="00A81877" w:rsidP="00A81877">
      <w:pPr>
        <w:spacing w:before="120" w:after="0" w:line="240" w:lineRule="auto"/>
        <w:jc w:val="both"/>
        <w:rPr>
          <w:rFonts w:ascii="Arial" w:hAnsi="Arial" w:cs="Arial"/>
          <w:sz w:val="22"/>
          <w:szCs w:val="22"/>
        </w:rPr>
      </w:pPr>
    </w:p>
    <w:p w14:paraId="48796AF9" w14:textId="77777777" w:rsidR="00A81877" w:rsidRDefault="00A81877" w:rsidP="00A81877">
      <w:pPr>
        <w:spacing w:before="120" w:after="0" w:line="240" w:lineRule="auto"/>
        <w:jc w:val="both"/>
        <w:rPr>
          <w:rFonts w:ascii="Arial" w:hAnsi="Arial" w:cs="Arial"/>
          <w:sz w:val="22"/>
          <w:szCs w:val="22"/>
        </w:rPr>
      </w:pPr>
    </w:p>
    <w:p w14:paraId="0E493B1D" w14:textId="77777777" w:rsidR="00A81877" w:rsidRPr="00F027F8" w:rsidRDefault="00A81877" w:rsidP="00A81877">
      <w:pPr>
        <w:spacing w:before="120" w:after="0" w:line="240" w:lineRule="auto"/>
        <w:jc w:val="both"/>
        <w:rPr>
          <w:rFonts w:ascii="Arial" w:hAnsi="Arial" w:cs="Arial"/>
          <w:sz w:val="22"/>
          <w:szCs w:val="22"/>
        </w:rPr>
      </w:pPr>
    </w:p>
    <w:p w14:paraId="2378617A" w14:textId="77777777" w:rsidR="00A81877" w:rsidRDefault="00A81877" w:rsidP="00F027F8">
      <w:pPr>
        <w:spacing w:after="0" w:line="240" w:lineRule="auto"/>
        <w:jc w:val="both"/>
        <w:rPr>
          <w:rFonts w:ascii="Arial" w:hAnsi="Arial" w:cs="Arial"/>
          <w:b/>
          <w:bCs/>
          <w:sz w:val="22"/>
          <w:szCs w:val="22"/>
        </w:rPr>
      </w:pPr>
    </w:p>
    <w:p w14:paraId="3B5F02CD" w14:textId="2A61D2A8" w:rsidR="00F027F8" w:rsidRPr="00F027F8" w:rsidRDefault="00F027F8" w:rsidP="00F027F8">
      <w:pPr>
        <w:spacing w:after="0" w:line="240" w:lineRule="auto"/>
        <w:jc w:val="both"/>
        <w:rPr>
          <w:rFonts w:ascii="Arial" w:hAnsi="Arial" w:cs="Arial"/>
          <w:b/>
          <w:bCs/>
          <w:sz w:val="22"/>
          <w:szCs w:val="22"/>
        </w:rPr>
      </w:pPr>
      <w:r w:rsidRPr="00F027F8">
        <w:rPr>
          <w:rFonts w:ascii="Arial" w:hAnsi="Arial" w:cs="Arial"/>
          <w:b/>
          <w:bCs/>
          <w:sz w:val="22"/>
          <w:szCs w:val="22"/>
        </w:rPr>
        <w:lastRenderedPageBreak/>
        <w:t xml:space="preserve">Table </w:t>
      </w:r>
      <w:r w:rsidR="00A81877">
        <w:rPr>
          <w:rFonts w:ascii="Arial" w:hAnsi="Arial" w:cs="Arial"/>
          <w:b/>
          <w:bCs/>
          <w:sz w:val="22"/>
          <w:szCs w:val="22"/>
        </w:rPr>
        <w:t>2</w:t>
      </w:r>
      <w:r w:rsidRPr="00F027F8">
        <w:rPr>
          <w:rFonts w:ascii="Arial" w:hAnsi="Arial" w:cs="Arial"/>
          <w:b/>
          <w:bCs/>
          <w:sz w:val="22"/>
          <w:szCs w:val="22"/>
        </w:rPr>
        <w:t>. Level of Pre-Retirement Financial Practices Among Employees of St. Elizabeth Hospital</w:t>
      </w:r>
    </w:p>
    <w:tbl>
      <w:tblPr>
        <w:tblW w:w="8790" w:type="dxa"/>
        <w:jc w:val="center"/>
        <w:tblBorders>
          <w:top w:val="single" w:sz="4" w:space="0" w:color="auto"/>
          <w:bottom w:val="single" w:sz="4" w:space="0" w:color="auto"/>
        </w:tblBorders>
        <w:tblLook w:val="04A0" w:firstRow="1" w:lastRow="0" w:firstColumn="1" w:lastColumn="0" w:noHBand="0" w:noVBand="1"/>
      </w:tblPr>
      <w:tblGrid>
        <w:gridCol w:w="522"/>
        <w:gridCol w:w="6172"/>
        <w:gridCol w:w="779"/>
        <w:gridCol w:w="1427"/>
      </w:tblGrid>
      <w:tr w:rsidR="00F027F8" w:rsidRPr="00F027F8" w14:paraId="5922C471" w14:textId="77777777" w:rsidTr="00755608">
        <w:trPr>
          <w:trHeight w:val="56"/>
          <w:jc w:val="center"/>
        </w:trPr>
        <w:tc>
          <w:tcPr>
            <w:tcW w:w="6694" w:type="dxa"/>
            <w:gridSpan w:val="2"/>
            <w:tcBorders>
              <w:top w:val="single" w:sz="4" w:space="0" w:color="auto"/>
              <w:bottom w:val="single" w:sz="4" w:space="0" w:color="auto"/>
            </w:tcBorders>
            <w:shd w:val="clear" w:color="000000" w:fill="F2F2F2"/>
            <w:noWrap/>
            <w:vAlign w:val="bottom"/>
            <w:hideMark/>
          </w:tcPr>
          <w:p w14:paraId="46FB38D5"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Indicators</w:t>
            </w:r>
          </w:p>
        </w:tc>
        <w:tc>
          <w:tcPr>
            <w:tcW w:w="740" w:type="dxa"/>
            <w:tcBorders>
              <w:top w:val="single" w:sz="4" w:space="0" w:color="auto"/>
              <w:bottom w:val="single" w:sz="4" w:space="0" w:color="auto"/>
            </w:tcBorders>
            <w:shd w:val="clear" w:color="000000" w:fill="F2F2F2"/>
            <w:vAlign w:val="center"/>
          </w:tcPr>
          <w:p w14:paraId="2EC00C5C"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Mean</w:t>
            </w:r>
          </w:p>
        </w:tc>
        <w:tc>
          <w:tcPr>
            <w:tcW w:w="1356" w:type="dxa"/>
            <w:tcBorders>
              <w:top w:val="single" w:sz="4" w:space="0" w:color="auto"/>
              <w:bottom w:val="single" w:sz="4" w:space="0" w:color="auto"/>
            </w:tcBorders>
            <w:shd w:val="clear" w:color="000000" w:fill="F2F2F2"/>
            <w:vAlign w:val="center"/>
          </w:tcPr>
          <w:p w14:paraId="18A6FC1E"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Description</w:t>
            </w:r>
          </w:p>
        </w:tc>
      </w:tr>
      <w:tr w:rsidR="00F027F8" w:rsidRPr="00F027F8" w14:paraId="752E7FF5" w14:textId="77777777" w:rsidTr="00755608">
        <w:trPr>
          <w:trHeight w:val="56"/>
          <w:jc w:val="center"/>
        </w:trPr>
        <w:tc>
          <w:tcPr>
            <w:tcW w:w="6694" w:type="dxa"/>
            <w:gridSpan w:val="2"/>
            <w:tcBorders>
              <w:top w:val="single" w:sz="4" w:space="0" w:color="auto"/>
            </w:tcBorders>
            <w:shd w:val="clear" w:color="000000" w:fill="F2F2F2"/>
            <w:noWrap/>
            <w:vAlign w:val="bottom"/>
          </w:tcPr>
          <w:p w14:paraId="25D71013"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Financial Awareness in Retirement</w:t>
            </w:r>
          </w:p>
        </w:tc>
        <w:tc>
          <w:tcPr>
            <w:tcW w:w="740" w:type="dxa"/>
            <w:tcBorders>
              <w:top w:val="single" w:sz="4" w:space="0" w:color="auto"/>
            </w:tcBorders>
            <w:shd w:val="clear" w:color="000000" w:fill="F2F2F2"/>
            <w:vAlign w:val="center"/>
          </w:tcPr>
          <w:p w14:paraId="46906764"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p>
        </w:tc>
        <w:tc>
          <w:tcPr>
            <w:tcW w:w="1356" w:type="dxa"/>
            <w:tcBorders>
              <w:top w:val="single" w:sz="4" w:space="0" w:color="auto"/>
            </w:tcBorders>
            <w:shd w:val="clear" w:color="000000" w:fill="F2F2F2"/>
            <w:vAlign w:val="center"/>
          </w:tcPr>
          <w:p w14:paraId="2CDB53E7"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p>
        </w:tc>
      </w:tr>
      <w:tr w:rsidR="00F027F8" w:rsidRPr="00F027F8" w14:paraId="071C0C02" w14:textId="77777777" w:rsidTr="00755608">
        <w:trPr>
          <w:trHeight w:val="115"/>
          <w:jc w:val="center"/>
        </w:trPr>
        <w:tc>
          <w:tcPr>
            <w:tcW w:w="496" w:type="dxa"/>
            <w:noWrap/>
            <w:vAlign w:val="bottom"/>
            <w:hideMark/>
          </w:tcPr>
          <w:p w14:paraId="13EFDF4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1.</w:t>
            </w:r>
          </w:p>
        </w:tc>
        <w:tc>
          <w:tcPr>
            <w:tcW w:w="6198" w:type="dxa"/>
            <w:vAlign w:val="bottom"/>
            <w:hideMark/>
          </w:tcPr>
          <w:p w14:paraId="74566C34"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am aware of my financial needs in retirement.</w:t>
            </w:r>
          </w:p>
        </w:tc>
        <w:tc>
          <w:tcPr>
            <w:tcW w:w="740" w:type="dxa"/>
            <w:vAlign w:val="bottom"/>
          </w:tcPr>
          <w:p w14:paraId="328201E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hAnsi="Arial" w:cs="Arial"/>
                <w:color w:val="000000"/>
                <w:sz w:val="22"/>
                <w:szCs w:val="22"/>
              </w:rPr>
              <w:t>3.73</w:t>
            </w:r>
          </w:p>
        </w:tc>
        <w:tc>
          <w:tcPr>
            <w:tcW w:w="1356" w:type="dxa"/>
            <w:vAlign w:val="bottom"/>
          </w:tcPr>
          <w:p w14:paraId="40909E77"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hAnsi="Arial" w:cs="Arial"/>
                <w:color w:val="000000"/>
                <w:sz w:val="22"/>
                <w:szCs w:val="22"/>
              </w:rPr>
              <w:t>High</w:t>
            </w:r>
          </w:p>
        </w:tc>
      </w:tr>
      <w:tr w:rsidR="00F027F8" w:rsidRPr="00F027F8" w14:paraId="3DBB0EFD" w14:textId="77777777" w:rsidTr="00755608">
        <w:trPr>
          <w:trHeight w:val="115"/>
          <w:jc w:val="center"/>
        </w:trPr>
        <w:tc>
          <w:tcPr>
            <w:tcW w:w="496" w:type="dxa"/>
            <w:noWrap/>
            <w:vAlign w:val="bottom"/>
            <w:hideMark/>
          </w:tcPr>
          <w:p w14:paraId="5A0554DC"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2.</w:t>
            </w:r>
          </w:p>
        </w:tc>
        <w:tc>
          <w:tcPr>
            <w:tcW w:w="6198" w:type="dxa"/>
            <w:vAlign w:val="bottom"/>
            <w:hideMark/>
          </w:tcPr>
          <w:p w14:paraId="1995553D"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am always ready to exit my job due to great awareness of my finances.</w:t>
            </w:r>
          </w:p>
        </w:tc>
        <w:tc>
          <w:tcPr>
            <w:tcW w:w="740" w:type="dxa"/>
            <w:vAlign w:val="bottom"/>
          </w:tcPr>
          <w:p w14:paraId="10F3CC6C"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3.13</w:t>
            </w:r>
          </w:p>
        </w:tc>
        <w:tc>
          <w:tcPr>
            <w:tcW w:w="1356" w:type="dxa"/>
            <w:vAlign w:val="bottom"/>
          </w:tcPr>
          <w:p w14:paraId="73F5F4B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hAnsi="Arial" w:cs="Arial"/>
                <w:color w:val="000000"/>
                <w:sz w:val="22"/>
                <w:szCs w:val="22"/>
              </w:rPr>
              <w:t>Moderate</w:t>
            </w:r>
          </w:p>
        </w:tc>
      </w:tr>
      <w:tr w:rsidR="00F027F8" w:rsidRPr="00F027F8" w14:paraId="4F33CAD8" w14:textId="77777777" w:rsidTr="00755608">
        <w:trPr>
          <w:trHeight w:val="115"/>
          <w:jc w:val="center"/>
        </w:trPr>
        <w:tc>
          <w:tcPr>
            <w:tcW w:w="496" w:type="dxa"/>
            <w:noWrap/>
            <w:hideMark/>
          </w:tcPr>
          <w:p w14:paraId="4C3AE463"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w:t>
            </w:r>
          </w:p>
        </w:tc>
        <w:tc>
          <w:tcPr>
            <w:tcW w:w="6198" w:type="dxa"/>
            <w:vAlign w:val="bottom"/>
            <w:hideMark/>
          </w:tcPr>
          <w:p w14:paraId="0A589A10"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Awareness of retirement financial needs gives me financial security.</w:t>
            </w:r>
          </w:p>
        </w:tc>
        <w:tc>
          <w:tcPr>
            <w:tcW w:w="740" w:type="dxa"/>
            <w:vAlign w:val="bottom"/>
          </w:tcPr>
          <w:p w14:paraId="041B011A"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3.63</w:t>
            </w:r>
          </w:p>
        </w:tc>
        <w:tc>
          <w:tcPr>
            <w:tcW w:w="1356" w:type="dxa"/>
            <w:vAlign w:val="bottom"/>
          </w:tcPr>
          <w:p w14:paraId="1B05F925"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hAnsi="Arial" w:cs="Arial"/>
                <w:color w:val="000000"/>
                <w:sz w:val="22"/>
                <w:szCs w:val="22"/>
              </w:rPr>
              <w:t>High</w:t>
            </w:r>
          </w:p>
        </w:tc>
      </w:tr>
      <w:tr w:rsidR="00F027F8" w:rsidRPr="00F027F8" w14:paraId="275012F0" w14:textId="77777777" w:rsidTr="00755608">
        <w:trPr>
          <w:trHeight w:val="233"/>
          <w:jc w:val="center"/>
        </w:trPr>
        <w:tc>
          <w:tcPr>
            <w:tcW w:w="496" w:type="dxa"/>
            <w:noWrap/>
            <w:vAlign w:val="bottom"/>
            <w:hideMark/>
          </w:tcPr>
          <w:p w14:paraId="10F9A87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4.</w:t>
            </w:r>
          </w:p>
        </w:tc>
        <w:tc>
          <w:tcPr>
            <w:tcW w:w="6198" w:type="dxa"/>
            <w:vAlign w:val="bottom"/>
            <w:hideMark/>
          </w:tcPr>
          <w:p w14:paraId="54C0E1ED"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regularly assess my financial situation to ensure I am prepared for retirement.</w:t>
            </w:r>
          </w:p>
        </w:tc>
        <w:tc>
          <w:tcPr>
            <w:tcW w:w="740" w:type="dxa"/>
            <w:vAlign w:val="bottom"/>
          </w:tcPr>
          <w:p w14:paraId="06A8353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3.55</w:t>
            </w:r>
          </w:p>
        </w:tc>
        <w:tc>
          <w:tcPr>
            <w:tcW w:w="1356" w:type="dxa"/>
            <w:vAlign w:val="bottom"/>
          </w:tcPr>
          <w:p w14:paraId="7E0F2D76"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hAnsi="Arial" w:cs="Arial"/>
                <w:color w:val="000000"/>
                <w:sz w:val="22"/>
                <w:szCs w:val="22"/>
              </w:rPr>
              <w:t>High</w:t>
            </w:r>
          </w:p>
        </w:tc>
      </w:tr>
      <w:tr w:rsidR="00F027F8" w:rsidRPr="00F027F8" w14:paraId="18888B1B" w14:textId="77777777" w:rsidTr="00755608">
        <w:trPr>
          <w:trHeight w:val="115"/>
          <w:jc w:val="center"/>
        </w:trPr>
        <w:tc>
          <w:tcPr>
            <w:tcW w:w="496" w:type="dxa"/>
            <w:noWrap/>
            <w:vAlign w:val="bottom"/>
          </w:tcPr>
          <w:p w14:paraId="45F33975"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6198" w:type="dxa"/>
            <w:vAlign w:val="bottom"/>
          </w:tcPr>
          <w:p w14:paraId="1EF02728" w14:textId="77777777" w:rsidR="00F027F8" w:rsidRPr="00F027F8" w:rsidRDefault="00F027F8" w:rsidP="00F027F8">
            <w:pPr>
              <w:spacing w:after="0" w:line="240" w:lineRule="auto"/>
              <w:jc w:val="right"/>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Total Mean</w:t>
            </w:r>
          </w:p>
        </w:tc>
        <w:tc>
          <w:tcPr>
            <w:tcW w:w="740" w:type="dxa"/>
          </w:tcPr>
          <w:p w14:paraId="7E1AE15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3.51</w:t>
            </w:r>
          </w:p>
        </w:tc>
        <w:tc>
          <w:tcPr>
            <w:tcW w:w="1356" w:type="dxa"/>
            <w:vAlign w:val="bottom"/>
          </w:tcPr>
          <w:p w14:paraId="68441FE5"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hAnsi="Arial" w:cs="Arial"/>
                <w:color w:val="000000"/>
                <w:sz w:val="22"/>
                <w:szCs w:val="22"/>
              </w:rPr>
              <w:t>High</w:t>
            </w:r>
          </w:p>
        </w:tc>
      </w:tr>
      <w:tr w:rsidR="00F027F8" w:rsidRPr="00F027F8" w14:paraId="1CC1C667" w14:textId="77777777" w:rsidTr="00755608">
        <w:trPr>
          <w:trHeight w:val="56"/>
          <w:jc w:val="center"/>
        </w:trPr>
        <w:tc>
          <w:tcPr>
            <w:tcW w:w="6694" w:type="dxa"/>
            <w:gridSpan w:val="2"/>
            <w:shd w:val="clear" w:color="000000" w:fill="F2F2F2"/>
            <w:noWrap/>
            <w:vAlign w:val="bottom"/>
            <w:hideMark/>
          </w:tcPr>
          <w:p w14:paraId="494D4866"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Financial Training on Retirement Planning</w:t>
            </w:r>
          </w:p>
        </w:tc>
        <w:tc>
          <w:tcPr>
            <w:tcW w:w="740" w:type="dxa"/>
            <w:shd w:val="clear" w:color="000000" w:fill="F2F2F2"/>
          </w:tcPr>
          <w:p w14:paraId="34DF56BC"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c>
          <w:tcPr>
            <w:tcW w:w="1356" w:type="dxa"/>
            <w:shd w:val="clear" w:color="000000" w:fill="F2F2F2"/>
          </w:tcPr>
          <w:p w14:paraId="770F306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r>
      <w:tr w:rsidR="00F027F8" w:rsidRPr="00F027F8" w14:paraId="122B9CCD" w14:textId="77777777" w:rsidTr="00755608">
        <w:trPr>
          <w:trHeight w:val="173"/>
          <w:jc w:val="center"/>
        </w:trPr>
        <w:tc>
          <w:tcPr>
            <w:tcW w:w="496" w:type="dxa"/>
            <w:noWrap/>
            <w:vAlign w:val="bottom"/>
            <w:hideMark/>
          </w:tcPr>
          <w:p w14:paraId="50E51A2F"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5.</w:t>
            </w:r>
          </w:p>
        </w:tc>
        <w:tc>
          <w:tcPr>
            <w:tcW w:w="6198" w:type="dxa"/>
            <w:vAlign w:val="bottom"/>
            <w:hideMark/>
          </w:tcPr>
          <w:p w14:paraId="002A62D5"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have attended workshops on financial retirement planning</w:t>
            </w:r>
          </w:p>
        </w:tc>
        <w:tc>
          <w:tcPr>
            <w:tcW w:w="740" w:type="dxa"/>
            <w:vAlign w:val="center"/>
          </w:tcPr>
          <w:p w14:paraId="751E2C1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2.45</w:t>
            </w:r>
          </w:p>
        </w:tc>
        <w:tc>
          <w:tcPr>
            <w:tcW w:w="1356" w:type="dxa"/>
            <w:vAlign w:val="center"/>
          </w:tcPr>
          <w:p w14:paraId="218F5138"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Low</w:t>
            </w:r>
          </w:p>
        </w:tc>
      </w:tr>
      <w:tr w:rsidR="00F027F8" w:rsidRPr="00F027F8" w14:paraId="3DBFC57B" w14:textId="77777777" w:rsidTr="00755608">
        <w:trPr>
          <w:trHeight w:val="173"/>
          <w:jc w:val="center"/>
        </w:trPr>
        <w:tc>
          <w:tcPr>
            <w:tcW w:w="496" w:type="dxa"/>
            <w:noWrap/>
            <w:vAlign w:val="bottom"/>
          </w:tcPr>
          <w:p w14:paraId="2E2B1494"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6.</w:t>
            </w:r>
          </w:p>
        </w:tc>
        <w:tc>
          <w:tcPr>
            <w:tcW w:w="6198" w:type="dxa"/>
            <w:vAlign w:val="bottom"/>
          </w:tcPr>
          <w:p w14:paraId="45C13CC5"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have received training on job exit preparedness through financial planning</w:t>
            </w:r>
          </w:p>
        </w:tc>
        <w:tc>
          <w:tcPr>
            <w:tcW w:w="740" w:type="dxa"/>
            <w:vAlign w:val="center"/>
          </w:tcPr>
          <w:p w14:paraId="21452497"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hAnsi="Arial" w:cs="Arial"/>
                <w:color w:val="000000"/>
                <w:sz w:val="22"/>
                <w:szCs w:val="22"/>
              </w:rPr>
              <w:t>2.42</w:t>
            </w:r>
          </w:p>
        </w:tc>
        <w:tc>
          <w:tcPr>
            <w:tcW w:w="1356" w:type="dxa"/>
            <w:vAlign w:val="center"/>
          </w:tcPr>
          <w:p w14:paraId="74997238"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hAnsi="Arial" w:cs="Arial"/>
                <w:color w:val="000000"/>
                <w:sz w:val="22"/>
                <w:szCs w:val="22"/>
              </w:rPr>
              <w:t>Low</w:t>
            </w:r>
          </w:p>
        </w:tc>
      </w:tr>
      <w:tr w:rsidR="00F027F8" w:rsidRPr="00F027F8" w14:paraId="296A47DC" w14:textId="77777777" w:rsidTr="00755608">
        <w:trPr>
          <w:trHeight w:val="173"/>
          <w:jc w:val="center"/>
        </w:trPr>
        <w:tc>
          <w:tcPr>
            <w:tcW w:w="496" w:type="dxa"/>
            <w:noWrap/>
            <w:vAlign w:val="center"/>
            <w:hideMark/>
          </w:tcPr>
          <w:p w14:paraId="0107D255"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7.</w:t>
            </w:r>
          </w:p>
        </w:tc>
        <w:tc>
          <w:tcPr>
            <w:tcW w:w="6198" w:type="dxa"/>
            <w:vAlign w:val="bottom"/>
            <w:hideMark/>
          </w:tcPr>
          <w:p w14:paraId="241CC7C5"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The training I’ve received on retirement planning has helped me understand the importance of early preparation for retirement.</w:t>
            </w:r>
          </w:p>
        </w:tc>
        <w:tc>
          <w:tcPr>
            <w:tcW w:w="740" w:type="dxa"/>
            <w:vAlign w:val="center"/>
          </w:tcPr>
          <w:p w14:paraId="7F288F94"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2.68</w:t>
            </w:r>
          </w:p>
        </w:tc>
        <w:tc>
          <w:tcPr>
            <w:tcW w:w="1356" w:type="dxa"/>
            <w:vAlign w:val="center"/>
          </w:tcPr>
          <w:p w14:paraId="52192341"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185B3086" w14:textId="77777777" w:rsidTr="00755608">
        <w:trPr>
          <w:trHeight w:val="173"/>
          <w:jc w:val="center"/>
        </w:trPr>
        <w:tc>
          <w:tcPr>
            <w:tcW w:w="496" w:type="dxa"/>
            <w:noWrap/>
            <w:vAlign w:val="center"/>
            <w:hideMark/>
          </w:tcPr>
          <w:p w14:paraId="6D539531"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8.</w:t>
            </w:r>
          </w:p>
        </w:tc>
        <w:tc>
          <w:tcPr>
            <w:tcW w:w="6198" w:type="dxa"/>
            <w:vAlign w:val="bottom"/>
            <w:hideMark/>
          </w:tcPr>
          <w:p w14:paraId="3A8F6393"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believe that the training I received on retirement planning has adequately prepared me for my job exit</w:t>
            </w:r>
          </w:p>
        </w:tc>
        <w:tc>
          <w:tcPr>
            <w:tcW w:w="740" w:type="dxa"/>
            <w:vAlign w:val="center"/>
          </w:tcPr>
          <w:p w14:paraId="29EBD21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2.69</w:t>
            </w:r>
          </w:p>
        </w:tc>
        <w:tc>
          <w:tcPr>
            <w:tcW w:w="1356" w:type="dxa"/>
            <w:vAlign w:val="center"/>
          </w:tcPr>
          <w:p w14:paraId="56E7DEC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024512B1" w14:textId="77777777" w:rsidTr="00755608">
        <w:trPr>
          <w:trHeight w:val="233"/>
          <w:jc w:val="center"/>
        </w:trPr>
        <w:tc>
          <w:tcPr>
            <w:tcW w:w="496" w:type="dxa"/>
            <w:noWrap/>
            <w:vAlign w:val="bottom"/>
          </w:tcPr>
          <w:p w14:paraId="7D61342E"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6198" w:type="dxa"/>
            <w:vAlign w:val="bottom"/>
          </w:tcPr>
          <w:p w14:paraId="151BCF0F" w14:textId="77777777" w:rsidR="00F027F8" w:rsidRPr="00F027F8" w:rsidRDefault="00F027F8" w:rsidP="00F027F8">
            <w:pPr>
              <w:spacing w:after="0" w:line="240" w:lineRule="auto"/>
              <w:jc w:val="right"/>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Total Mean</w:t>
            </w:r>
          </w:p>
        </w:tc>
        <w:tc>
          <w:tcPr>
            <w:tcW w:w="740" w:type="dxa"/>
            <w:vAlign w:val="bottom"/>
          </w:tcPr>
          <w:p w14:paraId="66E34026"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hAnsi="Arial" w:cs="Arial"/>
                <w:color w:val="000000"/>
                <w:sz w:val="22"/>
                <w:szCs w:val="22"/>
              </w:rPr>
              <w:t>2.56</w:t>
            </w:r>
          </w:p>
        </w:tc>
        <w:tc>
          <w:tcPr>
            <w:tcW w:w="1356" w:type="dxa"/>
            <w:vAlign w:val="bottom"/>
          </w:tcPr>
          <w:p w14:paraId="3720D982"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20C47AC0" w14:textId="77777777" w:rsidTr="00755608">
        <w:trPr>
          <w:trHeight w:val="56"/>
          <w:jc w:val="center"/>
        </w:trPr>
        <w:tc>
          <w:tcPr>
            <w:tcW w:w="6694" w:type="dxa"/>
            <w:gridSpan w:val="2"/>
            <w:shd w:val="clear" w:color="000000" w:fill="F2F2F2"/>
            <w:noWrap/>
            <w:vAlign w:val="bottom"/>
            <w:hideMark/>
          </w:tcPr>
          <w:p w14:paraId="2EEAC833"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Financial Behavior in Retirement</w:t>
            </w:r>
          </w:p>
        </w:tc>
        <w:tc>
          <w:tcPr>
            <w:tcW w:w="740" w:type="dxa"/>
            <w:shd w:val="clear" w:color="000000" w:fill="F2F2F2"/>
          </w:tcPr>
          <w:p w14:paraId="000F1357"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c>
          <w:tcPr>
            <w:tcW w:w="1356" w:type="dxa"/>
            <w:shd w:val="clear" w:color="000000" w:fill="F2F2F2"/>
          </w:tcPr>
          <w:p w14:paraId="5D65ADAC"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r>
      <w:tr w:rsidR="00F027F8" w:rsidRPr="00F027F8" w14:paraId="1BB62F19" w14:textId="77777777" w:rsidTr="00755608">
        <w:trPr>
          <w:trHeight w:val="115"/>
          <w:jc w:val="center"/>
        </w:trPr>
        <w:tc>
          <w:tcPr>
            <w:tcW w:w="496" w:type="dxa"/>
            <w:noWrap/>
            <w:vAlign w:val="center"/>
            <w:hideMark/>
          </w:tcPr>
          <w:p w14:paraId="2CA5E201"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9.</w:t>
            </w:r>
          </w:p>
        </w:tc>
        <w:tc>
          <w:tcPr>
            <w:tcW w:w="6198" w:type="dxa"/>
            <w:vAlign w:val="bottom"/>
          </w:tcPr>
          <w:p w14:paraId="72DC1A6D"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have ensured that my assets are well distributed to meet any income shortfall that may arise</w:t>
            </w:r>
          </w:p>
        </w:tc>
        <w:tc>
          <w:tcPr>
            <w:tcW w:w="740" w:type="dxa"/>
            <w:vAlign w:val="center"/>
          </w:tcPr>
          <w:p w14:paraId="00EEAE2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3.15</w:t>
            </w:r>
          </w:p>
        </w:tc>
        <w:tc>
          <w:tcPr>
            <w:tcW w:w="1356" w:type="dxa"/>
            <w:vAlign w:val="center"/>
          </w:tcPr>
          <w:p w14:paraId="5F9CC173"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02F34823" w14:textId="77777777" w:rsidTr="00755608">
        <w:trPr>
          <w:trHeight w:val="173"/>
          <w:jc w:val="center"/>
        </w:trPr>
        <w:tc>
          <w:tcPr>
            <w:tcW w:w="496" w:type="dxa"/>
            <w:noWrap/>
            <w:vAlign w:val="center"/>
            <w:hideMark/>
          </w:tcPr>
          <w:p w14:paraId="37399A9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10.</w:t>
            </w:r>
          </w:p>
        </w:tc>
        <w:tc>
          <w:tcPr>
            <w:tcW w:w="6198" w:type="dxa"/>
            <w:vAlign w:val="bottom"/>
            <w:hideMark/>
          </w:tcPr>
          <w:p w14:paraId="37ED4C48"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plan for my future financial needs by being in a savings Scheme.</w:t>
            </w:r>
          </w:p>
        </w:tc>
        <w:tc>
          <w:tcPr>
            <w:tcW w:w="740" w:type="dxa"/>
            <w:vAlign w:val="center"/>
          </w:tcPr>
          <w:p w14:paraId="2594386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3.69</w:t>
            </w:r>
          </w:p>
        </w:tc>
        <w:tc>
          <w:tcPr>
            <w:tcW w:w="1356" w:type="dxa"/>
            <w:vAlign w:val="center"/>
          </w:tcPr>
          <w:p w14:paraId="4245985F"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269AE187" w14:textId="77777777" w:rsidTr="00755608">
        <w:trPr>
          <w:trHeight w:val="233"/>
          <w:jc w:val="center"/>
        </w:trPr>
        <w:tc>
          <w:tcPr>
            <w:tcW w:w="496" w:type="dxa"/>
            <w:noWrap/>
            <w:vAlign w:val="center"/>
            <w:hideMark/>
          </w:tcPr>
          <w:p w14:paraId="4A230F1A"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11.</w:t>
            </w:r>
          </w:p>
        </w:tc>
        <w:tc>
          <w:tcPr>
            <w:tcW w:w="6198" w:type="dxa"/>
            <w:vAlign w:val="bottom"/>
            <w:hideMark/>
          </w:tcPr>
          <w:p w14:paraId="3E072E9E"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actively monitor my retirement plans to ensure they align with my long-term financial goals.</w:t>
            </w:r>
          </w:p>
        </w:tc>
        <w:tc>
          <w:tcPr>
            <w:tcW w:w="740" w:type="dxa"/>
            <w:vAlign w:val="center"/>
          </w:tcPr>
          <w:p w14:paraId="34942988"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3.31</w:t>
            </w:r>
          </w:p>
        </w:tc>
        <w:tc>
          <w:tcPr>
            <w:tcW w:w="1356" w:type="dxa"/>
            <w:vAlign w:val="center"/>
          </w:tcPr>
          <w:p w14:paraId="330A20D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2F645FA3" w14:textId="77777777" w:rsidTr="00755608">
        <w:trPr>
          <w:trHeight w:val="233"/>
          <w:jc w:val="center"/>
        </w:trPr>
        <w:tc>
          <w:tcPr>
            <w:tcW w:w="496" w:type="dxa"/>
            <w:tcBorders>
              <w:bottom w:val="nil"/>
            </w:tcBorders>
            <w:noWrap/>
            <w:vAlign w:val="center"/>
          </w:tcPr>
          <w:p w14:paraId="1ECAB077"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12.</w:t>
            </w:r>
          </w:p>
        </w:tc>
        <w:tc>
          <w:tcPr>
            <w:tcW w:w="6198" w:type="dxa"/>
            <w:vAlign w:val="bottom"/>
          </w:tcPr>
          <w:p w14:paraId="60E09673"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believe that having a clear retirement plan will provide me with peace of mind in my later years.</w:t>
            </w:r>
          </w:p>
        </w:tc>
        <w:tc>
          <w:tcPr>
            <w:tcW w:w="740" w:type="dxa"/>
            <w:vAlign w:val="center"/>
          </w:tcPr>
          <w:p w14:paraId="22F8B616"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3.79</w:t>
            </w:r>
          </w:p>
        </w:tc>
        <w:tc>
          <w:tcPr>
            <w:tcW w:w="1356" w:type="dxa"/>
            <w:vAlign w:val="center"/>
          </w:tcPr>
          <w:p w14:paraId="3A6E2A95"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6B0CC3FE" w14:textId="77777777" w:rsidTr="00755608">
        <w:trPr>
          <w:trHeight w:val="173"/>
          <w:jc w:val="center"/>
        </w:trPr>
        <w:tc>
          <w:tcPr>
            <w:tcW w:w="496" w:type="dxa"/>
            <w:tcBorders>
              <w:top w:val="nil"/>
              <w:bottom w:val="single" w:sz="4" w:space="0" w:color="auto"/>
            </w:tcBorders>
            <w:noWrap/>
            <w:vAlign w:val="bottom"/>
          </w:tcPr>
          <w:p w14:paraId="38B5AAF6"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6198" w:type="dxa"/>
            <w:vAlign w:val="bottom"/>
          </w:tcPr>
          <w:p w14:paraId="2C6C626E" w14:textId="77777777" w:rsidR="00F027F8" w:rsidRPr="00F027F8" w:rsidRDefault="00F027F8" w:rsidP="00F027F8">
            <w:pPr>
              <w:spacing w:after="0" w:line="240" w:lineRule="auto"/>
              <w:jc w:val="right"/>
              <w:rPr>
                <w:rFonts w:ascii="Arial" w:eastAsia="Times New Roman" w:hAnsi="Arial" w:cs="Arial"/>
                <w:color w:val="000000"/>
                <w:sz w:val="22"/>
                <w:szCs w:val="22"/>
                <w:lang w:eastAsia="en-PH"/>
              </w:rPr>
            </w:pPr>
            <w:r w:rsidRPr="00F027F8">
              <w:rPr>
                <w:rFonts w:ascii="Arial" w:eastAsia="Times New Roman" w:hAnsi="Arial" w:cs="Arial"/>
                <w:b/>
                <w:bCs/>
                <w:color w:val="000000"/>
                <w:sz w:val="22"/>
                <w:szCs w:val="22"/>
                <w:lang w:eastAsia="en-PH"/>
              </w:rPr>
              <w:t>Total Mean</w:t>
            </w:r>
          </w:p>
        </w:tc>
        <w:tc>
          <w:tcPr>
            <w:tcW w:w="740" w:type="dxa"/>
            <w:vAlign w:val="bottom"/>
          </w:tcPr>
          <w:p w14:paraId="5508DF3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3.48</w:t>
            </w:r>
          </w:p>
        </w:tc>
        <w:tc>
          <w:tcPr>
            <w:tcW w:w="1356" w:type="dxa"/>
            <w:vAlign w:val="bottom"/>
          </w:tcPr>
          <w:p w14:paraId="506919BA"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07F0246C" w14:textId="77777777" w:rsidTr="00755608">
        <w:trPr>
          <w:trHeight w:val="233"/>
          <w:jc w:val="center"/>
        </w:trPr>
        <w:tc>
          <w:tcPr>
            <w:tcW w:w="496" w:type="dxa"/>
            <w:tcBorders>
              <w:top w:val="single" w:sz="4" w:space="0" w:color="auto"/>
              <w:bottom w:val="single" w:sz="4" w:space="0" w:color="auto"/>
            </w:tcBorders>
            <w:noWrap/>
            <w:vAlign w:val="bottom"/>
          </w:tcPr>
          <w:p w14:paraId="63C7D5CA"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6198" w:type="dxa"/>
            <w:tcBorders>
              <w:top w:val="single" w:sz="4" w:space="0" w:color="auto"/>
              <w:bottom w:val="single" w:sz="4" w:space="0" w:color="auto"/>
            </w:tcBorders>
            <w:vAlign w:val="bottom"/>
          </w:tcPr>
          <w:p w14:paraId="0461A398" w14:textId="77777777" w:rsidR="00F027F8" w:rsidRPr="00F027F8" w:rsidRDefault="00F027F8" w:rsidP="00F027F8">
            <w:pPr>
              <w:spacing w:after="0" w:line="240" w:lineRule="auto"/>
              <w:jc w:val="right"/>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Overall Mean:</w:t>
            </w:r>
          </w:p>
        </w:tc>
        <w:tc>
          <w:tcPr>
            <w:tcW w:w="740" w:type="dxa"/>
            <w:tcBorders>
              <w:top w:val="single" w:sz="4" w:space="0" w:color="auto"/>
              <w:bottom w:val="single" w:sz="4" w:space="0" w:color="auto"/>
            </w:tcBorders>
            <w:vAlign w:val="bottom"/>
          </w:tcPr>
          <w:p w14:paraId="30CD9F57"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hAnsi="Arial" w:cs="Arial"/>
                <w:color w:val="000000"/>
                <w:sz w:val="22"/>
                <w:szCs w:val="22"/>
              </w:rPr>
              <w:t>3.18</w:t>
            </w:r>
          </w:p>
        </w:tc>
        <w:tc>
          <w:tcPr>
            <w:tcW w:w="1356" w:type="dxa"/>
            <w:tcBorders>
              <w:top w:val="single" w:sz="4" w:space="0" w:color="auto"/>
              <w:bottom w:val="single" w:sz="4" w:space="0" w:color="auto"/>
            </w:tcBorders>
            <w:vAlign w:val="bottom"/>
          </w:tcPr>
          <w:p w14:paraId="5B668B05"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eastAsia="Times New Roman" w:hAnsi="Arial" w:cs="Arial"/>
                <w:color w:val="000000"/>
                <w:sz w:val="22"/>
                <w:szCs w:val="22"/>
                <w:lang w:eastAsia="en-PH"/>
              </w:rPr>
              <w:t>Moderate</w:t>
            </w:r>
          </w:p>
        </w:tc>
      </w:tr>
    </w:tbl>
    <w:p w14:paraId="45FAE96A" w14:textId="77777777" w:rsidR="00A81877" w:rsidRDefault="00A81877" w:rsidP="00A81877">
      <w:pPr>
        <w:spacing w:after="0" w:line="240" w:lineRule="auto"/>
        <w:jc w:val="both"/>
        <w:rPr>
          <w:rFonts w:ascii="Arial" w:hAnsi="Arial" w:cs="Arial"/>
          <w:sz w:val="22"/>
          <w:szCs w:val="22"/>
        </w:rPr>
      </w:pPr>
    </w:p>
    <w:p w14:paraId="2212E19E" w14:textId="2A6D8102" w:rsidR="00F027F8" w:rsidRPr="00F027F8" w:rsidRDefault="00F027F8" w:rsidP="00A81877">
      <w:pPr>
        <w:spacing w:after="0" w:line="240" w:lineRule="auto"/>
        <w:jc w:val="both"/>
        <w:rPr>
          <w:rFonts w:ascii="Arial" w:hAnsi="Arial" w:cs="Arial"/>
          <w:sz w:val="22"/>
          <w:szCs w:val="22"/>
        </w:rPr>
      </w:pPr>
      <w:r w:rsidRPr="00F027F8">
        <w:rPr>
          <w:rFonts w:ascii="Arial" w:hAnsi="Arial" w:cs="Arial"/>
          <w:sz w:val="22"/>
          <w:szCs w:val="22"/>
        </w:rPr>
        <w:t>The Pre-Retirement Practices among employees of St. Elizabeth Hospital was assessed across three dimensions namely: Financial Awareness in Retirement, Financial Training on Retirement Planning, and Financial Behavior in Retirement.</w:t>
      </w:r>
    </w:p>
    <w:p w14:paraId="496626B7"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Financial Awareness in Retirement reflects the cognitive understanding of employees regarding their future financial needs. The highest-rated item was “I am aware of my financial needs in retirement” (3.73), indicating strong recognition of future financial requirements. In contrast, the lowest-rated item was “I am always ready to exit my job due to great awareness of my finances” (3.13), suggesting that awareness does not directly translate into readiness to leave employment.</w:t>
      </w:r>
    </w:p>
    <w:p w14:paraId="53AB446F" w14:textId="77777777" w:rsidR="00B1390F" w:rsidRDefault="00B1390F" w:rsidP="00A81877">
      <w:pPr>
        <w:spacing w:before="120" w:after="0" w:line="240" w:lineRule="auto"/>
        <w:jc w:val="both"/>
        <w:rPr>
          <w:rFonts w:ascii="Arial" w:hAnsi="Arial" w:cs="Arial"/>
          <w:sz w:val="22"/>
          <w:szCs w:val="22"/>
        </w:rPr>
      </w:pPr>
      <w:r w:rsidRPr="00B1390F">
        <w:rPr>
          <w:rFonts w:ascii="Arial" w:hAnsi="Arial" w:cs="Arial"/>
          <w:sz w:val="22"/>
          <w:szCs w:val="22"/>
        </w:rPr>
        <w:t xml:space="preserve">The Theory of Planned Behavior (Ajzen, 1991) indicates that an attitude or an awareness about something does not always produce readiness for action because of feelings of having limited or no control over finances. These findings are consistent with those of Lusardi and Mitchell (2014) as well as </w:t>
      </w:r>
      <w:proofErr w:type="spellStart"/>
      <w:r w:rsidRPr="00B1390F">
        <w:rPr>
          <w:rFonts w:ascii="Arial" w:hAnsi="Arial" w:cs="Arial"/>
          <w:sz w:val="22"/>
          <w:szCs w:val="22"/>
        </w:rPr>
        <w:t>Esakkiammal</w:t>
      </w:r>
      <w:proofErr w:type="spellEnd"/>
      <w:r w:rsidRPr="00B1390F">
        <w:rPr>
          <w:rFonts w:ascii="Arial" w:hAnsi="Arial" w:cs="Arial"/>
          <w:sz w:val="22"/>
          <w:szCs w:val="22"/>
        </w:rPr>
        <w:t xml:space="preserve"> and Devi (2025), which point out that financial awareness does not necessitate financial preparedness, particularly among younger employees.</w:t>
      </w:r>
      <w:r w:rsidRPr="00B1390F">
        <w:rPr>
          <w:rFonts w:ascii="Arial" w:hAnsi="Arial" w:cs="Arial"/>
          <w:sz w:val="22"/>
          <w:szCs w:val="22"/>
        </w:rPr>
        <w:t xml:space="preserve"> </w:t>
      </w:r>
    </w:p>
    <w:p w14:paraId="59A530D9" w14:textId="26DEFD61"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Financial Training on Retirement Planning reflects the extent of employees’ exposure to structured financial education. The highest-rated item was “I believe that the training I received on retirement planning has adequately prepared me for my job exit” (2.69), indicating moderate perceived adequacy of training. However, the lowest-rated item was “I have received training on job exit preparedness through financial planning” (2.42), showing limited participation in formal financial training programs.</w:t>
      </w:r>
    </w:p>
    <w:p w14:paraId="3D7FA272" w14:textId="77777777" w:rsidR="004E59DF" w:rsidRDefault="004E59DF" w:rsidP="00A81877">
      <w:pPr>
        <w:spacing w:before="120" w:after="0" w:line="240" w:lineRule="auto"/>
        <w:jc w:val="both"/>
        <w:rPr>
          <w:rFonts w:ascii="Arial" w:hAnsi="Arial" w:cs="Arial"/>
          <w:sz w:val="22"/>
          <w:szCs w:val="22"/>
        </w:rPr>
      </w:pPr>
      <w:r w:rsidRPr="004E59DF">
        <w:rPr>
          <w:rFonts w:ascii="Arial" w:hAnsi="Arial" w:cs="Arial"/>
          <w:sz w:val="22"/>
          <w:szCs w:val="22"/>
        </w:rPr>
        <w:lastRenderedPageBreak/>
        <w:t>This implies that there is an inconsistency between the actual training experiences and the individuals' perception of their preparedness for retirement. It could also be indicative of the TPB (Ajzen, 1991) which is perceived as a limitation in individuals’ ability to act on any financial education provided and therefore limits the ability to turn financial information into behavioral actions. This supports Frank et al. (2023) and Lan and Lee (2024) that state that providing individuals with structured financial literacy programming will assist them in increasing their financial self-efficacy and readiness for retirement.</w:t>
      </w:r>
      <w:r w:rsidRPr="004E59DF">
        <w:rPr>
          <w:rFonts w:ascii="Arial" w:hAnsi="Arial" w:cs="Arial"/>
          <w:sz w:val="22"/>
          <w:szCs w:val="22"/>
        </w:rPr>
        <w:t xml:space="preserve"> </w:t>
      </w:r>
    </w:p>
    <w:p w14:paraId="5CDDF7FC" w14:textId="37F1420C"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Financial Behavior in Retirement reflects the actual financial practices of employees related to savings and retirement planning. The highest-rated item was “I believe that having a clear retirement plan will provide me with peace of mind in my later years” (3.79), indicating strong positive attitudes toward planning. The lowest-rated item was “I have ensured that my assets are well distributed to meet any income shortfall that may arise” (3.15), suggesting limited engagement in advanced financial management practices.</w:t>
      </w:r>
    </w:p>
    <w:p w14:paraId="4A7F5E3B"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This reflects a partial translation of intention into behavior, consistent with the Theory of Planned Behavior (Ajzen, 1991). While attitudes are positive, actual financial execution remains moderate. This aligns with </w:t>
      </w:r>
      <w:proofErr w:type="spellStart"/>
      <w:r w:rsidRPr="00F027F8">
        <w:rPr>
          <w:rFonts w:ascii="Arial" w:hAnsi="Arial" w:cs="Arial"/>
          <w:sz w:val="22"/>
          <w:szCs w:val="22"/>
        </w:rPr>
        <w:t>Ghadwan</w:t>
      </w:r>
      <w:proofErr w:type="spellEnd"/>
      <w:r w:rsidRPr="00F027F8">
        <w:rPr>
          <w:rFonts w:ascii="Arial" w:hAnsi="Arial" w:cs="Arial"/>
          <w:sz w:val="22"/>
          <w:szCs w:val="22"/>
        </w:rPr>
        <w:t xml:space="preserve"> et al. (2022) and Zulkarnaen et al. (2024), which emphasize that financial behavior is strongly influenced by income stability and develops gradually over time.</w:t>
      </w:r>
    </w:p>
    <w:p w14:paraId="134ED58D" w14:textId="26A22B82" w:rsidR="00F027F8" w:rsidRPr="00F027F8" w:rsidRDefault="00C06658" w:rsidP="00A81877">
      <w:pPr>
        <w:spacing w:before="120" w:after="0" w:line="240" w:lineRule="auto"/>
        <w:jc w:val="both"/>
        <w:rPr>
          <w:rFonts w:ascii="Arial" w:hAnsi="Arial" w:cs="Arial"/>
          <w:sz w:val="22"/>
          <w:szCs w:val="22"/>
        </w:rPr>
      </w:pPr>
      <w:r w:rsidRPr="00C06658">
        <w:rPr>
          <w:rFonts w:ascii="Arial" w:hAnsi="Arial" w:cs="Arial"/>
          <w:sz w:val="22"/>
          <w:szCs w:val="22"/>
        </w:rPr>
        <w:t>The highest rated dimension of the three indicators was Financial Awareness in Retirement with a score of 3.51. This was followed by Financial Behavior in Retirement with a score of 3.48. The lowest rated dimension was Financial Training on Retirement Planning with a mean of 2.56.</w:t>
      </w:r>
    </w:p>
    <w:p w14:paraId="52634D13" w14:textId="5DE48598"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This indicates that respondents demonstrate strong cognitive awareness of retirement needs, moderate financial behavior, and limited exposure to structured financial training. </w:t>
      </w:r>
      <w:r w:rsidR="00C06658" w:rsidRPr="00C06658">
        <w:rPr>
          <w:rFonts w:ascii="Arial" w:hAnsi="Arial" w:cs="Arial"/>
          <w:sz w:val="22"/>
          <w:szCs w:val="22"/>
        </w:rPr>
        <w:t xml:space="preserve">According to Ajzen's (1991) Theory of Planned Behavior, this pattern shows that while individuals have a positive attitude towards retirement planning, lack of training and financial constraints restrict the </w:t>
      </w:r>
      <w:r w:rsidR="00C06658" w:rsidRPr="00C06658">
        <w:rPr>
          <w:rFonts w:ascii="Arial" w:hAnsi="Arial" w:cs="Arial"/>
          <w:sz w:val="22"/>
          <w:szCs w:val="22"/>
        </w:rPr>
        <w:t>behavior</w:t>
      </w:r>
      <w:r w:rsidR="00C06658" w:rsidRPr="00C06658">
        <w:rPr>
          <w:rFonts w:ascii="Arial" w:hAnsi="Arial" w:cs="Arial"/>
          <w:sz w:val="22"/>
          <w:szCs w:val="22"/>
        </w:rPr>
        <w:t xml:space="preserve"> executed. These findings are consistent with those of Frank et al. (2023), who point out that practical training must accompany financial literacy in order for individuals to be fully prepared for retirement.</w:t>
      </w:r>
    </w:p>
    <w:p w14:paraId="39BCEB4E" w14:textId="77777777" w:rsidR="00F027F8" w:rsidRPr="00F027F8" w:rsidRDefault="00F027F8" w:rsidP="00F027F8">
      <w:pPr>
        <w:spacing w:after="0" w:line="240" w:lineRule="auto"/>
        <w:jc w:val="both"/>
        <w:rPr>
          <w:rFonts w:ascii="Arial" w:hAnsi="Arial" w:cs="Arial"/>
          <w:sz w:val="22"/>
          <w:szCs w:val="22"/>
        </w:rPr>
      </w:pPr>
    </w:p>
    <w:p w14:paraId="1F9BDF5D" w14:textId="77777777" w:rsidR="00F027F8" w:rsidRPr="00F027F8" w:rsidRDefault="00F027F8" w:rsidP="00F027F8">
      <w:pPr>
        <w:spacing w:after="0" w:line="240" w:lineRule="auto"/>
        <w:rPr>
          <w:rFonts w:ascii="Arial" w:hAnsi="Arial" w:cs="Arial"/>
          <w:b/>
          <w:bCs/>
          <w:sz w:val="22"/>
          <w:szCs w:val="22"/>
        </w:rPr>
      </w:pPr>
      <w:r w:rsidRPr="00F027F8">
        <w:rPr>
          <w:rFonts w:ascii="Arial" w:hAnsi="Arial" w:cs="Arial"/>
          <w:b/>
          <w:bCs/>
          <w:sz w:val="22"/>
          <w:szCs w:val="22"/>
        </w:rPr>
        <w:t>Table 6. Extent of Job Exit Preparedness Among Employees of St. Elizabeth Hospital</w:t>
      </w:r>
    </w:p>
    <w:tbl>
      <w:tblPr>
        <w:tblW w:w="8917" w:type="dxa"/>
        <w:jc w:val="center"/>
        <w:tblBorders>
          <w:top w:val="single" w:sz="4" w:space="0" w:color="auto"/>
          <w:bottom w:val="single" w:sz="4" w:space="0" w:color="auto"/>
        </w:tblBorders>
        <w:tblLook w:val="04A0" w:firstRow="1" w:lastRow="0" w:firstColumn="1" w:lastColumn="0" w:noHBand="0" w:noVBand="1"/>
      </w:tblPr>
      <w:tblGrid>
        <w:gridCol w:w="644"/>
        <w:gridCol w:w="5906"/>
        <w:gridCol w:w="830"/>
        <w:gridCol w:w="1537"/>
      </w:tblGrid>
      <w:tr w:rsidR="00F027F8" w:rsidRPr="00F027F8" w14:paraId="39409219" w14:textId="77777777" w:rsidTr="00755608">
        <w:trPr>
          <w:trHeight w:val="67"/>
          <w:jc w:val="center"/>
        </w:trPr>
        <w:tc>
          <w:tcPr>
            <w:tcW w:w="6550" w:type="dxa"/>
            <w:gridSpan w:val="2"/>
            <w:tcBorders>
              <w:top w:val="single" w:sz="4" w:space="0" w:color="auto"/>
              <w:bottom w:val="single" w:sz="4" w:space="0" w:color="auto"/>
            </w:tcBorders>
            <w:shd w:val="clear" w:color="000000" w:fill="F2F2F2"/>
            <w:noWrap/>
            <w:vAlign w:val="bottom"/>
            <w:hideMark/>
          </w:tcPr>
          <w:p w14:paraId="39D4A5F6"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Indicators</w:t>
            </w:r>
          </w:p>
        </w:tc>
        <w:tc>
          <w:tcPr>
            <w:tcW w:w="830" w:type="dxa"/>
            <w:tcBorders>
              <w:top w:val="single" w:sz="4" w:space="0" w:color="auto"/>
              <w:bottom w:val="single" w:sz="4" w:space="0" w:color="auto"/>
            </w:tcBorders>
            <w:shd w:val="clear" w:color="000000" w:fill="F2F2F2"/>
            <w:vAlign w:val="center"/>
          </w:tcPr>
          <w:p w14:paraId="2DEFAA88"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Mean</w:t>
            </w:r>
          </w:p>
        </w:tc>
        <w:tc>
          <w:tcPr>
            <w:tcW w:w="1537" w:type="dxa"/>
            <w:tcBorders>
              <w:top w:val="single" w:sz="4" w:space="0" w:color="auto"/>
              <w:bottom w:val="single" w:sz="4" w:space="0" w:color="auto"/>
            </w:tcBorders>
            <w:shd w:val="clear" w:color="000000" w:fill="F2F2F2"/>
            <w:vAlign w:val="center"/>
          </w:tcPr>
          <w:p w14:paraId="5E6DE6EA"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Description</w:t>
            </w:r>
          </w:p>
        </w:tc>
      </w:tr>
      <w:tr w:rsidR="00F027F8" w:rsidRPr="00F027F8" w14:paraId="67F78A06" w14:textId="77777777" w:rsidTr="00755608">
        <w:trPr>
          <w:trHeight w:val="67"/>
          <w:jc w:val="center"/>
        </w:trPr>
        <w:tc>
          <w:tcPr>
            <w:tcW w:w="6550" w:type="dxa"/>
            <w:gridSpan w:val="2"/>
            <w:tcBorders>
              <w:top w:val="single" w:sz="4" w:space="0" w:color="auto"/>
            </w:tcBorders>
            <w:shd w:val="clear" w:color="000000" w:fill="F2F2F2"/>
            <w:noWrap/>
            <w:vAlign w:val="bottom"/>
          </w:tcPr>
          <w:p w14:paraId="7D31A2EB"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hAnsi="Arial" w:cs="Arial"/>
                <w:b/>
                <w:bCs/>
                <w:sz w:val="22"/>
                <w:szCs w:val="22"/>
              </w:rPr>
              <w:t>Debt Level</w:t>
            </w:r>
          </w:p>
        </w:tc>
        <w:tc>
          <w:tcPr>
            <w:tcW w:w="830" w:type="dxa"/>
            <w:tcBorders>
              <w:top w:val="single" w:sz="4" w:space="0" w:color="auto"/>
            </w:tcBorders>
            <w:shd w:val="clear" w:color="000000" w:fill="F2F2F2"/>
            <w:vAlign w:val="center"/>
          </w:tcPr>
          <w:p w14:paraId="74440967"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p>
        </w:tc>
        <w:tc>
          <w:tcPr>
            <w:tcW w:w="1537" w:type="dxa"/>
            <w:tcBorders>
              <w:top w:val="single" w:sz="4" w:space="0" w:color="auto"/>
            </w:tcBorders>
            <w:shd w:val="clear" w:color="000000" w:fill="F2F2F2"/>
            <w:vAlign w:val="center"/>
          </w:tcPr>
          <w:p w14:paraId="7129B451" w14:textId="77777777" w:rsidR="00F027F8" w:rsidRPr="00F027F8" w:rsidRDefault="00F027F8" w:rsidP="00F027F8">
            <w:pPr>
              <w:spacing w:after="0" w:line="240" w:lineRule="auto"/>
              <w:jc w:val="center"/>
              <w:rPr>
                <w:rFonts w:ascii="Arial" w:eastAsia="Times New Roman" w:hAnsi="Arial" w:cs="Arial"/>
                <w:b/>
                <w:bCs/>
                <w:color w:val="000000"/>
                <w:sz w:val="22"/>
                <w:szCs w:val="22"/>
                <w:lang w:eastAsia="en-PH"/>
              </w:rPr>
            </w:pPr>
          </w:p>
        </w:tc>
      </w:tr>
      <w:tr w:rsidR="00F027F8" w:rsidRPr="00F027F8" w14:paraId="08F5F56F" w14:textId="77777777" w:rsidTr="00755608">
        <w:trPr>
          <w:trHeight w:val="138"/>
          <w:jc w:val="center"/>
        </w:trPr>
        <w:tc>
          <w:tcPr>
            <w:tcW w:w="644" w:type="dxa"/>
            <w:noWrap/>
            <w:vAlign w:val="center"/>
            <w:hideMark/>
          </w:tcPr>
          <w:p w14:paraId="1E76F91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1.</w:t>
            </w:r>
          </w:p>
        </w:tc>
        <w:tc>
          <w:tcPr>
            <w:tcW w:w="5906" w:type="dxa"/>
            <w:vAlign w:val="bottom"/>
            <w:hideMark/>
          </w:tcPr>
          <w:p w14:paraId="553F03A8"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fear that I may not have cleared my debts at job termination.</w:t>
            </w:r>
          </w:p>
        </w:tc>
        <w:tc>
          <w:tcPr>
            <w:tcW w:w="830" w:type="dxa"/>
            <w:vAlign w:val="center"/>
          </w:tcPr>
          <w:p w14:paraId="6D7C1A1F"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3.38</w:t>
            </w:r>
          </w:p>
        </w:tc>
        <w:tc>
          <w:tcPr>
            <w:tcW w:w="1537" w:type="dxa"/>
            <w:vAlign w:val="center"/>
          </w:tcPr>
          <w:p w14:paraId="4D030C26"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1FC6AB8C" w14:textId="77777777" w:rsidTr="00755608">
        <w:trPr>
          <w:trHeight w:val="138"/>
          <w:jc w:val="center"/>
        </w:trPr>
        <w:tc>
          <w:tcPr>
            <w:tcW w:w="644" w:type="dxa"/>
            <w:noWrap/>
            <w:vAlign w:val="center"/>
            <w:hideMark/>
          </w:tcPr>
          <w:p w14:paraId="5ED55ED1"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2.</w:t>
            </w:r>
          </w:p>
        </w:tc>
        <w:tc>
          <w:tcPr>
            <w:tcW w:w="5906" w:type="dxa"/>
            <w:vAlign w:val="bottom"/>
            <w:hideMark/>
          </w:tcPr>
          <w:p w14:paraId="3AA35A4F"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have avoided being in much debt that may strain my finances in case of job termination.</w:t>
            </w:r>
          </w:p>
        </w:tc>
        <w:tc>
          <w:tcPr>
            <w:tcW w:w="830" w:type="dxa"/>
            <w:vAlign w:val="center"/>
          </w:tcPr>
          <w:p w14:paraId="27CC4F22"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3.87</w:t>
            </w:r>
          </w:p>
        </w:tc>
        <w:tc>
          <w:tcPr>
            <w:tcW w:w="1537" w:type="dxa"/>
            <w:vAlign w:val="center"/>
          </w:tcPr>
          <w:p w14:paraId="64049B4C"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1E40E5A5" w14:textId="77777777" w:rsidTr="00755608">
        <w:trPr>
          <w:trHeight w:val="138"/>
          <w:jc w:val="center"/>
        </w:trPr>
        <w:tc>
          <w:tcPr>
            <w:tcW w:w="644" w:type="dxa"/>
            <w:noWrap/>
            <w:vAlign w:val="center"/>
            <w:hideMark/>
          </w:tcPr>
          <w:p w14:paraId="23AFD3C8"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w:t>
            </w:r>
          </w:p>
        </w:tc>
        <w:tc>
          <w:tcPr>
            <w:tcW w:w="5906" w:type="dxa"/>
            <w:vAlign w:val="bottom"/>
            <w:hideMark/>
          </w:tcPr>
          <w:p w14:paraId="2B5C62CB"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regularly monitor my debt levels to ensure that they do not hinder my job exit preparedness.</w:t>
            </w:r>
          </w:p>
        </w:tc>
        <w:tc>
          <w:tcPr>
            <w:tcW w:w="830" w:type="dxa"/>
            <w:vAlign w:val="center"/>
          </w:tcPr>
          <w:p w14:paraId="1246D5FF"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3.92</w:t>
            </w:r>
          </w:p>
        </w:tc>
        <w:tc>
          <w:tcPr>
            <w:tcW w:w="1537" w:type="dxa"/>
            <w:vAlign w:val="center"/>
          </w:tcPr>
          <w:p w14:paraId="428C5FB8"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01E9588F" w14:textId="77777777" w:rsidTr="00755608">
        <w:trPr>
          <w:trHeight w:val="138"/>
          <w:jc w:val="center"/>
        </w:trPr>
        <w:tc>
          <w:tcPr>
            <w:tcW w:w="644" w:type="dxa"/>
            <w:noWrap/>
            <w:vAlign w:val="center"/>
          </w:tcPr>
          <w:p w14:paraId="3AB6AF94"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4.</w:t>
            </w:r>
          </w:p>
        </w:tc>
        <w:tc>
          <w:tcPr>
            <w:tcW w:w="5906" w:type="dxa"/>
            <w:vAlign w:val="bottom"/>
          </w:tcPr>
          <w:p w14:paraId="0D7A82EE" w14:textId="77777777" w:rsidR="00F027F8" w:rsidRPr="00F027F8" w:rsidRDefault="00F027F8" w:rsidP="00F027F8">
            <w:pPr>
              <w:spacing w:after="0" w:line="240" w:lineRule="auto"/>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believe that reducing debt is essential for ensuring a smooth transition when I leave my job.</w:t>
            </w:r>
          </w:p>
        </w:tc>
        <w:tc>
          <w:tcPr>
            <w:tcW w:w="830" w:type="dxa"/>
            <w:vAlign w:val="center"/>
          </w:tcPr>
          <w:p w14:paraId="2FFDA6D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4.15</w:t>
            </w:r>
          </w:p>
        </w:tc>
        <w:tc>
          <w:tcPr>
            <w:tcW w:w="1537" w:type="dxa"/>
            <w:vAlign w:val="center"/>
          </w:tcPr>
          <w:p w14:paraId="30F6AA20"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798A65FC" w14:textId="77777777" w:rsidTr="00755608">
        <w:trPr>
          <w:trHeight w:val="138"/>
          <w:jc w:val="center"/>
        </w:trPr>
        <w:tc>
          <w:tcPr>
            <w:tcW w:w="644" w:type="dxa"/>
            <w:noWrap/>
            <w:vAlign w:val="bottom"/>
          </w:tcPr>
          <w:p w14:paraId="6FF70BA3"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5906" w:type="dxa"/>
            <w:vAlign w:val="bottom"/>
          </w:tcPr>
          <w:p w14:paraId="73865411" w14:textId="77777777" w:rsidR="00F027F8" w:rsidRPr="00F027F8" w:rsidRDefault="00F027F8" w:rsidP="00F027F8">
            <w:pPr>
              <w:spacing w:after="0" w:line="240" w:lineRule="auto"/>
              <w:jc w:val="right"/>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Total Mean</w:t>
            </w:r>
          </w:p>
        </w:tc>
        <w:tc>
          <w:tcPr>
            <w:tcW w:w="830" w:type="dxa"/>
          </w:tcPr>
          <w:p w14:paraId="0353F7A8"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3.83</w:t>
            </w:r>
          </w:p>
        </w:tc>
        <w:tc>
          <w:tcPr>
            <w:tcW w:w="1537" w:type="dxa"/>
            <w:vAlign w:val="bottom"/>
          </w:tcPr>
          <w:p w14:paraId="475095AA"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0B7403D6" w14:textId="77777777" w:rsidTr="00755608">
        <w:trPr>
          <w:trHeight w:val="67"/>
          <w:jc w:val="center"/>
        </w:trPr>
        <w:tc>
          <w:tcPr>
            <w:tcW w:w="6550" w:type="dxa"/>
            <w:gridSpan w:val="2"/>
            <w:shd w:val="clear" w:color="000000" w:fill="F2F2F2"/>
            <w:noWrap/>
            <w:vAlign w:val="bottom"/>
            <w:hideMark/>
          </w:tcPr>
          <w:p w14:paraId="4D77737A"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hAnsi="Arial" w:cs="Arial"/>
                <w:b/>
                <w:bCs/>
                <w:sz w:val="22"/>
                <w:szCs w:val="22"/>
              </w:rPr>
              <w:t>Level of Savings</w:t>
            </w:r>
          </w:p>
        </w:tc>
        <w:tc>
          <w:tcPr>
            <w:tcW w:w="830" w:type="dxa"/>
            <w:shd w:val="clear" w:color="000000" w:fill="F2F2F2"/>
          </w:tcPr>
          <w:p w14:paraId="7A95DDC4"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c>
          <w:tcPr>
            <w:tcW w:w="1537" w:type="dxa"/>
            <w:shd w:val="clear" w:color="000000" w:fill="F2F2F2"/>
          </w:tcPr>
          <w:p w14:paraId="6269AF3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r>
      <w:tr w:rsidR="00F027F8" w:rsidRPr="00F027F8" w14:paraId="3E743829" w14:textId="77777777" w:rsidTr="00755608">
        <w:trPr>
          <w:trHeight w:val="209"/>
          <w:jc w:val="center"/>
        </w:trPr>
        <w:tc>
          <w:tcPr>
            <w:tcW w:w="644" w:type="dxa"/>
            <w:noWrap/>
            <w:vAlign w:val="center"/>
            <w:hideMark/>
          </w:tcPr>
          <w:p w14:paraId="7CC3F252"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5.</w:t>
            </w:r>
          </w:p>
        </w:tc>
        <w:tc>
          <w:tcPr>
            <w:tcW w:w="5906" w:type="dxa"/>
            <w:vAlign w:val="bottom"/>
            <w:hideMark/>
          </w:tcPr>
          <w:p w14:paraId="04341BDE" w14:textId="77777777" w:rsidR="00F027F8" w:rsidRPr="00F027F8" w:rsidRDefault="00F027F8" w:rsidP="00F027F8">
            <w:pPr>
              <w:spacing w:after="0" w:line="240" w:lineRule="auto"/>
              <w:jc w:val="both"/>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ensure that I save a huge portion of my income for the sake of the future.</w:t>
            </w:r>
          </w:p>
        </w:tc>
        <w:tc>
          <w:tcPr>
            <w:tcW w:w="830" w:type="dxa"/>
            <w:vAlign w:val="center"/>
          </w:tcPr>
          <w:p w14:paraId="5E1DD2A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3.58</w:t>
            </w:r>
          </w:p>
        </w:tc>
        <w:tc>
          <w:tcPr>
            <w:tcW w:w="1537" w:type="dxa"/>
            <w:vAlign w:val="center"/>
          </w:tcPr>
          <w:p w14:paraId="39279462"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1A426931" w14:textId="77777777" w:rsidTr="00755608">
        <w:trPr>
          <w:trHeight w:val="209"/>
          <w:jc w:val="center"/>
        </w:trPr>
        <w:tc>
          <w:tcPr>
            <w:tcW w:w="644" w:type="dxa"/>
            <w:noWrap/>
            <w:vAlign w:val="center"/>
          </w:tcPr>
          <w:p w14:paraId="0B9B5E74"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6.</w:t>
            </w:r>
          </w:p>
        </w:tc>
        <w:tc>
          <w:tcPr>
            <w:tcW w:w="5906" w:type="dxa"/>
            <w:vAlign w:val="bottom"/>
          </w:tcPr>
          <w:p w14:paraId="62834EA5" w14:textId="77777777" w:rsidR="00F027F8" w:rsidRPr="00F027F8" w:rsidRDefault="00F027F8" w:rsidP="00F027F8">
            <w:pPr>
              <w:spacing w:after="0" w:line="240" w:lineRule="auto"/>
              <w:jc w:val="both"/>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have always ensured that I have savings amounting to at least six months of my income to shield me upon job exit.</w:t>
            </w:r>
          </w:p>
        </w:tc>
        <w:tc>
          <w:tcPr>
            <w:tcW w:w="830" w:type="dxa"/>
            <w:vAlign w:val="center"/>
          </w:tcPr>
          <w:p w14:paraId="626D0D38"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hAnsi="Arial" w:cs="Arial"/>
                <w:color w:val="000000"/>
                <w:sz w:val="22"/>
                <w:szCs w:val="22"/>
              </w:rPr>
              <w:t>3.44</w:t>
            </w:r>
          </w:p>
        </w:tc>
        <w:tc>
          <w:tcPr>
            <w:tcW w:w="1537" w:type="dxa"/>
            <w:vAlign w:val="center"/>
          </w:tcPr>
          <w:p w14:paraId="0CA11229"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eastAsia="Times New Roman" w:hAnsi="Arial" w:cs="Arial"/>
                <w:color w:val="000000"/>
                <w:sz w:val="22"/>
                <w:szCs w:val="22"/>
                <w:lang w:eastAsia="en-PH"/>
              </w:rPr>
              <w:t>Moderate</w:t>
            </w:r>
          </w:p>
        </w:tc>
      </w:tr>
      <w:tr w:rsidR="00F027F8" w:rsidRPr="00F027F8" w14:paraId="26B25FA8" w14:textId="77777777" w:rsidTr="00755608">
        <w:trPr>
          <w:trHeight w:val="209"/>
          <w:jc w:val="center"/>
        </w:trPr>
        <w:tc>
          <w:tcPr>
            <w:tcW w:w="644" w:type="dxa"/>
            <w:noWrap/>
            <w:vAlign w:val="center"/>
            <w:hideMark/>
          </w:tcPr>
          <w:p w14:paraId="00CA3C6B"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7.</w:t>
            </w:r>
          </w:p>
        </w:tc>
        <w:tc>
          <w:tcPr>
            <w:tcW w:w="5906" w:type="dxa"/>
            <w:vAlign w:val="bottom"/>
            <w:hideMark/>
          </w:tcPr>
          <w:p w14:paraId="697C9083" w14:textId="77777777" w:rsidR="00F027F8" w:rsidRPr="00F027F8" w:rsidRDefault="00F027F8" w:rsidP="00F027F8">
            <w:pPr>
              <w:spacing w:after="0" w:line="240" w:lineRule="auto"/>
              <w:jc w:val="both"/>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prioritize saving a portion of my income specifically for retirement or job exit.</w:t>
            </w:r>
          </w:p>
        </w:tc>
        <w:tc>
          <w:tcPr>
            <w:tcW w:w="830" w:type="dxa"/>
            <w:vAlign w:val="center"/>
          </w:tcPr>
          <w:p w14:paraId="6AC0E1E8"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3.50</w:t>
            </w:r>
          </w:p>
        </w:tc>
        <w:tc>
          <w:tcPr>
            <w:tcW w:w="1537" w:type="dxa"/>
            <w:vAlign w:val="center"/>
          </w:tcPr>
          <w:p w14:paraId="04A7714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754D4BFD" w14:textId="77777777" w:rsidTr="00755608">
        <w:trPr>
          <w:trHeight w:val="209"/>
          <w:jc w:val="center"/>
        </w:trPr>
        <w:tc>
          <w:tcPr>
            <w:tcW w:w="644" w:type="dxa"/>
            <w:noWrap/>
            <w:vAlign w:val="center"/>
          </w:tcPr>
          <w:p w14:paraId="240C6ADA"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8.</w:t>
            </w:r>
          </w:p>
        </w:tc>
        <w:tc>
          <w:tcPr>
            <w:tcW w:w="5906" w:type="dxa"/>
            <w:vAlign w:val="bottom"/>
          </w:tcPr>
          <w:p w14:paraId="0B6BF73A" w14:textId="77777777" w:rsidR="00F027F8" w:rsidRPr="00F027F8" w:rsidRDefault="00F027F8" w:rsidP="00F027F8">
            <w:pPr>
              <w:spacing w:after="0" w:line="240" w:lineRule="auto"/>
              <w:jc w:val="both"/>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feel more secure about my job exit because of the savings I have accumulated over the years.</w:t>
            </w:r>
          </w:p>
        </w:tc>
        <w:tc>
          <w:tcPr>
            <w:tcW w:w="830" w:type="dxa"/>
            <w:vAlign w:val="center"/>
          </w:tcPr>
          <w:p w14:paraId="47F8313B"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3.27</w:t>
            </w:r>
          </w:p>
        </w:tc>
        <w:tc>
          <w:tcPr>
            <w:tcW w:w="1537" w:type="dxa"/>
            <w:vAlign w:val="center"/>
          </w:tcPr>
          <w:p w14:paraId="17857103"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377A61D2" w14:textId="77777777" w:rsidTr="00755608">
        <w:trPr>
          <w:trHeight w:val="279"/>
          <w:jc w:val="center"/>
        </w:trPr>
        <w:tc>
          <w:tcPr>
            <w:tcW w:w="644" w:type="dxa"/>
            <w:noWrap/>
            <w:vAlign w:val="bottom"/>
          </w:tcPr>
          <w:p w14:paraId="31692930"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5906" w:type="dxa"/>
            <w:vAlign w:val="bottom"/>
          </w:tcPr>
          <w:p w14:paraId="2A5DEF14" w14:textId="77777777" w:rsidR="00F027F8" w:rsidRPr="00F027F8" w:rsidRDefault="00F027F8" w:rsidP="00F027F8">
            <w:pPr>
              <w:spacing w:after="0" w:line="240" w:lineRule="auto"/>
              <w:jc w:val="right"/>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Total Mean</w:t>
            </w:r>
          </w:p>
        </w:tc>
        <w:tc>
          <w:tcPr>
            <w:tcW w:w="830" w:type="dxa"/>
            <w:vAlign w:val="bottom"/>
          </w:tcPr>
          <w:p w14:paraId="70A9A788"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hAnsi="Arial" w:cs="Arial"/>
                <w:color w:val="000000"/>
                <w:sz w:val="22"/>
                <w:szCs w:val="22"/>
              </w:rPr>
              <w:t>3.45</w:t>
            </w:r>
          </w:p>
        </w:tc>
        <w:tc>
          <w:tcPr>
            <w:tcW w:w="1537" w:type="dxa"/>
            <w:vAlign w:val="bottom"/>
          </w:tcPr>
          <w:p w14:paraId="378D015F"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28F3B4B4" w14:textId="77777777" w:rsidTr="00755608">
        <w:trPr>
          <w:trHeight w:val="67"/>
          <w:jc w:val="center"/>
        </w:trPr>
        <w:tc>
          <w:tcPr>
            <w:tcW w:w="6550" w:type="dxa"/>
            <w:gridSpan w:val="2"/>
            <w:shd w:val="clear" w:color="000000" w:fill="F2F2F2"/>
            <w:noWrap/>
            <w:vAlign w:val="bottom"/>
            <w:hideMark/>
          </w:tcPr>
          <w:p w14:paraId="6D0773A1" w14:textId="77777777" w:rsidR="00F027F8" w:rsidRPr="00F027F8" w:rsidRDefault="00F027F8" w:rsidP="00F027F8">
            <w:pPr>
              <w:spacing w:after="0" w:line="240" w:lineRule="auto"/>
              <w:rPr>
                <w:rFonts w:ascii="Arial" w:eastAsia="Times New Roman" w:hAnsi="Arial" w:cs="Arial"/>
                <w:b/>
                <w:bCs/>
                <w:color w:val="000000"/>
                <w:sz w:val="22"/>
                <w:szCs w:val="22"/>
                <w:lang w:eastAsia="en-PH"/>
              </w:rPr>
            </w:pPr>
            <w:r w:rsidRPr="00F027F8">
              <w:rPr>
                <w:rFonts w:ascii="Arial" w:hAnsi="Arial" w:cs="Arial"/>
                <w:b/>
                <w:bCs/>
                <w:sz w:val="22"/>
                <w:szCs w:val="22"/>
              </w:rPr>
              <w:t>Working after Retirement</w:t>
            </w:r>
          </w:p>
        </w:tc>
        <w:tc>
          <w:tcPr>
            <w:tcW w:w="830" w:type="dxa"/>
            <w:shd w:val="clear" w:color="000000" w:fill="F2F2F2"/>
          </w:tcPr>
          <w:p w14:paraId="51EBC61F"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c>
          <w:tcPr>
            <w:tcW w:w="1537" w:type="dxa"/>
            <w:shd w:val="clear" w:color="000000" w:fill="F2F2F2"/>
          </w:tcPr>
          <w:p w14:paraId="5D1C7CFC"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p>
        </w:tc>
      </w:tr>
      <w:tr w:rsidR="00F027F8" w:rsidRPr="00F027F8" w14:paraId="2FEFF088" w14:textId="77777777" w:rsidTr="00755608">
        <w:trPr>
          <w:trHeight w:val="138"/>
          <w:jc w:val="center"/>
        </w:trPr>
        <w:tc>
          <w:tcPr>
            <w:tcW w:w="644" w:type="dxa"/>
            <w:noWrap/>
            <w:hideMark/>
          </w:tcPr>
          <w:p w14:paraId="2868191C"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9.</w:t>
            </w:r>
          </w:p>
        </w:tc>
        <w:tc>
          <w:tcPr>
            <w:tcW w:w="5906" w:type="dxa"/>
            <w:vAlign w:val="bottom"/>
          </w:tcPr>
          <w:p w14:paraId="3C981818" w14:textId="77777777" w:rsidR="00F027F8" w:rsidRPr="00F027F8" w:rsidRDefault="00F027F8" w:rsidP="00F027F8">
            <w:pPr>
              <w:spacing w:after="0" w:line="240" w:lineRule="auto"/>
              <w:jc w:val="both"/>
              <w:rPr>
                <w:rFonts w:ascii="Arial" w:eastAsia="Times New Roman" w:hAnsi="Arial" w:cs="Arial"/>
                <w:b/>
                <w:bCs/>
                <w:color w:val="000000"/>
                <w:sz w:val="22"/>
                <w:szCs w:val="22"/>
                <w:lang w:eastAsia="en-PH"/>
              </w:rPr>
            </w:pPr>
            <w:r w:rsidRPr="00F027F8">
              <w:rPr>
                <w:rFonts w:ascii="Arial" w:eastAsia="Times New Roman" w:hAnsi="Arial" w:cs="Arial"/>
                <w:color w:val="000000"/>
                <w:sz w:val="22"/>
                <w:szCs w:val="22"/>
                <w:lang w:eastAsia="en-PH"/>
              </w:rPr>
              <w:t>I plan to be working way after my retirement</w:t>
            </w:r>
          </w:p>
        </w:tc>
        <w:tc>
          <w:tcPr>
            <w:tcW w:w="830" w:type="dxa"/>
          </w:tcPr>
          <w:p w14:paraId="31E13127"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3.27</w:t>
            </w:r>
          </w:p>
        </w:tc>
        <w:tc>
          <w:tcPr>
            <w:tcW w:w="1537" w:type="dxa"/>
          </w:tcPr>
          <w:p w14:paraId="2727763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696E3D5E" w14:textId="77777777" w:rsidTr="00755608">
        <w:trPr>
          <w:trHeight w:val="209"/>
          <w:jc w:val="center"/>
        </w:trPr>
        <w:tc>
          <w:tcPr>
            <w:tcW w:w="644" w:type="dxa"/>
            <w:noWrap/>
            <w:hideMark/>
          </w:tcPr>
          <w:p w14:paraId="22EB5A3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10.</w:t>
            </w:r>
          </w:p>
        </w:tc>
        <w:tc>
          <w:tcPr>
            <w:tcW w:w="5906" w:type="dxa"/>
            <w:vAlign w:val="bottom"/>
            <w:hideMark/>
          </w:tcPr>
          <w:p w14:paraId="39F19EEB" w14:textId="77777777" w:rsidR="00F027F8" w:rsidRPr="00F027F8" w:rsidRDefault="00F027F8" w:rsidP="00F027F8">
            <w:pPr>
              <w:spacing w:after="0" w:line="240" w:lineRule="auto"/>
              <w:jc w:val="both"/>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have already set up a side business to replenish my income.</w:t>
            </w:r>
          </w:p>
        </w:tc>
        <w:tc>
          <w:tcPr>
            <w:tcW w:w="830" w:type="dxa"/>
          </w:tcPr>
          <w:p w14:paraId="056A5F2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3.17</w:t>
            </w:r>
          </w:p>
        </w:tc>
        <w:tc>
          <w:tcPr>
            <w:tcW w:w="1537" w:type="dxa"/>
          </w:tcPr>
          <w:p w14:paraId="5CD16DCD"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48CDCA85" w14:textId="77777777" w:rsidTr="00755608">
        <w:trPr>
          <w:trHeight w:val="279"/>
          <w:jc w:val="center"/>
        </w:trPr>
        <w:tc>
          <w:tcPr>
            <w:tcW w:w="644" w:type="dxa"/>
            <w:noWrap/>
            <w:hideMark/>
          </w:tcPr>
          <w:p w14:paraId="45352E91"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11.</w:t>
            </w:r>
          </w:p>
        </w:tc>
        <w:tc>
          <w:tcPr>
            <w:tcW w:w="5906" w:type="dxa"/>
            <w:vAlign w:val="bottom"/>
            <w:hideMark/>
          </w:tcPr>
          <w:p w14:paraId="24484E57" w14:textId="77777777" w:rsidR="00F027F8" w:rsidRPr="00F027F8" w:rsidRDefault="00F027F8" w:rsidP="00F027F8">
            <w:pPr>
              <w:spacing w:after="0" w:line="240" w:lineRule="auto"/>
              <w:jc w:val="both"/>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would like to exit this job before my retirement age.</w:t>
            </w:r>
          </w:p>
        </w:tc>
        <w:tc>
          <w:tcPr>
            <w:tcW w:w="830" w:type="dxa"/>
          </w:tcPr>
          <w:p w14:paraId="04F2150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3.57</w:t>
            </w:r>
          </w:p>
        </w:tc>
        <w:tc>
          <w:tcPr>
            <w:tcW w:w="1537" w:type="dxa"/>
          </w:tcPr>
          <w:p w14:paraId="561D9AF0"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7CC6C920" w14:textId="77777777" w:rsidTr="00755608">
        <w:trPr>
          <w:trHeight w:val="279"/>
          <w:jc w:val="center"/>
        </w:trPr>
        <w:tc>
          <w:tcPr>
            <w:tcW w:w="644" w:type="dxa"/>
            <w:noWrap/>
          </w:tcPr>
          <w:p w14:paraId="19DF2849"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lastRenderedPageBreak/>
              <w:t>12.</w:t>
            </w:r>
          </w:p>
        </w:tc>
        <w:tc>
          <w:tcPr>
            <w:tcW w:w="5906" w:type="dxa"/>
            <w:vAlign w:val="bottom"/>
          </w:tcPr>
          <w:p w14:paraId="21193570" w14:textId="77777777" w:rsidR="00F027F8" w:rsidRPr="00F027F8" w:rsidRDefault="00F027F8" w:rsidP="00F027F8">
            <w:pPr>
              <w:spacing w:after="0" w:line="240" w:lineRule="auto"/>
              <w:jc w:val="both"/>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I plan to build a business that can sustain me in case a job termination</w:t>
            </w:r>
          </w:p>
        </w:tc>
        <w:tc>
          <w:tcPr>
            <w:tcW w:w="830" w:type="dxa"/>
          </w:tcPr>
          <w:p w14:paraId="5F23D703"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3.97</w:t>
            </w:r>
          </w:p>
        </w:tc>
        <w:tc>
          <w:tcPr>
            <w:tcW w:w="1537" w:type="dxa"/>
          </w:tcPr>
          <w:p w14:paraId="7CFC794F"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High</w:t>
            </w:r>
          </w:p>
        </w:tc>
      </w:tr>
      <w:tr w:rsidR="00F027F8" w:rsidRPr="00F027F8" w14:paraId="25331B28" w14:textId="77777777" w:rsidTr="00755608">
        <w:trPr>
          <w:trHeight w:val="209"/>
          <w:jc w:val="center"/>
        </w:trPr>
        <w:tc>
          <w:tcPr>
            <w:tcW w:w="644" w:type="dxa"/>
            <w:noWrap/>
            <w:vAlign w:val="bottom"/>
          </w:tcPr>
          <w:p w14:paraId="711ED386"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5906" w:type="dxa"/>
            <w:vAlign w:val="bottom"/>
          </w:tcPr>
          <w:p w14:paraId="46A5A21B" w14:textId="77777777" w:rsidR="00F027F8" w:rsidRPr="00F027F8" w:rsidRDefault="00F027F8" w:rsidP="00F027F8">
            <w:pPr>
              <w:spacing w:after="0" w:line="240" w:lineRule="auto"/>
              <w:jc w:val="right"/>
              <w:rPr>
                <w:rFonts w:ascii="Arial" w:eastAsia="Times New Roman" w:hAnsi="Arial" w:cs="Arial"/>
                <w:color w:val="000000"/>
                <w:sz w:val="22"/>
                <w:szCs w:val="22"/>
                <w:lang w:eastAsia="en-PH"/>
              </w:rPr>
            </w:pPr>
            <w:r w:rsidRPr="00F027F8">
              <w:rPr>
                <w:rFonts w:ascii="Arial" w:eastAsia="Times New Roman" w:hAnsi="Arial" w:cs="Arial"/>
                <w:b/>
                <w:bCs/>
                <w:color w:val="000000"/>
                <w:sz w:val="22"/>
                <w:szCs w:val="22"/>
                <w:lang w:eastAsia="en-PH"/>
              </w:rPr>
              <w:t>Total Mean</w:t>
            </w:r>
          </w:p>
        </w:tc>
        <w:tc>
          <w:tcPr>
            <w:tcW w:w="830" w:type="dxa"/>
            <w:vAlign w:val="bottom"/>
          </w:tcPr>
          <w:p w14:paraId="5B48CB56"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3.49</w:t>
            </w:r>
          </w:p>
        </w:tc>
        <w:tc>
          <w:tcPr>
            <w:tcW w:w="1537" w:type="dxa"/>
          </w:tcPr>
          <w:p w14:paraId="12AD80CE" w14:textId="77777777" w:rsidR="00F027F8" w:rsidRPr="00F027F8" w:rsidRDefault="00F027F8" w:rsidP="00F027F8">
            <w:pPr>
              <w:spacing w:after="0" w:line="240" w:lineRule="auto"/>
              <w:jc w:val="center"/>
              <w:rPr>
                <w:rFonts w:ascii="Arial" w:eastAsia="Times New Roman" w:hAnsi="Arial" w:cs="Arial"/>
                <w:color w:val="000000"/>
                <w:sz w:val="22"/>
                <w:szCs w:val="22"/>
                <w:lang w:eastAsia="en-PH"/>
              </w:rPr>
            </w:pPr>
            <w:r w:rsidRPr="00F027F8">
              <w:rPr>
                <w:rFonts w:ascii="Arial" w:eastAsia="Times New Roman" w:hAnsi="Arial" w:cs="Arial"/>
                <w:color w:val="000000"/>
                <w:sz w:val="22"/>
                <w:szCs w:val="22"/>
                <w:lang w:eastAsia="en-PH"/>
              </w:rPr>
              <w:t>Moderate</w:t>
            </w:r>
          </w:p>
        </w:tc>
      </w:tr>
      <w:tr w:rsidR="00F027F8" w:rsidRPr="00F027F8" w14:paraId="70998006" w14:textId="77777777" w:rsidTr="00755608">
        <w:trPr>
          <w:trHeight w:val="279"/>
          <w:jc w:val="center"/>
        </w:trPr>
        <w:tc>
          <w:tcPr>
            <w:tcW w:w="644" w:type="dxa"/>
            <w:tcBorders>
              <w:top w:val="single" w:sz="4" w:space="0" w:color="auto"/>
              <w:bottom w:val="single" w:sz="4" w:space="0" w:color="auto"/>
            </w:tcBorders>
            <w:noWrap/>
            <w:vAlign w:val="bottom"/>
          </w:tcPr>
          <w:p w14:paraId="34A5897A" w14:textId="77777777" w:rsidR="00F027F8" w:rsidRPr="00F027F8" w:rsidRDefault="00F027F8" w:rsidP="00F027F8">
            <w:pPr>
              <w:spacing w:after="0" w:line="240" w:lineRule="auto"/>
              <w:rPr>
                <w:rFonts w:ascii="Arial" w:eastAsia="Times New Roman" w:hAnsi="Arial" w:cs="Arial"/>
                <w:color w:val="000000"/>
                <w:sz w:val="22"/>
                <w:szCs w:val="22"/>
                <w:lang w:eastAsia="en-PH"/>
              </w:rPr>
            </w:pPr>
          </w:p>
        </w:tc>
        <w:tc>
          <w:tcPr>
            <w:tcW w:w="5906" w:type="dxa"/>
            <w:tcBorders>
              <w:top w:val="single" w:sz="4" w:space="0" w:color="auto"/>
              <w:bottom w:val="single" w:sz="4" w:space="0" w:color="auto"/>
            </w:tcBorders>
            <w:vAlign w:val="bottom"/>
          </w:tcPr>
          <w:p w14:paraId="4D97CCC9" w14:textId="77777777" w:rsidR="00F027F8" w:rsidRPr="00F027F8" w:rsidRDefault="00F027F8" w:rsidP="00F027F8">
            <w:pPr>
              <w:spacing w:after="0" w:line="240" w:lineRule="auto"/>
              <w:jc w:val="right"/>
              <w:rPr>
                <w:rFonts w:ascii="Arial" w:eastAsia="Times New Roman" w:hAnsi="Arial" w:cs="Arial"/>
                <w:b/>
                <w:bCs/>
                <w:color w:val="000000"/>
                <w:sz w:val="22"/>
                <w:szCs w:val="22"/>
                <w:lang w:eastAsia="en-PH"/>
              </w:rPr>
            </w:pPr>
            <w:r w:rsidRPr="00F027F8">
              <w:rPr>
                <w:rFonts w:ascii="Arial" w:eastAsia="Times New Roman" w:hAnsi="Arial" w:cs="Arial"/>
                <w:b/>
                <w:bCs/>
                <w:color w:val="000000"/>
                <w:sz w:val="22"/>
                <w:szCs w:val="22"/>
                <w:lang w:eastAsia="en-PH"/>
              </w:rPr>
              <w:t>Overall Mean</w:t>
            </w:r>
          </w:p>
        </w:tc>
        <w:tc>
          <w:tcPr>
            <w:tcW w:w="830" w:type="dxa"/>
            <w:tcBorders>
              <w:top w:val="single" w:sz="4" w:space="0" w:color="auto"/>
              <w:bottom w:val="single" w:sz="4" w:space="0" w:color="auto"/>
            </w:tcBorders>
            <w:vAlign w:val="bottom"/>
          </w:tcPr>
          <w:p w14:paraId="53980F17" w14:textId="77777777" w:rsidR="00F027F8" w:rsidRPr="00F027F8" w:rsidRDefault="00F027F8" w:rsidP="00F027F8">
            <w:pPr>
              <w:spacing w:after="0" w:line="240" w:lineRule="auto"/>
              <w:jc w:val="center"/>
              <w:rPr>
                <w:rFonts w:ascii="Arial" w:hAnsi="Arial" w:cs="Arial"/>
                <w:color w:val="000000"/>
                <w:sz w:val="22"/>
                <w:szCs w:val="22"/>
              </w:rPr>
            </w:pPr>
            <w:r w:rsidRPr="00F027F8">
              <w:rPr>
                <w:rFonts w:ascii="Arial" w:hAnsi="Arial" w:cs="Arial"/>
                <w:color w:val="000000"/>
                <w:sz w:val="22"/>
                <w:szCs w:val="22"/>
              </w:rPr>
              <w:t>3.59</w:t>
            </w:r>
          </w:p>
        </w:tc>
        <w:tc>
          <w:tcPr>
            <w:tcW w:w="1537" w:type="dxa"/>
            <w:tcBorders>
              <w:top w:val="single" w:sz="4" w:space="0" w:color="auto"/>
              <w:bottom w:val="single" w:sz="4" w:space="0" w:color="auto"/>
            </w:tcBorders>
            <w:vAlign w:val="bottom"/>
          </w:tcPr>
          <w:p w14:paraId="0B87B78E" w14:textId="77777777" w:rsidR="00F027F8" w:rsidRPr="00F027F8" w:rsidRDefault="00F027F8" w:rsidP="00F027F8">
            <w:pPr>
              <w:spacing w:after="0" w:line="240" w:lineRule="auto"/>
              <w:rPr>
                <w:rFonts w:ascii="Arial" w:hAnsi="Arial" w:cs="Arial"/>
                <w:color w:val="000000"/>
                <w:sz w:val="22"/>
                <w:szCs w:val="22"/>
              </w:rPr>
            </w:pPr>
            <w:r w:rsidRPr="00F027F8">
              <w:rPr>
                <w:rFonts w:ascii="Arial" w:hAnsi="Arial" w:cs="Arial"/>
                <w:color w:val="000000"/>
                <w:sz w:val="22"/>
                <w:szCs w:val="22"/>
              </w:rPr>
              <w:t xml:space="preserve">     High</w:t>
            </w:r>
          </w:p>
        </w:tc>
      </w:tr>
    </w:tbl>
    <w:p w14:paraId="0C573EAC" w14:textId="35E39A93" w:rsidR="00A81877" w:rsidRDefault="00F027F8" w:rsidP="00A81877">
      <w:pPr>
        <w:spacing w:before="120" w:after="0" w:line="240" w:lineRule="auto"/>
        <w:jc w:val="both"/>
        <w:rPr>
          <w:rFonts w:ascii="Arial" w:hAnsi="Arial" w:cs="Arial"/>
          <w:color w:val="000000" w:themeColor="text1"/>
          <w:sz w:val="22"/>
          <w:szCs w:val="22"/>
        </w:rPr>
      </w:pPr>
      <w:r w:rsidRPr="00F027F8">
        <w:rPr>
          <w:rFonts w:ascii="Arial" w:hAnsi="Arial" w:cs="Arial"/>
          <w:color w:val="000000" w:themeColor="text1"/>
          <w:sz w:val="22"/>
          <w:szCs w:val="22"/>
        </w:rPr>
        <w:t xml:space="preserve">The Debt Level dimension reflects strong financial discipline among respondents, particularly in managing liabilities prior to job exit. The highest-rated item was “I believe that reducing debt is essential for ensuring a smooth transition when I leave my job” (4.15), indicating strong recognition of the importance of debt reduction in retirement preparation. In contrast, the lowest-rated item was “I fear that I may not have cleared my debts at job termination” (3.38), suggesting lingering financial uncertainty among some respondents. </w:t>
      </w:r>
      <w:r w:rsidR="008D23E4" w:rsidRPr="008D23E4">
        <w:rPr>
          <w:rFonts w:ascii="Arial" w:hAnsi="Arial" w:cs="Arial"/>
          <w:color w:val="000000" w:themeColor="text1"/>
          <w:sz w:val="22"/>
          <w:szCs w:val="22"/>
        </w:rPr>
        <w:t xml:space="preserve">The pattern shows financial self-regulatory </w:t>
      </w:r>
      <w:r w:rsidR="0014704C" w:rsidRPr="008D23E4">
        <w:rPr>
          <w:rFonts w:ascii="Arial" w:hAnsi="Arial" w:cs="Arial"/>
          <w:color w:val="000000" w:themeColor="text1"/>
          <w:sz w:val="22"/>
          <w:szCs w:val="22"/>
        </w:rPr>
        <w:t>behavior</w:t>
      </w:r>
      <w:r w:rsidR="008D23E4" w:rsidRPr="008D23E4">
        <w:rPr>
          <w:rFonts w:ascii="Arial" w:hAnsi="Arial" w:cs="Arial"/>
          <w:color w:val="000000" w:themeColor="text1"/>
          <w:sz w:val="22"/>
          <w:szCs w:val="22"/>
        </w:rPr>
        <w:t xml:space="preserve"> because employees are aware about how to manage their debts, but at the same time are uncertain about how to achieve closure on their financial obligations. According to the Theory of Planned </w:t>
      </w:r>
      <w:r w:rsidR="0014704C" w:rsidRPr="008D23E4">
        <w:rPr>
          <w:rFonts w:ascii="Arial" w:hAnsi="Arial" w:cs="Arial"/>
          <w:color w:val="000000" w:themeColor="text1"/>
          <w:sz w:val="22"/>
          <w:szCs w:val="22"/>
        </w:rPr>
        <w:t>Behavior</w:t>
      </w:r>
      <w:r w:rsidR="008D23E4" w:rsidRPr="008D23E4">
        <w:rPr>
          <w:rFonts w:ascii="Arial" w:hAnsi="Arial" w:cs="Arial"/>
          <w:color w:val="000000" w:themeColor="text1"/>
          <w:sz w:val="22"/>
          <w:szCs w:val="22"/>
        </w:rPr>
        <w:t xml:space="preserve"> (Ajzen, 1991), these employees have strong attitudes toward trying to be in control of their debt, but there is a considerable range in their level of perceived control in successfully achieving total financial closure. This is consistent with </w:t>
      </w:r>
      <w:proofErr w:type="spellStart"/>
      <w:r w:rsidR="008D23E4" w:rsidRPr="008D23E4">
        <w:rPr>
          <w:rFonts w:ascii="Arial" w:hAnsi="Arial" w:cs="Arial"/>
          <w:color w:val="000000" w:themeColor="text1"/>
          <w:sz w:val="22"/>
          <w:szCs w:val="22"/>
        </w:rPr>
        <w:t>Ghadwan</w:t>
      </w:r>
      <w:proofErr w:type="spellEnd"/>
      <w:r w:rsidR="008D23E4" w:rsidRPr="008D23E4">
        <w:rPr>
          <w:rFonts w:ascii="Arial" w:hAnsi="Arial" w:cs="Arial"/>
          <w:color w:val="000000" w:themeColor="text1"/>
          <w:sz w:val="22"/>
          <w:szCs w:val="22"/>
        </w:rPr>
        <w:t xml:space="preserve"> et al. (2022) who stated that managing debt is a critical predictor of being ready for retirement and having financial stability.</w:t>
      </w:r>
    </w:p>
    <w:p w14:paraId="3B0112F8" w14:textId="41BD0AE1" w:rsidR="00F027F8" w:rsidRPr="00F027F8" w:rsidRDefault="00F027F8" w:rsidP="00A81877">
      <w:pPr>
        <w:spacing w:before="120" w:after="0" w:line="240" w:lineRule="auto"/>
        <w:jc w:val="both"/>
        <w:rPr>
          <w:rFonts w:ascii="Arial" w:hAnsi="Arial" w:cs="Arial"/>
          <w:color w:val="000000" w:themeColor="text1"/>
          <w:sz w:val="22"/>
          <w:szCs w:val="22"/>
        </w:rPr>
      </w:pPr>
      <w:r w:rsidRPr="00F027F8">
        <w:rPr>
          <w:rFonts w:ascii="Arial" w:hAnsi="Arial" w:cs="Arial"/>
          <w:color w:val="000000" w:themeColor="text1"/>
          <w:sz w:val="22"/>
          <w:szCs w:val="22"/>
        </w:rPr>
        <w:t>The Level of Savings reflects a moderate degree of financial preparedness among respondents, indicating that saving behavior is present but not yet fully optimized. The highest-rated item was “I ensure that I save a huge portion of my income for the sake of the future” (3.58), suggesting positive saving intentions. However, the lowest-rated item was “I feel more secure about my job exit because of the savings I have accumulated over the years” (3.27), indicating limited confidence in accumulated financial reserves.</w:t>
      </w:r>
    </w:p>
    <w:p w14:paraId="4CF6DCC4" w14:textId="77777777" w:rsidR="00893A1D" w:rsidRDefault="00893A1D" w:rsidP="00A81877">
      <w:pPr>
        <w:spacing w:before="120" w:after="0" w:line="240" w:lineRule="auto"/>
        <w:jc w:val="both"/>
        <w:rPr>
          <w:rFonts w:ascii="Arial" w:hAnsi="Arial" w:cs="Arial"/>
          <w:color w:val="000000" w:themeColor="text1"/>
          <w:sz w:val="22"/>
          <w:szCs w:val="22"/>
        </w:rPr>
      </w:pPr>
      <w:r w:rsidRPr="00893A1D">
        <w:rPr>
          <w:rFonts w:ascii="Arial" w:hAnsi="Arial" w:cs="Arial"/>
          <w:color w:val="000000" w:themeColor="text1"/>
          <w:sz w:val="22"/>
          <w:szCs w:val="22"/>
        </w:rPr>
        <w:t xml:space="preserve">The Theory of Planned </w:t>
      </w:r>
      <w:proofErr w:type="spellStart"/>
      <w:r w:rsidRPr="00893A1D">
        <w:rPr>
          <w:rFonts w:ascii="Arial" w:hAnsi="Arial" w:cs="Arial"/>
          <w:color w:val="000000" w:themeColor="text1"/>
          <w:sz w:val="22"/>
          <w:szCs w:val="22"/>
        </w:rPr>
        <w:t>Behaviour</w:t>
      </w:r>
      <w:proofErr w:type="spellEnd"/>
      <w:r w:rsidRPr="00893A1D">
        <w:rPr>
          <w:rFonts w:ascii="Arial" w:hAnsi="Arial" w:cs="Arial"/>
          <w:color w:val="000000" w:themeColor="text1"/>
          <w:sz w:val="22"/>
          <w:szCs w:val="22"/>
        </w:rPr>
        <w:t xml:space="preserve"> (Ajzen, 1991) indicates that while people have an overall positive attitude toward saving money, there are limits on their ability to perform </w:t>
      </w:r>
      <w:proofErr w:type="spellStart"/>
      <w:r w:rsidRPr="00893A1D">
        <w:rPr>
          <w:rFonts w:ascii="Arial" w:hAnsi="Arial" w:cs="Arial"/>
          <w:color w:val="000000" w:themeColor="text1"/>
          <w:sz w:val="22"/>
          <w:szCs w:val="22"/>
        </w:rPr>
        <w:t>behaviours</w:t>
      </w:r>
      <w:proofErr w:type="spellEnd"/>
      <w:r w:rsidRPr="00893A1D">
        <w:rPr>
          <w:rFonts w:ascii="Arial" w:hAnsi="Arial" w:cs="Arial"/>
          <w:color w:val="000000" w:themeColor="text1"/>
          <w:sz w:val="22"/>
          <w:szCs w:val="22"/>
        </w:rPr>
        <w:t xml:space="preserve"> due to a lack of perceived control over their </w:t>
      </w:r>
      <w:proofErr w:type="spellStart"/>
      <w:r w:rsidRPr="00893A1D">
        <w:rPr>
          <w:rFonts w:ascii="Arial" w:hAnsi="Arial" w:cs="Arial"/>
          <w:color w:val="000000" w:themeColor="text1"/>
          <w:sz w:val="22"/>
          <w:szCs w:val="22"/>
        </w:rPr>
        <w:t>behaviour</w:t>
      </w:r>
      <w:proofErr w:type="spellEnd"/>
      <w:r w:rsidRPr="00893A1D">
        <w:rPr>
          <w:rFonts w:ascii="Arial" w:hAnsi="Arial" w:cs="Arial"/>
          <w:color w:val="000000" w:themeColor="text1"/>
          <w:sz w:val="22"/>
          <w:szCs w:val="22"/>
        </w:rPr>
        <w:t xml:space="preserve"> based on their income level or financial readiness to be able to save. </w:t>
      </w:r>
      <w:proofErr w:type="spellStart"/>
      <w:r w:rsidRPr="00893A1D">
        <w:rPr>
          <w:rFonts w:ascii="Arial" w:hAnsi="Arial" w:cs="Arial"/>
          <w:color w:val="000000" w:themeColor="text1"/>
          <w:sz w:val="22"/>
          <w:szCs w:val="22"/>
        </w:rPr>
        <w:t>Ciputra</w:t>
      </w:r>
      <w:proofErr w:type="spellEnd"/>
      <w:r w:rsidRPr="00893A1D">
        <w:rPr>
          <w:rFonts w:ascii="Arial" w:hAnsi="Arial" w:cs="Arial"/>
          <w:color w:val="000000" w:themeColor="text1"/>
          <w:sz w:val="22"/>
          <w:szCs w:val="22"/>
        </w:rPr>
        <w:t xml:space="preserve"> and Syah (2025) as well as </w:t>
      </w:r>
      <w:proofErr w:type="spellStart"/>
      <w:r w:rsidRPr="00893A1D">
        <w:rPr>
          <w:rFonts w:ascii="Arial" w:hAnsi="Arial" w:cs="Arial"/>
          <w:color w:val="000000" w:themeColor="text1"/>
          <w:sz w:val="22"/>
          <w:szCs w:val="22"/>
        </w:rPr>
        <w:t>Ghadwan</w:t>
      </w:r>
      <w:proofErr w:type="spellEnd"/>
      <w:r w:rsidRPr="00893A1D">
        <w:rPr>
          <w:rFonts w:ascii="Arial" w:hAnsi="Arial" w:cs="Arial"/>
          <w:color w:val="000000" w:themeColor="text1"/>
          <w:sz w:val="22"/>
          <w:szCs w:val="22"/>
        </w:rPr>
        <w:t xml:space="preserve"> et al. (2022) also found that the income level will greatly affect the ability to sustain a long-term saving </w:t>
      </w:r>
      <w:proofErr w:type="spellStart"/>
      <w:r w:rsidRPr="00893A1D">
        <w:rPr>
          <w:rFonts w:ascii="Arial" w:hAnsi="Arial" w:cs="Arial"/>
          <w:color w:val="000000" w:themeColor="text1"/>
          <w:sz w:val="22"/>
          <w:szCs w:val="22"/>
        </w:rPr>
        <w:t>behaviour</w:t>
      </w:r>
      <w:proofErr w:type="spellEnd"/>
      <w:r w:rsidRPr="00893A1D">
        <w:rPr>
          <w:rFonts w:ascii="Arial" w:hAnsi="Arial" w:cs="Arial"/>
          <w:color w:val="000000" w:themeColor="text1"/>
          <w:sz w:val="22"/>
          <w:szCs w:val="22"/>
        </w:rPr>
        <w:t>.</w:t>
      </w:r>
      <w:r w:rsidRPr="00893A1D">
        <w:rPr>
          <w:rFonts w:ascii="Arial" w:hAnsi="Arial" w:cs="Arial"/>
          <w:color w:val="000000" w:themeColor="text1"/>
          <w:sz w:val="22"/>
          <w:szCs w:val="22"/>
        </w:rPr>
        <w:t xml:space="preserve"> </w:t>
      </w:r>
    </w:p>
    <w:p w14:paraId="75F46FB9" w14:textId="09A65426" w:rsidR="00F027F8" w:rsidRPr="00F027F8" w:rsidRDefault="00F027F8" w:rsidP="00A81877">
      <w:pPr>
        <w:spacing w:before="120" w:after="0" w:line="240" w:lineRule="auto"/>
        <w:jc w:val="both"/>
        <w:rPr>
          <w:rFonts w:ascii="Arial" w:hAnsi="Arial" w:cs="Arial"/>
          <w:color w:val="000000" w:themeColor="text1"/>
          <w:sz w:val="22"/>
          <w:szCs w:val="22"/>
        </w:rPr>
      </w:pPr>
      <w:r w:rsidRPr="00F027F8">
        <w:rPr>
          <w:rFonts w:ascii="Arial" w:hAnsi="Arial" w:cs="Arial"/>
          <w:color w:val="000000" w:themeColor="text1"/>
          <w:sz w:val="22"/>
          <w:szCs w:val="22"/>
        </w:rPr>
        <w:t>The Working After Retirement dimension indicates that respondents are considering post-employment income strategies as part of their retirement planning. The highest-rated item was “I plan to build a business that can sustain me in case of job termination” (3.97), showing strong inclination toward alternative income sources. In contrast, the lowest-rated item was “I have already set up a side business to replenish my income” (3.17), suggesting that while intentions exist, actual implementation remains limited.</w:t>
      </w:r>
    </w:p>
    <w:p w14:paraId="3D6F1494" w14:textId="77777777" w:rsidR="00F027F8" w:rsidRPr="00F027F8" w:rsidRDefault="00F027F8" w:rsidP="00A81877">
      <w:pPr>
        <w:spacing w:before="120" w:after="0" w:line="240" w:lineRule="auto"/>
        <w:jc w:val="both"/>
        <w:rPr>
          <w:rFonts w:ascii="Arial" w:hAnsi="Arial" w:cs="Arial"/>
          <w:color w:val="000000" w:themeColor="text1"/>
          <w:sz w:val="22"/>
          <w:szCs w:val="22"/>
        </w:rPr>
      </w:pPr>
      <w:r w:rsidRPr="00F027F8">
        <w:rPr>
          <w:rFonts w:ascii="Arial" w:hAnsi="Arial" w:cs="Arial"/>
          <w:color w:val="000000" w:themeColor="text1"/>
          <w:sz w:val="22"/>
          <w:szCs w:val="22"/>
        </w:rPr>
        <w:t>This reflects a behavioral intention–action gap consistent with the Theory of Planned Behavior (Ajzen, 1991), where intentions are present but not fully translated into behavior due to constraints such as financial capacity or opportunity access. This aligns with Apostol et al. (2025), who noted that individuals often consider post-retirement employment as a financial buffer but may delay actual implementation until closer to retirement.</w:t>
      </w:r>
    </w:p>
    <w:p w14:paraId="69753BB8" w14:textId="77777777" w:rsidR="00F027F8" w:rsidRPr="00F027F8" w:rsidRDefault="00F027F8" w:rsidP="00A81877">
      <w:pPr>
        <w:spacing w:before="120" w:after="0" w:line="240" w:lineRule="auto"/>
        <w:jc w:val="both"/>
        <w:rPr>
          <w:rFonts w:ascii="Arial" w:hAnsi="Arial" w:cs="Arial"/>
          <w:color w:val="000000" w:themeColor="text1"/>
          <w:sz w:val="22"/>
          <w:szCs w:val="22"/>
        </w:rPr>
      </w:pPr>
      <w:r w:rsidRPr="00F027F8">
        <w:rPr>
          <w:rFonts w:ascii="Arial" w:hAnsi="Arial" w:cs="Arial"/>
          <w:color w:val="000000" w:themeColor="text1"/>
          <w:sz w:val="22"/>
          <w:szCs w:val="22"/>
        </w:rPr>
        <w:t>Overall, the results indicate that Job Exit Preparedness among respondents is primarily driven by strong debt management behavior, followed by moderate engagement in post-retirement planning, and comparatively lower savings confidence. This suggests that while employees demonstrate financial responsibility in managing liabilities, their long-term financial accumulation and execution of retirement strategies are still developing.</w:t>
      </w:r>
    </w:p>
    <w:p w14:paraId="5913A7C0" w14:textId="77777777" w:rsidR="00F027F8" w:rsidRDefault="00F027F8" w:rsidP="00A81877">
      <w:pPr>
        <w:spacing w:before="120" w:after="0" w:line="240" w:lineRule="auto"/>
        <w:ind w:firstLine="720"/>
        <w:jc w:val="both"/>
        <w:rPr>
          <w:rFonts w:ascii="Arial" w:hAnsi="Arial" w:cs="Arial"/>
          <w:color w:val="000000" w:themeColor="text1"/>
          <w:sz w:val="22"/>
          <w:szCs w:val="22"/>
        </w:rPr>
      </w:pPr>
      <w:r w:rsidRPr="00F027F8">
        <w:rPr>
          <w:rFonts w:ascii="Arial" w:hAnsi="Arial" w:cs="Arial"/>
          <w:color w:val="000000" w:themeColor="text1"/>
          <w:sz w:val="22"/>
          <w:szCs w:val="22"/>
        </w:rPr>
        <w:t>In terms of the Theory of Planned Behavior (Ajzen, 1991), this pattern reflects strong behavioral attitudes toward financial security, but uneven perceived control across different financial domains. This is consistent with Frank et al. (2023), who emphasized that retirement readiness is a gradual process influenced by both financial capability and institutional support.</w:t>
      </w:r>
    </w:p>
    <w:p w14:paraId="156ACA11" w14:textId="77777777" w:rsidR="00A81877" w:rsidRDefault="00A81877" w:rsidP="00A81877">
      <w:pPr>
        <w:spacing w:before="120" w:after="0" w:line="240" w:lineRule="auto"/>
        <w:jc w:val="both"/>
        <w:rPr>
          <w:rFonts w:ascii="Arial" w:hAnsi="Arial" w:cs="Arial"/>
          <w:b/>
          <w:bCs/>
          <w:color w:val="000000" w:themeColor="text1"/>
          <w:sz w:val="22"/>
          <w:szCs w:val="22"/>
        </w:rPr>
      </w:pPr>
    </w:p>
    <w:p w14:paraId="621762A4" w14:textId="1534851B" w:rsidR="00F027F8" w:rsidRPr="00F027F8" w:rsidRDefault="00F027F8" w:rsidP="00A81877">
      <w:pPr>
        <w:spacing w:before="120" w:after="0" w:line="240" w:lineRule="auto"/>
        <w:jc w:val="both"/>
        <w:rPr>
          <w:rFonts w:ascii="Arial" w:hAnsi="Arial" w:cs="Arial"/>
          <w:b/>
          <w:bCs/>
          <w:color w:val="000000" w:themeColor="text1"/>
          <w:sz w:val="22"/>
          <w:szCs w:val="22"/>
        </w:rPr>
      </w:pPr>
      <w:r w:rsidRPr="00F027F8">
        <w:rPr>
          <w:rFonts w:ascii="Arial" w:hAnsi="Arial" w:cs="Arial"/>
          <w:b/>
          <w:bCs/>
          <w:color w:val="000000" w:themeColor="text1"/>
          <w:sz w:val="22"/>
          <w:szCs w:val="22"/>
        </w:rPr>
        <w:t xml:space="preserve">Table No </w:t>
      </w:r>
      <w:r w:rsidR="00A81877">
        <w:rPr>
          <w:rFonts w:ascii="Arial" w:hAnsi="Arial" w:cs="Arial"/>
          <w:b/>
          <w:bCs/>
          <w:color w:val="000000" w:themeColor="text1"/>
          <w:sz w:val="22"/>
          <w:szCs w:val="22"/>
        </w:rPr>
        <w:t>3</w:t>
      </w:r>
      <w:r w:rsidRPr="00F027F8">
        <w:rPr>
          <w:rFonts w:ascii="Arial" w:hAnsi="Arial" w:cs="Arial"/>
          <w:b/>
          <w:bCs/>
          <w:color w:val="000000" w:themeColor="text1"/>
          <w:sz w:val="22"/>
          <w:szCs w:val="22"/>
        </w:rPr>
        <w:t>. Assumption Check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3029"/>
      </w:tblGrid>
      <w:tr w:rsidR="00F027F8" w:rsidRPr="00F027F8" w14:paraId="240D39A4" w14:textId="77777777" w:rsidTr="00755608">
        <w:trPr>
          <w:trHeight w:val="288"/>
        </w:trPr>
        <w:tc>
          <w:tcPr>
            <w:tcW w:w="5586" w:type="dxa"/>
            <w:tcBorders>
              <w:top w:val="single" w:sz="4" w:space="0" w:color="auto"/>
              <w:bottom w:val="single" w:sz="4" w:space="0" w:color="auto"/>
            </w:tcBorders>
            <w:vAlign w:val="center"/>
          </w:tcPr>
          <w:p w14:paraId="36300B04" w14:textId="77777777" w:rsidR="00F027F8" w:rsidRPr="00F027F8" w:rsidRDefault="00F027F8" w:rsidP="00A81877">
            <w:pPr>
              <w:jc w:val="center"/>
              <w:rPr>
                <w:rFonts w:ascii="Arial" w:hAnsi="Arial" w:cs="Arial"/>
                <w:b/>
                <w:bCs/>
                <w:color w:val="000000" w:themeColor="text1"/>
              </w:rPr>
            </w:pPr>
            <w:r w:rsidRPr="00F027F8">
              <w:rPr>
                <w:rFonts w:ascii="Arial" w:hAnsi="Arial" w:cs="Arial"/>
                <w:b/>
                <w:bCs/>
                <w:color w:val="000000" w:themeColor="text1"/>
              </w:rPr>
              <w:t>Variables</w:t>
            </w:r>
          </w:p>
        </w:tc>
        <w:tc>
          <w:tcPr>
            <w:tcW w:w="3029" w:type="dxa"/>
            <w:tcBorders>
              <w:top w:val="single" w:sz="4" w:space="0" w:color="auto"/>
              <w:bottom w:val="single" w:sz="4" w:space="0" w:color="auto"/>
            </w:tcBorders>
          </w:tcPr>
          <w:p w14:paraId="6C235F55" w14:textId="77777777" w:rsidR="00F027F8" w:rsidRPr="00F027F8" w:rsidRDefault="00F027F8" w:rsidP="00A81877">
            <w:pPr>
              <w:jc w:val="center"/>
              <w:rPr>
                <w:rFonts w:ascii="Arial" w:hAnsi="Arial" w:cs="Arial"/>
                <w:b/>
                <w:bCs/>
                <w:color w:val="000000" w:themeColor="text1"/>
              </w:rPr>
            </w:pPr>
            <w:r w:rsidRPr="00F027F8">
              <w:rPr>
                <w:rFonts w:ascii="Arial" w:hAnsi="Arial" w:cs="Arial"/>
                <w:b/>
                <w:bCs/>
                <w:color w:val="000000" w:themeColor="text1"/>
              </w:rPr>
              <w:t>p</w:t>
            </w:r>
          </w:p>
        </w:tc>
      </w:tr>
      <w:tr w:rsidR="00F027F8" w:rsidRPr="00F027F8" w14:paraId="04725C78" w14:textId="77777777" w:rsidTr="00755608">
        <w:trPr>
          <w:trHeight w:val="288"/>
        </w:trPr>
        <w:tc>
          <w:tcPr>
            <w:tcW w:w="5586" w:type="dxa"/>
            <w:tcBorders>
              <w:top w:val="single" w:sz="4" w:space="0" w:color="auto"/>
            </w:tcBorders>
            <w:vAlign w:val="center"/>
          </w:tcPr>
          <w:p w14:paraId="2A690280" w14:textId="77777777" w:rsidR="00F027F8" w:rsidRPr="00F027F8" w:rsidRDefault="00F027F8" w:rsidP="00A81877">
            <w:pPr>
              <w:jc w:val="center"/>
              <w:rPr>
                <w:rFonts w:ascii="Arial" w:hAnsi="Arial" w:cs="Arial"/>
                <w:color w:val="000000" w:themeColor="text1"/>
              </w:rPr>
            </w:pPr>
            <w:r w:rsidRPr="00F027F8">
              <w:rPr>
                <w:rFonts w:ascii="Arial" w:hAnsi="Arial" w:cs="Arial"/>
              </w:rPr>
              <w:t>Pre-Retirement Financial Practices</w:t>
            </w:r>
          </w:p>
        </w:tc>
        <w:tc>
          <w:tcPr>
            <w:tcW w:w="3029" w:type="dxa"/>
            <w:tcBorders>
              <w:top w:val="single" w:sz="4" w:space="0" w:color="auto"/>
            </w:tcBorders>
          </w:tcPr>
          <w:p w14:paraId="1991ABA3" w14:textId="77777777" w:rsidR="00F027F8" w:rsidRPr="00F027F8" w:rsidRDefault="00F027F8" w:rsidP="00A81877">
            <w:pPr>
              <w:jc w:val="center"/>
              <w:rPr>
                <w:rFonts w:ascii="Arial" w:hAnsi="Arial" w:cs="Arial"/>
                <w:color w:val="000000" w:themeColor="text1"/>
              </w:rPr>
            </w:pPr>
            <w:r w:rsidRPr="00F027F8">
              <w:rPr>
                <w:rFonts w:ascii="Arial" w:hAnsi="Arial" w:cs="Arial"/>
                <w:color w:val="000000" w:themeColor="text1"/>
              </w:rPr>
              <w:t>0.991</w:t>
            </w:r>
          </w:p>
        </w:tc>
      </w:tr>
      <w:tr w:rsidR="00F027F8" w:rsidRPr="00F027F8" w14:paraId="6B860FEB" w14:textId="77777777" w:rsidTr="00755608">
        <w:trPr>
          <w:trHeight w:val="306"/>
        </w:trPr>
        <w:tc>
          <w:tcPr>
            <w:tcW w:w="5586" w:type="dxa"/>
            <w:tcBorders>
              <w:bottom w:val="single" w:sz="4" w:space="0" w:color="auto"/>
            </w:tcBorders>
          </w:tcPr>
          <w:p w14:paraId="32520950" w14:textId="77777777" w:rsidR="00F027F8" w:rsidRPr="00F027F8" w:rsidRDefault="00F027F8" w:rsidP="00A81877">
            <w:pPr>
              <w:jc w:val="center"/>
              <w:rPr>
                <w:rFonts w:ascii="Arial" w:hAnsi="Arial" w:cs="Arial"/>
                <w:color w:val="000000" w:themeColor="text1"/>
              </w:rPr>
            </w:pPr>
            <w:r w:rsidRPr="00F027F8">
              <w:rPr>
                <w:rFonts w:ascii="Arial" w:hAnsi="Arial" w:cs="Arial"/>
              </w:rPr>
              <w:t>Job Exit Preparedness</w:t>
            </w:r>
          </w:p>
        </w:tc>
        <w:tc>
          <w:tcPr>
            <w:tcW w:w="3029" w:type="dxa"/>
            <w:tcBorders>
              <w:bottom w:val="single" w:sz="4" w:space="0" w:color="auto"/>
            </w:tcBorders>
            <w:vAlign w:val="center"/>
          </w:tcPr>
          <w:p w14:paraId="103C11DD" w14:textId="77777777" w:rsidR="00F027F8" w:rsidRPr="00F027F8" w:rsidRDefault="00F027F8" w:rsidP="00A81877">
            <w:pPr>
              <w:jc w:val="center"/>
              <w:rPr>
                <w:rFonts w:ascii="Arial" w:hAnsi="Arial" w:cs="Arial"/>
                <w:color w:val="000000" w:themeColor="text1"/>
              </w:rPr>
            </w:pPr>
            <w:r w:rsidRPr="00F027F8">
              <w:rPr>
                <w:rFonts w:ascii="Arial" w:hAnsi="Arial" w:cs="Arial"/>
                <w:color w:val="000000" w:themeColor="text1"/>
              </w:rPr>
              <w:t>0.990</w:t>
            </w:r>
          </w:p>
        </w:tc>
      </w:tr>
    </w:tbl>
    <w:p w14:paraId="111D92E6" w14:textId="77777777" w:rsidR="00F027F8" w:rsidRDefault="00F027F8" w:rsidP="00A81877">
      <w:pPr>
        <w:spacing w:before="120" w:after="0" w:line="240" w:lineRule="auto"/>
        <w:jc w:val="both"/>
        <w:rPr>
          <w:rFonts w:ascii="Arial" w:hAnsi="Arial" w:cs="Arial"/>
          <w:color w:val="000000" w:themeColor="text1"/>
          <w:sz w:val="22"/>
          <w:szCs w:val="22"/>
        </w:rPr>
      </w:pPr>
      <w:r w:rsidRPr="00F027F8">
        <w:rPr>
          <w:rFonts w:ascii="Arial" w:hAnsi="Arial" w:cs="Arial"/>
          <w:color w:val="000000" w:themeColor="text1"/>
          <w:sz w:val="22"/>
          <w:szCs w:val="22"/>
        </w:rPr>
        <w:t xml:space="preserve">Prior to conducting the correlation analysis, the assumption of normality was assessed using the Shapiro–Wilk test. The results indicated that both </w:t>
      </w:r>
      <w:r w:rsidRPr="00F027F8">
        <w:rPr>
          <w:rFonts w:ascii="Arial" w:hAnsi="Arial" w:cs="Arial"/>
          <w:sz w:val="22"/>
          <w:szCs w:val="22"/>
        </w:rPr>
        <w:t>Pre-Retirement Financial Practices</w:t>
      </w:r>
      <w:r w:rsidRPr="00F027F8">
        <w:rPr>
          <w:rFonts w:ascii="Arial" w:hAnsi="Arial" w:cs="Arial"/>
          <w:color w:val="000000" w:themeColor="text1"/>
          <w:sz w:val="22"/>
          <w:szCs w:val="22"/>
        </w:rPr>
        <w:t xml:space="preserve"> (p = .991) and Job Exit Preparedness (p </w:t>
      </w:r>
      <w:r w:rsidRPr="00F027F8">
        <w:rPr>
          <w:rFonts w:ascii="Arial" w:hAnsi="Arial" w:cs="Arial"/>
          <w:color w:val="000000" w:themeColor="text1"/>
          <w:sz w:val="22"/>
          <w:szCs w:val="22"/>
        </w:rPr>
        <w:lastRenderedPageBreak/>
        <w:t>= .990) were normally distributed, as the p-values were greater than .05. Consequently, Pearson’s correlation was employed.</w:t>
      </w:r>
    </w:p>
    <w:p w14:paraId="5D36C262" w14:textId="77777777" w:rsidR="003B7EA1" w:rsidRDefault="003B7EA1" w:rsidP="00A81877">
      <w:pPr>
        <w:spacing w:before="120" w:after="0" w:line="240" w:lineRule="auto"/>
        <w:jc w:val="both"/>
        <w:rPr>
          <w:rFonts w:ascii="Arial" w:hAnsi="Arial" w:cs="Arial"/>
          <w:color w:val="000000" w:themeColor="text1"/>
          <w:sz w:val="22"/>
          <w:szCs w:val="22"/>
        </w:rPr>
      </w:pPr>
    </w:p>
    <w:p w14:paraId="66AF8C15" w14:textId="77777777" w:rsidR="003B7EA1" w:rsidRPr="00F027F8" w:rsidRDefault="003B7EA1" w:rsidP="00A81877">
      <w:pPr>
        <w:spacing w:before="120" w:after="0" w:line="240" w:lineRule="auto"/>
        <w:jc w:val="both"/>
        <w:rPr>
          <w:rFonts w:ascii="Arial" w:hAnsi="Arial" w:cs="Arial"/>
          <w:color w:val="000000" w:themeColor="text1"/>
          <w:sz w:val="22"/>
          <w:szCs w:val="22"/>
        </w:rPr>
      </w:pPr>
    </w:p>
    <w:p w14:paraId="36994404" w14:textId="651F7B3D" w:rsidR="00F027F8" w:rsidRPr="00F027F8" w:rsidRDefault="00F027F8" w:rsidP="00F027F8">
      <w:pPr>
        <w:spacing w:before="100" w:beforeAutospacing="1" w:after="0" w:line="240" w:lineRule="auto"/>
        <w:jc w:val="both"/>
        <w:rPr>
          <w:rFonts w:ascii="Arial" w:hAnsi="Arial" w:cs="Arial"/>
          <w:b/>
          <w:bCs/>
          <w:color w:val="000000" w:themeColor="text1"/>
          <w:sz w:val="22"/>
          <w:szCs w:val="22"/>
        </w:rPr>
      </w:pPr>
      <w:r w:rsidRPr="00F027F8">
        <w:rPr>
          <w:rFonts w:ascii="Arial" w:hAnsi="Arial" w:cs="Arial"/>
          <w:b/>
          <w:bCs/>
          <w:color w:val="000000" w:themeColor="text1"/>
          <w:sz w:val="22"/>
          <w:szCs w:val="22"/>
        </w:rPr>
        <w:t xml:space="preserve">Table No. </w:t>
      </w:r>
      <w:r w:rsidR="00A81877">
        <w:rPr>
          <w:rFonts w:ascii="Arial" w:hAnsi="Arial" w:cs="Arial"/>
          <w:b/>
          <w:bCs/>
          <w:color w:val="000000" w:themeColor="text1"/>
          <w:sz w:val="22"/>
          <w:szCs w:val="22"/>
        </w:rPr>
        <w:t>4.</w:t>
      </w:r>
      <w:r w:rsidRPr="00F027F8">
        <w:rPr>
          <w:rFonts w:ascii="Arial" w:hAnsi="Arial" w:cs="Arial"/>
          <w:b/>
          <w:bCs/>
          <w:color w:val="000000" w:themeColor="text1"/>
          <w:sz w:val="22"/>
          <w:szCs w:val="22"/>
        </w:rPr>
        <w:t xml:space="preserve"> Test of Relationship </w:t>
      </w:r>
      <w:r w:rsidRPr="00F027F8">
        <w:rPr>
          <w:rFonts w:ascii="Arial" w:hAnsi="Arial" w:cs="Arial"/>
          <w:b/>
          <w:bCs/>
          <w:sz w:val="22"/>
          <w:szCs w:val="22"/>
        </w:rPr>
        <w:t>Between Pre-Retirement Financial Practices</w:t>
      </w:r>
      <w:r w:rsidRPr="00F027F8">
        <w:rPr>
          <w:rFonts w:ascii="Segoe UI Symbol" w:hAnsi="Segoe UI Symbol" w:cs="Segoe UI Symbol"/>
          <w:b/>
          <w:bCs/>
          <w:sz w:val="22"/>
          <w:szCs w:val="22"/>
        </w:rPr>
        <w:t xml:space="preserve"> </w:t>
      </w:r>
      <w:r w:rsidRPr="00F027F8">
        <w:rPr>
          <w:rFonts w:ascii="Arial" w:hAnsi="Arial" w:cs="Arial"/>
          <w:b/>
          <w:bCs/>
          <w:sz w:val="22"/>
          <w:szCs w:val="22"/>
        </w:rPr>
        <w:t>and Job Exit Preparedness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1152"/>
        <w:gridCol w:w="1723"/>
        <w:gridCol w:w="1349"/>
        <w:gridCol w:w="1721"/>
      </w:tblGrid>
      <w:tr w:rsidR="00F027F8" w:rsidRPr="00F027F8" w14:paraId="113DD4EC" w14:textId="77777777" w:rsidTr="00755608">
        <w:trPr>
          <w:trHeight w:val="275"/>
        </w:trPr>
        <w:tc>
          <w:tcPr>
            <w:tcW w:w="2604" w:type="dxa"/>
            <w:tcBorders>
              <w:top w:val="single" w:sz="4" w:space="0" w:color="auto"/>
              <w:bottom w:val="single" w:sz="4" w:space="0" w:color="auto"/>
            </w:tcBorders>
            <w:vAlign w:val="center"/>
          </w:tcPr>
          <w:p w14:paraId="30D32BB7" w14:textId="77777777" w:rsidR="00F027F8" w:rsidRPr="00F027F8" w:rsidRDefault="00F027F8" w:rsidP="00F027F8">
            <w:pPr>
              <w:spacing w:before="100" w:beforeAutospacing="1" w:after="100" w:afterAutospacing="1"/>
              <w:jc w:val="center"/>
              <w:rPr>
                <w:rFonts w:ascii="Arial" w:hAnsi="Arial" w:cs="Arial"/>
                <w:b/>
                <w:bCs/>
              </w:rPr>
            </w:pPr>
            <w:r w:rsidRPr="00F027F8">
              <w:rPr>
                <w:rFonts w:ascii="Arial" w:hAnsi="Arial" w:cs="Arial"/>
                <w:b/>
                <w:bCs/>
              </w:rPr>
              <w:t>Variable</w:t>
            </w:r>
          </w:p>
        </w:tc>
        <w:tc>
          <w:tcPr>
            <w:tcW w:w="1152" w:type="dxa"/>
            <w:tcBorders>
              <w:top w:val="single" w:sz="4" w:space="0" w:color="auto"/>
              <w:bottom w:val="single" w:sz="4" w:space="0" w:color="auto"/>
            </w:tcBorders>
          </w:tcPr>
          <w:p w14:paraId="3040D24A" w14:textId="77777777" w:rsidR="00F027F8" w:rsidRPr="00F027F8" w:rsidRDefault="00F027F8" w:rsidP="00F027F8">
            <w:pPr>
              <w:spacing w:before="100" w:beforeAutospacing="1" w:after="100" w:afterAutospacing="1"/>
              <w:jc w:val="center"/>
              <w:rPr>
                <w:rFonts w:ascii="Arial" w:hAnsi="Arial" w:cs="Arial"/>
                <w:b/>
                <w:bCs/>
              </w:rPr>
            </w:pPr>
            <w:r w:rsidRPr="00F027F8">
              <w:rPr>
                <w:rFonts w:ascii="Arial" w:hAnsi="Arial" w:cs="Arial"/>
                <w:b/>
                <w:bCs/>
              </w:rPr>
              <w:t>Mean</w:t>
            </w:r>
          </w:p>
        </w:tc>
        <w:tc>
          <w:tcPr>
            <w:tcW w:w="1723" w:type="dxa"/>
            <w:tcBorders>
              <w:top w:val="single" w:sz="4" w:space="0" w:color="auto"/>
              <w:bottom w:val="single" w:sz="4" w:space="0" w:color="auto"/>
            </w:tcBorders>
            <w:vAlign w:val="center"/>
          </w:tcPr>
          <w:p w14:paraId="41D02D4F" w14:textId="77777777" w:rsidR="00F027F8" w:rsidRPr="00F027F8" w:rsidRDefault="00F027F8" w:rsidP="00F027F8">
            <w:pPr>
              <w:spacing w:before="100" w:beforeAutospacing="1" w:after="100" w:afterAutospacing="1"/>
              <w:jc w:val="center"/>
              <w:rPr>
                <w:rFonts w:ascii="Arial" w:hAnsi="Arial" w:cs="Arial"/>
                <w:b/>
                <w:bCs/>
              </w:rPr>
            </w:pPr>
            <w:r w:rsidRPr="00F027F8">
              <w:rPr>
                <w:rFonts w:ascii="Arial" w:hAnsi="Arial" w:cs="Arial"/>
                <w:b/>
                <w:bCs/>
              </w:rPr>
              <w:t>Pearson’s r</w:t>
            </w:r>
          </w:p>
        </w:tc>
        <w:tc>
          <w:tcPr>
            <w:tcW w:w="1349" w:type="dxa"/>
            <w:tcBorders>
              <w:top w:val="single" w:sz="4" w:space="0" w:color="auto"/>
              <w:bottom w:val="single" w:sz="4" w:space="0" w:color="auto"/>
            </w:tcBorders>
          </w:tcPr>
          <w:p w14:paraId="6A671407" w14:textId="77777777" w:rsidR="00F027F8" w:rsidRPr="00F027F8" w:rsidRDefault="00F027F8" w:rsidP="00F027F8">
            <w:pPr>
              <w:spacing w:before="100" w:beforeAutospacing="1" w:after="100" w:afterAutospacing="1"/>
              <w:jc w:val="center"/>
              <w:rPr>
                <w:rFonts w:ascii="Arial" w:hAnsi="Arial" w:cs="Arial"/>
                <w:b/>
                <w:bCs/>
              </w:rPr>
            </w:pPr>
            <w:r w:rsidRPr="00F027F8">
              <w:rPr>
                <w:rFonts w:ascii="Arial" w:hAnsi="Arial" w:cs="Arial"/>
                <w:b/>
                <w:bCs/>
              </w:rPr>
              <w:t>p- value</w:t>
            </w:r>
          </w:p>
        </w:tc>
        <w:tc>
          <w:tcPr>
            <w:tcW w:w="1721" w:type="dxa"/>
            <w:tcBorders>
              <w:top w:val="single" w:sz="4" w:space="0" w:color="auto"/>
              <w:bottom w:val="single" w:sz="4" w:space="0" w:color="auto"/>
            </w:tcBorders>
            <w:vAlign w:val="center"/>
          </w:tcPr>
          <w:p w14:paraId="0F7832B4" w14:textId="77777777" w:rsidR="00F027F8" w:rsidRPr="00F027F8" w:rsidRDefault="00F027F8" w:rsidP="00F027F8">
            <w:pPr>
              <w:spacing w:before="100" w:beforeAutospacing="1" w:after="100" w:afterAutospacing="1"/>
              <w:jc w:val="center"/>
              <w:rPr>
                <w:rFonts w:ascii="Arial" w:hAnsi="Arial" w:cs="Arial"/>
                <w:b/>
                <w:bCs/>
              </w:rPr>
            </w:pPr>
            <w:r w:rsidRPr="00F027F8">
              <w:rPr>
                <w:rFonts w:ascii="Arial" w:hAnsi="Arial" w:cs="Arial"/>
                <w:b/>
                <w:bCs/>
              </w:rPr>
              <w:t>Remark</w:t>
            </w:r>
          </w:p>
        </w:tc>
      </w:tr>
      <w:tr w:rsidR="00F027F8" w:rsidRPr="00F027F8" w14:paraId="7F38B3B0" w14:textId="77777777" w:rsidTr="00755608">
        <w:trPr>
          <w:trHeight w:val="275"/>
        </w:trPr>
        <w:tc>
          <w:tcPr>
            <w:tcW w:w="2604" w:type="dxa"/>
            <w:tcBorders>
              <w:top w:val="single" w:sz="4" w:space="0" w:color="auto"/>
            </w:tcBorders>
          </w:tcPr>
          <w:p w14:paraId="0C1E17B0" w14:textId="77777777" w:rsidR="00F027F8" w:rsidRPr="00F027F8" w:rsidRDefault="00F027F8" w:rsidP="00F027F8">
            <w:pPr>
              <w:spacing w:before="100" w:beforeAutospacing="1" w:after="100" w:afterAutospacing="1"/>
              <w:jc w:val="both"/>
              <w:rPr>
                <w:rFonts w:ascii="Arial" w:hAnsi="Arial" w:cs="Arial"/>
              </w:rPr>
            </w:pPr>
            <w:r w:rsidRPr="00F027F8">
              <w:rPr>
                <w:rFonts w:ascii="Arial" w:hAnsi="Arial" w:cs="Arial"/>
              </w:rPr>
              <w:t>Pre-Retirement Financial Practices</w:t>
            </w:r>
          </w:p>
        </w:tc>
        <w:tc>
          <w:tcPr>
            <w:tcW w:w="1152" w:type="dxa"/>
            <w:tcBorders>
              <w:top w:val="single" w:sz="4" w:space="0" w:color="auto"/>
            </w:tcBorders>
          </w:tcPr>
          <w:p w14:paraId="797F6605" w14:textId="77777777" w:rsidR="00F027F8" w:rsidRPr="00F027F8" w:rsidRDefault="00F027F8" w:rsidP="00F027F8">
            <w:pPr>
              <w:spacing w:before="100" w:beforeAutospacing="1" w:after="100" w:afterAutospacing="1"/>
              <w:jc w:val="center"/>
              <w:rPr>
                <w:rFonts w:ascii="Arial" w:hAnsi="Arial" w:cs="Arial"/>
              </w:rPr>
            </w:pPr>
            <w:r w:rsidRPr="00F027F8">
              <w:rPr>
                <w:rFonts w:ascii="Arial" w:hAnsi="Arial" w:cs="Arial"/>
              </w:rPr>
              <w:t>3.18</w:t>
            </w:r>
          </w:p>
        </w:tc>
        <w:tc>
          <w:tcPr>
            <w:tcW w:w="1723" w:type="dxa"/>
            <w:vMerge w:val="restart"/>
            <w:tcBorders>
              <w:top w:val="single" w:sz="4" w:space="0" w:color="auto"/>
            </w:tcBorders>
            <w:vAlign w:val="center"/>
          </w:tcPr>
          <w:p w14:paraId="2779B8AA" w14:textId="77777777" w:rsidR="00F027F8" w:rsidRPr="00F027F8" w:rsidRDefault="00F027F8" w:rsidP="00F027F8">
            <w:pPr>
              <w:spacing w:before="100" w:beforeAutospacing="1" w:after="100" w:afterAutospacing="1"/>
              <w:jc w:val="center"/>
              <w:rPr>
                <w:rFonts w:ascii="Arial" w:hAnsi="Arial" w:cs="Arial"/>
              </w:rPr>
            </w:pPr>
            <w:r w:rsidRPr="00F027F8">
              <w:rPr>
                <w:rFonts w:ascii="Arial" w:hAnsi="Arial" w:cs="Arial"/>
              </w:rPr>
              <w:t>0.616</w:t>
            </w:r>
          </w:p>
        </w:tc>
        <w:tc>
          <w:tcPr>
            <w:tcW w:w="1349" w:type="dxa"/>
            <w:vMerge w:val="restart"/>
            <w:tcBorders>
              <w:top w:val="single" w:sz="4" w:space="0" w:color="auto"/>
            </w:tcBorders>
            <w:vAlign w:val="center"/>
          </w:tcPr>
          <w:p w14:paraId="03AE2C80" w14:textId="77777777" w:rsidR="00F027F8" w:rsidRPr="00F027F8" w:rsidRDefault="00F027F8" w:rsidP="00F027F8">
            <w:pPr>
              <w:spacing w:before="100" w:beforeAutospacing="1" w:after="100" w:afterAutospacing="1"/>
              <w:jc w:val="center"/>
              <w:rPr>
                <w:rFonts w:ascii="Arial" w:hAnsi="Arial" w:cs="Arial"/>
              </w:rPr>
            </w:pPr>
            <w:r w:rsidRPr="00F027F8">
              <w:rPr>
                <w:rFonts w:ascii="Arial" w:hAnsi="Arial" w:cs="Arial"/>
              </w:rPr>
              <w:t>&lt;.001</w:t>
            </w:r>
          </w:p>
        </w:tc>
        <w:tc>
          <w:tcPr>
            <w:tcW w:w="1721" w:type="dxa"/>
            <w:vMerge w:val="restart"/>
            <w:tcBorders>
              <w:top w:val="single" w:sz="4" w:space="0" w:color="auto"/>
            </w:tcBorders>
            <w:vAlign w:val="center"/>
          </w:tcPr>
          <w:p w14:paraId="4BEDDCB4" w14:textId="77777777" w:rsidR="00F027F8" w:rsidRPr="00F027F8" w:rsidRDefault="00F027F8" w:rsidP="00F027F8">
            <w:pPr>
              <w:spacing w:before="100" w:beforeAutospacing="1" w:after="100" w:afterAutospacing="1"/>
              <w:jc w:val="center"/>
              <w:rPr>
                <w:rFonts w:ascii="Arial" w:hAnsi="Arial" w:cs="Arial"/>
              </w:rPr>
            </w:pPr>
            <w:r w:rsidRPr="00F027F8">
              <w:rPr>
                <w:rFonts w:ascii="Arial" w:hAnsi="Arial" w:cs="Arial"/>
              </w:rPr>
              <w:t>Significant</w:t>
            </w:r>
          </w:p>
        </w:tc>
      </w:tr>
      <w:tr w:rsidR="00F027F8" w:rsidRPr="00F027F8" w14:paraId="06E90D3A" w14:textId="77777777" w:rsidTr="00755608">
        <w:trPr>
          <w:trHeight w:val="86"/>
        </w:trPr>
        <w:tc>
          <w:tcPr>
            <w:tcW w:w="2604" w:type="dxa"/>
          </w:tcPr>
          <w:p w14:paraId="3D526006" w14:textId="77777777" w:rsidR="00F027F8" w:rsidRPr="00F027F8" w:rsidRDefault="00F027F8" w:rsidP="00F027F8">
            <w:pPr>
              <w:spacing w:before="100" w:beforeAutospacing="1" w:after="100" w:afterAutospacing="1"/>
              <w:jc w:val="both"/>
              <w:rPr>
                <w:rFonts w:ascii="Arial" w:hAnsi="Arial" w:cs="Arial"/>
              </w:rPr>
            </w:pPr>
            <w:r w:rsidRPr="00F027F8">
              <w:rPr>
                <w:rFonts w:ascii="Arial" w:hAnsi="Arial" w:cs="Arial"/>
              </w:rPr>
              <w:t>Job Exit Preparedness</w:t>
            </w:r>
          </w:p>
        </w:tc>
        <w:tc>
          <w:tcPr>
            <w:tcW w:w="1152" w:type="dxa"/>
          </w:tcPr>
          <w:p w14:paraId="1C3A8E0A" w14:textId="77777777" w:rsidR="00F027F8" w:rsidRPr="00F027F8" w:rsidRDefault="00F027F8" w:rsidP="00F027F8">
            <w:pPr>
              <w:spacing w:before="100" w:beforeAutospacing="1" w:after="100" w:afterAutospacing="1"/>
              <w:jc w:val="center"/>
              <w:rPr>
                <w:rFonts w:ascii="Arial" w:hAnsi="Arial" w:cs="Arial"/>
              </w:rPr>
            </w:pPr>
            <w:r w:rsidRPr="00F027F8">
              <w:rPr>
                <w:rFonts w:ascii="Arial" w:hAnsi="Arial" w:cs="Arial"/>
              </w:rPr>
              <w:t>3.59</w:t>
            </w:r>
          </w:p>
        </w:tc>
        <w:tc>
          <w:tcPr>
            <w:tcW w:w="1723" w:type="dxa"/>
            <w:vMerge/>
          </w:tcPr>
          <w:p w14:paraId="0D67D088" w14:textId="77777777" w:rsidR="00F027F8" w:rsidRPr="00F027F8" w:rsidRDefault="00F027F8" w:rsidP="00F027F8">
            <w:pPr>
              <w:spacing w:before="100" w:beforeAutospacing="1" w:after="100" w:afterAutospacing="1"/>
              <w:jc w:val="both"/>
              <w:rPr>
                <w:rFonts w:ascii="Arial" w:hAnsi="Arial" w:cs="Arial"/>
              </w:rPr>
            </w:pPr>
          </w:p>
        </w:tc>
        <w:tc>
          <w:tcPr>
            <w:tcW w:w="1349" w:type="dxa"/>
            <w:vMerge/>
          </w:tcPr>
          <w:p w14:paraId="62B79C0A" w14:textId="77777777" w:rsidR="00F027F8" w:rsidRPr="00F027F8" w:rsidRDefault="00F027F8" w:rsidP="00F027F8">
            <w:pPr>
              <w:spacing w:before="100" w:beforeAutospacing="1" w:after="100" w:afterAutospacing="1"/>
              <w:jc w:val="both"/>
              <w:rPr>
                <w:rFonts w:ascii="Arial" w:hAnsi="Arial" w:cs="Arial"/>
              </w:rPr>
            </w:pPr>
          </w:p>
        </w:tc>
        <w:tc>
          <w:tcPr>
            <w:tcW w:w="1721" w:type="dxa"/>
            <w:vMerge/>
          </w:tcPr>
          <w:p w14:paraId="38EA1309" w14:textId="77777777" w:rsidR="00F027F8" w:rsidRPr="00F027F8" w:rsidRDefault="00F027F8" w:rsidP="00F027F8">
            <w:pPr>
              <w:spacing w:before="100" w:beforeAutospacing="1" w:after="100" w:afterAutospacing="1"/>
              <w:jc w:val="both"/>
              <w:rPr>
                <w:rFonts w:ascii="Arial" w:hAnsi="Arial" w:cs="Arial"/>
              </w:rPr>
            </w:pPr>
          </w:p>
        </w:tc>
      </w:tr>
    </w:tbl>
    <w:p w14:paraId="40295DA0" w14:textId="53A28E34" w:rsidR="006B07E6" w:rsidRDefault="006B07E6" w:rsidP="00A81877">
      <w:pPr>
        <w:spacing w:before="120" w:after="0" w:line="240" w:lineRule="auto"/>
        <w:jc w:val="both"/>
        <w:rPr>
          <w:rFonts w:ascii="Arial" w:eastAsia="Times New Roman" w:hAnsi="Arial" w:cs="Arial"/>
          <w:color w:val="000000" w:themeColor="text1"/>
          <w:sz w:val="22"/>
          <w:szCs w:val="22"/>
          <w:lang w:eastAsia="en-PH"/>
        </w:rPr>
      </w:pPr>
      <w:r w:rsidRPr="006B07E6">
        <w:rPr>
          <w:rFonts w:ascii="Arial" w:eastAsia="Times New Roman" w:hAnsi="Arial" w:cs="Arial"/>
          <w:color w:val="000000" w:themeColor="text1"/>
          <w:sz w:val="22"/>
          <w:szCs w:val="22"/>
          <w:lang w:eastAsia="en-PH"/>
        </w:rPr>
        <w:t xml:space="preserve">Table 4 indicates a correlation between Job Exit Preparedness and Pre-Retirement Financial Practices. The average computation of Pre-Retirement Financial Practices based on the weighted mean was calculated as 3.18, while the computed average of Job Exit Preparedness was 3.59. </w:t>
      </w:r>
      <w:r w:rsidR="00033347" w:rsidRPr="006B07E6">
        <w:rPr>
          <w:rFonts w:ascii="Arial" w:eastAsia="Times New Roman" w:hAnsi="Arial" w:cs="Arial"/>
          <w:color w:val="000000" w:themeColor="text1"/>
          <w:sz w:val="22"/>
          <w:szCs w:val="22"/>
          <w:lang w:eastAsia="en-PH"/>
        </w:rPr>
        <w:t>Therefore,</w:t>
      </w:r>
      <w:r w:rsidRPr="006B07E6">
        <w:rPr>
          <w:rFonts w:ascii="Arial" w:eastAsia="Times New Roman" w:hAnsi="Arial" w:cs="Arial"/>
          <w:color w:val="000000" w:themeColor="text1"/>
          <w:sz w:val="22"/>
          <w:szCs w:val="22"/>
          <w:lang w:eastAsia="en-PH"/>
        </w:rPr>
        <w:t xml:space="preserve"> the Pearson’s r correlation coefficient is equal to 0.616, which indicates a positive correlation between the two variables. This means that as the level of Pre-Retirement Financial Practices </w:t>
      </w:r>
      <w:r>
        <w:rPr>
          <w:rFonts w:ascii="Arial" w:eastAsia="Times New Roman" w:hAnsi="Arial" w:cs="Arial"/>
          <w:color w:val="000000" w:themeColor="text1"/>
          <w:sz w:val="22"/>
          <w:szCs w:val="22"/>
          <w:lang w:eastAsia="en-PH"/>
        </w:rPr>
        <w:t>increases</w:t>
      </w:r>
      <w:r w:rsidRPr="006B07E6">
        <w:rPr>
          <w:rFonts w:ascii="Arial" w:eastAsia="Times New Roman" w:hAnsi="Arial" w:cs="Arial"/>
          <w:color w:val="000000" w:themeColor="text1"/>
          <w:sz w:val="22"/>
          <w:szCs w:val="22"/>
          <w:lang w:eastAsia="en-PH"/>
        </w:rPr>
        <w:t>, so does the level of Job Exit Preparedness.</w:t>
      </w:r>
      <w:r w:rsidRPr="006B07E6">
        <w:rPr>
          <w:rFonts w:ascii="Arial" w:eastAsia="Times New Roman" w:hAnsi="Arial" w:cs="Arial"/>
          <w:color w:val="000000" w:themeColor="text1"/>
          <w:sz w:val="22"/>
          <w:szCs w:val="22"/>
          <w:lang w:eastAsia="en-PH"/>
        </w:rPr>
        <w:t xml:space="preserve"> </w:t>
      </w:r>
    </w:p>
    <w:p w14:paraId="4AB593AA" w14:textId="56F69CE1" w:rsidR="00F027F8" w:rsidRPr="00F027F8" w:rsidRDefault="00033347" w:rsidP="00A81877">
      <w:pPr>
        <w:spacing w:before="120" w:after="0" w:line="240" w:lineRule="auto"/>
        <w:jc w:val="both"/>
        <w:rPr>
          <w:rFonts w:ascii="Arial" w:eastAsia="Times New Roman" w:hAnsi="Arial" w:cs="Arial"/>
          <w:color w:val="000000" w:themeColor="text1"/>
          <w:sz w:val="22"/>
          <w:szCs w:val="22"/>
          <w:lang w:eastAsia="en-PH"/>
        </w:rPr>
      </w:pPr>
      <w:r w:rsidRPr="00033347">
        <w:rPr>
          <w:rFonts w:ascii="Arial" w:eastAsia="Times New Roman" w:hAnsi="Arial" w:cs="Arial"/>
          <w:color w:val="000000" w:themeColor="text1"/>
          <w:sz w:val="22"/>
          <w:szCs w:val="22"/>
          <w:lang w:eastAsia="en-PH"/>
        </w:rPr>
        <w:t>Additionally, the p-value of &lt; .001 is below the threshold of significance 0.001 therefore it follows that the result obtained is statistically significant as it cannot be accounted for by random chance.</w:t>
      </w:r>
      <w:r>
        <w:rPr>
          <w:rFonts w:ascii="Arial" w:eastAsia="Times New Roman" w:hAnsi="Arial" w:cs="Arial"/>
          <w:color w:val="000000" w:themeColor="text1"/>
          <w:sz w:val="22"/>
          <w:szCs w:val="22"/>
          <w:lang w:eastAsia="en-PH"/>
        </w:rPr>
        <w:t xml:space="preserve"> </w:t>
      </w:r>
      <w:r w:rsidR="00F027F8" w:rsidRPr="00F027F8">
        <w:rPr>
          <w:rFonts w:ascii="Arial" w:eastAsia="Times New Roman" w:hAnsi="Arial" w:cs="Arial"/>
          <w:color w:val="000000" w:themeColor="text1"/>
          <w:sz w:val="22"/>
          <w:szCs w:val="22"/>
          <w:lang w:eastAsia="en-PH"/>
        </w:rPr>
        <w:t>This implies that employees who demonstrate higher levels of financial awareness, training, and financial behavior related to retirement are more likely to exhibit stronger preparedness for job exit.</w:t>
      </w:r>
    </w:p>
    <w:p w14:paraId="32EEBB46" w14:textId="2146499B" w:rsidR="00F027F8" w:rsidRPr="00F027F8" w:rsidRDefault="00033347" w:rsidP="00A81877">
      <w:pPr>
        <w:spacing w:before="120" w:after="0" w:line="240" w:lineRule="auto"/>
        <w:jc w:val="both"/>
        <w:rPr>
          <w:rFonts w:ascii="Arial" w:eastAsia="Times New Roman" w:hAnsi="Arial" w:cs="Arial"/>
          <w:color w:val="000000" w:themeColor="text1"/>
          <w:sz w:val="22"/>
          <w:szCs w:val="22"/>
          <w:lang w:eastAsia="en-PH"/>
        </w:rPr>
      </w:pPr>
      <w:r w:rsidRPr="00033347">
        <w:rPr>
          <w:rFonts w:ascii="Arial" w:eastAsia="Times New Roman" w:hAnsi="Arial" w:cs="Arial"/>
          <w:color w:val="000000" w:themeColor="text1"/>
          <w:sz w:val="22"/>
          <w:szCs w:val="22"/>
          <w:lang w:eastAsia="en-PH"/>
        </w:rPr>
        <w:t xml:space="preserve">Therefore, individuals who exhibit more </w:t>
      </w:r>
      <w:r w:rsidRPr="00033347">
        <w:rPr>
          <w:rFonts w:ascii="Arial" w:eastAsia="Times New Roman" w:hAnsi="Arial" w:cs="Arial"/>
          <w:color w:val="000000" w:themeColor="text1"/>
          <w:sz w:val="22"/>
          <w:szCs w:val="22"/>
          <w:lang w:eastAsia="en-PH"/>
        </w:rPr>
        <w:t>favorable</w:t>
      </w:r>
      <w:r w:rsidRPr="00033347">
        <w:rPr>
          <w:rFonts w:ascii="Arial" w:eastAsia="Times New Roman" w:hAnsi="Arial" w:cs="Arial"/>
          <w:color w:val="000000" w:themeColor="text1"/>
          <w:sz w:val="22"/>
          <w:szCs w:val="22"/>
          <w:lang w:eastAsia="en-PH"/>
        </w:rPr>
        <w:t xml:space="preserve"> Pre-Retirement Financial Practices including management of debt, consistent savings, and planning for post-employment income will generally be better able to transition smoothly into </w:t>
      </w:r>
      <w:r w:rsidRPr="00033347">
        <w:rPr>
          <w:rFonts w:ascii="Arial" w:eastAsia="Times New Roman" w:hAnsi="Arial" w:cs="Arial"/>
          <w:color w:val="000000" w:themeColor="text1"/>
          <w:sz w:val="22"/>
          <w:szCs w:val="22"/>
          <w:lang w:eastAsia="en-PH"/>
        </w:rPr>
        <w:t>retirement.</w:t>
      </w:r>
    </w:p>
    <w:p w14:paraId="231B92EF" w14:textId="77777777" w:rsidR="00A81877" w:rsidRDefault="00A81877" w:rsidP="00F027F8">
      <w:pPr>
        <w:spacing w:after="0" w:line="240" w:lineRule="auto"/>
        <w:jc w:val="both"/>
        <w:rPr>
          <w:rFonts w:ascii="Arial" w:hAnsi="Arial" w:cs="Arial"/>
          <w:b/>
          <w:bCs/>
          <w:sz w:val="22"/>
          <w:szCs w:val="22"/>
        </w:rPr>
      </w:pPr>
    </w:p>
    <w:p w14:paraId="0B933018" w14:textId="0CB6A3FF" w:rsidR="00F027F8" w:rsidRPr="00F027F8" w:rsidRDefault="00F027F8" w:rsidP="00F027F8">
      <w:pPr>
        <w:spacing w:after="0" w:line="240" w:lineRule="auto"/>
        <w:jc w:val="both"/>
        <w:rPr>
          <w:rFonts w:ascii="Arial" w:hAnsi="Arial" w:cs="Arial"/>
          <w:b/>
          <w:bCs/>
          <w:sz w:val="22"/>
          <w:szCs w:val="22"/>
        </w:rPr>
      </w:pPr>
      <w:r w:rsidRPr="00F027F8">
        <w:rPr>
          <w:rFonts w:ascii="Arial" w:hAnsi="Arial" w:cs="Arial"/>
          <w:b/>
          <w:bCs/>
          <w:sz w:val="22"/>
          <w:szCs w:val="22"/>
        </w:rPr>
        <w:t xml:space="preserve">Table </w:t>
      </w:r>
      <w:r w:rsidR="00A81877">
        <w:rPr>
          <w:rFonts w:ascii="Arial" w:hAnsi="Arial" w:cs="Arial"/>
          <w:b/>
          <w:bCs/>
          <w:sz w:val="22"/>
          <w:szCs w:val="22"/>
        </w:rPr>
        <w:t>5</w:t>
      </w:r>
      <w:r w:rsidRPr="00F027F8">
        <w:rPr>
          <w:rFonts w:ascii="Arial" w:hAnsi="Arial" w:cs="Arial"/>
          <w:b/>
          <w:bCs/>
          <w:sz w:val="22"/>
          <w:szCs w:val="22"/>
        </w:rPr>
        <w:t>. Moderation Analysis Results: Age as a Moderator</w:t>
      </w:r>
    </w:p>
    <w:tbl>
      <w:tblPr>
        <w:tblStyle w:val="TableGrid"/>
        <w:tblW w:w="8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75"/>
        <w:gridCol w:w="1263"/>
      </w:tblGrid>
      <w:tr w:rsidR="00F027F8" w:rsidRPr="00F027F8" w14:paraId="0DFD6ACF" w14:textId="77777777" w:rsidTr="00755608">
        <w:tc>
          <w:tcPr>
            <w:tcW w:w="6091" w:type="dxa"/>
            <w:tcBorders>
              <w:top w:val="single" w:sz="4" w:space="0" w:color="auto"/>
              <w:bottom w:val="single" w:sz="4" w:space="0" w:color="auto"/>
            </w:tcBorders>
            <w:vAlign w:val="center"/>
          </w:tcPr>
          <w:p w14:paraId="28A8BD05" w14:textId="77777777" w:rsidR="00F027F8" w:rsidRPr="00F027F8" w:rsidRDefault="00F027F8" w:rsidP="00F027F8">
            <w:pPr>
              <w:rPr>
                <w:rFonts w:ascii="Arial" w:hAnsi="Arial" w:cs="Arial"/>
                <w:b/>
                <w:bCs/>
              </w:rPr>
            </w:pPr>
            <w:r w:rsidRPr="00F027F8">
              <w:rPr>
                <w:rFonts w:ascii="Arial" w:hAnsi="Arial" w:cs="Arial"/>
                <w:b/>
                <w:bCs/>
                <w:lang w:val="en-PH"/>
              </w:rPr>
              <w:t>Predictors</w:t>
            </w:r>
          </w:p>
        </w:tc>
        <w:tc>
          <w:tcPr>
            <w:tcW w:w="1275" w:type="dxa"/>
            <w:tcBorders>
              <w:top w:val="single" w:sz="4" w:space="0" w:color="auto"/>
              <w:bottom w:val="single" w:sz="4" w:space="0" w:color="auto"/>
            </w:tcBorders>
            <w:vAlign w:val="center"/>
          </w:tcPr>
          <w:p w14:paraId="6C683A69" w14:textId="77777777" w:rsidR="00F027F8" w:rsidRPr="00F027F8" w:rsidRDefault="00F027F8" w:rsidP="00F027F8">
            <w:pPr>
              <w:rPr>
                <w:rFonts w:ascii="Arial" w:hAnsi="Arial" w:cs="Arial"/>
              </w:rPr>
            </w:pPr>
            <w:r w:rsidRPr="00F027F8">
              <w:rPr>
                <w:rFonts w:ascii="Arial" w:hAnsi="Arial" w:cs="Arial"/>
              </w:rPr>
              <w:t>β</w:t>
            </w:r>
          </w:p>
        </w:tc>
        <w:tc>
          <w:tcPr>
            <w:tcW w:w="1263" w:type="dxa"/>
            <w:tcBorders>
              <w:top w:val="single" w:sz="4" w:space="0" w:color="auto"/>
              <w:bottom w:val="single" w:sz="4" w:space="0" w:color="auto"/>
            </w:tcBorders>
            <w:vAlign w:val="center"/>
          </w:tcPr>
          <w:p w14:paraId="7595C6ED" w14:textId="77777777" w:rsidR="00F027F8" w:rsidRPr="00F027F8" w:rsidRDefault="00F027F8" w:rsidP="00F027F8">
            <w:pPr>
              <w:rPr>
                <w:rFonts w:ascii="Arial" w:hAnsi="Arial" w:cs="Arial"/>
              </w:rPr>
            </w:pPr>
            <w:r w:rsidRPr="00F027F8">
              <w:rPr>
                <w:rFonts w:ascii="Arial" w:hAnsi="Arial" w:cs="Arial"/>
              </w:rPr>
              <w:t>p</w:t>
            </w:r>
          </w:p>
        </w:tc>
      </w:tr>
      <w:tr w:rsidR="00F027F8" w:rsidRPr="00F027F8" w14:paraId="19D3C9DE" w14:textId="77777777" w:rsidTr="00755608">
        <w:tc>
          <w:tcPr>
            <w:tcW w:w="6091" w:type="dxa"/>
            <w:tcBorders>
              <w:top w:val="single" w:sz="4" w:space="0" w:color="auto"/>
            </w:tcBorders>
          </w:tcPr>
          <w:p w14:paraId="4DF752A7" w14:textId="77777777" w:rsidR="00F027F8" w:rsidRPr="00F027F8" w:rsidRDefault="00F027F8" w:rsidP="00A81877">
            <w:pPr>
              <w:rPr>
                <w:rFonts w:ascii="Arial" w:hAnsi="Arial" w:cs="Arial"/>
              </w:rPr>
            </w:pPr>
            <w:r w:rsidRPr="00F027F8">
              <w:rPr>
                <w:rFonts w:ascii="Arial" w:hAnsi="Arial" w:cs="Arial"/>
              </w:rPr>
              <w:t>Pre-Retirement Financial Practices</w:t>
            </w:r>
          </w:p>
        </w:tc>
        <w:tc>
          <w:tcPr>
            <w:tcW w:w="1275" w:type="dxa"/>
            <w:tcBorders>
              <w:top w:val="single" w:sz="4" w:space="0" w:color="auto"/>
            </w:tcBorders>
          </w:tcPr>
          <w:p w14:paraId="242AA723" w14:textId="77777777" w:rsidR="00F027F8" w:rsidRPr="00F027F8" w:rsidRDefault="00F027F8" w:rsidP="00A81877">
            <w:pPr>
              <w:rPr>
                <w:rFonts w:ascii="Arial" w:hAnsi="Arial" w:cs="Arial"/>
              </w:rPr>
            </w:pPr>
            <w:r w:rsidRPr="00F027F8">
              <w:rPr>
                <w:rFonts w:ascii="Arial" w:hAnsi="Arial" w:cs="Arial"/>
              </w:rPr>
              <w:t>0.54359</w:t>
            </w:r>
          </w:p>
        </w:tc>
        <w:tc>
          <w:tcPr>
            <w:tcW w:w="1263" w:type="dxa"/>
            <w:tcBorders>
              <w:top w:val="single" w:sz="4" w:space="0" w:color="auto"/>
            </w:tcBorders>
          </w:tcPr>
          <w:p w14:paraId="135AB4B9" w14:textId="77777777" w:rsidR="00F027F8" w:rsidRPr="00F027F8" w:rsidRDefault="00F027F8" w:rsidP="00A81877">
            <w:pPr>
              <w:rPr>
                <w:rFonts w:ascii="Arial" w:hAnsi="Arial" w:cs="Arial"/>
              </w:rPr>
            </w:pPr>
            <w:r w:rsidRPr="00F027F8">
              <w:rPr>
                <w:rFonts w:ascii="Arial" w:hAnsi="Arial" w:cs="Arial"/>
              </w:rPr>
              <w:t>&lt;.001</w:t>
            </w:r>
          </w:p>
        </w:tc>
      </w:tr>
      <w:tr w:rsidR="00F027F8" w:rsidRPr="00F027F8" w14:paraId="697147BB" w14:textId="77777777" w:rsidTr="00755608">
        <w:tc>
          <w:tcPr>
            <w:tcW w:w="6091" w:type="dxa"/>
          </w:tcPr>
          <w:p w14:paraId="6CF40703" w14:textId="77777777" w:rsidR="00F027F8" w:rsidRPr="00F027F8" w:rsidRDefault="00F027F8" w:rsidP="00A81877">
            <w:pPr>
              <w:rPr>
                <w:rFonts w:ascii="Arial" w:hAnsi="Arial" w:cs="Arial"/>
              </w:rPr>
            </w:pPr>
            <w:r w:rsidRPr="00F027F8">
              <w:rPr>
                <w:rFonts w:ascii="Arial" w:hAnsi="Arial" w:cs="Arial"/>
              </w:rPr>
              <w:t>Age</w:t>
            </w:r>
          </w:p>
        </w:tc>
        <w:tc>
          <w:tcPr>
            <w:tcW w:w="1275" w:type="dxa"/>
          </w:tcPr>
          <w:p w14:paraId="68BDF539" w14:textId="77777777" w:rsidR="00F027F8" w:rsidRPr="00F027F8" w:rsidRDefault="00F027F8" w:rsidP="00A81877">
            <w:pPr>
              <w:rPr>
                <w:rFonts w:ascii="Arial" w:hAnsi="Arial" w:cs="Arial"/>
              </w:rPr>
            </w:pPr>
            <w:r w:rsidRPr="00F027F8">
              <w:rPr>
                <w:rFonts w:ascii="Arial" w:hAnsi="Arial" w:cs="Arial"/>
              </w:rPr>
              <w:t>-0.00846</w:t>
            </w:r>
          </w:p>
        </w:tc>
        <w:tc>
          <w:tcPr>
            <w:tcW w:w="1263" w:type="dxa"/>
          </w:tcPr>
          <w:p w14:paraId="5A7584B7" w14:textId="77777777" w:rsidR="00F027F8" w:rsidRPr="00F027F8" w:rsidRDefault="00F027F8" w:rsidP="00A81877">
            <w:pPr>
              <w:rPr>
                <w:rFonts w:ascii="Arial" w:hAnsi="Arial" w:cs="Arial"/>
              </w:rPr>
            </w:pPr>
            <w:r w:rsidRPr="00F027F8">
              <w:rPr>
                <w:rFonts w:ascii="Arial" w:hAnsi="Arial" w:cs="Arial"/>
              </w:rPr>
              <w:t>.010</w:t>
            </w:r>
          </w:p>
        </w:tc>
      </w:tr>
      <w:tr w:rsidR="00F027F8" w:rsidRPr="00F027F8" w14:paraId="09F280C6" w14:textId="77777777" w:rsidTr="00755608">
        <w:tc>
          <w:tcPr>
            <w:tcW w:w="6091" w:type="dxa"/>
          </w:tcPr>
          <w:p w14:paraId="39D9B650" w14:textId="77777777" w:rsidR="00F027F8" w:rsidRPr="00F027F8" w:rsidRDefault="00F027F8" w:rsidP="00A81877">
            <w:pPr>
              <w:rPr>
                <w:rFonts w:ascii="Arial" w:hAnsi="Arial" w:cs="Arial"/>
              </w:rPr>
            </w:pPr>
            <w:r w:rsidRPr="00F027F8">
              <w:rPr>
                <w:rFonts w:ascii="Arial" w:hAnsi="Arial" w:cs="Arial"/>
              </w:rPr>
              <w:t>Pre-Retirement Financial Practices</w:t>
            </w:r>
            <w:r w:rsidRPr="00F027F8">
              <w:rPr>
                <w:rFonts w:ascii="Segoe UI Symbol" w:hAnsi="Segoe UI Symbol" w:cs="Segoe UI Symbol"/>
              </w:rPr>
              <w:t xml:space="preserve"> ✻</w:t>
            </w:r>
            <w:r w:rsidRPr="00F027F8">
              <w:rPr>
                <w:rFonts w:ascii="Arial" w:hAnsi="Arial" w:cs="Arial"/>
              </w:rPr>
              <w:t xml:space="preserve"> Age</w:t>
            </w:r>
          </w:p>
        </w:tc>
        <w:tc>
          <w:tcPr>
            <w:tcW w:w="1275" w:type="dxa"/>
          </w:tcPr>
          <w:p w14:paraId="7033EBAF" w14:textId="77777777" w:rsidR="00F027F8" w:rsidRPr="00F027F8" w:rsidRDefault="00F027F8" w:rsidP="00A81877">
            <w:pPr>
              <w:rPr>
                <w:rFonts w:ascii="Arial" w:hAnsi="Arial" w:cs="Arial"/>
              </w:rPr>
            </w:pPr>
            <w:r w:rsidRPr="00F027F8">
              <w:rPr>
                <w:rFonts w:ascii="Arial" w:hAnsi="Arial" w:cs="Arial"/>
              </w:rPr>
              <w:t>-0.00168</w:t>
            </w:r>
          </w:p>
        </w:tc>
        <w:tc>
          <w:tcPr>
            <w:tcW w:w="1263" w:type="dxa"/>
          </w:tcPr>
          <w:p w14:paraId="12E58380" w14:textId="77777777" w:rsidR="00F027F8" w:rsidRPr="00F027F8" w:rsidRDefault="00F027F8" w:rsidP="00A81877">
            <w:pPr>
              <w:rPr>
                <w:rFonts w:ascii="Arial" w:hAnsi="Arial" w:cs="Arial"/>
              </w:rPr>
            </w:pPr>
            <w:r w:rsidRPr="00F027F8">
              <w:rPr>
                <w:rFonts w:ascii="Arial" w:hAnsi="Arial" w:cs="Arial"/>
              </w:rPr>
              <w:t>.763</w:t>
            </w:r>
          </w:p>
        </w:tc>
      </w:tr>
    </w:tbl>
    <w:p w14:paraId="3742D30B"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 moderation analysis examined whether age influences the relationship between Pre-Retirement Financial Practices and Job Exit Preparedness. Results show that Pre-Retirement Financial Practices significantly predict Job Exit Preparedness (β = 0.54359, p &lt; .001), while age has a small but significant negative effect (β = -0.00846, p = .010). However, the interaction term was not significant (β = -0.00168, p = .763), indicating that age does not moderate the relationship.</w:t>
      </w:r>
    </w:p>
    <w:p w14:paraId="19A71FCB" w14:textId="77777777" w:rsid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This suggests that the effect of Pre-Retirement Financial Practices on Job Exit Preparedness is consistent across all age groups. In practical terms, financial preparedness programs can be applied uniformly across employees regardless of age. Although age does not change the relationship, its direct effect implies that older employees may still require additional support in retirement transition planning.</w:t>
      </w:r>
    </w:p>
    <w:p w14:paraId="0715D041" w14:textId="77777777" w:rsidR="00A81877" w:rsidRPr="00F027F8" w:rsidRDefault="00A81877" w:rsidP="00A81877">
      <w:pPr>
        <w:spacing w:before="120" w:after="0" w:line="240" w:lineRule="auto"/>
        <w:jc w:val="both"/>
        <w:rPr>
          <w:rFonts w:ascii="Arial" w:hAnsi="Arial" w:cs="Arial"/>
          <w:sz w:val="22"/>
          <w:szCs w:val="22"/>
        </w:rPr>
      </w:pPr>
    </w:p>
    <w:p w14:paraId="3B7B7D92" w14:textId="1D26801E" w:rsidR="00F027F8" w:rsidRPr="00F027F8" w:rsidRDefault="00F027F8" w:rsidP="00A81877">
      <w:pPr>
        <w:spacing w:after="0" w:line="240" w:lineRule="auto"/>
        <w:rPr>
          <w:rFonts w:ascii="Arial" w:hAnsi="Arial" w:cs="Arial"/>
          <w:b/>
          <w:bCs/>
          <w:sz w:val="22"/>
          <w:szCs w:val="22"/>
        </w:rPr>
      </w:pPr>
      <w:r w:rsidRPr="00F027F8">
        <w:rPr>
          <w:rFonts w:ascii="Arial" w:hAnsi="Arial" w:cs="Arial"/>
          <w:b/>
          <w:bCs/>
          <w:sz w:val="22"/>
          <w:szCs w:val="22"/>
        </w:rPr>
        <w:t xml:space="preserve">Table </w:t>
      </w:r>
      <w:r w:rsidR="00A81877">
        <w:rPr>
          <w:rFonts w:ascii="Arial" w:hAnsi="Arial" w:cs="Arial"/>
          <w:b/>
          <w:bCs/>
          <w:sz w:val="22"/>
          <w:szCs w:val="22"/>
        </w:rPr>
        <w:t>6</w:t>
      </w:r>
      <w:r w:rsidRPr="00F027F8">
        <w:rPr>
          <w:rFonts w:ascii="Arial" w:hAnsi="Arial" w:cs="Arial"/>
          <w:b/>
          <w:bCs/>
          <w:sz w:val="22"/>
          <w:szCs w:val="22"/>
        </w:rPr>
        <w:t>. Moderation Analysis Results: Gender as a Moderator</w:t>
      </w:r>
    </w:p>
    <w:tbl>
      <w:tblPr>
        <w:tblStyle w:val="TableGrid"/>
        <w:tblW w:w="8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75"/>
        <w:gridCol w:w="1263"/>
      </w:tblGrid>
      <w:tr w:rsidR="00F027F8" w:rsidRPr="00F027F8" w14:paraId="03877FEC" w14:textId="77777777" w:rsidTr="00755608">
        <w:tc>
          <w:tcPr>
            <w:tcW w:w="6091" w:type="dxa"/>
            <w:tcBorders>
              <w:top w:val="single" w:sz="4" w:space="0" w:color="auto"/>
              <w:bottom w:val="single" w:sz="4" w:space="0" w:color="auto"/>
            </w:tcBorders>
            <w:vAlign w:val="center"/>
          </w:tcPr>
          <w:p w14:paraId="0B8D272E" w14:textId="77777777" w:rsidR="00F027F8" w:rsidRPr="00F027F8" w:rsidRDefault="00F027F8" w:rsidP="00A81877">
            <w:pPr>
              <w:rPr>
                <w:rFonts w:ascii="Arial" w:hAnsi="Arial" w:cs="Arial"/>
              </w:rPr>
            </w:pPr>
            <w:r w:rsidRPr="00F027F8">
              <w:rPr>
                <w:rFonts w:ascii="Arial" w:hAnsi="Arial" w:cs="Arial"/>
              </w:rPr>
              <w:t>Predictors</w:t>
            </w:r>
          </w:p>
        </w:tc>
        <w:tc>
          <w:tcPr>
            <w:tcW w:w="1275" w:type="dxa"/>
            <w:tcBorders>
              <w:top w:val="single" w:sz="4" w:space="0" w:color="auto"/>
              <w:bottom w:val="single" w:sz="4" w:space="0" w:color="auto"/>
            </w:tcBorders>
            <w:vAlign w:val="center"/>
          </w:tcPr>
          <w:p w14:paraId="4124BAB8" w14:textId="77777777" w:rsidR="00F027F8" w:rsidRPr="00F027F8" w:rsidRDefault="00F027F8" w:rsidP="00A81877">
            <w:pPr>
              <w:rPr>
                <w:rFonts w:ascii="Arial" w:hAnsi="Arial" w:cs="Arial"/>
              </w:rPr>
            </w:pPr>
            <w:r w:rsidRPr="00F027F8">
              <w:rPr>
                <w:rFonts w:ascii="Arial" w:hAnsi="Arial" w:cs="Arial"/>
              </w:rPr>
              <w:t>β</w:t>
            </w:r>
          </w:p>
        </w:tc>
        <w:tc>
          <w:tcPr>
            <w:tcW w:w="1263" w:type="dxa"/>
            <w:tcBorders>
              <w:top w:val="single" w:sz="4" w:space="0" w:color="auto"/>
              <w:bottom w:val="single" w:sz="4" w:space="0" w:color="auto"/>
            </w:tcBorders>
            <w:vAlign w:val="center"/>
          </w:tcPr>
          <w:p w14:paraId="391C08B9" w14:textId="77777777" w:rsidR="00F027F8" w:rsidRPr="00F027F8" w:rsidRDefault="00F027F8" w:rsidP="00A81877">
            <w:pPr>
              <w:rPr>
                <w:rFonts w:ascii="Arial" w:hAnsi="Arial" w:cs="Arial"/>
              </w:rPr>
            </w:pPr>
            <w:r w:rsidRPr="00F027F8">
              <w:rPr>
                <w:rFonts w:ascii="Arial" w:hAnsi="Arial" w:cs="Arial"/>
              </w:rPr>
              <w:t>p</w:t>
            </w:r>
          </w:p>
        </w:tc>
      </w:tr>
      <w:tr w:rsidR="00F027F8" w:rsidRPr="00F027F8" w14:paraId="3AC854DE" w14:textId="77777777" w:rsidTr="00755608">
        <w:tc>
          <w:tcPr>
            <w:tcW w:w="6091" w:type="dxa"/>
            <w:tcBorders>
              <w:top w:val="single" w:sz="4" w:space="0" w:color="auto"/>
            </w:tcBorders>
          </w:tcPr>
          <w:p w14:paraId="004324A1" w14:textId="77777777" w:rsidR="00F027F8" w:rsidRPr="00F027F8" w:rsidRDefault="00F027F8" w:rsidP="00A81877">
            <w:pPr>
              <w:rPr>
                <w:rFonts w:ascii="Arial" w:hAnsi="Arial" w:cs="Arial"/>
              </w:rPr>
            </w:pPr>
            <w:r w:rsidRPr="00F027F8">
              <w:rPr>
                <w:rFonts w:ascii="Arial" w:hAnsi="Arial" w:cs="Arial"/>
              </w:rPr>
              <w:t>Pre-Retirement Financial Practices</w:t>
            </w:r>
          </w:p>
        </w:tc>
        <w:tc>
          <w:tcPr>
            <w:tcW w:w="1275" w:type="dxa"/>
            <w:tcBorders>
              <w:top w:val="single" w:sz="4" w:space="0" w:color="auto"/>
            </w:tcBorders>
          </w:tcPr>
          <w:p w14:paraId="2AE0E831" w14:textId="77777777" w:rsidR="00F027F8" w:rsidRPr="00F027F8" w:rsidRDefault="00F027F8" w:rsidP="00A81877">
            <w:pPr>
              <w:rPr>
                <w:rFonts w:ascii="Arial" w:hAnsi="Arial" w:cs="Arial"/>
              </w:rPr>
            </w:pPr>
            <w:r w:rsidRPr="00F027F8">
              <w:rPr>
                <w:rFonts w:ascii="Arial" w:hAnsi="Arial" w:cs="Arial"/>
              </w:rPr>
              <w:t>0.5533</w:t>
            </w:r>
          </w:p>
        </w:tc>
        <w:tc>
          <w:tcPr>
            <w:tcW w:w="1263" w:type="dxa"/>
            <w:tcBorders>
              <w:top w:val="single" w:sz="4" w:space="0" w:color="auto"/>
            </w:tcBorders>
          </w:tcPr>
          <w:p w14:paraId="11386005" w14:textId="77777777" w:rsidR="00F027F8" w:rsidRPr="00F027F8" w:rsidRDefault="00F027F8" w:rsidP="00A81877">
            <w:pPr>
              <w:rPr>
                <w:rFonts w:ascii="Arial" w:hAnsi="Arial" w:cs="Arial"/>
              </w:rPr>
            </w:pPr>
            <w:r w:rsidRPr="00F027F8">
              <w:rPr>
                <w:rFonts w:ascii="Arial" w:hAnsi="Arial" w:cs="Arial"/>
              </w:rPr>
              <w:t>&lt;.001</w:t>
            </w:r>
          </w:p>
        </w:tc>
      </w:tr>
      <w:tr w:rsidR="00F027F8" w:rsidRPr="00F027F8" w14:paraId="597526AD" w14:textId="77777777" w:rsidTr="00755608">
        <w:tc>
          <w:tcPr>
            <w:tcW w:w="6091" w:type="dxa"/>
          </w:tcPr>
          <w:p w14:paraId="326C9334" w14:textId="77777777" w:rsidR="00F027F8" w:rsidRPr="00F027F8" w:rsidRDefault="00F027F8" w:rsidP="00F027F8">
            <w:pPr>
              <w:rPr>
                <w:rFonts w:ascii="Arial" w:hAnsi="Arial" w:cs="Arial"/>
              </w:rPr>
            </w:pPr>
            <w:r w:rsidRPr="00F027F8">
              <w:rPr>
                <w:rFonts w:ascii="Arial" w:hAnsi="Arial" w:cs="Arial"/>
              </w:rPr>
              <w:t>Gender</w:t>
            </w:r>
          </w:p>
        </w:tc>
        <w:tc>
          <w:tcPr>
            <w:tcW w:w="1275" w:type="dxa"/>
          </w:tcPr>
          <w:p w14:paraId="0A580178" w14:textId="77777777" w:rsidR="00F027F8" w:rsidRPr="00F027F8" w:rsidRDefault="00F027F8" w:rsidP="00F027F8">
            <w:pPr>
              <w:rPr>
                <w:rFonts w:ascii="Arial" w:hAnsi="Arial" w:cs="Arial"/>
              </w:rPr>
            </w:pPr>
            <w:r w:rsidRPr="00F027F8">
              <w:rPr>
                <w:rFonts w:ascii="Arial" w:hAnsi="Arial" w:cs="Arial"/>
              </w:rPr>
              <w:t>0.0877</w:t>
            </w:r>
          </w:p>
        </w:tc>
        <w:tc>
          <w:tcPr>
            <w:tcW w:w="1263" w:type="dxa"/>
          </w:tcPr>
          <w:p w14:paraId="6D3D0852" w14:textId="77777777" w:rsidR="00F027F8" w:rsidRPr="00F027F8" w:rsidRDefault="00F027F8" w:rsidP="00F027F8">
            <w:pPr>
              <w:rPr>
                <w:rFonts w:ascii="Arial" w:hAnsi="Arial" w:cs="Arial"/>
              </w:rPr>
            </w:pPr>
            <w:r w:rsidRPr="00F027F8">
              <w:rPr>
                <w:rFonts w:ascii="Arial" w:hAnsi="Arial" w:cs="Arial"/>
              </w:rPr>
              <w:t>.087</w:t>
            </w:r>
          </w:p>
        </w:tc>
      </w:tr>
      <w:tr w:rsidR="00F027F8" w:rsidRPr="00F027F8" w14:paraId="76060816" w14:textId="77777777" w:rsidTr="00755608">
        <w:tc>
          <w:tcPr>
            <w:tcW w:w="6091" w:type="dxa"/>
          </w:tcPr>
          <w:p w14:paraId="7E59A278" w14:textId="77777777" w:rsidR="00F027F8" w:rsidRPr="00F027F8" w:rsidRDefault="00F027F8" w:rsidP="00A81877">
            <w:pPr>
              <w:rPr>
                <w:rFonts w:ascii="Arial" w:hAnsi="Arial" w:cs="Arial"/>
              </w:rPr>
            </w:pPr>
            <w:r w:rsidRPr="00F027F8">
              <w:rPr>
                <w:rFonts w:ascii="Arial" w:hAnsi="Arial" w:cs="Arial"/>
              </w:rPr>
              <w:t>Pre-Retirement Financial Practices</w:t>
            </w:r>
            <w:r w:rsidRPr="00F027F8">
              <w:rPr>
                <w:rFonts w:ascii="Segoe UI Symbol" w:hAnsi="Segoe UI Symbol" w:cs="Segoe UI Symbol"/>
              </w:rPr>
              <w:t xml:space="preserve"> ✻</w:t>
            </w:r>
            <w:r w:rsidRPr="00F027F8">
              <w:rPr>
                <w:rFonts w:ascii="Arial" w:hAnsi="Arial" w:cs="Arial"/>
              </w:rPr>
              <w:t xml:space="preserve"> Gender</w:t>
            </w:r>
          </w:p>
        </w:tc>
        <w:tc>
          <w:tcPr>
            <w:tcW w:w="1275" w:type="dxa"/>
          </w:tcPr>
          <w:p w14:paraId="4FBADDD0" w14:textId="77777777" w:rsidR="00F027F8" w:rsidRPr="00F027F8" w:rsidRDefault="00F027F8" w:rsidP="00A81877">
            <w:pPr>
              <w:rPr>
                <w:rFonts w:ascii="Arial" w:hAnsi="Arial" w:cs="Arial"/>
              </w:rPr>
            </w:pPr>
            <w:r w:rsidRPr="00F027F8">
              <w:rPr>
                <w:rFonts w:ascii="Arial" w:hAnsi="Arial" w:cs="Arial"/>
              </w:rPr>
              <w:t>0.0778</w:t>
            </w:r>
          </w:p>
        </w:tc>
        <w:tc>
          <w:tcPr>
            <w:tcW w:w="1263" w:type="dxa"/>
          </w:tcPr>
          <w:p w14:paraId="4EDC5718" w14:textId="77777777" w:rsidR="00F027F8" w:rsidRPr="00F027F8" w:rsidRDefault="00F027F8" w:rsidP="00A81877">
            <w:pPr>
              <w:rPr>
                <w:rFonts w:ascii="Arial" w:hAnsi="Arial" w:cs="Arial"/>
              </w:rPr>
            </w:pPr>
            <w:r w:rsidRPr="00F027F8">
              <w:rPr>
                <w:rFonts w:ascii="Arial" w:hAnsi="Arial" w:cs="Arial"/>
              </w:rPr>
              <w:t>.340</w:t>
            </w:r>
          </w:p>
        </w:tc>
      </w:tr>
    </w:tbl>
    <w:p w14:paraId="6071220F"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 moderation analysis was conducted to determine whether gender influences the relationship between Pre-Retirement Financial Practices and Job Exit Preparedness among hospital employees. The results show that Pre-Retirement Financial Practices significantly predict Job Exit Preparedness (β = 0.5533, p &lt; .001), indicating a strong positive relationship between the two variables. Gender, however, was not a significant predictor (β = 0.0877, p = .087), and the interaction term was also not significant (β = 0.0778, p = .340), indicating that gender does not moderate the relationship.</w:t>
      </w:r>
    </w:p>
    <w:p w14:paraId="6F349335" w14:textId="77777777" w:rsid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lastRenderedPageBreak/>
        <w:t>This suggests that the effect of Pre-Retirement Financial Practices on Job Exit Preparedness is consistent across both male and female employees. This implies that financial literacy and retirement preparedness programs are equally effective regardless of gender. Therefore, gender-specific interventions are not necessary, as both groups demonstrate similar responses to financial preparedness initiatives.</w:t>
      </w:r>
    </w:p>
    <w:p w14:paraId="287A188C" w14:textId="77777777" w:rsidR="00A81877" w:rsidRPr="00F027F8" w:rsidRDefault="00A81877" w:rsidP="00A81877">
      <w:pPr>
        <w:spacing w:before="120" w:after="0" w:line="240" w:lineRule="auto"/>
        <w:jc w:val="both"/>
        <w:rPr>
          <w:rFonts w:ascii="Arial" w:hAnsi="Arial" w:cs="Arial"/>
          <w:sz w:val="22"/>
          <w:szCs w:val="22"/>
        </w:rPr>
      </w:pPr>
    </w:p>
    <w:p w14:paraId="4F003876" w14:textId="07714C51" w:rsidR="00F027F8" w:rsidRPr="00F027F8" w:rsidRDefault="00F027F8" w:rsidP="00F027F8">
      <w:pPr>
        <w:spacing w:line="240" w:lineRule="auto"/>
        <w:rPr>
          <w:rFonts w:ascii="Arial" w:hAnsi="Arial" w:cs="Arial"/>
          <w:b/>
          <w:bCs/>
          <w:sz w:val="22"/>
          <w:szCs w:val="22"/>
        </w:rPr>
      </w:pPr>
      <w:r w:rsidRPr="00F027F8">
        <w:rPr>
          <w:rFonts w:ascii="Arial" w:hAnsi="Arial" w:cs="Arial"/>
          <w:b/>
          <w:bCs/>
          <w:sz w:val="22"/>
          <w:szCs w:val="22"/>
        </w:rPr>
        <w:t xml:space="preserve">Table </w:t>
      </w:r>
      <w:r w:rsidR="003B7EA1">
        <w:rPr>
          <w:rFonts w:ascii="Arial" w:hAnsi="Arial" w:cs="Arial"/>
          <w:b/>
          <w:bCs/>
          <w:sz w:val="22"/>
          <w:szCs w:val="22"/>
        </w:rPr>
        <w:t>7</w:t>
      </w:r>
      <w:r w:rsidRPr="00F027F8">
        <w:rPr>
          <w:rFonts w:ascii="Arial" w:hAnsi="Arial" w:cs="Arial"/>
          <w:b/>
          <w:bCs/>
          <w:sz w:val="22"/>
          <w:szCs w:val="22"/>
        </w:rPr>
        <w:t>. Moderation Analysis Results: Position as a Moderator</w:t>
      </w:r>
    </w:p>
    <w:tbl>
      <w:tblPr>
        <w:tblStyle w:val="TableGrid"/>
        <w:tblW w:w="8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75"/>
        <w:gridCol w:w="1263"/>
      </w:tblGrid>
      <w:tr w:rsidR="00F027F8" w:rsidRPr="00F027F8" w14:paraId="760C5EBA" w14:textId="77777777" w:rsidTr="00755608">
        <w:tc>
          <w:tcPr>
            <w:tcW w:w="6091" w:type="dxa"/>
            <w:tcBorders>
              <w:top w:val="single" w:sz="4" w:space="0" w:color="auto"/>
              <w:bottom w:val="single" w:sz="4" w:space="0" w:color="auto"/>
            </w:tcBorders>
            <w:vAlign w:val="center"/>
          </w:tcPr>
          <w:p w14:paraId="5682E966" w14:textId="77777777" w:rsidR="00F027F8" w:rsidRPr="00F027F8" w:rsidRDefault="00F027F8" w:rsidP="00F027F8">
            <w:pPr>
              <w:rPr>
                <w:rFonts w:ascii="Arial" w:hAnsi="Arial" w:cs="Arial"/>
              </w:rPr>
            </w:pPr>
            <w:r w:rsidRPr="00F027F8">
              <w:rPr>
                <w:rFonts w:ascii="Arial" w:hAnsi="Arial" w:cs="Arial"/>
              </w:rPr>
              <w:t>Predictors</w:t>
            </w:r>
          </w:p>
        </w:tc>
        <w:tc>
          <w:tcPr>
            <w:tcW w:w="1275" w:type="dxa"/>
            <w:tcBorders>
              <w:top w:val="single" w:sz="4" w:space="0" w:color="auto"/>
              <w:bottom w:val="single" w:sz="4" w:space="0" w:color="auto"/>
            </w:tcBorders>
            <w:vAlign w:val="center"/>
          </w:tcPr>
          <w:p w14:paraId="7740C26C" w14:textId="77777777" w:rsidR="00F027F8" w:rsidRPr="00F027F8" w:rsidRDefault="00F027F8" w:rsidP="00F027F8">
            <w:pPr>
              <w:rPr>
                <w:rFonts w:ascii="Arial" w:hAnsi="Arial" w:cs="Arial"/>
              </w:rPr>
            </w:pPr>
            <w:r w:rsidRPr="00F027F8">
              <w:rPr>
                <w:rFonts w:ascii="Arial" w:hAnsi="Arial" w:cs="Arial"/>
              </w:rPr>
              <w:t>β</w:t>
            </w:r>
          </w:p>
        </w:tc>
        <w:tc>
          <w:tcPr>
            <w:tcW w:w="1263" w:type="dxa"/>
            <w:tcBorders>
              <w:top w:val="single" w:sz="4" w:space="0" w:color="auto"/>
              <w:bottom w:val="single" w:sz="4" w:space="0" w:color="auto"/>
            </w:tcBorders>
            <w:vAlign w:val="center"/>
          </w:tcPr>
          <w:p w14:paraId="0A6F974F" w14:textId="77777777" w:rsidR="00F027F8" w:rsidRPr="00F027F8" w:rsidRDefault="00F027F8" w:rsidP="00F027F8">
            <w:pPr>
              <w:rPr>
                <w:rFonts w:ascii="Arial" w:hAnsi="Arial" w:cs="Arial"/>
              </w:rPr>
            </w:pPr>
            <w:r w:rsidRPr="00F027F8">
              <w:rPr>
                <w:rFonts w:ascii="Arial" w:hAnsi="Arial" w:cs="Arial"/>
              </w:rPr>
              <w:t>p</w:t>
            </w:r>
          </w:p>
        </w:tc>
      </w:tr>
      <w:tr w:rsidR="00F027F8" w:rsidRPr="00F027F8" w14:paraId="373FA9DA" w14:textId="77777777" w:rsidTr="00755608">
        <w:tc>
          <w:tcPr>
            <w:tcW w:w="6091" w:type="dxa"/>
            <w:tcBorders>
              <w:top w:val="single" w:sz="4" w:space="0" w:color="auto"/>
            </w:tcBorders>
          </w:tcPr>
          <w:p w14:paraId="539B0C24" w14:textId="77777777" w:rsidR="00F027F8" w:rsidRPr="00F027F8" w:rsidRDefault="00F027F8" w:rsidP="00F027F8">
            <w:pPr>
              <w:rPr>
                <w:rFonts w:ascii="Arial" w:hAnsi="Arial" w:cs="Arial"/>
              </w:rPr>
            </w:pPr>
            <w:r w:rsidRPr="00F027F8">
              <w:rPr>
                <w:rFonts w:ascii="Arial" w:hAnsi="Arial" w:cs="Arial"/>
              </w:rPr>
              <w:t>Pre-Retirement Financial Practices</w:t>
            </w:r>
          </w:p>
        </w:tc>
        <w:tc>
          <w:tcPr>
            <w:tcW w:w="1275" w:type="dxa"/>
            <w:tcBorders>
              <w:top w:val="single" w:sz="4" w:space="0" w:color="auto"/>
            </w:tcBorders>
          </w:tcPr>
          <w:p w14:paraId="7E2DA39B" w14:textId="77777777" w:rsidR="00F027F8" w:rsidRPr="00F027F8" w:rsidRDefault="00F027F8" w:rsidP="00F027F8">
            <w:pPr>
              <w:rPr>
                <w:rFonts w:ascii="Arial" w:hAnsi="Arial" w:cs="Arial"/>
              </w:rPr>
            </w:pPr>
            <w:r w:rsidRPr="00F027F8">
              <w:rPr>
                <w:rFonts w:ascii="Arial" w:hAnsi="Arial" w:cs="Arial"/>
              </w:rPr>
              <w:t>0.5411</w:t>
            </w:r>
          </w:p>
        </w:tc>
        <w:tc>
          <w:tcPr>
            <w:tcW w:w="1263" w:type="dxa"/>
            <w:tcBorders>
              <w:top w:val="single" w:sz="4" w:space="0" w:color="auto"/>
            </w:tcBorders>
          </w:tcPr>
          <w:p w14:paraId="37EA6C0B" w14:textId="77777777" w:rsidR="00F027F8" w:rsidRPr="00F027F8" w:rsidRDefault="00F027F8" w:rsidP="00F027F8">
            <w:pPr>
              <w:rPr>
                <w:rFonts w:ascii="Arial" w:hAnsi="Arial" w:cs="Arial"/>
              </w:rPr>
            </w:pPr>
            <w:r w:rsidRPr="00F027F8">
              <w:rPr>
                <w:rFonts w:ascii="Arial" w:hAnsi="Arial" w:cs="Arial"/>
              </w:rPr>
              <w:t>&lt;.001</w:t>
            </w:r>
          </w:p>
        </w:tc>
      </w:tr>
      <w:tr w:rsidR="00F027F8" w:rsidRPr="00F027F8" w14:paraId="1EE5D9DA" w14:textId="77777777" w:rsidTr="00755608">
        <w:tc>
          <w:tcPr>
            <w:tcW w:w="6091" w:type="dxa"/>
          </w:tcPr>
          <w:p w14:paraId="2063F174" w14:textId="77777777" w:rsidR="00F027F8" w:rsidRPr="00F027F8" w:rsidRDefault="00F027F8" w:rsidP="00F027F8">
            <w:pPr>
              <w:rPr>
                <w:rFonts w:ascii="Arial" w:hAnsi="Arial" w:cs="Arial"/>
              </w:rPr>
            </w:pPr>
            <w:r w:rsidRPr="00F027F8">
              <w:rPr>
                <w:rFonts w:ascii="Arial" w:hAnsi="Arial" w:cs="Arial"/>
              </w:rPr>
              <w:t>Position</w:t>
            </w:r>
          </w:p>
        </w:tc>
        <w:tc>
          <w:tcPr>
            <w:tcW w:w="1275" w:type="dxa"/>
          </w:tcPr>
          <w:p w14:paraId="3532C024" w14:textId="77777777" w:rsidR="00F027F8" w:rsidRPr="00F027F8" w:rsidRDefault="00F027F8" w:rsidP="00F027F8">
            <w:pPr>
              <w:rPr>
                <w:rFonts w:ascii="Arial" w:hAnsi="Arial" w:cs="Arial"/>
              </w:rPr>
            </w:pPr>
            <w:r w:rsidRPr="00F027F8">
              <w:rPr>
                <w:rFonts w:ascii="Arial" w:hAnsi="Arial" w:cs="Arial"/>
              </w:rPr>
              <w:t>-0.0341</w:t>
            </w:r>
          </w:p>
        </w:tc>
        <w:tc>
          <w:tcPr>
            <w:tcW w:w="1263" w:type="dxa"/>
          </w:tcPr>
          <w:p w14:paraId="7701E61D" w14:textId="77777777" w:rsidR="00F027F8" w:rsidRPr="00F027F8" w:rsidRDefault="00F027F8" w:rsidP="00F027F8">
            <w:pPr>
              <w:rPr>
                <w:rFonts w:ascii="Arial" w:hAnsi="Arial" w:cs="Arial"/>
              </w:rPr>
            </w:pPr>
            <w:r w:rsidRPr="00F027F8">
              <w:rPr>
                <w:rFonts w:ascii="Arial" w:hAnsi="Arial" w:cs="Arial"/>
              </w:rPr>
              <w:t>.488</w:t>
            </w:r>
          </w:p>
        </w:tc>
      </w:tr>
      <w:tr w:rsidR="00F027F8" w:rsidRPr="00F027F8" w14:paraId="573D1679" w14:textId="77777777" w:rsidTr="00755608">
        <w:tc>
          <w:tcPr>
            <w:tcW w:w="6091" w:type="dxa"/>
          </w:tcPr>
          <w:p w14:paraId="72E348A6" w14:textId="77777777" w:rsidR="00F027F8" w:rsidRPr="00F027F8" w:rsidRDefault="00F027F8" w:rsidP="00A81877">
            <w:pPr>
              <w:rPr>
                <w:rFonts w:ascii="Arial" w:hAnsi="Arial" w:cs="Arial"/>
              </w:rPr>
            </w:pPr>
            <w:r w:rsidRPr="00F027F8">
              <w:rPr>
                <w:rFonts w:ascii="Arial" w:hAnsi="Arial" w:cs="Arial"/>
              </w:rPr>
              <w:t>Pre-Retirement Financial Practices</w:t>
            </w:r>
            <w:r w:rsidRPr="00F027F8">
              <w:rPr>
                <w:rFonts w:ascii="Segoe UI Symbol" w:hAnsi="Segoe UI Symbol" w:cs="Segoe UI Symbol"/>
              </w:rPr>
              <w:t xml:space="preserve"> ✻</w:t>
            </w:r>
            <w:r w:rsidRPr="00F027F8">
              <w:rPr>
                <w:rFonts w:ascii="Arial" w:hAnsi="Arial" w:cs="Arial"/>
              </w:rPr>
              <w:t xml:space="preserve"> Position</w:t>
            </w:r>
          </w:p>
        </w:tc>
        <w:tc>
          <w:tcPr>
            <w:tcW w:w="1275" w:type="dxa"/>
          </w:tcPr>
          <w:p w14:paraId="1466FAF3" w14:textId="77777777" w:rsidR="00F027F8" w:rsidRPr="00F027F8" w:rsidRDefault="00F027F8" w:rsidP="00A81877">
            <w:pPr>
              <w:rPr>
                <w:rFonts w:ascii="Arial" w:hAnsi="Arial" w:cs="Arial"/>
              </w:rPr>
            </w:pPr>
            <w:r w:rsidRPr="00F027F8">
              <w:rPr>
                <w:rFonts w:ascii="Arial" w:hAnsi="Arial" w:cs="Arial"/>
              </w:rPr>
              <w:t>-0.0519</w:t>
            </w:r>
          </w:p>
        </w:tc>
        <w:tc>
          <w:tcPr>
            <w:tcW w:w="1263" w:type="dxa"/>
          </w:tcPr>
          <w:p w14:paraId="4DB5EC75" w14:textId="77777777" w:rsidR="00F027F8" w:rsidRPr="00F027F8" w:rsidRDefault="00F027F8" w:rsidP="00A81877">
            <w:pPr>
              <w:rPr>
                <w:rFonts w:ascii="Arial" w:hAnsi="Arial" w:cs="Arial"/>
              </w:rPr>
            </w:pPr>
            <w:r w:rsidRPr="00F027F8">
              <w:rPr>
                <w:rFonts w:ascii="Arial" w:hAnsi="Arial" w:cs="Arial"/>
              </w:rPr>
              <w:t>.531</w:t>
            </w:r>
          </w:p>
        </w:tc>
      </w:tr>
    </w:tbl>
    <w:p w14:paraId="5D941538"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 moderation analysis was conducted to determine whether an employee’s job position influences the relationship between Pre-Retirement Financial Practices and Job Exit Preparedness among hospital employees. The results show that Pre-Retirement Financial Practices significantly predict Job Exit Preparedness (β = 0.5411, p &lt; .001), indicating a strong positive relationship between the two variables. Job position, however, was not a significant predictor (β = -0.0341, p = .488), and the interaction term was also not significant (β = -0.0519, p = .531), indicating no moderating effect of position.</w:t>
      </w:r>
    </w:p>
    <w:p w14:paraId="14FEE973"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These findings suggest that the relationship between Pre-Retirement Financial Practices and Job Exit Preparedness is consistent across different job positions. This indicates that financial preparedness is similarly relevant to both administrative and clinical staff. As position does not influence this relationship, position-specific interventions are not necessary, and strengthening Pre-Retirement Financial Practices across all employee categories remains the primary approach to improving job exit preparedness.</w:t>
      </w:r>
    </w:p>
    <w:p w14:paraId="124EAE08" w14:textId="77777777" w:rsidR="00F027F8" w:rsidRPr="00F027F8" w:rsidRDefault="00F027F8" w:rsidP="00F027F8">
      <w:pPr>
        <w:spacing w:line="240" w:lineRule="auto"/>
        <w:ind w:firstLine="720"/>
        <w:jc w:val="both"/>
        <w:rPr>
          <w:rFonts w:ascii="Arial" w:hAnsi="Arial" w:cs="Arial"/>
          <w:sz w:val="22"/>
          <w:szCs w:val="22"/>
        </w:rPr>
      </w:pPr>
    </w:p>
    <w:p w14:paraId="41A7AEB2" w14:textId="019E2A0E" w:rsidR="00F027F8" w:rsidRPr="00F027F8" w:rsidRDefault="00F027F8" w:rsidP="00F027F8">
      <w:pPr>
        <w:spacing w:line="240" w:lineRule="auto"/>
        <w:rPr>
          <w:rFonts w:ascii="Arial" w:hAnsi="Arial" w:cs="Arial"/>
          <w:b/>
          <w:bCs/>
          <w:sz w:val="22"/>
          <w:szCs w:val="22"/>
        </w:rPr>
      </w:pPr>
      <w:r w:rsidRPr="00F027F8">
        <w:rPr>
          <w:rFonts w:ascii="Arial" w:hAnsi="Arial" w:cs="Arial"/>
          <w:b/>
          <w:bCs/>
          <w:sz w:val="22"/>
          <w:szCs w:val="22"/>
        </w:rPr>
        <w:t xml:space="preserve">Table </w:t>
      </w:r>
      <w:r w:rsidR="003B7EA1">
        <w:rPr>
          <w:rFonts w:ascii="Arial" w:hAnsi="Arial" w:cs="Arial"/>
          <w:b/>
          <w:bCs/>
          <w:sz w:val="22"/>
          <w:szCs w:val="22"/>
        </w:rPr>
        <w:t>8</w:t>
      </w:r>
      <w:r w:rsidRPr="00F027F8">
        <w:rPr>
          <w:rFonts w:ascii="Arial" w:hAnsi="Arial" w:cs="Arial"/>
          <w:b/>
          <w:bCs/>
          <w:sz w:val="22"/>
          <w:szCs w:val="22"/>
        </w:rPr>
        <w:t>. Moderation Analysis Results: Monthly Income as a Moderator</w:t>
      </w:r>
    </w:p>
    <w:tbl>
      <w:tblPr>
        <w:tblStyle w:val="TableGrid"/>
        <w:tblW w:w="8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75"/>
        <w:gridCol w:w="1263"/>
      </w:tblGrid>
      <w:tr w:rsidR="00F027F8" w:rsidRPr="00F027F8" w14:paraId="07539AA9" w14:textId="77777777" w:rsidTr="00755608">
        <w:tc>
          <w:tcPr>
            <w:tcW w:w="6091" w:type="dxa"/>
            <w:tcBorders>
              <w:top w:val="single" w:sz="4" w:space="0" w:color="auto"/>
              <w:bottom w:val="single" w:sz="4" w:space="0" w:color="auto"/>
            </w:tcBorders>
            <w:vAlign w:val="center"/>
          </w:tcPr>
          <w:p w14:paraId="58E5C591" w14:textId="77777777" w:rsidR="00F027F8" w:rsidRPr="00F027F8" w:rsidRDefault="00F027F8" w:rsidP="00F027F8">
            <w:pPr>
              <w:rPr>
                <w:rFonts w:ascii="Arial" w:hAnsi="Arial" w:cs="Arial"/>
              </w:rPr>
            </w:pPr>
            <w:r w:rsidRPr="00F027F8">
              <w:rPr>
                <w:rFonts w:ascii="Arial" w:hAnsi="Arial" w:cs="Arial"/>
              </w:rPr>
              <w:t>Predictors</w:t>
            </w:r>
          </w:p>
        </w:tc>
        <w:tc>
          <w:tcPr>
            <w:tcW w:w="1275" w:type="dxa"/>
            <w:tcBorders>
              <w:top w:val="single" w:sz="4" w:space="0" w:color="auto"/>
              <w:bottom w:val="single" w:sz="4" w:space="0" w:color="auto"/>
            </w:tcBorders>
            <w:vAlign w:val="center"/>
          </w:tcPr>
          <w:p w14:paraId="01D942E4" w14:textId="77777777" w:rsidR="00F027F8" w:rsidRPr="00F027F8" w:rsidRDefault="00F027F8" w:rsidP="00F027F8">
            <w:pPr>
              <w:rPr>
                <w:rFonts w:ascii="Arial" w:hAnsi="Arial" w:cs="Arial"/>
              </w:rPr>
            </w:pPr>
            <w:r w:rsidRPr="00F027F8">
              <w:rPr>
                <w:rFonts w:ascii="Arial" w:hAnsi="Arial" w:cs="Arial"/>
              </w:rPr>
              <w:t>β</w:t>
            </w:r>
          </w:p>
        </w:tc>
        <w:tc>
          <w:tcPr>
            <w:tcW w:w="1263" w:type="dxa"/>
            <w:tcBorders>
              <w:top w:val="single" w:sz="4" w:space="0" w:color="auto"/>
              <w:bottom w:val="single" w:sz="4" w:space="0" w:color="auto"/>
            </w:tcBorders>
            <w:vAlign w:val="center"/>
          </w:tcPr>
          <w:p w14:paraId="06E7D7EF" w14:textId="77777777" w:rsidR="00F027F8" w:rsidRPr="00F027F8" w:rsidRDefault="00F027F8" w:rsidP="00F027F8">
            <w:pPr>
              <w:rPr>
                <w:rFonts w:ascii="Arial" w:hAnsi="Arial" w:cs="Arial"/>
              </w:rPr>
            </w:pPr>
            <w:r w:rsidRPr="00F027F8">
              <w:rPr>
                <w:rFonts w:ascii="Arial" w:hAnsi="Arial" w:cs="Arial"/>
              </w:rPr>
              <w:t>p</w:t>
            </w:r>
          </w:p>
        </w:tc>
      </w:tr>
      <w:tr w:rsidR="00F027F8" w:rsidRPr="00F027F8" w14:paraId="11F82EE5" w14:textId="77777777" w:rsidTr="00755608">
        <w:tc>
          <w:tcPr>
            <w:tcW w:w="6091" w:type="dxa"/>
            <w:tcBorders>
              <w:top w:val="single" w:sz="4" w:space="0" w:color="auto"/>
            </w:tcBorders>
          </w:tcPr>
          <w:p w14:paraId="2D60FDA8" w14:textId="77777777" w:rsidR="00F027F8" w:rsidRPr="00F027F8" w:rsidRDefault="00F027F8" w:rsidP="00F027F8">
            <w:pPr>
              <w:rPr>
                <w:rFonts w:ascii="Arial" w:hAnsi="Arial" w:cs="Arial"/>
              </w:rPr>
            </w:pPr>
            <w:r w:rsidRPr="00F027F8">
              <w:rPr>
                <w:rFonts w:ascii="Arial" w:hAnsi="Arial" w:cs="Arial"/>
              </w:rPr>
              <w:t>Pre-Retirement Financial Practices</w:t>
            </w:r>
          </w:p>
        </w:tc>
        <w:tc>
          <w:tcPr>
            <w:tcW w:w="1275" w:type="dxa"/>
            <w:tcBorders>
              <w:top w:val="single" w:sz="4" w:space="0" w:color="auto"/>
            </w:tcBorders>
          </w:tcPr>
          <w:p w14:paraId="7CEFF06B" w14:textId="77777777" w:rsidR="00F027F8" w:rsidRPr="00F027F8" w:rsidRDefault="00F027F8" w:rsidP="00F027F8">
            <w:pPr>
              <w:rPr>
                <w:rFonts w:ascii="Arial" w:hAnsi="Arial" w:cs="Arial"/>
              </w:rPr>
            </w:pPr>
            <w:r w:rsidRPr="00F027F8">
              <w:rPr>
                <w:rFonts w:ascii="Arial" w:hAnsi="Arial" w:cs="Arial"/>
              </w:rPr>
              <w:t>0.5484</w:t>
            </w:r>
          </w:p>
        </w:tc>
        <w:tc>
          <w:tcPr>
            <w:tcW w:w="1263" w:type="dxa"/>
            <w:tcBorders>
              <w:top w:val="single" w:sz="4" w:space="0" w:color="auto"/>
            </w:tcBorders>
          </w:tcPr>
          <w:p w14:paraId="1BE742BE" w14:textId="77777777" w:rsidR="00F027F8" w:rsidRPr="00F027F8" w:rsidRDefault="00F027F8" w:rsidP="00F027F8">
            <w:pPr>
              <w:rPr>
                <w:rFonts w:ascii="Arial" w:hAnsi="Arial" w:cs="Arial"/>
              </w:rPr>
            </w:pPr>
            <w:r w:rsidRPr="00F027F8">
              <w:rPr>
                <w:rFonts w:ascii="Arial" w:hAnsi="Arial" w:cs="Arial"/>
              </w:rPr>
              <w:t>&lt;.001</w:t>
            </w:r>
          </w:p>
        </w:tc>
      </w:tr>
      <w:tr w:rsidR="00F027F8" w:rsidRPr="00F027F8" w14:paraId="19CA5666" w14:textId="77777777" w:rsidTr="00755608">
        <w:tc>
          <w:tcPr>
            <w:tcW w:w="6091" w:type="dxa"/>
          </w:tcPr>
          <w:p w14:paraId="792BBFAF" w14:textId="77777777" w:rsidR="00F027F8" w:rsidRPr="00F027F8" w:rsidRDefault="00F027F8" w:rsidP="00F027F8">
            <w:pPr>
              <w:rPr>
                <w:rFonts w:ascii="Arial" w:hAnsi="Arial" w:cs="Arial"/>
              </w:rPr>
            </w:pPr>
            <w:r w:rsidRPr="00F027F8">
              <w:rPr>
                <w:rFonts w:ascii="Arial" w:hAnsi="Arial" w:cs="Arial"/>
              </w:rPr>
              <w:t>Monthly Income</w:t>
            </w:r>
          </w:p>
        </w:tc>
        <w:tc>
          <w:tcPr>
            <w:tcW w:w="1275" w:type="dxa"/>
          </w:tcPr>
          <w:p w14:paraId="1E659B21" w14:textId="77777777" w:rsidR="00F027F8" w:rsidRPr="00F027F8" w:rsidRDefault="00F027F8" w:rsidP="00F027F8">
            <w:pPr>
              <w:rPr>
                <w:rFonts w:ascii="Arial" w:hAnsi="Arial" w:cs="Arial"/>
              </w:rPr>
            </w:pPr>
            <w:r w:rsidRPr="00F027F8">
              <w:rPr>
                <w:rFonts w:ascii="Arial" w:hAnsi="Arial" w:cs="Arial"/>
              </w:rPr>
              <w:t>-0.1050</w:t>
            </w:r>
          </w:p>
        </w:tc>
        <w:tc>
          <w:tcPr>
            <w:tcW w:w="1263" w:type="dxa"/>
          </w:tcPr>
          <w:p w14:paraId="3AFD12E3" w14:textId="77777777" w:rsidR="00F027F8" w:rsidRPr="00F027F8" w:rsidRDefault="00F027F8" w:rsidP="00F027F8">
            <w:pPr>
              <w:rPr>
                <w:rFonts w:ascii="Arial" w:hAnsi="Arial" w:cs="Arial"/>
              </w:rPr>
            </w:pPr>
            <w:r w:rsidRPr="00F027F8">
              <w:rPr>
                <w:rFonts w:ascii="Arial" w:hAnsi="Arial" w:cs="Arial"/>
              </w:rPr>
              <w:t>.006</w:t>
            </w:r>
          </w:p>
        </w:tc>
      </w:tr>
      <w:tr w:rsidR="00F027F8" w:rsidRPr="00F027F8" w14:paraId="6F21DE30" w14:textId="77777777" w:rsidTr="00755608">
        <w:tc>
          <w:tcPr>
            <w:tcW w:w="6091" w:type="dxa"/>
          </w:tcPr>
          <w:p w14:paraId="026148EC" w14:textId="77777777" w:rsidR="00F027F8" w:rsidRPr="00F027F8" w:rsidRDefault="00F027F8" w:rsidP="00A81877">
            <w:pPr>
              <w:rPr>
                <w:rFonts w:ascii="Arial" w:hAnsi="Arial" w:cs="Arial"/>
              </w:rPr>
            </w:pPr>
            <w:r w:rsidRPr="00F027F8">
              <w:rPr>
                <w:rFonts w:ascii="Arial" w:hAnsi="Arial" w:cs="Arial"/>
              </w:rPr>
              <w:t>Pre-Retirement Financial Practices</w:t>
            </w:r>
            <w:r w:rsidRPr="00F027F8">
              <w:rPr>
                <w:rFonts w:ascii="Segoe UI Symbol" w:hAnsi="Segoe UI Symbol" w:cs="Segoe UI Symbol"/>
              </w:rPr>
              <w:t xml:space="preserve"> ✻</w:t>
            </w:r>
            <w:r w:rsidRPr="00F027F8">
              <w:rPr>
                <w:rFonts w:ascii="Arial" w:hAnsi="Arial" w:cs="Arial"/>
              </w:rPr>
              <w:t xml:space="preserve"> Monthly Income</w:t>
            </w:r>
          </w:p>
        </w:tc>
        <w:tc>
          <w:tcPr>
            <w:tcW w:w="1275" w:type="dxa"/>
          </w:tcPr>
          <w:p w14:paraId="69372C3F" w14:textId="77777777" w:rsidR="00F027F8" w:rsidRPr="00F027F8" w:rsidRDefault="00F027F8" w:rsidP="00A81877">
            <w:pPr>
              <w:rPr>
                <w:rFonts w:ascii="Arial" w:hAnsi="Arial" w:cs="Arial"/>
              </w:rPr>
            </w:pPr>
            <w:r w:rsidRPr="00F027F8">
              <w:rPr>
                <w:rFonts w:ascii="Arial" w:hAnsi="Arial" w:cs="Arial"/>
              </w:rPr>
              <w:t>-0.0105</w:t>
            </w:r>
          </w:p>
        </w:tc>
        <w:tc>
          <w:tcPr>
            <w:tcW w:w="1263" w:type="dxa"/>
          </w:tcPr>
          <w:p w14:paraId="04A954AB" w14:textId="77777777" w:rsidR="00F027F8" w:rsidRPr="00F027F8" w:rsidRDefault="00F027F8" w:rsidP="00A81877">
            <w:pPr>
              <w:rPr>
                <w:rFonts w:ascii="Arial" w:hAnsi="Arial" w:cs="Arial"/>
              </w:rPr>
            </w:pPr>
            <w:r w:rsidRPr="00F027F8">
              <w:rPr>
                <w:rFonts w:ascii="Arial" w:hAnsi="Arial" w:cs="Arial"/>
              </w:rPr>
              <w:t>.871</w:t>
            </w:r>
          </w:p>
        </w:tc>
      </w:tr>
    </w:tbl>
    <w:p w14:paraId="0155CEE1"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 moderation analysis was conducted to determine whether monthly income influences the relationship between Pre-Retirement Financial Practices and Job Exit Preparedness among hospital employees. The results show that Pre-Retirement Financial Practices significantly predict Job Exit Preparedness (β = 0.5484, p &lt; .001), indicating a strong positive relationship between the two variables. Monthly income also had a significant direct effect on Job Exit Preparedness (β = -0.1050, p = .006). However, the interaction term was not significant (β = -0.0105, p = .871), indicating that monthly income does not moderate the relationship.</w:t>
      </w:r>
    </w:p>
    <w:p w14:paraId="53EE2F88"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These findings suggest that the effect of Pre-Retirement Financial Practices on Job Exit Preparedness remains consistent across income groups. Although monthly income is directly related to Job Exit Preparedness, it does not change the strength or direction of the relationship between the main variables. Therefore, strengthening financial awareness, financial training, and financial behavior remains relevant for employees across different income levels.</w:t>
      </w:r>
    </w:p>
    <w:p w14:paraId="73A24B2C" w14:textId="77777777" w:rsidR="00F027F8" w:rsidRPr="00F027F8" w:rsidRDefault="00F027F8" w:rsidP="00F027F8">
      <w:pPr>
        <w:spacing w:after="0" w:line="240" w:lineRule="auto"/>
        <w:ind w:firstLine="720"/>
        <w:jc w:val="both"/>
        <w:rPr>
          <w:rFonts w:ascii="Arial" w:hAnsi="Arial" w:cs="Arial"/>
          <w:sz w:val="22"/>
          <w:szCs w:val="22"/>
        </w:rPr>
      </w:pPr>
    </w:p>
    <w:p w14:paraId="342AC953" w14:textId="084A1075" w:rsidR="00F027F8" w:rsidRPr="00F027F8" w:rsidRDefault="00F027F8" w:rsidP="00F027F8">
      <w:pPr>
        <w:spacing w:line="240" w:lineRule="auto"/>
        <w:rPr>
          <w:rFonts w:ascii="Arial" w:hAnsi="Arial" w:cs="Arial"/>
          <w:b/>
          <w:bCs/>
          <w:sz w:val="22"/>
          <w:szCs w:val="22"/>
        </w:rPr>
      </w:pPr>
      <w:r w:rsidRPr="00F027F8">
        <w:rPr>
          <w:rFonts w:ascii="Arial" w:hAnsi="Arial" w:cs="Arial"/>
          <w:b/>
          <w:bCs/>
          <w:sz w:val="22"/>
          <w:szCs w:val="22"/>
        </w:rPr>
        <w:t xml:space="preserve">Table </w:t>
      </w:r>
      <w:r w:rsidR="003B7EA1">
        <w:rPr>
          <w:rFonts w:ascii="Arial" w:hAnsi="Arial" w:cs="Arial"/>
          <w:b/>
          <w:bCs/>
          <w:sz w:val="22"/>
          <w:szCs w:val="22"/>
        </w:rPr>
        <w:t>9</w:t>
      </w:r>
      <w:r w:rsidRPr="00F027F8">
        <w:rPr>
          <w:rFonts w:ascii="Arial" w:hAnsi="Arial" w:cs="Arial"/>
          <w:b/>
          <w:bCs/>
          <w:sz w:val="22"/>
          <w:szCs w:val="22"/>
        </w:rPr>
        <w:t>. Moderation Analysis Results: Marital Status as a Moderator</w:t>
      </w:r>
    </w:p>
    <w:tbl>
      <w:tblPr>
        <w:tblStyle w:val="TableGrid"/>
        <w:tblW w:w="8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75"/>
        <w:gridCol w:w="1263"/>
      </w:tblGrid>
      <w:tr w:rsidR="00F027F8" w:rsidRPr="00F027F8" w14:paraId="2E3F4A07" w14:textId="77777777" w:rsidTr="00755608">
        <w:tc>
          <w:tcPr>
            <w:tcW w:w="6091" w:type="dxa"/>
            <w:tcBorders>
              <w:top w:val="single" w:sz="4" w:space="0" w:color="auto"/>
              <w:bottom w:val="single" w:sz="4" w:space="0" w:color="auto"/>
            </w:tcBorders>
            <w:vAlign w:val="center"/>
          </w:tcPr>
          <w:p w14:paraId="687A562F" w14:textId="77777777" w:rsidR="00F027F8" w:rsidRPr="00F027F8" w:rsidRDefault="00F027F8" w:rsidP="00F027F8">
            <w:pPr>
              <w:rPr>
                <w:rFonts w:ascii="Arial" w:hAnsi="Arial" w:cs="Arial"/>
              </w:rPr>
            </w:pPr>
            <w:r w:rsidRPr="00F027F8">
              <w:rPr>
                <w:rFonts w:ascii="Arial" w:hAnsi="Arial" w:cs="Arial"/>
              </w:rPr>
              <w:t>Predictors</w:t>
            </w:r>
          </w:p>
        </w:tc>
        <w:tc>
          <w:tcPr>
            <w:tcW w:w="1275" w:type="dxa"/>
            <w:tcBorders>
              <w:top w:val="single" w:sz="4" w:space="0" w:color="auto"/>
              <w:bottom w:val="single" w:sz="4" w:space="0" w:color="auto"/>
            </w:tcBorders>
            <w:vAlign w:val="center"/>
          </w:tcPr>
          <w:p w14:paraId="38492B88" w14:textId="77777777" w:rsidR="00F027F8" w:rsidRPr="00F027F8" w:rsidRDefault="00F027F8" w:rsidP="00F027F8">
            <w:pPr>
              <w:rPr>
                <w:rFonts w:ascii="Arial" w:hAnsi="Arial" w:cs="Arial"/>
              </w:rPr>
            </w:pPr>
            <w:r w:rsidRPr="00F027F8">
              <w:rPr>
                <w:rFonts w:ascii="Arial" w:hAnsi="Arial" w:cs="Arial"/>
              </w:rPr>
              <w:t>β</w:t>
            </w:r>
          </w:p>
        </w:tc>
        <w:tc>
          <w:tcPr>
            <w:tcW w:w="1263" w:type="dxa"/>
            <w:tcBorders>
              <w:top w:val="single" w:sz="4" w:space="0" w:color="auto"/>
              <w:bottom w:val="single" w:sz="4" w:space="0" w:color="auto"/>
            </w:tcBorders>
            <w:vAlign w:val="center"/>
          </w:tcPr>
          <w:p w14:paraId="6A17CDCE" w14:textId="77777777" w:rsidR="00F027F8" w:rsidRPr="00F027F8" w:rsidRDefault="00F027F8" w:rsidP="00F027F8">
            <w:pPr>
              <w:rPr>
                <w:rFonts w:ascii="Arial" w:hAnsi="Arial" w:cs="Arial"/>
              </w:rPr>
            </w:pPr>
            <w:r w:rsidRPr="00F027F8">
              <w:rPr>
                <w:rFonts w:ascii="Arial" w:hAnsi="Arial" w:cs="Arial"/>
              </w:rPr>
              <w:t>p</w:t>
            </w:r>
          </w:p>
        </w:tc>
      </w:tr>
      <w:tr w:rsidR="00F027F8" w:rsidRPr="00F027F8" w14:paraId="7D39E2DB" w14:textId="77777777" w:rsidTr="00755608">
        <w:tc>
          <w:tcPr>
            <w:tcW w:w="6091" w:type="dxa"/>
            <w:tcBorders>
              <w:top w:val="single" w:sz="4" w:space="0" w:color="auto"/>
            </w:tcBorders>
          </w:tcPr>
          <w:p w14:paraId="4D07C17D" w14:textId="77777777" w:rsidR="00F027F8" w:rsidRPr="00F027F8" w:rsidRDefault="00F027F8" w:rsidP="00F027F8">
            <w:pPr>
              <w:rPr>
                <w:rFonts w:ascii="Arial" w:hAnsi="Arial" w:cs="Arial"/>
              </w:rPr>
            </w:pPr>
            <w:r w:rsidRPr="00F027F8">
              <w:rPr>
                <w:rFonts w:ascii="Arial" w:hAnsi="Arial" w:cs="Arial"/>
              </w:rPr>
              <w:t>Pre-Retirement Financial Practices</w:t>
            </w:r>
          </w:p>
        </w:tc>
        <w:tc>
          <w:tcPr>
            <w:tcW w:w="1275" w:type="dxa"/>
            <w:tcBorders>
              <w:top w:val="single" w:sz="4" w:space="0" w:color="auto"/>
            </w:tcBorders>
          </w:tcPr>
          <w:p w14:paraId="3D96B52C" w14:textId="77777777" w:rsidR="00F027F8" w:rsidRPr="00F027F8" w:rsidRDefault="00F027F8" w:rsidP="00F027F8">
            <w:pPr>
              <w:rPr>
                <w:rFonts w:ascii="Arial" w:hAnsi="Arial" w:cs="Arial"/>
              </w:rPr>
            </w:pPr>
            <w:r w:rsidRPr="00F027F8">
              <w:rPr>
                <w:rFonts w:ascii="Arial" w:hAnsi="Arial" w:cs="Arial"/>
              </w:rPr>
              <w:t>0.5415</w:t>
            </w:r>
          </w:p>
        </w:tc>
        <w:tc>
          <w:tcPr>
            <w:tcW w:w="1263" w:type="dxa"/>
            <w:tcBorders>
              <w:top w:val="single" w:sz="4" w:space="0" w:color="auto"/>
            </w:tcBorders>
          </w:tcPr>
          <w:p w14:paraId="59B12DE0" w14:textId="77777777" w:rsidR="00F027F8" w:rsidRPr="00F027F8" w:rsidRDefault="00F027F8" w:rsidP="00F027F8">
            <w:pPr>
              <w:rPr>
                <w:rFonts w:ascii="Arial" w:hAnsi="Arial" w:cs="Arial"/>
              </w:rPr>
            </w:pPr>
            <w:r w:rsidRPr="00F027F8">
              <w:rPr>
                <w:rFonts w:ascii="Arial" w:hAnsi="Arial" w:cs="Arial"/>
              </w:rPr>
              <w:t>&lt;.001</w:t>
            </w:r>
          </w:p>
        </w:tc>
      </w:tr>
      <w:tr w:rsidR="00F027F8" w:rsidRPr="00F027F8" w14:paraId="6A0E208F" w14:textId="77777777" w:rsidTr="00755608">
        <w:tc>
          <w:tcPr>
            <w:tcW w:w="6091" w:type="dxa"/>
          </w:tcPr>
          <w:p w14:paraId="30C0EEC2" w14:textId="77777777" w:rsidR="00F027F8" w:rsidRPr="00F027F8" w:rsidRDefault="00F027F8" w:rsidP="00F027F8">
            <w:pPr>
              <w:rPr>
                <w:rFonts w:ascii="Arial" w:hAnsi="Arial" w:cs="Arial"/>
              </w:rPr>
            </w:pPr>
            <w:r w:rsidRPr="00F027F8">
              <w:rPr>
                <w:rFonts w:ascii="Arial" w:hAnsi="Arial" w:cs="Arial"/>
              </w:rPr>
              <w:t>Marital Status</w:t>
            </w:r>
          </w:p>
        </w:tc>
        <w:tc>
          <w:tcPr>
            <w:tcW w:w="1275" w:type="dxa"/>
          </w:tcPr>
          <w:p w14:paraId="74946469" w14:textId="77777777" w:rsidR="00F027F8" w:rsidRPr="00F027F8" w:rsidRDefault="00F027F8" w:rsidP="00F027F8">
            <w:pPr>
              <w:rPr>
                <w:rFonts w:ascii="Arial" w:hAnsi="Arial" w:cs="Arial"/>
              </w:rPr>
            </w:pPr>
            <w:r w:rsidRPr="00F027F8">
              <w:rPr>
                <w:rFonts w:ascii="Arial" w:hAnsi="Arial" w:cs="Arial"/>
              </w:rPr>
              <w:t>-0.0517</w:t>
            </w:r>
          </w:p>
        </w:tc>
        <w:tc>
          <w:tcPr>
            <w:tcW w:w="1263" w:type="dxa"/>
          </w:tcPr>
          <w:p w14:paraId="7BDD0B79" w14:textId="77777777" w:rsidR="00F027F8" w:rsidRPr="00F027F8" w:rsidRDefault="00F027F8" w:rsidP="00F027F8">
            <w:pPr>
              <w:rPr>
                <w:rFonts w:ascii="Arial" w:hAnsi="Arial" w:cs="Arial"/>
              </w:rPr>
            </w:pPr>
            <w:r w:rsidRPr="00F027F8">
              <w:rPr>
                <w:rFonts w:ascii="Arial" w:hAnsi="Arial" w:cs="Arial"/>
              </w:rPr>
              <w:t>.322</w:t>
            </w:r>
          </w:p>
        </w:tc>
      </w:tr>
      <w:tr w:rsidR="00F027F8" w:rsidRPr="00F027F8" w14:paraId="451A756C" w14:textId="77777777" w:rsidTr="00755608">
        <w:tc>
          <w:tcPr>
            <w:tcW w:w="6091" w:type="dxa"/>
          </w:tcPr>
          <w:p w14:paraId="3B03F4AD" w14:textId="77777777" w:rsidR="00F027F8" w:rsidRPr="00F027F8" w:rsidRDefault="00F027F8" w:rsidP="00A81877">
            <w:pPr>
              <w:rPr>
                <w:rFonts w:ascii="Arial" w:hAnsi="Arial" w:cs="Arial"/>
              </w:rPr>
            </w:pPr>
            <w:r w:rsidRPr="00F027F8">
              <w:rPr>
                <w:rFonts w:ascii="Arial" w:hAnsi="Arial" w:cs="Arial"/>
              </w:rPr>
              <w:t>Pre-Retirement Financial Practices</w:t>
            </w:r>
            <w:r w:rsidRPr="00F027F8">
              <w:rPr>
                <w:rFonts w:ascii="Segoe UI Symbol" w:hAnsi="Segoe UI Symbol" w:cs="Segoe UI Symbol"/>
              </w:rPr>
              <w:t xml:space="preserve"> ✻</w:t>
            </w:r>
            <w:r w:rsidRPr="00F027F8">
              <w:rPr>
                <w:rFonts w:ascii="Arial" w:hAnsi="Arial" w:cs="Arial"/>
              </w:rPr>
              <w:t xml:space="preserve"> Marital Status</w:t>
            </w:r>
          </w:p>
        </w:tc>
        <w:tc>
          <w:tcPr>
            <w:tcW w:w="1275" w:type="dxa"/>
          </w:tcPr>
          <w:p w14:paraId="21CE6BD0" w14:textId="77777777" w:rsidR="00F027F8" w:rsidRPr="00F027F8" w:rsidRDefault="00F027F8" w:rsidP="00A81877">
            <w:pPr>
              <w:rPr>
                <w:rFonts w:ascii="Arial" w:hAnsi="Arial" w:cs="Arial"/>
              </w:rPr>
            </w:pPr>
            <w:r w:rsidRPr="00F027F8">
              <w:rPr>
                <w:rFonts w:ascii="Arial" w:hAnsi="Arial" w:cs="Arial"/>
              </w:rPr>
              <w:t>0.0175</w:t>
            </w:r>
          </w:p>
        </w:tc>
        <w:tc>
          <w:tcPr>
            <w:tcW w:w="1263" w:type="dxa"/>
          </w:tcPr>
          <w:p w14:paraId="070AD1AC" w14:textId="77777777" w:rsidR="00F027F8" w:rsidRPr="00F027F8" w:rsidRDefault="00F027F8" w:rsidP="00A81877">
            <w:pPr>
              <w:rPr>
                <w:rFonts w:ascii="Arial" w:hAnsi="Arial" w:cs="Arial"/>
              </w:rPr>
            </w:pPr>
            <w:r w:rsidRPr="00F027F8">
              <w:rPr>
                <w:rFonts w:ascii="Arial" w:hAnsi="Arial" w:cs="Arial"/>
              </w:rPr>
              <w:t>.842</w:t>
            </w:r>
          </w:p>
        </w:tc>
      </w:tr>
    </w:tbl>
    <w:p w14:paraId="23178415"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 xml:space="preserve">The moderation analysis was conducted to determine whether marital status influences the relationship between Pre-Retirement Financial Practices and Job Exit Preparedness among hospital employees. The results show that Pre-Retirement Financial Practices significantly predict Job Exit Preparedness (β = 0.5415, p &lt; .001), indicating a strong positive relationship between the two variables. Marital status, however, was not a significant </w:t>
      </w:r>
      <w:r w:rsidRPr="00F027F8">
        <w:rPr>
          <w:rFonts w:ascii="Arial" w:hAnsi="Arial" w:cs="Arial"/>
          <w:sz w:val="22"/>
          <w:szCs w:val="22"/>
        </w:rPr>
        <w:lastRenderedPageBreak/>
        <w:t>predictor (β = -0.0517, p = .322), and the interaction term was also not significant (β = 0.0175, p = .842), indicating that marital status does not moderate the relationship.</w:t>
      </w:r>
    </w:p>
    <w:p w14:paraId="5832D6EB"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These findings suggest that the effect of Pre-Retirement Financial Practices on Job Exit Preparedness is consistent regardless of marital status. This indicates that financial preparedness is equally relevant for both single and married employees. As marital status does not influence the relationship, marital status–specific interventions are not necessary. Strengthening Pre-Retirement Financial Practices across all employees remains the primary focus in improving job exit preparedness.</w:t>
      </w:r>
    </w:p>
    <w:p w14:paraId="1351B5C1" w14:textId="12DC49CB" w:rsidR="00F027F8" w:rsidRPr="00F027F8" w:rsidRDefault="00F027F8" w:rsidP="00A81877">
      <w:pPr>
        <w:spacing w:before="120" w:after="0" w:line="240" w:lineRule="auto"/>
        <w:jc w:val="both"/>
        <w:rPr>
          <w:rFonts w:ascii="Arial" w:hAnsi="Arial" w:cs="Arial"/>
          <w:b/>
          <w:bCs/>
          <w:sz w:val="22"/>
          <w:szCs w:val="22"/>
        </w:rPr>
      </w:pPr>
      <w:r w:rsidRPr="00F027F8">
        <w:rPr>
          <w:rFonts w:ascii="Arial" w:hAnsi="Arial" w:cs="Arial"/>
          <w:b/>
          <w:bCs/>
          <w:sz w:val="22"/>
          <w:szCs w:val="22"/>
        </w:rPr>
        <w:t>Table 1</w:t>
      </w:r>
      <w:r w:rsidR="003B7EA1">
        <w:rPr>
          <w:rFonts w:ascii="Arial" w:hAnsi="Arial" w:cs="Arial"/>
          <w:b/>
          <w:bCs/>
          <w:sz w:val="22"/>
          <w:szCs w:val="22"/>
        </w:rPr>
        <w:t>0</w:t>
      </w:r>
      <w:r w:rsidRPr="00F027F8">
        <w:rPr>
          <w:rFonts w:ascii="Arial" w:hAnsi="Arial" w:cs="Arial"/>
          <w:b/>
          <w:bCs/>
          <w:sz w:val="22"/>
          <w:szCs w:val="22"/>
        </w:rPr>
        <w:t>. Moderation Analysis Results: Employment Type as Moderator</w:t>
      </w:r>
    </w:p>
    <w:tbl>
      <w:tblPr>
        <w:tblStyle w:val="TableGrid"/>
        <w:tblW w:w="8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75"/>
        <w:gridCol w:w="1263"/>
      </w:tblGrid>
      <w:tr w:rsidR="00F027F8" w:rsidRPr="00F027F8" w14:paraId="1E14541E" w14:textId="77777777" w:rsidTr="00755608">
        <w:tc>
          <w:tcPr>
            <w:tcW w:w="6091" w:type="dxa"/>
            <w:tcBorders>
              <w:top w:val="single" w:sz="4" w:space="0" w:color="auto"/>
              <w:bottom w:val="single" w:sz="4" w:space="0" w:color="auto"/>
            </w:tcBorders>
            <w:vAlign w:val="center"/>
          </w:tcPr>
          <w:p w14:paraId="40B65FB1" w14:textId="77777777" w:rsidR="00F027F8" w:rsidRPr="00F027F8" w:rsidRDefault="00F027F8" w:rsidP="00A81877">
            <w:pPr>
              <w:rPr>
                <w:rFonts w:ascii="Arial" w:hAnsi="Arial" w:cs="Arial"/>
              </w:rPr>
            </w:pPr>
            <w:r w:rsidRPr="00F027F8">
              <w:rPr>
                <w:rFonts w:ascii="Arial" w:hAnsi="Arial" w:cs="Arial"/>
              </w:rPr>
              <w:t>Predictors</w:t>
            </w:r>
          </w:p>
        </w:tc>
        <w:tc>
          <w:tcPr>
            <w:tcW w:w="1275" w:type="dxa"/>
            <w:tcBorders>
              <w:top w:val="single" w:sz="4" w:space="0" w:color="auto"/>
              <w:bottom w:val="single" w:sz="4" w:space="0" w:color="auto"/>
            </w:tcBorders>
            <w:vAlign w:val="center"/>
          </w:tcPr>
          <w:p w14:paraId="2F81D415" w14:textId="77777777" w:rsidR="00F027F8" w:rsidRPr="00F027F8" w:rsidRDefault="00F027F8" w:rsidP="00A81877">
            <w:pPr>
              <w:rPr>
                <w:rFonts w:ascii="Arial" w:hAnsi="Arial" w:cs="Arial"/>
              </w:rPr>
            </w:pPr>
            <w:r w:rsidRPr="00F027F8">
              <w:rPr>
                <w:rFonts w:ascii="Arial" w:hAnsi="Arial" w:cs="Arial"/>
              </w:rPr>
              <w:t>β</w:t>
            </w:r>
          </w:p>
        </w:tc>
        <w:tc>
          <w:tcPr>
            <w:tcW w:w="1263" w:type="dxa"/>
            <w:tcBorders>
              <w:top w:val="single" w:sz="4" w:space="0" w:color="auto"/>
              <w:bottom w:val="single" w:sz="4" w:space="0" w:color="auto"/>
            </w:tcBorders>
            <w:vAlign w:val="center"/>
          </w:tcPr>
          <w:p w14:paraId="22B1E7BF" w14:textId="77777777" w:rsidR="00F027F8" w:rsidRPr="00F027F8" w:rsidRDefault="00F027F8" w:rsidP="00A81877">
            <w:pPr>
              <w:rPr>
                <w:rFonts w:ascii="Arial" w:hAnsi="Arial" w:cs="Arial"/>
              </w:rPr>
            </w:pPr>
            <w:r w:rsidRPr="00F027F8">
              <w:rPr>
                <w:rFonts w:ascii="Arial" w:hAnsi="Arial" w:cs="Arial"/>
              </w:rPr>
              <w:t>p</w:t>
            </w:r>
          </w:p>
        </w:tc>
      </w:tr>
      <w:tr w:rsidR="00F027F8" w:rsidRPr="00F027F8" w14:paraId="667897B7" w14:textId="77777777" w:rsidTr="00755608">
        <w:tc>
          <w:tcPr>
            <w:tcW w:w="6091" w:type="dxa"/>
            <w:tcBorders>
              <w:top w:val="single" w:sz="4" w:space="0" w:color="auto"/>
            </w:tcBorders>
          </w:tcPr>
          <w:p w14:paraId="0CEBD28D" w14:textId="77777777" w:rsidR="00F027F8" w:rsidRPr="00F027F8" w:rsidRDefault="00F027F8" w:rsidP="00A81877">
            <w:pPr>
              <w:rPr>
                <w:rFonts w:ascii="Arial" w:hAnsi="Arial" w:cs="Arial"/>
              </w:rPr>
            </w:pPr>
            <w:r w:rsidRPr="00F027F8">
              <w:rPr>
                <w:rFonts w:ascii="Arial" w:hAnsi="Arial" w:cs="Arial"/>
              </w:rPr>
              <w:t>Pre-Retirement Financial Practices</w:t>
            </w:r>
          </w:p>
        </w:tc>
        <w:tc>
          <w:tcPr>
            <w:tcW w:w="1275" w:type="dxa"/>
            <w:tcBorders>
              <w:top w:val="single" w:sz="4" w:space="0" w:color="auto"/>
            </w:tcBorders>
          </w:tcPr>
          <w:p w14:paraId="4DF921EB" w14:textId="77777777" w:rsidR="00F027F8" w:rsidRPr="00F027F8" w:rsidRDefault="00F027F8" w:rsidP="00A81877">
            <w:pPr>
              <w:rPr>
                <w:rFonts w:ascii="Arial" w:hAnsi="Arial" w:cs="Arial"/>
              </w:rPr>
            </w:pPr>
            <w:r w:rsidRPr="00F027F8">
              <w:rPr>
                <w:rFonts w:ascii="Arial" w:hAnsi="Arial" w:cs="Arial"/>
              </w:rPr>
              <w:t>0.5321</w:t>
            </w:r>
          </w:p>
        </w:tc>
        <w:tc>
          <w:tcPr>
            <w:tcW w:w="1263" w:type="dxa"/>
            <w:tcBorders>
              <w:top w:val="single" w:sz="4" w:space="0" w:color="auto"/>
            </w:tcBorders>
          </w:tcPr>
          <w:p w14:paraId="69972523" w14:textId="77777777" w:rsidR="00F027F8" w:rsidRPr="00F027F8" w:rsidRDefault="00F027F8" w:rsidP="00A81877">
            <w:pPr>
              <w:rPr>
                <w:rFonts w:ascii="Arial" w:hAnsi="Arial" w:cs="Arial"/>
              </w:rPr>
            </w:pPr>
            <w:r w:rsidRPr="00F027F8">
              <w:rPr>
                <w:rFonts w:ascii="Arial" w:hAnsi="Arial" w:cs="Arial"/>
              </w:rPr>
              <w:t>&lt;.001</w:t>
            </w:r>
          </w:p>
        </w:tc>
      </w:tr>
      <w:tr w:rsidR="00F027F8" w:rsidRPr="00F027F8" w14:paraId="7593BE5D" w14:textId="77777777" w:rsidTr="00755608">
        <w:tc>
          <w:tcPr>
            <w:tcW w:w="6091" w:type="dxa"/>
          </w:tcPr>
          <w:p w14:paraId="3B6125D1" w14:textId="77777777" w:rsidR="00F027F8" w:rsidRPr="00F027F8" w:rsidRDefault="00F027F8" w:rsidP="00A81877">
            <w:pPr>
              <w:rPr>
                <w:rFonts w:ascii="Arial" w:hAnsi="Arial" w:cs="Arial"/>
              </w:rPr>
            </w:pPr>
            <w:r w:rsidRPr="00F027F8">
              <w:rPr>
                <w:rFonts w:ascii="Arial" w:hAnsi="Arial" w:cs="Arial"/>
              </w:rPr>
              <w:t>Employment Type</w:t>
            </w:r>
          </w:p>
        </w:tc>
        <w:tc>
          <w:tcPr>
            <w:tcW w:w="1275" w:type="dxa"/>
          </w:tcPr>
          <w:p w14:paraId="18F490B4" w14:textId="77777777" w:rsidR="00F027F8" w:rsidRPr="00F027F8" w:rsidRDefault="00F027F8" w:rsidP="00A81877">
            <w:pPr>
              <w:rPr>
                <w:rFonts w:ascii="Arial" w:hAnsi="Arial" w:cs="Arial"/>
              </w:rPr>
            </w:pPr>
            <w:r w:rsidRPr="00F027F8">
              <w:rPr>
                <w:rFonts w:ascii="Arial" w:hAnsi="Arial" w:cs="Arial"/>
              </w:rPr>
              <w:t>0.2529</w:t>
            </w:r>
          </w:p>
        </w:tc>
        <w:tc>
          <w:tcPr>
            <w:tcW w:w="1263" w:type="dxa"/>
          </w:tcPr>
          <w:p w14:paraId="796011B1" w14:textId="77777777" w:rsidR="00F027F8" w:rsidRPr="00F027F8" w:rsidRDefault="00F027F8" w:rsidP="00A81877">
            <w:pPr>
              <w:rPr>
                <w:rFonts w:ascii="Arial" w:hAnsi="Arial" w:cs="Arial"/>
              </w:rPr>
            </w:pPr>
            <w:r w:rsidRPr="00F027F8">
              <w:rPr>
                <w:rFonts w:ascii="Arial" w:hAnsi="Arial" w:cs="Arial"/>
              </w:rPr>
              <w:t>&lt;.001</w:t>
            </w:r>
          </w:p>
        </w:tc>
      </w:tr>
      <w:tr w:rsidR="00F027F8" w:rsidRPr="00F027F8" w14:paraId="0323286A" w14:textId="77777777" w:rsidTr="00755608">
        <w:tc>
          <w:tcPr>
            <w:tcW w:w="6091" w:type="dxa"/>
          </w:tcPr>
          <w:p w14:paraId="3FFAFAC9" w14:textId="77777777" w:rsidR="00F027F8" w:rsidRPr="00F027F8" w:rsidRDefault="00F027F8" w:rsidP="00A81877">
            <w:pPr>
              <w:rPr>
                <w:rFonts w:ascii="Arial" w:hAnsi="Arial" w:cs="Arial"/>
              </w:rPr>
            </w:pPr>
            <w:r w:rsidRPr="00F027F8">
              <w:rPr>
                <w:rFonts w:ascii="Arial" w:hAnsi="Arial" w:cs="Arial"/>
              </w:rPr>
              <w:t>Pre-Retirement Financial Practices</w:t>
            </w:r>
            <w:r w:rsidRPr="00F027F8">
              <w:rPr>
                <w:rFonts w:ascii="Segoe UI Symbol" w:hAnsi="Segoe UI Symbol" w:cs="Segoe UI Symbol"/>
              </w:rPr>
              <w:t xml:space="preserve"> ✻</w:t>
            </w:r>
            <w:r w:rsidRPr="00F027F8">
              <w:rPr>
                <w:rFonts w:ascii="Arial" w:hAnsi="Arial" w:cs="Arial"/>
              </w:rPr>
              <w:t xml:space="preserve"> Employment Type</w:t>
            </w:r>
          </w:p>
        </w:tc>
        <w:tc>
          <w:tcPr>
            <w:tcW w:w="1275" w:type="dxa"/>
          </w:tcPr>
          <w:p w14:paraId="1A73B462" w14:textId="77777777" w:rsidR="00F027F8" w:rsidRPr="00F027F8" w:rsidRDefault="00F027F8" w:rsidP="00A81877">
            <w:pPr>
              <w:rPr>
                <w:rFonts w:ascii="Arial" w:hAnsi="Arial" w:cs="Arial"/>
              </w:rPr>
            </w:pPr>
            <w:r w:rsidRPr="00F027F8">
              <w:rPr>
                <w:rFonts w:ascii="Arial" w:hAnsi="Arial" w:cs="Arial"/>
              </w:rPr>
              <w:t>-0.0500</w:t>
            </w:r>
          </w:p>
        </w:tc>
        <w:tc>
          <w:tcPr>
            <w:tcW w:w="1263" w:type="dxa"/>
          </w:tcPr>
          <w:p w14:paraId="63DBD264" w14:textId="77777777" w:rsidR="00F027F8" w:rsidRPr="00F027F8" w:rsidRDefault="00F027F8" w:rsidP="00A81877">
            <w:pPr>
              <w:rPr>
                <w:rFonts w:ascii="Arial" w:hAnsi="Arial" w:cs="Arial"/>
              </w:rPr>
            </w:pPr>
            <w:r w:rsidRPr="00F027F8">
              <w:rPr>
                <w:rFonts w:ascii="Arial" w:hAnsi="Arial" w:cs="Arial"/>
              </w:rPr>
              <w:t>.672</w:t>
            </w:r>
          </w:p>
        </w:tc>
      </w:tr>
    </w:tbl>
    <w:p w14:paraId="76D21510"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 moderation analysis was conducted to determine whether employment type influences the relationship between Pre-Retirement Financial Practices and Job Exit Preparedness among hospital employees. The results show that Pre-Retirement Financial Practices significantly predict Job Exit Preparedness (β = 0.5321, p &lt; .001), indicating a strong positive relationship between the two variables. Employment type also had a significant direct effect on Job Exit Preparedness (β = 0.2529, p &lt; .001). However, the interaction term was not significant (β = -0.0500, p = .672), indicating that employment type does not moderate the relationship.</w:t>
      </w:r>
    </w:p>
    <w:p w14:paraId="747F0D9C" w14:textId="77777777" w:rsidR="00F027F8" w:rsidRPr="00F027F8" w:rsidRDefault="00F027F8" w:rsidP="00A81877">
      <w:pPr>
        <w:spacing w:before="120" w:after="0" w:line="240" w:lineRule="auto"/>
        <w:jc w:val="both"/>
        <w:rPr>
          <w:rFonts w:ascii="Arial" w:hAnsi="Arial" w:cs="Arial"/>
          <w:sz w:val="22"/>
          <w:szCs w:val="22"/>
        </w:rPr>
      </w:pPr>
      <w:r w:rsidRPr="00F027F8">
        <w:rPr>
          <w:rFonts w:ascii="Arial" w:hAnsi="Arial" w:cs="Arial"/>
          <w:sz w:val="22"/>
          <w:szCs w:val="22"/>
        </w:rPr>
        <w:t>These findings suggest that the effect of Pre-Retirement Financial Practices on Job Exit Preparedness remains consistent across permanent and non-permanent employees. Although employment type is directly related to Job Exit Preparedness, it does not change the strength or direction of the relationship between the main variables. Therefore, strengthening financial awareness, financial training, and financial behavior remains relevant for employees regardless of employment type.</w:t>
      </w:r>
    </w:p>
    <w:p w14:paraId="0D49C168" w14:textId="2CD136D9" w:rsidR="00A81877" w:rsidRDefault="00A81877" w:rsidP="00CD4205">
      <w:pPr>
        <w:spacing w:before="120" w:after="0" w:line="240" w:lineRule="auto"/>
        <w:jc w:val="both"/>
        <w:rPr>
          <w:rFonts w:ascii="Arial" w:hAnsi="Arial" w:cs="Arial"/>
          <w:b/>
          <w:bCs/>
          <w:sz w:val="22"/>
          <w:szCs w:val="22"/>
        </w:rPr>
      </w:pPr>
      <w:r w:rsidRPr="00A81877">
        <w:rPr>
          <w:rFonts w:ascii="Arial" w:hAnsi="Arial" w:cs="Arial"/>
          <w:b/>
          <w:bCs/>
          <w:sz w:val="22"/>
          <w:szCs w:val="22"/>
        </w:rPr>
        <w:t>Conclusion</w:t>
      </w:r>
    </w:p>
    <w:p w14:paraId="4456A73D" w14:textId="408D92AA" w:rsidR="00CD4205" w:rsidRDefault="00CD4205" w:rsidP="00CD4205">
      <w:pPr>
        <w:spacing w:before="120" w:after="0" w:line="240" w:lineRule="auto"/>
        <w:jc w:val="both"/>
        <w:rPr>
          <w:rFonts w:ascii="Arial" w:hAnsi="Arial" w:cs="Arial"/>
          <w:sz w:val="22"/>
          <w:szCs w:val="22"/>
        </w:rPr>
      </w:pPr>
      <w:r w:rsidRPr="00CD4205">
        <w:rPr>
          <w:rFonts w:ascii="Arial" w:hAnsi="Arial" w:cs="Arial"/>
          <w:sz w:val="22"/>
          <w:szCs w:val="22"/>
        </w:rPr>
        <w:t>Financial preparedness before retirement is critical to how ready employees are to transition out of work. It has an impact on the way a person manages their financial awareness, training, and financial behaviors as they prepare for the retirement of a lifetime. These practices will develop a solid foundation for future financial planning while also aiding employees in determining how to achieve long-term financial security, reduce their financial risk, and build confidence as they transition from working to retirement.</w:t>
      </w:r>
    </w:p>
    <w:p w14:paraId="1712E18F" w14:textId="77777777" w:rsidR="004400C4" w:rsidRPr="004400C4" w:rsidRDefault="004400C4" w:rsidP="004400C4">
      <w:pPr>
        <w:spacing w:before="120" w:after="0" w:line="240" w:lineRule="auto"/>
        <w:jc w:val="both"/>
        <w:rPr>
          <w:rFonts w:ascii="Arial" w:hAnsi="Arial" w:cs="Arial"/>
          <w:sz w:val="22"/>
          <w:szCs w:val="22"/>
        </w:rPr>
      </w:pPr>
      <w:r w:rsidRPr="004400C4">
        <w:rPr>
          <w:rFonts w:ascii="Arial" w:hAnsi="Arial" w:cs="Arial"/>
          <w:sz w:val="22"/>
          <w:szCs w:val="22"/>
        </w:rPr>
        <w:t xml:space="preserve">Results of this study show that employees at St. Elizabeth Hospital demonstrate a moderate amount of pre-retirement financial behavior which implies that there </w:t>
      </w:r>
      <w:proofErr w:type="gramStart"/>
      <w:r w:rsidRPr="004400C4">
        <w:rPr>
          <w:rFonts w:ascii="Arial" w:hAnsi="Arial" w:cs="Arial"/>
          <w:sz w:val="22"/>
          <w:szCs w:val="22"/>
        </w:rPr>
        <w:t>is</w:t>
      </w:r>
      <w:proofErr w:type="gramEnd"/>
      <w:r w:rsidRPr="004400C4">
        <w:rPr>
          <w:rFonts w:ascii="Arial" w:hAnsi="Arial" w:cs="Arial"/>
          <w:sz w:val="22"/>
          <w:szCs w:val="22"/>
        </w:rPr>
        <w:t xml:space="preserve"> some level of basic financial awareness and some degree of positive financial behavior but formalized financial training and structured instructional material for pre-retirement education are not adequate in this population. This suggests that workers are more likely to use their own initiative than seek out institutional assistance when making preparations to exit a job and retire. Although this indicates a lack of institutional support, it appears that these workers are still reasonably well-prepared by way of savings and debt management; therefore, it appears that individual financial responsibility compensates for some limitations in formal financial guidance provided by employers. </w:t>
      </w:r>
    </w:p>
    <w:p w14:paraId="78861D28" w14:textId="77777777" w:rsidR="004400C4" w:rsidRPr="004400C4" w:rsidRDefault="004400C4" w:rsidP="004400C4">
      <w:pPr>
        <w:spacing w:before="120" w:after="0" w:line="240" w:lineRule="auto"/>
        <w:jc w:val="both"/>
        <w:rPr>
          <w:rFonts w:ascii="Arial" w:hAnsi="Arial" w:cs="Arial"/>
          <w:sz w:val="22"/>
          <w:szCs w:val="22"/>
        </w:rPr>
      </w:pPr>
      <w:r w:rsidRPr="004400C4">
        <w:rPr>
          <w:rFonts w:ascii="Arial" w:hAnsi="Arial" w:cs="Arial"/>
          <w:sz w:val="22"/>
          <w:szCs w:val="22"/>
        </w:rPr>
        <w:t>The positive relationship between Pre-Retirement Financial Practices and Job Exit Preparedness further supports financial literacy and behaviors as not only sources of information regarding retirement, but also as functional predictors of being ready for retirement. Employees who engage more thoroughly in financial planning behaviors tend to have better abilities to manage the transition from employment to retirement.</w:t>
      </w:r>
    </w:p>
    <w:p w14:paraId="0AA1473D" w14:textId="30CECEAD" w:rsidR="004400C4" w:rsidRPr="004400C4" w:rsidRDefault="004400C4" w:rsidP="004400C4">
      <w:pPr>
        <w:spacing w:before="120" w:after="0" w:line="240" w:lineRule="auto"/>
        <w:jc w:val="both"/>
        <w:rPr>
          <w:rFonts w:ascii="Arial" w:hAnsi="Arial" w:cs="Arial"/>
          <w:sz w:val="22"/>
          <w:szCs w:val="22"/>
        </w:rPr>
      </w:pPr>
      <w:r w:rsidRPr="004400C4">
        <w:rPr>
          <w:rFonts w:ascii="Arial" w:hAnsi="Arial" w:cs="Arial"/>
          <w:sz w:val="22"/>
          <w:szCs w:val="22"/>
        </w:rPr>
        <w:t xml:space="preserve">The lack of evidence for a moderating effect of age, gender, income, or employment status shows that within this </w:t>
      </w:r>
      <w:r w:rsidRPr="004400C4">
        <w:rPr>
          <w:rFonts w:ascii="Arial" w:hAnsi="Arial" w:cs="Arial"/>
          <w:sz w:val="22"/>
          <w:szCs w:val="22"/>
        </w:rPr>
        <w:t>organization</w:t>
      </w:r>
      <w:r w:rsidRPr="004400C4">
        <w:rPr>
          <w:rFonts w:ascii="Arial" w:hAnsi="Arial" w:cs="Arial"/>
          <w:sz w:val="22"/>
          <w:szCs w:val="22"/>
        </w:rPr>
        <w:t xml:space="preserve"> retirement readiness does not significantly differ based upon demographic characteristics. Therefore, financial </w:t>
      </w:r>
      <w:r w:rsidRPr="004400C4">
        <w:rPr>
          <w:rFonts w:ascii="Arial" w:hAnsi="Arial" w:cs="Arial"/>
          <w:sz w:val="22"/>
          <w:szCs w:val="22"/>
        </w:rPr>
        <w:t>behaviors</w:t>
      </w:r>
      <w:r w:rsidRPr="004400C4">
        <w:rPr>
          <w:rFonts w:ascii="Arial" w:hAnsi="Arial" w:cs="Arial"/>
          <w:sz w:val="22"/>
          <w:szCs w:val="22"/>
        </w:rPr>
        <w:t xml:space="preserve"> relate to all employees equally and provide support for the theory that intention and perceived control are better indicators of retirement readiness than are demographic variables.</w:t>
      </w:r>
    </w:p>
    <w:p w14:paraId="096582E6" w14:textId="683695D2" w:rsidR="004400C4" w:rsidRPr="00CD4205" w:rsidRDefault="004400C4" w:rsidP="004400C4">
      <w:pPr>
        <w:spacing w:before="120" w:after="0" w:line="240" w:lineRule="auto"/>
        <w:jc w:val="both"/>
        <w:rPr>
          <w:rFonts w:ascii="Arial" w:hAnsi="Arial" w:cs="Arial"/>
          <w:sz w:val="22"/>
          <w:szCs w:val="22"/>
        </w:rPr>
      </w:pPr>
      <w:r w:rsidRPr="004400C4">
        <w:rPr>
          <w:rFonts w:ascii="Arial" w:hAnsi="Arial" w:cs="Arial"/>
          <w:sz w:val="22"/>
          <w:szCs w:val="22"/>
        </w:rPr>
        <w:t>Ultimately, the results of this study support the need for organizational improvements to develop more structured financial education programs since providing employees more education about financial literacy and improving their training resources will improve their ability to transition into retirement effectively and provide them with more stable and well-prepared retirements.</w:t>
      </w:r>
    </w:p>
    <w:p w14:paraId="6AB432EC" w14:textId="2AD56A39" w:rsidR="00A81877" w:rsidRPr="007E77A5" w:rsidRDefault="004400C4" w:rsidP="007E77A5">
      <w:pPr>
        <w:spacing w:before="120" w:after="0" w:line="240" w:lineRule="auto"/>
        <w:jc w:val="both"/>
        <w:rPr>
          <w:rFonts w:ascii="Arial" w:hAnsi="Arial" w:cs="Arial"/>
          <w:b/>
          <w:bCs/>
          <w:sz w:val="22"/>
          <w:szCs w:val="22"/>
        </w:rPr>
      </w:pPr>
      <w:r w:rsidRPr="007E77A5">
        <w:rPr>
          <w:rFonts w:ascii="Arial" w:hAnsi="Arial" w:cs="Arial"/>
          <w:b/>
          <w:bCs/>
          <w:sz w:val="22"/>
          <w:szCs w:val="22"/>
        </w:rPr>
        <w:lastRenderedPageBreak/>
        <w:t>Recommendation</w:t>
      </w:r>
    </w:p>
    <w:p w14:paraId="624A004B" w14:textId="21074AB0" w:rsidR="004400C4" w:rsidRDefault="007E77A5" w:rsidP="007E77A5">
      <w:pPr>
        <w:spacing w:before="120" w:after="0" w:line="240" w:lineRule="auto"/>
        <w:jc w:val="both"/>
        <w:rPr>
          <w:rFonts w:ascii="Arial" w:hAnsi="Arial" w:cs="Arial"/>
          <w:sz w:val="22"/>
          <w:szCs w:val="22"/>
        </w:rPr>
      </w:pPr>
      <w:r w:rsidRPr="007E77A5">
        <w:rPr>
          <w:rFonts w:ascii="Arial" w:hAnsi="Arial" w:cs="Arial"/>
          <w:sz w:val="22"/>
          <w:szCs w:val="22"/>
        </w:rPr>
        <w:t>Employees may participate in financial literacy and retirement training programs offered by both St. Elizabeth Hospital and other resources that are available to them. Participation in structured seminars and reputable online financial education sites can help employees develop their understanding of financial management through various means of savings, investments, and retirement.</w:t>
      </w:r>
      <w:r>
        <w:rPr>
          <w:rFonts w:ascii="Arial" w:hAnsi="Arial" w:cs="Arial"/>
          <w:sz w:val="22"/>
          <w:szCs w:val="22"/>
        </w:rPr>
        <w:t xml:space="preserve"> </w:t>
      </w:r>
      <w:r w:rsidRPr="007E77A5">
        <w:rPr>
          <w:rFonts w:ascii="Arial" w:hAnsi="Arial" w:cs="Arial"/>
          <w:sz w:val="22"/>
          <w:szCs w:val="22"/>
        </w:rPr>
        <w:t>Employees are encouraged to monitor their amount of debt and allocate their income towards necessary expenses in order to assist them in staying away from going into debt. To further promote the creation of an adequate emergency reserve, employees are also encouraged to practice proper savings habits and maintain a sufficient amount of emergency money equal to at least six months of their earned income. This will increase the financial confidence and security of employees in the event of job loss.</w:t>
      </w:r>
      <w:r>
        <w:rPr>
          <w:rFonts w:ascii="Arial" w:hAnsi="Arial" w:cs="Arial"/>
          <w:sz w:val="22"/>
          <w:szCs w:val="22"/>
        </w:rPr>
        <w:t xml:space="preserve"> </w:t>
      </w:r>
      <w:r w:rsidRPr="007E77A5">
        <w:rPr>
          <w:rFonts w:ascii="Arial" w:hAnsi="Arial" w:cs="Arial"/>
          <w:sz w:val="22"/>
          <w:szCs w:val="22"/>
        </w:rPr>
        <w:t>Furthermore, it would provide great benefit to employees to seek guidance from a qualified financial advisor and to consider long term financial protection products such as life insurance. Investigating other potential incomes such as way of belonging to a co-op or using pooled investing could also aid in someone’s financial security or preparedness for retirement.</w:t>
      </w:r>
    </w:p>
    <w:p w14:paraId="4BBAF256" w14:textId="365AF6A0" w:rsidR="007E77A5" w:rsidRDefault="00C84D20" w:rsidP="007E77A5">
      <w:pPr>
        <w:spacing w:before="120" w:after="0" w:line="240" w:lineRule="auto"/>
        <w:jc w:val="both"/>
        <w:rPr>
          <w:rFonts w:ascii="Arial" w:hAnsi="Arial" w:cs="Arial"/>
          <w:sz w:val="22"/>
          <w:szCs w:val="22"/>
        </w:rPr>
      </w:pPr>
      <w:r w:rsidRPr="00C84D20">
        <w:rPr>
          <w:rFonts w:ascii="Arial" w:hAnsi="Arial" w:cs="Arial"/>
          <w:sz w:val="22"/>
          <w:szCs w:val="22"/>
        </w:rPr>
        <w:t xml:space="preserve">The administration of St. Elizabeth Hospital can help employees improve their planning for retirement by addressing the areas identified through this research as being weak. Employees rated Financial Training for Retirement Planning as the lowest training, showing that there is a need to deliver more financial education to employees about planning for retirement, savings, paying off debts, and learning about investments through training programs delivered in-house and regularly. Building partnerships with external </w:t>
      </w:r>
      <w:r w:rsidRPr="00C84D20">
        <w:rPr>
          <w:rFonts w:ascii="Arial" w:hAnsi="Arial" w:cs="Arial"/>
          <w:sz w:val="22"/>
          <w:szCs w:val="22"/>
        </w:rPr>
        <w:t>organizations</w:t>
      </w:r>
      <w:r w:rsidRPr="00C84D20">
        <w:rPr>
          <w:rFonts w:ascii="Arial" w:hAnsi="Arial" w:cs="Arial"/>
          <w:sz w:val="22"/>
          <w:szCs w:val="22"/>
        </w:rPr>
        <w:t xml:space="preserve"> including local government units (LGOs), the Department of Trade and Industry (DTI), and financial institutions may offer additional financial training opportunities to help with implementing the initiatives.</w:t>
      </w:r>
    </w:p>
    <w:p w14:paraId="72DCF400" w14:textId="0892959D" w:rsidR="007E77A5" w:rsidRDefault="00C84D20" w:rsidP="007E77A5">
      <w:pPr>
        <w:spacing w:before="120" w:after="0" w:line="240" w:lineRule="auto"/>
        <w:jc w:val="both"/>
        <w:rPr>
          <w:rFonts w:ascii="Arial" w:hAnsi="Arial" w:cs="Arial"/>
          <w:sz w:val="22"/>
          <w:szCs w:val="22"/>
        </w:rPr>
      </w:pPr>
      <w:r w:rsidRPr="00C84D20">
        <w:rPr>
          <w:rFonts w:ascii="Arial" w:hAnsi="Arial" w:cs="Arial"/>
          <w:sz w:val="22"/>
          <w:szCs w:val="22"/>
        </w:rPr>
        <w:t xml:space="preserve">Future researchers are encouraged to conduct additional studies at other hospitals or healthcare institutions to determine whether the same patterns exist in different settings. The current data collected from St. Elizabeth Hospital will serve as a baseline for gauging employee financial readiness at other healthcare environments. Additional variables should also be considered in the future. Specifically, research may consider the following future variables: financial stress; number of dependents; organizational support; and access to retirement benefits. Qualitative and/or mixed methods may provide deeper insights into </w:t>
      </w:r>
      <w:r w:rsidRPr="00C84D20">
        <w:rPr>
          <w:rFonts w:ascii="Arial" w:hAnsi="Arial" w:cs="Arial"/>
          <w:sz w:val="22"/>
          <w:szCs w:val="22"/>
        </w:rPr>
        <w:t>employees</w:t>
      </w:r>
      <w:r w:rsidRPr="00C84D20">
        <w:rPr>
          <w:rFonts w:ascii="Arial" w:hAnsi="Arial" w:cs="Arial"/>
          <w:sz w:val="22"/>
          <w:szCs w:val="22"/>
        </w:rPr>
        <w:t xml:space="preserve"> lived experiences and difficulties in preparing for retirement and exiting a job than quantitative methods alone.</w:t>
      </w:r>
    </w:p>
    <w:p w14:paraId="64368965" w14:textId="77777777" w:rsidR="00C84D20" w:rsidRDefault="00C84D20" w:rsidP="007E77A5">
      <w:pPr>
        <w:spacing w:before="120" w:after="0" w:line="240" w:lineRule="auto"/>
        <w:jc w:val="both"/>
        <w:rPr>
          <w:rFonts w:ascii="Arial" w:hAnsi="Arial" w:cs="Arial"/>
          <w:sz w:val="22"/>
          <w:szCs w:val="22"/>
        </w:rPr>
      </w:pPr>
    </w:p>
    <w:p w14:paraId="45F4E135" w14:textId="30A4FBB2" w:rsidR="00C84D20" w:rsidRDefault="00C84D20" w:rsidP="007E77A5">
      <w:pPr>
        <w:spacing w:before="120" w:after="0" w:line="240" w:lineRule="auto"/>
        <w:jc w:val="both"/>
        <w:rPr>
          <w:rFonts w:ascii="Arial" w:hAnsi="Arial" w:cs="Arial"/>
          <w:b/>
          <w:bCs/>
          <w:sz w:val="22"/>
          <w:szCs w:val="22"/>
        </w:rPr>
      </w:pPr>
      <w:r w:rsidRPr="00C84D20">
        <w:rPr>
          <w:rFonts w:ascii="Arial" w:hAnsi="Arial" w:cs="Arial"/>
          <w:b/>
          <w:bCs/>
          <w:sz w:val="22"/>
          <w:szCs w:val="22"/>
        </w:rPr>
        <w:t>References</w:t>
      </w:r>
    </w:p>
    <w:p w14:paraId="28B5DAAA"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Adetunji, A. J., &amp; Gumede, E. Z. (2025). “Financial Stability”: A nightmare for retired healthcare professionals in Southwestern Nigeria: An Interpretative phenomenology. </w:t>
      </w:r>
      <w:r w:rsidRPr="00C84D20">
        <w:rPr>
          <w:rFonts w:ascii="Arial" w:hAnsi="Arial" w:cs="Arial"/>
          <w:i/>
          <w:iCs/>
          <w:sz w:val="22"/>
          <w:szCs w:val="22"/>
        </w:rPr>
        <w:t>SAGE Open Nursing</w:t>
      </w:r>
      <w:r w:rsidRPr="00C84D20">
        <w:rPr>
          <w:rFonts w:ascii="Arial" w:hAnsi="Arial" w:cs="Arial"/>
          <w:sz w:val="22"/>
          <w:szCs w:val="22"/>
        </w:rPr>
        <w:t xml:space="preserve">, </w:t>
      </w:r>
      <w:r w:rsidRPr="00C84D20">
        <w:rPr>
          <w:rFonts w:ascii="Arial" w:hAnsi="Arial" w:cs="Arial"/>
          <w:i/>
          <w:iCs/>
          <w:sz w:val="22"/>
          <w:szCs w:val="22"/>
        </w:rPr>
        <w:t>11</w:t>
      </w:r>
      <w:r w:rsidRPr="00C84D20">
        <w:rPr>
          <w:rFonts w:ascii="Arial" w:hAnsi="Arial" w:cs="Arial"/>
          <w:sz w:val="22"/>
          <w:szCs w:val="22"/>
        </w:rPr>
        <w:t>, 23779608251350235. https://doi.org/10.1177/23779608251350235</w:t>
      </w:r>
    </w:p>
    <w:p w14:paraId="6392617B"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Ahamed, A. J., &amp; Limbu, Y. B. (2024). Retirement Planning: A moderated mediation model of cognitive beliefs, retirement planning attitude, and money availability. </w:t>
      </w:r>
      <w:r w:rsidRPr="00C84D20">
        <w:rPr>
          <w:rFonts w:ascii="Arial" w:hAnsi="Arial" w:cs="Arial"/>
          <w:i/>
          <w:iCs/>
          <w:sz w:val="22"/>
          <w:szCs w:val="22"/>
        </w:rPr>
        <w:t>Financial Services Review</w:t>
      </w:r>
      <w:r w:rsidRPr="00C84D20">
        <w:rPr>
          <w:rFonts w:ascii="Arial" w:hAnsi="Arial" w:cs="Arial"/>
          <w:sz w:val="22"/>
          <w:szCs w:val="22"/>
        </w:rPr>
        <w:t xml:space="preserve">, </w:t>
      </w:r>
      <w:r w:rsidRPr="00C84D20">
        <w:rPr>
          <w:rFonts w:ascii="Arial" w:hAnsi="Arial" w:cs="Arial"/>
          <w:i/>
          <w:iCs/>
          <w:sz w:val="22"/>
          <w:szCs w:val="22"/>
        </w:rPr>
        <w:t>32</w:t>
      </w:r>
      <w:r w:rsidRPr="00C84D20">
        <w:rPr>
          <w:rFonts w:ascii="Arial" w:hAnsi="Arial" w:cs="Arial"/>
          <w:sz w:val="22"/>
          <w:szCs w:val="22"/>
        </w:rPr>
        <w:t xml:space="preserve">(2), 77–93. </w:t>
      </w:r>
      <w:hyperlink r:id="rId8" w:history="1">
        <w:r w:rsidRPr="00C84D20">
          <w:rPr>
            <w:rStyle w:val="Hyperlink"/>
            <w:rFonts w:ascii="Arial" w:hAnsi="Arial" w:cs="Arial"/>
            <w:color w:val="auto"/>
            <w:sz w:val="22"/>
            <w:szCs w:val="22"/>
            <w:u w:val="none"/>
          </w:rPr>
          <w:t>https://doi.org/10.61190/fsr.v32i2.3555</w:t>
        </w:r>
      </w:hyperlink>
    </w:p>
    <w:p w14:paraId="01B28E98" w14:textId="77777777" w:rsidR="00C84D20" w:rsidRPr="00C84D20" w:rsidRDefault="00C84D20" w:rsidP="00C84D20">
      <w:pPr>
        <w:pStyle w:val="NormalWeb"/>
        <w:spacing w:before="0" w:beforeAutospacing="0" w:after="0" w:afterAutospacing="0"/>
        <w:ind w:left="720" w:hanging="720"/>
        <w:rPr>
          <w:rFonts w:ascii="Arial" w:hAnsi="Arial" w:cs="Arial"/>
          <w:sz w:val="22"/>
          <w:szCs w:val="22"/>
        </w:rPr>
      </w:pPr>
      <w:r w:rsidRPr="00C84D20">
        <w:rPr>
          <w:rFonts w:ascii="Arial" w:hAnsi="Arial" w:cs="Arial"/>
          <w:sz w:val="22"/>
          <w:szCs w:val="22"/>
        </w:rPr>
        <w:t xml:space="preserve">Ajzen, I. (1991). The theory of planned behavior. </w:t>
      </w:r>
      <w:r w:rsidRPr="00C84D20">
        <w:rPr>
          <w:rFonts w:ascii="Arial" w:hAnsi="Arial" w:cs="Arial"/>
          <w:i/>
          <w:iCs/>
          <w:sz w:val="22"/>
          <w:szCs w:val="22"/>
        </w:rPr>
        <w:t>Organizational Behavior and Human Decision Processes</w:t>
      </w:r>
      <w:r w:rsidRPr="00C84D20">
        <w:rPr>
          <w:rFonts w:ascii="Arial" w:hAnsi="Arial" w:cs="Arial"/>
          <w:sz w:val="22"/>
          <w:szCs w:val="22"/>
        </w:rPr>
        <w:t xml:space="preserve">, </w:t>
      </w:r>
      <w:r w:rsidRPr="00C84D20">
        <w:rPr>
          <w:rFonts w:ascii="Arial" w:hAnsi="Arial" w:cs="Arial"/>
          <w:i/>
          <w:iCs/>
          <w:sz w:val="22"/>
          <w:szCs w:val="22"/>
        </w:rPr>
        <w:t>50</w:t>
      </w:r>
      <w:r w:rsidRPr="00C84D20">
        <w:rPr>
          <w:rFonts w:ascii="Arial" w:hAnsi="Arial" w:cs="Arial"/>
          <w:sz w:val="22"/>
          <w:szCs w:val="22"/>
        </w:rPr>
        <w:t xml:space="preserve">(2), 179–211. </w:t>
      </w:r>
      <w:r w:rsidRPr="00C84D20">
        <w:rPr>
          <w:rStyle w:val="url"/>
          <w:rFonts w:ascii="Arial" w:hAnsi="Arial" w:cs="Arial"/>
          <w:sz w:val="22"/>
          <w:szCs w:val="22"/>
        </w:rPr>
        <w:t>https://doi.org/10.1016/0749-5978(91)90020-t</w:t>
      </w:r>
    </w:p>
    <w:p w14:paraId="3A1507B4"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Alarape</w:t>
      </w:r>
      <w:proofErr w:type="spellEnd"/>
      <w:r w:rsidRPr="00C84D20">
        <w:rPr>
          <w:rFonts w:ascii="Arial" w:hAnsi="Arial" w:cs="Arial"/>
          <w:sz w:val="22"/>
          <w:szCs w:val="22"/>
        </w:rPr>
        <w:t xml:space="preserve">, A. I., &amp; Obano, B. O. (2024). Influence of Perceived </w:t>
      </w:r>
      <w:proofErr w:type="spellStart"/>
      <w:r w:rsidRPr="00C84D20">
        <w:rPr>
          <w:rFonts w:ascii="Arial" w:hAnsi="Arial" w:cs="Arial"/>
          <w:sz w:val="22"/>
          <w:szCs w:val="22"/>
        </w:rPr>
        <w:t>Organisational</w:t>
      </w:r>
      <w:proofErr w:type="spellEnd"/>
      <w:r w:rsidRPr="00C84D20">
        <w:rPr>
          <w:rFonts w:ascii="Arial" w:hAnsi="Arial" w:cs="Arial"/>
          <w:sz w:val="22"/>
          <w:szCs w:val="22"/>
        </w:rPr>
        <w:t xml:space="preserve"> Support, Financial Strain and Psychological Wellbeing on Pre-retirement Anxiety among Employees Nearing Retirement. </w:t>
      </w:r>
      <w:r w:rsidRPr="00C84D20">
        <w:rPr>
          <w:rFonts w:ascii="Arial" w:hAnsi="Arial" w:cs="Arial"/>
          <w:i/>
          <w:iCs/>
          <w:sz w:val="22"/>
          <w:szCs w:val="22"/>
        </w:rPr>
        <w:t>IBADAN JOURNAL OF THE SOCIAL SCIENCES</w:t>
      </w:r>
      <w:r w:rsidRPr="00C84D20">
        <w:rPr>
          <w:rFonts w:ascii="Arial" w:hAnsi="Arial" w:cs="Arial"/>
          <w:sz w:val="22"/>
          <w:szCs w:val="22"/>
        </w:rPr>
        <w:t xml:space="preserve">, </w:t>
      </w:r>
      <w:r w:rsidRPr="00C84D20">
        <w:rPr>
          <w:rFonts w:ascii="Arial" w:hAnsi="Arial" w:cs="Arial"/>
          <w:i/>
          <w:iCs/>
          <w:sz w:val="22"/>
          <w:szCs w:val="22"/>
        </w:rPr>
        <w:t>22</w:t>
      </w:r>
      <w:r w:rsidRPr="00C84D20">
        <w:rPr>
          <w:rFonts w:ascii="Arial" w:hAnsi="Arial" w:cs="Arial"/>
          <w:sz w:val="22"/>
          <w:szCs w:val="22"/>
        </w:rPr>
        <w:t>(1). https://doi.org/10.36108/ijss/4202.22.0121</w:t>
      </w:r>
    </w:p>
    <w:p w14:paraId="53D55DDB"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Andres, M., </w:t>
      </w:r>
      <w:proofErr w:type="spellStart"/>
      <w:r w:rsidRPr="00C84D20">
        <w:rPr>
          <w:rFonts w:ascii="Arial" w:hAnsi="Arial" w:cs="Arial"/>
          <w:sz w:val="22"/>
          <w:szCs w:val="22"/>
        </w:rPr>
        <w:t>Tinguha</w:t>
      </w:r>
      <w:proofErr w:type="spellEnd"/>
      <w:r w:rsidRPr="00C84D20">
        <w:rPr>
          <w:rFonts w:ascii="Arial" w:hAnsi="Arial" w:cs="Arial"/>
          <w:sz w:val="22"/>
          <w:szCs w:val="22"/>
        </w:rPr>
        <w:t xml:space="preserve">, L., </w:t>
      </w:r>
      <w:proofErr w:type="spellStart"/>
      <w:r w:rsidRPr="00C84D20">
        <w:rPr>
          <w:rFonts w:ascii="Arial" w:hAnsi="Arial" w:cs="Arial"/>
          <w:sz w:val="22"/>
          <w:szCs w:val="22"/>
        </w:rPr>
        <w:t>Diputado</w:t>
      </w:r>
      <w:proofErr w:type="spellEnd"/>
      <w:r w:rsidRPr="00C84D20">
        <w:rPr>
          <w:rFonts w:ascii="Arial" w:hAnsi="Arial" w:cs="Arial"/>
          <w:sz w:val="22"/>
          <w:szCs w:val="22"/>
        </w:rPr>
        <w:t xml:space="preserve">, M. M., &amp; Ybañez, R. (2025). Bridging the Financial Gap: A Financial literacy model for Geriatrics in Negros Oriental. </w:t>
      </w:r>
      <w:r w:rsidRPr="00C84D20">
        <w:rPr>
          <w:rFonts w:ascii="Arial" w:hAnsi="Arial" w:cs="Arial"/>
          <w:i/>
          <w:iCs/>
          <w:sz w:val="22"/>
          <w:szCs w:val="22"/>
        </w:rPr>
        <w:t>Journal of Interdisciplinary Perspectives</w:t>
      </w:r>
      <w:r w:rsidRPr="00C84D20">
        <w:rPr>
          <w:rFonts w:ascii="Arial" w:hAnsi="Arial" w:cs="Arial"/>
          <w:sz w:val="22"/>
          <w:szCs w:val="22"/>
        </w:rPr>
        <w:t xml:space="preserve">, </w:t>
      </w:r>
      <w:r w:rsidRPr="00C84D20">
        <w:rPr>
          <w:rFonts w:ascii="Arial" w:hAnsi="Arial" w:cs="Arial"/>
          <w:i/>
          <w:iCs/>
          <w:sz w:val="22"/>
          <w:szCs w:val="22"/>
        </w:rPr>
        <w:t>3</w:t>
      </w:r>
      <w:r w:rsidRPr="00C84D20">
        <w:rPr>
          <w:rFonts w:ascii="Arial" w:hAnsi="Arial" w:cs="Arial"/>
          <w:sz w:val="22"/>
          <w:szCs w:val="22"/>
        </w:rPr>
        <w:t>(2). https://doi.org/10.69569/jip.2024.0653</w:t>
      </w:r>
    </w:p>
    <w:p w14:paraId="3B7E86C1"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Apostol, R. E., </w:t>
      </w:r>
      <w:proofErr w:type="spellStart"/>
      <w:r w:rsidRPr="00C84D20">
        <w:rPr>
          <w:rFonts w:ascii="Arial" w:hAnsi="Arial" w:cs="Arial"/>
          <w:sz w:val="22"/>
          <w:szCs w:val="22"/>
        </w:rPr>
        <w:t>Maitom</w:t>
      </w:r>
      <w:proofErr w:type="spellEnd"/>
      <w:r w:rsidRPr="00C84D20">
        <w:rPr>
          <w:rFonts w:ascii="Arial" w:hAnsi="Arial" w:cs="Arial"/>
          <w:sz w:val="22"/>
          <w:szCs w:val="22"/>
        </w:rPr>
        <w:t xml:space="preserve">, J. G., Manus, M. I., Ravelo, S. P., </w:t>
      </w:r>
      <w:proofErr w:type="spellStart"/>
      <w:r w:rsidRPr="00C84D20">
        <w:rPr>
          <w:rFonts w:ascii="Arial" w:hAnsi="Arial" w:cs="Arial"/>
          <w:sz w:val="22"/>
          <w:szCs w:val="22"/>
        </w:rPr>
        <w:t>Saligumba</w:t>
      </w:r>
      <w:proofErr w:type="spellEnd"/>
      <w:r w:rsidRPr="00C84D20">
        <w:rPr>
          <w:rFonts w:ascii="Arial" w:hAnsi="Arial" w:cs="Arial"/>
          <w:sz w:val="22"/>
          <w:szCs w:val="22"/>
        </w:rPr>
        <w:t xml:space="preserve">, J. K. C., &amp; </w:t>
      </w:r>
      <w:proofErr w:type="spellStart"/>
      <w:r w:rsidRPr="00C84D20">
        <w:rPr>
          <w:rFonts w:ascii="Arial" w:hAnsi="Arial" w:cs="Arial"/>
          <w:sz w:val="22"/>
          <w:szCs w:val="22"/>
        </w:rPr>
        <w:t>Susada</w:t>
      </w:r>
      <w:proofErr w:type="spellEnd"/>
      <w:r w:rsidRPr="00C84D20">
        <w:rPr>
          <w:rFonts w:ascii="Arial" w:hAnsi="Arial" w:cs="Arial"/>
          <w:sz w:val="22"/>
          <w:szCs w:val="22"/>
        </w:rPr>
        <w:t xml:space="preserve">, J. M. D. (2025). Financial Literacy and Retirement Preparedness among Government Employees: A Correlation Analysis. </w:t>
      </w:r>
      <w:r w:rsidRPr="00C84D20">
        <w:rPr>
          <w:rFonts w:ascii="Arial" w:hAnsi="Arial" w:cs="Arial"/>
          <w:i/>
          <w:iCs/>
          <w:sz w:val="22"/>
          <w:szCs w:val="22"/>
        </w:rPr>
        <w:t>Asian Journal of Education and Social Studies</w:t>
      </w:r>
      <w:r w:rsidRPr="00C84D20">
        <w:rPr>
          <w:rFonts w:ascii="Arial" w:hAnsi="Arial" w:cs="Arial"/>
          <w:sz w:val="22"/>
          <w:szCs w:val="22"/>
        </w:rPr>
        <w:t xml:space="preserve">, </w:t>
      </w:r>
      <w:r w:rsidRPr="00C84D20">
        <w:rPr>
          <w:rFonts w:ascii="Arial" w:hAnsi="Arial" w:cs="Arial"/>
          <w:i/>
          <w:iCs/>
          <w:sz w:val="22"/>
          <w:szCs w:val="22"/>
        </w:rPr>
        <w:t>51</w:t>
      </w:r>
      <w:r w:rsidRPr="00C84D20">
        <w:rPr>
          <w:rFonts w:ascii="Arial" w:hAnsi="Arial" w:cs="Arial"/>
          <w:sz w:val="22"/>
          <w:szCs w:val="22"/>
        </w:rPr>
        <w:t>(8), 683–698. https://doi.org/10.9734/ajess/2025/v51i82269</w:t>
      </w:r>
    </w:p>
    <w:p w14:paraId="00047F0C"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Asiones</w:t>
      </w:r>
      <w:proofErr w:type="spellEnd"/>
      <w:r w:rsidRPr="00C84D20">
        <w:rPr>
          <w:rFonts w:ascii="Arial" w:hAnsi="Arial" w:cs="Arial"/>
          <w:sz w:val="22"/>
          <w:szCs w:val="22"/>
        </w:rPr>
        <w:t xml:space="preserve">, N. (2023). Second Wind: Understanding How Academics from the Philippines Adjust to Retirement. </w:t>
      </w:r>
      <w:r w:rsidRPr="00C84D20">
        <w:rPr>
          <w:rFonts w:ascii="Arial" w:hAnsi="Arial" w:cs="Arial"/>
          <w:i/>
          <w:iCs/>
          <w:sz w:val="22"/>
          <w:szCs w:val="22"/>
        </w:rPr>
        <w:t>Scientia - the International Journal on the Liberal Arts</w:t>
      </w:r>
      <w:r w:rsidRPr="00C84D20">
        <w:rPr>
          <w:rFonts w:ascii="Arial" w:hAnsi="Arial" w:cs="Arial"/>
          <w:sz w:val="22"/>
          <w:szCs w:val="22"/>
        </w:rPr>
        <w:t xml:space="preserve">, </w:t>
      </w:r>
      <w:r w:rsidRPr="00C84D20">
        <w:rPr>
          <w:rFonts w:ascii="Arial" w:hAnsi="Arial" w:cs="Arial"/>
          <w:i/>
          <w:iCs/>
          <w:sz w:val="22"/>
          <w:szCs w:val="22"/>
        </w:rPr>
        <w:t>12</w:t>
      </w:r>
      <w:r w:rsidRPr="00C84D20">
        <w:rPr>
          <w:rFonts w:ascii="Arial" w:hAnsi="Arial" w:cs="Arial"/>
          <w:sz w:val="22"/>
          <w:szCs w:val="22"/>
        </w:rPr>
        <w:t xml:space="preserve">(1), 44–61. </w:t>
      </w:r>
      <w:hyperlink r:id="rId9" w:history="1">
        <w:r w:rsidRPr="00C84D20">
          <w:rPr>
            <w:rStyle w:val="Hyperlink"/>
            <w:rFonts w:ascii="Arial" w:hAnsi="Arial" w:cs="Arial"/>
            <w:color w:val="auto"/>
            <w:sz w:val="22"/>
            <w:szCs w:val="22"/>
            <w:u w:val="none"/>
          </w:rPr>
          <w:t>https://doi.org/10.57106/scientia.v12i1.146</w:t>
        </w:r>
      </w:hyperlink>
    </w:p>
    <w:p w14:paraId="478A962C"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lastRenderedPageBreak/>
        <w:t xml:space="preserve">Baguio, R. B., &amp; </w:t>
      </w:r>
      <w:proofErr w:type="spellStart"/>
      <w:r w:rsidRPr="00C84D20">
        <w:rPr>
          <w:rFonts w:ascii="Arial" w:hAnsi="Arial" w:cs="Arial"/>
          <w:sz w:val="22"/>
          <w:szCs w:val="22"/>
        </w:rPr>
        <w:t>Nemino</w:t>
      </w:r>
      <w:proofErr w:type="spellEnd"/>
      <w:r w:rsidRPr="00C84D20">
        <w:rPr>
          <w:rFonts w:ascii="Arial" w:hAnsi="Arial" w:cs="Arial"/>
          <w:sz w:val="22"/>
          <w:szCs w:val="22"/>
        </w:rPr>
        <w:t xml:space="preserve">, R. C. (2025). Retirement Readiness: A dual perspective on financial planning for private and public institution. </w:t>
      </w:r>
      <w:r w:rsidRPr="00C84D20">
        <w:rPr>
          <w:rFonts w:ascii="Arial" w:hAnsi="Arial" w:cs="Arial"/>
          <w:i/>
          <w:iCs/>
          <w:sz w:val="22"/>
          <w:szCs w:val="22"/>
        </w:rPr>
        <w:t>International Journal of Management Studies and Social Science Research</w:t>
      </w:r>
      <w:r w:rsidRPr="00C84D20">
        <w:rPr>
          <w:rFonts w:ascii="Arial" w:hAnsi="Arial" w:cs="Arial"/>
          <w:sz w:val="22"/>
          <w:szCs w:val="22"/>
        </w:rPr>
        <w:t xml:space="preserve">, </w:t>
      </w:r>
      <w:r w:rsidRPr="00C84D20">
        <w:rPr>
          <w:rFonts w:ascii="Arial" w:hAnsi="Arial" w:cs="Arial"/>
          <w:i/>
          <w:iCs/>
          <w:sz w:val="22"/>
          <w:szCs w:val="22"/>
        </w:rPr>
        <w:t>07</w:t>
      </w:r>
      <w:r w:rsidRPr="00C84D20">
        <w:rPr>
          <w:rFonts w:ascii="Arial" w:hAnsi="Arial" w:cs="Arial"/>
          <w:sz w:val="22"/>
          <w:szCs w:val="22"/>
        </w:rPr>
        <w:t>(02), 170–182. https://doi.org/10.56293/ijmsssr.2025.5522</w:t>
      </w:r>
    </w:p>
    <w:p w14:paraId="2AAFF346"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Brown, S. M. (2021). Debt and negative net worth among near retirees. </w:t>
      </w:r>
      <w:r w:rsidRPr="00C84D20">
        <w:rPr>
          <w:rFonts w:ascii="Arial" w:hAnsi="Arial" w:cs="Arial"/>
          <w:i/>
          <w:iCs/>
          <w:sz w:val="22"/>
          <w:szCs w:val="22"/>
        </w:rPr>
        <w:t>Nature Reviews. Cancer</w:t>
      </w:r>
      <w:r w:rsidRPr="00C84D20">
        <w:rPr>
          <w:rFonts w:ascii="Arial" w:hAnsi="Arial" w:cs="Arial"/>
          <w:sz w:val="22"/>
          <w:szCs w:val="22"/>
        </w:rPr>
        <w:t xml:space="preserve">, </w:t>
      </w:r>
      <w:r w:rsidRPr="00C84D20">
        <w:rPr>
          <w:rFonts w:ascii="Arial" w:hAnsi="Arial" w:cs="Arial"/>
          <w:i/>
          <w:iCs/>
          <w:sz w:val="22"/>
          <w:szCs w:val="22"/>
        </w:rPr>
        <w:t>20</w:t>
      </w:r>
      <w:r w:rsidRPr="00C84D20">
        <w:rPr>
          <w:rFonts w:ascii="Arial" w:hAnsi="Arial" w:cs="Arial"/>
          <w:sz w:val="22"/>
          <w:szCs w:val="22"/>
        </w:rPr>
        <w:t xml:space="preserve">(6), 299. </w:t>
      </w:r>
      <w:hyperlink r:id="rId10" w:history="1">
        <w:r w:rsidRPr="00C84D20">
          <w:rPr>
            <w:rStyle w:val="Hyperlink"/>
            <w:rFonts w:ascii="Arial" w:hAnsi="Arial" w:cs="Arial"/>
            <w:color w:val="auto"/>
            <w:sz w:val="22"/>
            <w:szCs w:val="22"/>
            <w:u w:val="none"/>
          </w:rPr>
          <w:t>https://doi.org/10.26076/77ca-3aa6</w:t>
        </w:r>
      </w:hyperlink>
    </w:p>
    <w:p w14:paraId="3B148B3D" w14:textId="77777777" w:rsidR="00C84D20" w:rsidRPr="00C84D20" w:rsidRDefault="00C84D20" w:rsidP="00C84D20">
      <w:pPr>
        <w:spacing w:after="0" w:line="240" w:lineRule="auto"/>
        <w:ind w:left="567" w:hanging="567"/>
        <w:rPr>
          <w:rFonts w:ascii="Arial" w:hAnsi="Arial" w:cs="Arial"/>
          <w:sz w:val="22"/>
          <w:szCs w:val="22"/>
        </w:rPr>
      </w:pPr>
      <w:r w:rsidRPr="00C84D20">
        <w:rPr>
          <w:rFonts w:ascii="Arial" w:hAnsi="Arial" w:cs="Arial"/>
          <w:sz w:val="22"/>
          <w:szCs w:val="22"/>
        </w:rPr>
        <w:t xml:space="preserve">Cameron, R., Ginsburg, H., Westhoff, M., &amp; Mendez, R. (2012). Ajzen’s Theory of Planned Behavior and Social Media Use. </w:t>
      </w:r>
      <w:r w:rsidRPr="00C84D20">
        <w:rPr>
          <w:rFonts w:ascii="Arial" w:hAnsi="Arial" w:cs="Arial"/>
          <w:i/>
          <w:iCs/>
          <w:sz w:val="22"/>
          <w:szCs w:val="22"/>
        </w:rPr>
        <w:t>AMERICAN JOURNAL OF PSYCHOLOGICAL RESEARCH</w:t>
      </w:r>
      <w:r w:rsidRPr="00C84D20">
        <w:rPr>
          <w:rFonts w:ascii="Arial" w:hAnsi="Arial" w:cs="Arial"/>
          <w:sz w:val="22"/>
          <w:szCs w:val="22"/>
        </w:rPr>
        <w:t>, 8(1).</w:t>
      </w:r>
    </w:p>
    <w:p w14:paraId="1E2E6F97"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Castillo, M. P., Mamaclay, A. G., Guevara, M. A., &amp; </w:t>
      </w:r>
      <w:proofErr w:type="spellStart"/>
      <w:r w:rsidRPr="00C84D20">
        <w:rPr>
          <w:rFonts w:ascii="Arial" w:hAnsi="Arial" w:cs="Arial"/>
          <w:sz w:val="22"/>
          <w:szCs w:val="22"/>
        </w:rPr>
        <w:t>Ayro</w:t>
      </w:r>
      <w:proofErr w:type="spellEnd"/>
      <w:r w:rsidRPr="00C84D20">
        <w:rPr>
          <w:rFonts w:ascii="Arial" w:hAnsi="Arial" w:cs="Arial"/>
          <w:sz w:val="22"/>
          <w:szCs w:val="22"/>
        </w:rPr>
        <w:t xml:space="preserve">, E. C. (2022). Retirement Planning: A Pre-Retirement Framework for employees of Wesleyan University-Philippines. </w:t>
      </w:r>
      <w:r w:rsidRPr="00C84D20">
        <w:rPr>
          <w:rFonts w:ascii="Arial" w:hAnsi="Arial" w:cs="Arial"/>
          <w:i/>
          <w:iCs/>
          <w:sz w:val="22"/>
          <w:szCs w:val="22"/>
        </w:rPr>
        <w:t>Studies in Social Science Research</w:t>
      </w:r>
      <w:r w:rsidRPr="00C84D20">
        <w:rPr>
          <w:rFonts w:ascii="Arial" w:hAnsi="Arial" w:cs="Arial"/>
          <w:sz w:val="22"/>
          <w:szCs w:val="22"/>
        </w:rPr>
        <w:t xml:space="preserve">, </w:t>
      </w:r>
      <w:r w:rsidRPr="00C84D20">
        <w:rPr>
          <w:rFonts w:ascii="Arial" w:hAnsi="Arial" w:cs="Arial"/>
          <w:i/>
          <w:iCs/>
          <w:sz w:val="22"/>
          <w:szCs w:val="22"/>
        </w:rPr>
        <w:t>3</w:t>
      </w:r>
      <w:r w:rsidRPr="00C84D20">
        <w:rPr>
          <w:rFonts w:ascii="Arial" w:hAnsi="Arial" w:cs="Arial"/>
          <w:sz w:val="22"/>
          <w:szCs w:val="22"/>
        </w:rPr>
        <w:t>(2), p32. https://doi.org/10.22158/sssr.v3n2p32</w:t>
      </w:r>
    </w:p>
    <w:p w14:paraId="767BB1D1"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Cherry, K. C. (2023, May 4). </w:t>
      </w:r>
      <w:r w:rsidRPr="00C84D20">
        <w:rPr>
          <w:rFonts w:ascii="Arial" w:hAnsi="Arial" w:cs="Arial"/>
          <w:i/>
          <w:iCs/>
          <w:sz w:val="22"/>
          <w:szCs w:val="22"/>
        </w:rPr>
        <w:t>Correlation studies in psychology research</w:t>
      </w:r>
      <w:r w:rsidRPr="00C84D20">
        <w:rPr>
          <w:rFonts w:ascii="Arial" w:hAnsi="Arial" w:cs="Arial"/>
          <w:sz w:val="22"/>
          <w:szCs w:val="22"/>
        </w:rPr>
        <w:t xml:space="preserve">. </w:t>
      </w:r>
      <w:proofErr w:type="spellStart"/>
      <w:r w:rsidRPr="00C84D20">
        <w:rPr>
          <w:rFonts w:ascii="Arial" w:hAnsi="Arial" w:cs="Arial"/>
          <w:sz w:val="22"/>
          <w:szCs w:val="22"/>
        </w:rPr>
        <w:t>Verywell</w:t>
      </w:r>
      <w:proofErr w:type="spellEnd"/>
      <w:r w:rsidRPr="00C84D20">
        <w:rPr>
          <w:rFonts w:ascii="Arial" w:hAnsi="Arial" w:cs="Arial"/>
          <w:sz w:val="22"/>
          <w:szCs w:val="22"/>
        </w:rPr>
        <w:t xml:space="preserve"> Mind. Retrieved December 15, 2024, from </w:t>
      </w:r>
      <w:hyperlink r:id="rId11" w:history="1">
        <w:r w:rsidRPr="00C84D20">
          <w:rPr>
            <w:rStyle w:val="Hyperlink"/>
            <w:rFonts w:ascii="Arial" w:hAnsi="Arial" w:cs="Arial"/>
            <w:color w:val="auto"/>
            <w:sz w:val="22"/>
            <w:szCs w:val="22"/>
            <w:u w:val="none"/>
          </w:rPr>
          <w:t>https://www.verywellmind.com/correlational-research-2795774</w:t>
        </w:r>
      </w:hyperlink>
    </w:p>
    <w:p w14:paraId="0261A773"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Christina. (2024, June 7). </w:t>
      </w:r>
      <w:r w:rsidRPr="00C84D20">
        <w:rPr>
          <w:rFonts w:ascii="Arial" w:hAnsi="Arial" w:cs="Arial"/>
          <w:i/>
          <w:iCs/>
          <w:sz w:val="22"/>
          <w:szCs w:val="22"/>
        </w:rPr>
        <w:t xml:space="preserve">Mastering the </w:t>
      </w:r>
      <w:proofErr w:type="gramStart"/>
      <w:r w:rsidRPr="00C84D20">
        <w:rPr>
          <w:rFonts w:ascii="Arial" w:hAnsi="Arial" w:cs="Arial"/>
          <w:i/>
          <w:iCs/>
          <w:sz w:val="22"/>
          <w:szCs w:val="22"/>
        </w:rPr>
        <w:t>5 point</w:t>
      </w:r>
      <w:proofErr w:type="gramEnd"/>
      <w:r w:rsidRPr="00C84D20">
        <w:rPr>
          <w:rFonts w:ascii="Arial" w:hAnsi="Arial" w:cs="Arial"/>
          <w:i/>
          <w:iCs/>
          <w:sz w:val="22"/>
          <w:szCs w:val="22"/>
        </w:rPr>
        <w:t xml:space="preserve"> Likert Scale (Matrix) for effective surveys</w:t>
      </w:r>
      <w:r w:rsidRPr="00C84D20">
        <w:rPr>
          <w:rFonts w:ascii="Arial" w:hAnsi="Arial" w:cs="Arial"/>
          <w:sz w:val="22"/>
          <w:szCs w:val="22"/>
        </w:rPr>
        <w:t xml:space="preserve">. </w:t>
      </w:r>
      <w:proofErr w:type="spellStart"/>
      <w:r w:rsidRPr="00C84D20">
        <w:rPr>
          <w:rFonts w:ascii="Arial" w:hAnsi="Arial" w:cs="Arial"/>
          <w:sz w:val="22"/>
          <w:szCs w:val="22"/>
        </w:rPr>
        <w:t>Retently</w:t>
      </w:r>
      <w:proofErr w:type="spellEnd"/>
      <w:r w:rsidRPr="00C84D20">
        <w:rPr>
          <w:rFonts w:ascii="Arial" w:hAnsi="Arial" w:cs="Arial"/>
          <w:sz w:val="22"/>
          <w:szCs w:val="22"/>
        </w:rPr>
        <w:t xml:space="preserve"> CX. </w:t>
      </w:r>
      <w:hyperlink r:id="rId12" w:history="1">
        <w:r w:rsidRPr="00C84D20">
          <w:rPr>
            <w:rStyle w:val="Hyperlink"/>
            <w:rFonts w:ascii="Arial" w:hAnsi="Arial" w:cs="Arial"/>
            <w:color w:val="auto"/>
            <w:sz w:val="22"/>
            <w:szCs w:val="22"/>
            <w:u w:val="none"/>
          </w:rPr>
          <w:t>https://www.retently.com/blog/5-point-likert-scale/</w:t>
        </w:r>
      </w:hyperlink>
    </w:p>
    <w:p w14:paraId="77619874"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Ciputra, K., &amp; Syah, T. Y. R. (2025). PERSIAPAN PENSIUN KARYAWAN SWASTA RETAIL MELALUI PENINGKATAN LITERASI FINANSIAL, NIAT DAN PERILAKU MENABUNG. </w:t>
      </w:r>
      <w:r w:rsidRPr="00C84D20">
        <w:rPr>
          <w:rFonts w:ascii="Arial" w:hAnsi="Arial" w:cs="Arial"/>
          <w:i/>
          <w:iCs/>
          <w:sz w:val="22"/>
          <w:szCs w:val="22"/>
        </w:rPr>
        <w:t>JURNAL LENTERA BISNIS</w:t>
      </w:r>
      <w:r w:rsidRPr="00C84D20">
        <w:rPr>
          <w:rFonts w:ascii="Arial" w:hAnsi="Arial" w:cs="Arial"/>
          <w:sz w:val="22"/>
          <w:szCs w:val="22"/>
        </w:rPr>
        <w:t xml:space="preserve">, </w:t>
      </w:r>
      <w:r w:rsidRPr="00C84D20">
        <w:rPr>
          <w:rFonts w:ascii="Arial" w:hAnsi="Arial" w:cs="Arial"/>
          <w:i/>
          <w:iCs/>
          <w:sz w:val="22"/>
          <w:szCs w:val="22"/>
        </w:rPr>
        <w:t>14</w:t>
      </w:r>
      <w:r w:rsidRPr="00C84D20">
        <w:rPr>
          <w:rFonts w:ascii="Arial" w:hAnsi="Arial" w:cs="Arial"/>
          <w:sz w:val="22"/>
          <w:szCs w:val="22"/>
        </w:rPr>
        <w:t>(3), 2952–2967. https://doi.org/10.34127/jrlab.v14i3.1636</w:t>
      </w:r>
    </w:p>
    <w:p w14:paraId="76228463"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Clark, R. L. (2023). Effectiveness of employer-provided financial education programs. </w:t>
      </w:r>
      <w:r w:rsidRPr="00C84D20">
        <w:rPr>
          <w:rFonts w:ascii="Arial" w:hAnsi="Arial" w:cs="Arial"/>
          <w:i/>
          <w:iCs/>
          <w:sz w:val="22"/>
          <w:szCs w:val="22"/>
        </w:rPr>
        <w:t>Journal of Financial Literacy and Wellbeing</w:t>
      </w:r>
      <w:r w:rsidRPr="00C84D20">
        <w:rPr>
          <w:rFonts w:ascii="Arial" w:hAnsi="Arial" w:cs="Arial"/>
          <w:sz w:val="22"/>
          <w:szCs w:val="22"/>
        </w:rPr>
        <w:t xml:space="preserve">, </w:t>
      </w:r>
      <w:r w:rsidRPr="00C84D20">
        <w:rPr>
          <w:rFonts w:ascii="Arial" w:hAnsi="Arial" w:cs="Arial"/>
          <w:i/>
          <w:iCs/>
          <w:sz w:val="22"/>
          <w:szCs w:val="22"/>
        </w:rPr>
        <w:t>1</w:t>
      </w:r>
      <w:r w:rsidRPr="00C84D20">
        <w:rPr>
          <w:rFonts w:ascii="Arial" w:hAnsi="Arial" w:cs="Arial"/>
          <w:sz w:val="22"/>
          <w:szCs w:val="22"/>
        </w:rPr>
        <w:t>(1), 154–168. https://doi.org/10.1017/flw.2023.1</w:t>
      </w:r>
    </w:p>
    <w:p w14:paraId="253DD09D"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Curtis, E. A., Comiskey, C., &amp; Dempsey, O. (2016). Importance and use of correlational research. </w:t>
      </w:r>
      <w:r w:rsidRPr="00C84D20">
        <w:rPr>
          <w:rFonts w:ascii="Arial" w:hAnsi="Arial" w:cs="Arial"/>
          <w:i/>
          <w:iCs/>
          <w:sz w:val="22"/>
          <w:szCs w:val="22"/>
        </w:rPr>
        <w:t>Nurse Researcher</w:t>
      </w:r>
      <w:r w:rsidRPr="00C84D20">
        <w:rPr>
          <w:rFonts w:ascii="Arial" w:hAnsi="Arial" w:cs="Arial"/>
          <w:sz w:val="22"/>
          <w:szCs w:val="22"/>
        </w:rPr>
        <w:t xml:space="preserve">, </w:t>
      </w:r>
      <w:r w:rsidRPr="00C84D20">
        <w:rPr>
          <w:rFonts w:ascii="Arial" w:hAnsi="Arial" w:cs="Arial"/>
          <w:i/>
          <w:iCs/>
          <w:sz w:val="22"/>
          <w:szCs w:val="22"/>
        </w:rPr>
        <w:t>23</w:t>
      </w:r>
      <w:r w:rsidRPr="00C84D20">
        <w:rPr>
          <w:rFonts w:ascii="Arial" w:hAnsi="Arial" w:cs="Arial"/>
          <w:sz w:val="22"/>
          <w:szCs w:val="22"/>
        </w:rPr>
        <w:t xml:space="preserve">(6), 20–25. </w:t>
      </w:r>
      <w:hyperlink r:id="rId13" w:history="1">
        <w:r w:rsidRPr="00C84D20">
          <w:rPr>
            <w:rStyle w:val="Hyperlink"/>
            <w:rFonts w:ascii="Arial" w:hAnsi="Arial" w:cs="Arial"/>
            <w:color w:val="auto"/>
            <w:sz w:val="22"/>
            <w:szCs w:val="22"/>
            <w:u w:val="none"/>
          </w:rPr>
          <w:t>https://doi.org/10.7748/nr.2016.e1382</w:t>
        </w:r>
      </w:hyperlink>
    </w:p>
    <w:p w14:paraId="4F78DA3F"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Dingemans, E., &amp; </w:t>
      </w:r>
      <w:proofErr w:type="spellStart"/>
      <w:r w:rsidRPr="00C84D20">
        <w:rPr>
          <w:rFonts w:ascii="Arial" w:hAnsi="Arial" w:cs="Arial"/>
          <w:sz w:val="22"/>
          <w:szCs w:val="22"/>
        </w:rPr>
        <w:t>Henkens</w:t>
      </w:r>
      <w:proofErr w:type="spellEnd"/>
      <w:r w:rsidRPr="00C84D20">
        <w:rPr>
          <w:rFonts w:ascii="Arial" w:hAnsi="Arial" w:cs="Arial"/>
          <w:sz w:val="22"/>
          <w:szCs w:val="22"/>
        </w:rPr>
        <w:t xml:space="preserve">, K. (2019). Working after Retirement and Life Satisfaction: Cross-National Comparative Research in Europe. </w:t>
      </w:r>
      <w:r w:rsidRPr="00C84D20">
        <w:rPr>
          <w:rFonts w:ascii="Arial" w:hAnsi="Arial" w:cs="Arial"/>
          <w:i/>
          <w:iCs/>
          <w:sz w:val="22"/>
          <w:szCs w:val="22"/>
        </w:rPr>
        <w:t>Research on Aging</w:t>
      </w:r>
      <w:r w:rsidRPr="00C84D20">
        <w:rPr>
          <w:rFonts w:ascii="Arial" w:hAnsi="Arial" w:cs="Arial"/>
          <w:sz w:val="22"/>
          <w:szCs w:val="22"/>
        </w:rPr>
        <w:t xml:space="preserve">, </w:t>
      </w:r>
      <w:r w:rsidRPr="00C84D20">
        <w:rPr>
          <w:rFonts w:ascii="Arial" w:hAnsi="Arial" w:cs="Arial"/>
          <w:i/>
          <w:iCs/>
          <w:sz w:val="22"/>
          <w:szCs w:val="22"/>
        </w:rPr>
        <w:t>41</w:t>
      </w:r>
      <w:r w:rsidRPr="00C84D20">
        <w:rPr>
          <w:rFonts w:ascii="Arial" w:hAnsi="Arial" w:cs="Arial"/>
          <w:sz w:val="22"/>
          <w:szCs w:val="22"/>
        </w:rPr>
        <w:t xml:space="preserve">(7), 648–669. </w:t>
      </w:r>
      <w:hyperlink r:id="rId14" w:history="1">
        <w:r w:rsidRPr="00C84D20">
          <w:rPr>
            <w:rStyle w:val="Hyperlink"/>
            <w:rFonts w:ascii="Arial" w:hAnsi="Arial" w:cs="Arial"/>
            <w:color w:val="auto"/>
            <w:sz w:val="22"/>
            <w:szCs w:val="22"/>
            <w:u w:val="none"/>
          </w:rPr>
          <w:t>https://doi.org/10.1177/0164027519830610</w:t>
        </w:r>
      </w:hyperlink>
    </w:p>
    <w:p w14:paraId="6A597A1A"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Drobysheva</w:t>
      </w:r>
      <w:proofErr w:type="spellEnd"/>
      <w:r w:rsidRPr="00C84D20">
        <w:rPr>
          <w:rFonts w:ascii="Arial" w:hAnsi="Arial" w:cs="Arial"/>
          <w:sz w:val="22"/>
          <w:szCs w:val="22"/>
        </w:rPr>
        <w:t xml:space="preserve">, T., Tarasov, S., &amp; Larionov, I. (2025). Economic-psychological maturity as predictor of pre-retirement planning: psychometric check of the model. </w:t>
      </w:r>
      <w:r w:rsidRPr="00C84D20">
        <w:rPr>
          <w:rFonts w:ascii="Arial" w:hAnsi="Arial" w:cs="Arial"/>
          <w:i/>
          <w:iCs/>
          <w:sz w:val="22"/>
          <w:szCs w:val="22"/>
        </w:rPr>
        <w:t>Experimental Psychology (Russia)</w:t>
      </w:r>
      <w:r w:rsidRPr="00C84D20">
        <w:rPr>
          <w:rFonts w:ascii="Arial" w:hAnsi="Arial" w:cs="Arial"/>
          <w:sz w:val="22"/>
          <w:szCs w:val="22"/>
        </w:rPr>
        <w:t xml:space="preserve">, </w:t>
      </w:r>
      <w:r w:rsidRPr="00C84D20">
        <w:rPr>
          <w:rFonts w:ascii="Arial" w:hAnsi="Arial" w:cs="Arial"/>
          <w:i/>
          <w:iCs/>
          <w:sz w:val="22"/>
          <w:szCs w:val="22"/>
        </w:rPr>
        <w:t>18</w:t>
      </w:r>
      <w:r w:rsidRPr="00C84D20">
        <w:rPr>
          <w:rFonts w:ascii="Arial" w:hAnsi="Arial" w:cs="Arial"/>
          <w:sz w:val="22"/>
          <w:szCs w:val="22"/>
        </w:rPr>
        <w:t>(3), 150–165. https://doi.org/10.17759/exppsy.2025180310</w:t>
      </w:r>
    </w:p>
    <w:p w14:paraId="05AE21C6"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Eberhardt, W., Post, T., </w:t>
      </w:r>
      <w:proofErr w:type="spellStart"/>
      <w:r w:rsidRPr="00C84D20">
        <w:rPr>
          <w:rFonts w:ascii="Arial" w:hAnsi="Arial" w:cs="Arial"/>
          <w:sz w:val="22"/>
          <w:szCs w:val="22"/>
        </w:rPr>
        <w:t>Hoet</w:t>
      </w:r>
      <w:proofErr w:type="spellEnd"/>
      <w:r w:rsidRPr="00C84D20">
        <w:rPr>
          <w:rFonts w:ascii="Arial" w:hAnsi="Arial" w:cs="Arial"/>
          <w:sz w:val="22"/>
          <w:szCs w:val="22"/>
        </w:rPr>
        <w:t xml:space="preserve">, C., &amp; Brüggen, E. (2022). Exploring the first steps of retirement engagement: a conceptual model and field evidence. </w:t>
      </w:r>
      <w:r w:rsidRPr="00C84D20">
        <w:rPr>
          <w:rFonts w:ascii="Arial" w:hAnsi="Arial" w:cs="Arial"/>
          <w:i/>
          <w:iCs/>
          <w:sz w:val="22"/>
          <w:szCs w:val="22"/>
        </w:rPr>
        <w:t>Journal of Service Management</w:t>
      </w:r>
      <w:r w:rsidRPr="00C84D20">
        <w:rPr>
          <w:rFonts w:ascii="Arial" w:hAnsi="Arial" w:cs="Arial"/>
          <w:sz w:val="22"/>
          <w:szCs w:val="22"/>
        </w:rPr>
        <w:t xml:space="preserve">, </w:t>
      </w:r>
      <w:r w:rsidRPr="00C84D20">
        <w:rPr>
          <w:rFonts w:ascii="Arial" w:hAnsi="Arial" w:cs="Arial"/>
          <w:i/>
          <w:iCs/>
          <w:sz w:val="22"/>
          <w:szCs w:val="22"/>
        </w:rPr>
        <w:t>33</w:t>
      </w:r>
      <w:r w:rsidRPr="00C84D20">
        <w:rPr>
          <w:rFonts w:ascii="Arial" w:hAnsi="Arial" w:cs="Arial"/>
          <w:sz w:val="22"/>
          <w:szCs w:val="22"/>
        </w:rPr>
        <w:t>(6), 1–26. https://doi.org/10.1108/josm-11-2020-0402</w:t>
      </w:r>
    </w:p>
    <w:p w14:paraId="045252BE"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Egbeh</w:t>
      </w:r>
      <w:proofErr w:type="spellEnd"/>
      <w:r w:rsidRPr="00C84D20">
        <w:rPr>
          <w:rFonts w:ascii="Arial" w:hAnsi="Arial" w:cs="Arial"/>
          <w:sz w:val="22"/>
          <w:szCs w:val="22"/>
        </w:rPr>
        <w:t xml:space="preserve">, F. N., </w:t>
      </w:r>
      <w:proofErr w:type="spellStart"/>
      <w:r w:rsidRPr="00C84D20">
        <w:rPr>
          <w:rFonts w:ascii="Arial" w:hAnsi="Arial" w:cs="Arial"/>
          <w:sz w:val="22"/>
          <w:szCs w:val="22"/>
        </w:rPr>
        <w:t>Adekalu</w:t>
      </w:r>
      <w:proofErr w:type="spellEnd"/>
      <w:r w:rsidRPr="00C84D20">
        <w:rPr>
          <w:rFonts w:ascii="Arial" w:hAnsi="Arial" w:cs="Arial"/>
          <w:sz w:val="22"/>
          <w:szCs w:val="22"/>
        </w:rPr>
        <w:t xml:space="preserve">, S. O., Emaimo, J., Sada, S. M., Owoeye, S. M., </w:t>
      </w:r>
      <w:proofErr w:type="spellStart"/>
      <w:r w:rsidRPr="00C84D20">
        <w:rPr>
          <w:rFonts w:ascii="Arial" w:hAnsi="Arial" w:cs="Arial"/>
          <w:sz w:val="22"/>
          <w:szCs w:val="22"/>
        </w:rPr>
        <w:t>Atere</w:t>
      </w:r>
      <w:proofErr w:type="spellEnd"/>
      <w:r w:rsidRPr="00C84D20">
        <w:rPr>
          <w:rFonts w:ascii="Arial" w:hAnsi="Arial" w:cs="Arial"/>
          <w:sz w:val="22"/>
          <w:szCs w:val="22"/>
        </w:rPr>
        <w:t xml:space="preserve">, A. O., &amp; Umah, D. N. (2025). Demographic Factors and Retirement Success: A Conceptual review. </w:t>
      </w:r>
      <w:r w:rsidRPr="00C84D20">
        <w:rPr>
          <w:rFonts w:ascii="Arial" w:hAnsi="Arial" w:cs="Arial"/>
          <w:i/>
          <w:iCs/>
          <w:sz w:val="22"/>
          <w:szCs w:val="22"/>
        </w:rPr>
        <w:t>International Journal of Academic Research in Economics and Management Sciences</w:t>
      </w:r>
      <w:r w:rsidRPr="00C84D20">
        <w:rPr>
          <w:rFonts w:ascii="Arial" w:hAnsi="Arial" w:cs="Arial"/>
          <w:sz w:val="22"/>
          <w:szCs w:val="22"/>
        </w:rPr>
        <w:t xml:space="preserve">, </w:t>
      </w:r>
      <w:r w:rsidRPr="00C84D20">
        <w:rPr>
          <w:rFonts w:ascii="Arial" w:hAnsi="Arial" w:cs="Arial"/>
          <w:i/>
          <w:iCs/>
          <w:sz w:val="22"/>
          <w:szCs w:val="22"/>
        </w:rPr>
        <w:t>14</w:t>
      </w:r>
      <w:r w:rsidRPr="00C84D20">
        <w:rPr>
          <w:rFonts w:ascii="Arial" w:hAnsi="Arial" w:cs="Arial"/>
          <w:sz w:val="22"/>
          <w:szCs w:val="22"/>
        </w:rPr>
        <w:t>(2). https://doi.org/10.6007/ijarems/v14-i2/25230</w:t>
      </w:r>
    </w:p>
    <w:p w14:paraId="653D0422"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Fabian, M., Charles, E., Robina, M., &amp; Eton, M. (2022). Influence of demographic factors on retirement planning and Socio-Economic status of civil servants in Uganda. </w:t>
      </w:r>
      <w:r w:rsidRPr="00C84D20">
        <w:rPr>
          <w:rFonts w:ascii="Arial" w:hAnsi="Arial" w:cs="Arial"/>
          <w:i/>
          <w:iCs/>
          <w:sz w:val="22"/>
          <w:szCs w:val="22"/>
        </w:rPr>
        <w:t>Society &amp; Sustainability</w:t>
      </w:r>
      <w:r w:rsidRPr="00C84D20">
        <w:rPr>
          <w:rFonts w:ascii="Arial" w:hAnsi="Arial" w:cs="Arial"/>
          <w:sz w:val="22"/>
          <w:szCs w:val="22"/>
        </w:rPr>
        <w:t xml:space="preserve">, </w:t>
      </w:r>
      <w:r w:rsidRPr="00C84D20">
        <w:rPr>
          <w:rFonts w:ascii="Arial" w:hAnsi="Arial" w:cs="Arial"/>
          <w:i/>
          <w:iCs/>
          <w:sz w:val="22"/>
          <w:szCs w:val="22"/>
        </w:rPr>
        <w:t>4</w:t>
      </w:r>
      <w:r w:rsidRPr="00C84D20">
        <w:rPr>
          <w:rFonts w:ascii="Arial" w:hAnsi="Arial" w:cs="Arial"/>
          <w:sz w:val="22"/>
          <w:szCs w:val="22"/>
        </w:rPr>
        <w:t>(2), 9–20. https://doi.org/10.38157/ss.v4i2.465</w:t>
      </w:r>
    </w:p>
    <w:p w14:paraId="70D486A2"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Faghihi, M., Farshad, A., Salehi, N., Whitehead, D., </w:t>
      </w:r>
      <w:proofErr w:type="spellStart"/>
      <w:r w:rsidRPr="00C84D20">
        <w:rPr>
          <w:rFonts w:ascii="Arial" w:hAnsi="Arial" w:cs="Arial"/>
          <w:sz w:val="22"/>
          <w:szCs w:val="22"/>
        </w:rPr>
        <w:t>Ghayen</w:t>
      </w:r>
      <w:proofErr w:type="spellEnd"/>
      <w:r w:rsidRPr="00C84D20">
        <w:rPr>
          <w:rFonts w:ascii="Arial" w:hAnsi="Arial" w:cs="Arial"/>
          <w:sz w:val="22"/>
          <w:szCs w:val="22"/>
        </w:rPr>
        <w:t xml:space="preserve">, M. M., Izadi, B., &amp; Mansourian, M. (2024). Exploring drivers of women’s well-being in hospitals: mapping the landscape. </w:t>
      </w:r>
      <w:r w:rsidRPr="00C84D20">
        <w:rPr>
          <w:rFonts w:ascii="Arial" w:hAnsi="Arial" w:cs="Arial"/>
          <w:i/>
          <w:iCs/>
          <w:sz w:val="22"/>
          <w:szCs w:val="22"/>
        </w:rPr>
        <w:t>BMC Women S Health</w:t>
      </w:r>
      <w:r w:rsidRPr="00C84D20">
        <w:rPr>
          <w:rFonts w:ascii="Arial" w:hAnsi="Arial" w:cs="Arial"/>
          <w:sz w:val="22"/>
          <w:szCs w:val="22"/>
        </w:rPr>
        <w:t xml:space="preserve">, </w:t>
      </w:r>
      <w:r w:rsidRPr="00C84D20">
        <w:rPr>
          <w:rFonts w:ascii="Arial" w:hAnsi="Arial" w:cs="Arial"/>
          <w:i/>
          <w:iCs/>
          <w:sz w:val="22"/>
          <w:szCs w:val="22"/>
        </w:rPr>
        <w:t>24</w:t>
      </w:r>
      <w:r w:rsidRPr="00C84D20">
        <w:rPr>
          <w:rFonts w:ascii="Arial" w:hAnsi="Arial" w:cs="Arial"/>
          <w:sz w:val="22"/>
          <w:szCs w:val="22"/>
        </w:rPr>
        <w:t>(1), 355. https://doi.org/10.1186/s12905-024-03123-x</w:t>
      </w:r>
    </w:p>
    <w:p w14:paraId="243DDF7A"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Flores, R. R. B., De Leon, J. C. B., De Guzman, G. R., </w:t>
      </w:r>
      <w:proofErr w:type="spellStart"/>
      <w:r w:rsidRPr="00C84D20">
        <w:rPr>
          <w:rFonts w:ascii="Arial" w:hAnsi="Arial" w:cs="Arial"/>
          <w:sz w:val="22"/>
          <w:szCs w:val="22"/>
        </w:rPr>
        <w:t>Culaton</w:t>
      </w:r>
      <w:proofErr w:type="spellEnd"/>
      <w:r w:rsidRPr="00C84D20">
        <w:rPr>
          <w:rFonts w:ascii="Arial" w:hAnsi="Arial" w:cs="Arial"/>
          <w:sz w:val="22"/>
          <w:szCs w:val="22"/>
        </w:rPr>
        <w:t xml:space="preserve">, A. V. B., &amp; Marcelo, J. S. (2025). Financial literacy and retirement planning intention in the Philippines. </w:t>
      </w:r>
      <w:r w:rsidRPr="00C84D20">
        <w:rPr>
          <w:rFonts w:ascii="Arial" w:hAnsi="Arial" w:cs="Arial"/>
          <w:i/>
          <w:iCs/>
          <w:sz w:val="22"/>
          <w:szCs w:val="22"/>
        </w:rPr>
        <w:t>Cognizance Journal of Multidisciplinary Studies</w:t>
      </w:r>
      <w:r w:rsidRPr="00C84D20">
        <w:rPr>
          <w:rFonts w:ascii="Arial" w:hAnsi="Arial" w:cs="Arial"/>
          <w:sz w:val="22"/>
          <w:szCs w:val="22"/>
        </w:rPr>
        <w:t xml:space="preserve">, 5(4), 1–10. </w:t>
      </w:r>
      <w:hyperlink r:id="rId15" w:history="1">
        <w:r w:rsidRPr="00C84D20">
          <w:rPr>
            <w:rStyle w:val="Hyperlink"/>
            <w:rFonts w:ascii="Arial" w:hAnsi="Arial" w:cs="Arial"/>
            <w:color w:val="auto"/>
            <w:sz w:val="22"/>
            <w:szCs w:val="22"/>
            <w:u w:val="none"/>
          </w:rPr>
          <w:t>https://doi.org/10.47760/cognizance.2025.v05i04.001</w:t>
        </w:r>
      </w:hyperlink>
    </w:p>
    <w:p w14:paraId="74B31113"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Frank, D., Singh, R. R., &amp; G, V. B. (2023). Relevance of employee saving attitude towards retirement planning and satisfaction. </w:t>
      </w:r>
      <w:r w:rsidRPr="00C84D20">
        <w:rPr>
          <w:rFonts w:ascii="Arial" w:hAnsi="Arial" w:cs="Arial"/>
          <w:i/>
          <w:iCs/>
          <w:sz w:val="22"/>
          <w:szCs w:val="22"/>
        </w:rPr>
        <w:t>International Journal of Professional Business Review</w:t>
      </w:r>
      <w:r w:rsidRPr="00C84D20">
        <w:rPr>
          <w:rFonts w:ascii="Arial" w:hAnsi="Arial" w:cs="Arial"/>
          <w:sz w:val="22"/>
          <w:szCs w:val="22"/>
        </w:rPr>
        <w:t xml:space="preserve">, </w:t>
      </w:r>
      <w:r w:rsidRPr="00C84D20">
        <w:rPr>
          <w:rFonts w:ascii="Arial" w:hAnsi="Arial" w:cs="Arial"/>
          <w:i/>
          <w:iCs/>
          <w:sz w:val="22"/>
          <w:szCs w:val="22"/>
        </w:rPr>
        <w:t>8</w:t>
      </w:r>
      <w:r w:rsidRPr="00C84D20">
        <w:rPr>
          <w:rFonts w:ascii="Arial" w:hAnsi="Arial" w:cs="Arial"/>
          <w:sz w:val="22"/>
          <w:szCs w:val="22"/>
        </w:rPr>
        <w:t>(5), e01290. https://doi.org/10.26668/businessreview/2023.v8i5.1290</w:t>
      </w:r>
    </w:p>
    <w:p w14:paraId="14A30A3B"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Galorio</w:t>
      </w:r>
      <w:proofErr w:type="spellEnd"/>
      <w:r w:rsidRPr="00C84D20">
        <w:rPr>
          <w:rFonts w:ascii="Arial" w:hAnsi="Arial" w:cs="Arial"/>
          <w:sz w:val="22"/>
          <w:szCs w:val="22"/>
        </w:rPr>
        <w:t xml:space="preserve">, C. G., &amp; </w:t>
      </w:r>
      <w:proofErr w:type="spellStart"/>
      <w:r w:rsidRPr="00C84D20">
        <w:rPr>
          <w:rFonts w:ascii="Arial" w:hAnsi="Arial" w:cs="Arial"/>
          <w:sz w:val="22"/>
          <w:szCs w:val="22"/>
        </w:rPr>
        <w:t>Quibra</w:t>
      </w:r>
      <w:proofErr w:type="spellEnd"/>
      <w:r w:rsidRPr="00C84D20">
        <w:rPr>
          <w:rFonts w:ascii="Arial" w:hAnsi="Arial" w:cs="Arial"/>
          <w:sz w:val="22"/>
          <w:szCs w:val="22"/>
        </w:rPr>
        <w:t xml:space="preserve">, R. K. (2026). Retirement Readiness: A plan for government teaching employees. </w:t>
      </w:r>
      <w:r w:rsidRPr="00C84D20">
        <w:rPr>
          <w:rFonts w:ascii="Arial" w:hAnsi="Arial" w:cs="Arial"/>
          <w:i/>
          <w:iCs/>
          <w:sz w:val="22"/>
          <w:szCs w:val="22"/>
        </w:rPr>
        <w:t>Cognizance Journal of Multidisciplinary Studies</w:t>
      </w:r>
      <w:r w:rsidRPr="00C84D20">
        <w:rPr>
          <w:rFonts w:ascii="Arial" w:hAnsi="Arial" w:cs="Arial"/>
          <w:sz w:val="22"/>
          <w:szCs w:val="22"/>
        </w:rPr>
        <w:t xml:space="preserve">, </w:t>
      </w:r>
      <w:r w:rsidRPr="00C84D20">
        <w:rPr>
          <w:rFonts w:ascii="Arial" w:hAnsi="Arial" w:cs="Arial"/>
          <w:i/>
          <w:iCs/>
          <w:sz w:val="22"/>
          <w:szCs w:val="22"/>
        </w:rPr>
        <w:t>6</w:t>
      </w:r>
      <w:r w:rsidRPr="00C84D20">
        <w:rPr>
          <w:rFonts w:ascii="Arial" w:hAnsi="Arial" w:cs="Arial"/>
          <w:sz w:val="22"/>
          <w:szCs w:val="22"/>
        </w:rPr>
        <w:t>(1), 187–195. https://doi.org/10.47760/cognizance.2026.v06i01.015</w:t>
      </w:r>
    </w:p>
    <w:p w14:paraId="4DCC2484"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Ganguly, A., &amp; Prakash, P. (2023). Investment and Retirement Planning – A Conceptual analysis. </w:t>
      </w:r>
      <w:r w:rsidRPr="00C84D20">
        <w:rPr>
          <w:rFonts w:ascii="Arial" w:hAnsi="Arial" w:cs="Arial"/>
          <w:i/>
          <w:iCs/>
          <w:sz w:val="22"/>
          <w:szCs w:val="22"/>
        </w:rPr>
        <w:t>International Journal of Professional Business Review</w:t>
      </w:r>
      <w:r w:rsidRPr="00C84D20">
        <w:rPr>
          <w:rFonts w:ascii="Arial" w:hAnsi="Arial" w:cs="Arial"/>
          <w:sz w:val="22"/>
          <w:szCs w:val="22"/>
        </w:rPr>
        <w:t xml:space="preserve">, </w:t>
      </w:r>
      <w:r w:rsidRPr="00C84D20">
        <w:rPr>
          <w:rFonts w:ascii="Arial" w:hAnsi="Arial" w:cs="Arial"/>
          <w:i/>
          <w:iCs/>
          <w:sz w:val="22"/>
          <w:szCs w:val="22"/>
        </w:rPr>
        <w:t>8</w:t>
      </w:r>
      <w:r w:rsidRPr="00C84D20">
        <w:rPr>
          <w:rFonts w:ascii="Arial" w:hAnsi="Arial" w:cs="Arial"/>
          <w:sz w:val="22"/>
          <w:szCs w:val="22"/>
        </w:rPr>
        <w:t>(8), e03645. https://doi.org/10.26668/businessreview/2023.v8i8.3645</w:t>
      </w:r>
    </w:p>
    <w:p w14:paraId="2BA1C6CD"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Ghadwan</w:t>
      </w:r>
      <w:proofErr w:type="spellEnd"/>
      <w:r w:rsidRPr="00C84D20">
        <w:rPr>
          <w:rFonts w:ascii="Arial" w:hAnsi="Arial" w:cs="Arial"/>
          <w:sz w:val="22"/>
          <w:szCs w:val="22"/>
        </w:rPr>
        <w:t xml:space="preserve">, A. S., Ahmad, W. M. W., &amp; Hanifa, M. H. (2022). Financial Planning for Retirement Models: An Integrative Systematic Review. </w:t>
      </w:r>
      <w:proofErr w:type="spellStart"/>
      <w:r w:rsidRPr="00C84D20">
        <w:rPr>
          <w:rFonts w:ascii="Arial" w:hAnsi="Arial" w:cs="Arial"/>
          <w:i/>
          <w:iCs/>
          <w:sz w:val="22"/>
          <w:szCs w:val="22"/>
        </w:rPr>
        <w:t>Pertanika</w:t>
      </w:r>
      <w:proofErr w:type="spellEnd"/>
      <w:r w:rsidRPr="00C84D20">
        <w:rPr>
          <w:rFonts w:ascii="Arial" w:hAnsi="Arial" w:cs="Arial"/>
          <w:i/>
          <w:iCs/>
          <w:sz w:val="22"/>
          <w:szCs w:val="22"/>
        </w:rPr>
        <w:t xml:space="preserve"> Journal of Social Science &amp; Humanities</w:t>
      </w:r>
      <w:r w:rsidRPr="00C84D20">
        <w:rPr>
          <w:rFonts w:ascii="Arial" w:hAnsi="Arial" w:cs="Arial"/>
          <w:sz w:val="22"/>
          <w:szCs w:val="22"/>
        </w:rPr>
        <w:t xml:space="preserve">, </w:t>
      </w:r>
      <w:r w:rsidRPr="00C84D20">
        <w:rPr>
          <w:rFonts w:ascii="Arial" w:hAnsi="Arial" w:cs="Arial"/>
          <w:i/>
          <w:iCs/>
          <w:sz w:val="22"/>
          <w:szCs w:val="22"/>
        </w:rPr>
        <w:t>30</w:t>
      </w:r>
      <w:r w:rsidRPr="00C84D20">
        <w:rPr>
          <w:rFonts w:ascii="Arial" w:hAnsi="Arial" w:cs="Arial"/>
          <w:sz w:val="22"/>
          <w:szCs w:val="22"/>
        </w:rPr>
        <w:t>(2), 879–900. https://doi.org/10.47836/pjssh.30.2.24</w:t>
      </w:r>
    </w:p>
    <w:p w14:paraId="7854810F"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lastRenderedPageBreak/>
        <w:t xml:space="preserve">Goyal, M., &amp; Kansal, A. K. (2025). Early Retirement in a changing world: Strategic Financial Planning for a new era. </w:t>
      </w:r>
      <w:r w:rsidRPr="00C84D20">
        <w:rPr>
          <w:rFonts w:ascii="Arial" w:hAnsi="Arial" w:cs="Arial"/>
          <w:i/>
          <w:iCs/>
          <w:sz w:val="22"/>
          <w:szCs w:val="22"/>
        </w:rPr>
        <w:t>INTERNATIONAL JOURNAL OF INNOVATIONS &amp; RESEARCH ANALYSIS</w:t>
      </w:r>
      <w:r w:rsidRPr="00C84D20">
        <w:rPr>
          <w:rFonts w:ascii="Arial" w:hAnsi="Arial" w:cs="Arial"/>
          <w:sz w:val="22"/>
          <w:szCs w:val="22"/>
        </w:rPr>
        <w:t xml:space="preserve">, </w:t>
      </w:r>
      <w:r w:rsidRPr="00C84D20">
        <w:rPr>
          <w:rFonts w:ascii="Arial" w:hAnsi="Arial" w:cs="Arial"/>
          <w:i/>
          <w:iCs/>
          <w:sz w:val="22"/>
          <w:szCs w:val="22"/>
        </w:rPr>
        <w:t>05</w:t>
      </w:r>
      <w:r w:rsidRPr="00C84D20">
        <w:rPr>
          <w:rFonts w:ascii="Arial" w:hAnsi="Arial" w:cs="Arial"/>
          <w:sz w:val="22"/>
          <w:szCs w:val="22"/>
        </w:rPr>
        <w:t>(02), 75–82. https://doi.org/10.62823/ijira/5.2.7456</w:t>
      </w:r>
    </w:p>
    <w:p w14:paraId="5CE80D71"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Grah, B., Dimovski, V., Penger, S., </w:t>
      </w:r>
      <w:proofErr w:type="spellStart"/>
      <w:r w:rsidRPr="00C84D20">
        <w:rPr>
          <w:rFonts w:ascii="Arial" w:hAnsi="Arial" w:cs="Arial"/>
          <w:sz w:val="22"/>
          <w:szCs w:val="22"/>
        </w:rPr>
        <w:t>Colnar</w:t>
      </w:r>
      <w:proofErr w:type="spellEnd"/>
      <w:r w:rsidRPr="00C84D20">
        <w:rPr>
          <w:rFonts w:ascii="Arial" w:hAnsi="Arial" w:cs="Arial"/>
          <w:sz w:val="22"/>
          <w:szCs w:val="22"/>
        </w:rPr>
        <w:t xml:space="preserve">, S., &amp; Bogataj, D. (2021). Sustainability of Health and Care Systems: Modelling the nursing employment dynamics in an ageing population. </w:t>
      </w:r>
      <w:proofErr w:type="spellStart"/>
      <w:r w:rsidRPr="00C84D20">
        <w:rPr>
          <w:rFonts w:ascii="Arial" w:hAnsi="Arial" w:cs="Arial"/>
          <w:i/>
          <w:iCs/>
          <w:sz w:val="22"/>
          <w:szCs w:val="22"/>
        </w:rPr>
        <w:t>Drustvena</w:t>
      </w:r>
      <w:proofErr w:type="spellEnd"/>
      <w:r w:rsidRPr="00C84D20">
        <w:rPr>
          <w:rFonts w:ascii="Arial" w:hAnsi="Arial" w:cs="Arial"/>
          <w:i/>
          <w:iCs/>
          <w:sz w:val="22"/>
          <w:szCs w:val="22"/>
        </w:rPr>
        <w:t xml:space="preserve"> </w:t>
      </w:r>
      <w:proofErr w:type="spellStart"/>
      <w:r w:rsidRPr="00C84D20">
        <w:rPr>
          <w:rFonts w:ascii="Arial" w:hAnsi="Arial" w:cs="Arial"/>
          <w:i/>
          <w:iCs/>
          <w:sz w:val="22"/>
          <w:szCs w:val="22"/>
        </w:rPr>
        <w:t>Istrazivanja</w:t>
      </w:r>
      <w:proofErr w:type="spellEnd"/>
      <w:r w:rsidRPr="00C84D20">
        <w:rPr>
          <w:rFonts w:ascii="Arial" w:hAnsi="Arial" w:cs="Arial"/>
          <w:sz w:val="22"/>
          <w:szCs w:val="22"/>
        </w:rPr>
        <w:t xml:space="preserve">, </w:t>
      </w:r>
      <w:r w:rsidRPr="00C84D20">
        <w:rPr>
          <w:rFonts w:ascii="Arial" w:hAnsi="Arial" w:cs="Arial"/>
          <w:i/>
          <w:iCs/>
          <w:sz w:val="22"/>
          <w:szCs w:val="22"/>
        </w:rPr>
        <w:t>30</w:t>
      </w:r>
      <w:r w:rsidRPr="00C84D20">
        <w:rPr>
          <w:rFonts w:ascii="Arial" w:hAnsi="Arial" w:cs="Arial"/>
          <w:sz w:val="22"/>
          <w:szCs w:val="22"/>
        </w:rPr>
        <w:t>(2), 379–400. https://doi.org/10.5559/di.30.2.10</w:t>
      </w:r>
    </w:p>
    <w:p w14:paraId="4D587E98"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Gutierrez, H. C., &amp; Hershey, D. A. (2015). Retirement planning. </w:t>
      </w:r>
      <w:r w:rsidRPr="00C84D20">
        <w:rPr>
          <w:rFonts w:ascii="Arial" w:hAnsi="Arial" w:cs="Arial"/>
          <w:i/>
          <w:iCs/>
          <w:sz w:val="22"/>
          <w:szCs w:val="22"/>
        </w:rPr>
        <w:t>The Encyclopedia of Adulthood and Aging</w:t>
      </w:r>
      <w:r w:rsidRPr="00C84D20">
        <w:rPr>
          <w:rFonts w:ascii="Arial" w:hAnsi="Arial" w:cs="Arial"/>
          <w:sz w:val="22"/>
          <w:szCs w:val="22"/>
        </w:rPr>
        <w:t xml:space="preserve">, 1–5. </w:t>
      </w:r>
      <w:hyperlink r:id="rId16" w:history="1">
        <w:r w:rsidRPr="00C84D20">
          <w:rPr>
            <w:rStyle w:val="Hyperlink"/>
            <w:rFonts w:ascii="Arial" w:hAnsi="Arial" w:cs="Arial"/>
            <w:color w:val="auto"/>
            <w:sz w:val="22"/>
            <w:szCs w:val="22"/>
            <w:u w:val="none"/>
          </w:rPr>
          <w:t>https://doi.org/10.1002/9781118521373.wbeaa003</w:t>
        </w:r>
      </w:hyperlink>
    </w:p>
    <w:p w14:paraId="56FD5F30"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Hayes, A. (2024, June 30). </w:t>
      </w:r>
      <w:r w:rsidRPr="00C84D20">
        <w:rPr>
          <w:rFonts w:ascii="Arial" w:hAnsi="Arial" w:cs="Arial"/>
          <w:i/>
          <w:iCs/>
          <w:sz w:val="22"/>
          <w:szCs w:val="22"/>
        </w:rPr>
        <w:t>What is the debt ratio?</w:t>
      </w:r>
      <w:r w:rsidRPr="00C84D20">
        <w:rPr>
          <w:rFonts w:ascii="Arial" w:hAnsi="Arial" w:cs="Arial"/>
          <w:sz w:val="22"/>
          <w:szCs w:val="22"/>
        </w:rPr>
        <w:t xml:space="preserve"> Investopedia. Retrieved December 15, 2024, from </w:t>
      </w:r>
      <w:hyperlink r:id="rId17" w:history="1">
        <w:r w:rsidRPr="00C84D20">
          <w:rPr>
            <w:rStyle w:val="Hyperlink"/>
            <w:rFonts w:ascii="Arial" w:hAnsi="Arial" w:cs="Arial"/>
            <w:color w:val="auto"/>
            <w:sz w:val="22"/>
            <w:szCs w:val="22"/>
            <w:u w:val="none"/>
          </w:rPr>
          <w:t>https://www.investopedia.com/terms/d/debtratio.asp</w:t>
        </w:r>
      </w:hyperlink>
    </w:p>
    <w:p w14:paraId="5139A9B3"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Ignacio, J. C., &amp; </w:t>
      </w:r>
      <w:proofErr w:type="spellStart"/>
      <w:r w:rsidRPr="00C84D20">
        <w:rPr>
          <w:rFonts w:ascii="Arial" w:hAnsi="Arial" w:cs="Arial"/>
          <w:sz w:val="22"/>
          <w:szCs w:val="22"/>
        </w:rPr>
        <w:t>Manubag</w:t>
      </w:r>
      <w:proofErr w:type="spellEnd"/>
      <w:r w:rsidRPr="00C84D20">
        <w:rPr>
          <w:rFonts w:ascii="Arial" w:hAnsi="Arial" w:cs="Arial"/>
          <w:sz w:val="22"/>
          <w:szCs w:val="22"/>
        </w:rPr>
        <w:t xml:space="preserve">, E. B. (2025). Retirement program for NDDU retirees. </w:t>
      </w:r>
      <w:r w:rsidRPr="00C84D20">
        <w:rPr>
          <w:rFonts w:ascii="Arial" w:hAnsi="Arial" w:cs="Arial"/>
          <w:i/>
          <w:iCs/>
          <w:sz w:val="22"/>
          <w:szCs w:val="22"/>
        </w:rPr>
        <w:t>International Journal of Research and Innovation in Social Science</w:t>
      </w:r>
      <w:r w:rsidRPr="00C84D20">
        <w:rPr>
          <w:rFonts w:ascii="Arial" w:hAnsi="Arial" w:cs="Arial"/>
          <w:sz w:val="22"/>
          <w:szCs w:val="22"/>
        </w:rPr>
        <w:t xml:space="preserve">, </w:t>
      </w:r>
      <w:r w:rsidRPr="00C84D20">
        <w:rPr>
          <w:rFonts w:ascii="Arial" w:hAnsi="Arial" w:cs="Arial"/>
          <w:i/>
          <w:iCs/>
          <w:sz w:val="22"/>
          <w:szCs w:val="22"/>
        </w:rPr>
        <w:t>9</w:t>
      </w:r>
      <w:r w:rsidRPr="00C84D20">
        <w:rPr>
          <w:rFonts w:ascii="Arial" w:hAnsi="Arial" w:cs="Arial"/>
          <w:sz w:val="22"/>
          <w:szCs w:val="22"/>
        </w:rPr>
        <w:t>(11), 6850–6886. https://doi.org/10.47772/ijriss.2025.91100536</w:t>
      </w:r>
    </w:p>
    <w:p w14:paraId="2C301C22"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Ingale, A. (2025). To assess the impact of financial literacy on retirement planning among different age groups. </w:t>
      </w:r>
      <w:r w:rsidRPr="00C84D20">
        <w:rPr>
          <w:rFonts w:ascii="Arial" w:hAnsi="Arial" w:cs="Arial"/>
          <w:i/>
          <w:iCs/>
          <w:sz w:val="22"/>
          <w:szCs w:val="22"/>
        </w:rPr>
        <w:t>INTERANTIONAL JOURNAL OF SCIENTIFIC RESEARCH IN ENGINEERING AND MANAGEMENT</w:t>
      </w:r>
      <w:r w:rsidRPr="00C84D20">
        <w:rPr>
          <w:rFonts w:ascii="Arial" w:hAnsi="Arial" w:cs="Arial"/>
          <w:sz w:val="22"/>
          <w:szCs w:val="22"/>
        </w:rPr>
        <w:t xml:space="preserve">, </w:t>
      </w:r>
      <w:r w:rsidRPr="00C84D20">
        <w:rPr>
          <w:rFonts w:ascii="Arial" w:hAnsi="Arial" w:cs="Arial"/>
          <w:i/>
          <w:iCs/>
          <w:sz w:val="22"/>
          <w:szCs w:val="22"/>
        </w:rPr>
        <w:t>09</w:t>
      </w:r>
      <w:r w:rsidRPr="00C84D20">
        <w:rPr>
          <w:rFonts w:ascii="Arial" w:hAnsi="Arial" w:cs="Arial"/>
          <w:sz w:val="22"/>
          <w:szCs w:val="22"/>
        </w:rPr>
        <w:t>(05), 1–9. https://doi.org/10.55041/ijsrem47116</w:t>
      </w:r>
    </w:p>
    <w:p w14:paraId="4CB4119A"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Innocenti, S., Clark, G. L., &amp; McGill, S. (2023). Experience of financial challenges, retirement concerns, and planning: evidence from representative samples of workers in 16 countries. </w:t>
      </w:r>
      <w:r w:rsidRPr="00C84D20">
        <w:rPr>
          <w:rFonts w:ascii="Arial" w:hAnsi="Arial" w:cs="Arial"/>
          <w:i/>
          <w:iCs/>
          <w:sz w:val="22"/>
          <w:szCs w:val="22"/>
        </w:rPr>
        <w:t>Journal of Pensions Economics and Finance</w:t>
      </w:r>
      <w:r w:rsidRPr="00C84D20">
        <w:rPr>
          <w:rFonts w:ascii="Arial" w:hAnsi="Arial" w:cs="Arial"/>
          <w:sz w:val="22"/>
          <w:szCs w:val="22"/>
        </w:rPr>
        <w:t xml:space="preserve">, </w:t>
      </w:r>
      <w:r w:rsidRPr="00C84D20">
        <w:rPr>
          <w:rFonts w:ascii="Arial" w:hAnsi="Arial" w:cs="Arial"/>
          <w:i/>
          <w:iCs/>
          <w:sz w:val="22"/>
          <w:szCs w:val="22"/>
        </w:rPr>
        <w:t>23</w:t>
      </w:r>
      <w:r w:rsidRPr="00C84D20">
        <w:rPr>
          <w:rFonts w:ascii="Arial" w:hAnsi="Arial" w:cs="Arial"/>
          <w:sz w:val="22"/>
          <w:szCs w:val="22"/>
        </w:rPr>
        <w:t>(2), 183–201. https://doi.org/10.1017/s1474747223000082</w:t>
      </w:r>
    </w:p>
    <w:p w14:paraId="33142533"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Judijanto</w:t>
      </w:r>
      <w:proofErr w:type="spellEnd"/>
      <w:r w:rsidRPr="00C84D20">
        <w:rPr>
          <w:rFonts w:ascii="Arial" w:hAnsi="Arial" w:cs="Arial"/>
          <w:sz w:val="22"/>
          <w:szCs w:val="22"/>
        </w:rPr>
        <w:t xml:space="preserve">, L., </w:t>
      </w:r>
      <w:proofErr w:type="spellStart"/>
      <w:r w:rsidRPr="00C84D20">
        <w:rPr>
          <w:rFonts w:ascii="Arial" w:hAnsi="Arial" w:cs="Arial"/>
          <w:sz w:val="22"/>
          <w:szCs w:val="22"/>
        </w:rPr>
        <w:t>Coryanata</w:t>
      </w:r>
      <w:proofErr w:type="spellEnd"/>
      <w:r w:rsidRPr="00C84D20">
        <w:rPr>
          <w:rFonts w:ascii="Arial" w:hAnsi="Arial" w:cs="Arial"/>
          <w:sz w:val="22"/>
          <w:szCs w:val="22"/>
        </w:rPr>
        <w:t xml:space="preserve">, I., &amp; </w:t>
      </w:r>
      <w:proofErr w:type="spellStart"/>
      <w:r w:rsidRPr="00C84D20">
        <w:rPr>
          <w:rFonts w:ascii="Arial" w:hAnsi="Arial" w:cs="Arial"/>
          <w:sz w:val="22"/>
          <w:szCs w:val="22"/>
        </w:rPr>
        <w:t>Nurhayadi</w:t>
      </w:r>
      <w:proofErr w:type="spellEnd"/>
      <w:r w:rsidRPr="00C84D20">
        <w:rPr>
          <w:rFonts w:ascii="Arial" w:hAnsi="Arial" w:cs="Arial"/>
          <w:sz w:val="22"/>
          <w:szCs w:val="22"/>
        </w:rPr>
        <w:t xml:space="preserve">, W. (2025). Bibliometric analysis of retirement planning and financial stability. </w:t>
      </w:r>
      <w:r w:rsidRPr="00C84D20">
        <w:rPr>
          <w:rFonts w:ascii="Arial" w:hAnsi="Arial" w:cs="Arial"/>
          <w:i/>
          <w:iCs/>
          <w:sz w:val="22"/>
          <w:szCs w:val="22"/>
        </w:rPr>
        <w:t>West Science Social and Humanities Studies</w:t>
      </w:r>
      <w:r w:rsidRPr="00C84D20">
        <w:rPr>
          <w:rFonts w:ascii="Arial" w:hAnsi="Arial" w:cs="Arial"/>
          <w:sz w:val="22"/>
          <w:szCs w:val="22"/>
        </w:rPr>
        <w:t xml:space="preserve">, </w:t>
      </w:r>
      <w:r w:rsidRPr="00C84D20">
        <w:rPr>
          <w:rFonts w:ascii="Arial" w:hAnsi="Arial" w:cs="Arial"/>
          <w:i/>
          <w:iCs/>
          <w:sz w:val="22"/>
          <w:szCs w:val="22"/>
        </w:rPr>
        <w:t>3</w:t>
      </w:r>
      <w:r w:rsidRPr="00C84D20">
        <w:rPr>
          <w:rFonts w:ascii="Arial" w:hAnsi="Arial" w:cs="Arial"/>
          <w:sz w:val="22"/>
          <w:szCs w:val="22"/>
        </w:rPr>
        <w:t>(06), 873–883. https://doi.org/10.58812/wsshs.v3i06.2008</w:t>
      </w:r>
    </w:p>
    <w:p w14:paraId="26E3F0B8"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Kagan, J. (2024, November 9). </w:t>
      </w:r>
      <w:r w:rsidRPr="00C84D20">
        <w:rPr>
          <w:rFonts w:ascii="Arial" w:hAnsi="Arial" w:cs="Arial"/>
          <w:i/>
          <w:iCs/>
          <w:sz w:val="22"/>
          <w:szCs w:val="22"/>
        </w:rPr>
        <w:t>What is retirement planning? steps, stages, and what to consider</w:t>
      </w:r>
      <w:r w:rsidRPr="00C84D20">
        <w:rPr>
          <w:rFonts w:ascii="Arial" w:hAnsi="Arial" w:cs="Arial"/>
          <w:sz w:val="22"/>
          <w:szCs w:val="22"/>
        </w:rPr>
        <w:t xml:space="preserve">. Investopedia. Retrieved December 15, 2024, from </w:t>
      </w:r>
      <w:hyperlink r:id="rId18" w:history="1">
        <w:r w:rsidRPr="00C84D20">
          <w:rPr>
            <w:rStyle w:val="Hyperlink"/>
            <w:rFonts w:ascii="Arial" w:hAnsi="Arial" w:cs="Arial"/>
            <w:color w:val="auto"/>
            <w:sz w:val="22"/>
            <w:szCs w:val="22"/>
            <w:u w:val="none"/>
          </w:rPr>
          <w:t>https://www.investopedia.com/terms/r/retirement-planning.asp</w:t>
        </w:r>
      </w:hyperlink>
    </w:p>
    <w:p w14:paraId="1196787F"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Karim, R. A., Hussin, M., &amp; Sahid, S. (2023). Comparison of retirement financial preparation based on demographic factors: A study of teachers. </w:t>
      </w:r>
      <w:r w:rsidRPr="00C84D20">
        <w:rPr>
          <w:rFonts w:ascii="Arial" w:hAnsi="Arial" w:cs="Arial"/>
          <w:i/>
          <w:iCs/>
          <w:sz w:val="22"/>
          <w:szCs w:val="22"/>
        </w:rPr>
        <w:t>International Journal of Academic Research in Business and Social Sciences</w:t>
      </w:r>
      <w:r w:rsidRPr="00C84D20">
        <w:rPr>
          <w:rFonts w:ascii="Arial" w:hAnsi="Arial" w:cs="Arial"/>
          <w:sz w:val="22"/>
          <w:szCs w:val="22"/>
        </w:rPr>
        <w:t xml:space="preserve">, </w:t>
      </w:r>
      <w:r w:rsidRPr="00C84D20">
        <w:rPr>
          <w:rFonts w:ascii="Arial" w:hAnsi="Arial" w:cs="Arial"/>
          <w:i/>
          <w:iCs/>
          <w:sz w:val="22"/>
          <w:szCs w:val="22"/>
        </w:rPr>
        <w:t>13</w:t>
      </w:r>
      <w:r w:rsidRPr="00C84D20">
        <w:rPr>
          <w:rFonts w:ascii="Arial" w:hAnsi="Arial" w:cs="Arial"/>
          <w:sz w:val="22"/>
          <w:szCs w:val="22"/>
        </w:rPr>
        <w:t>(4). https://doi.org/10.6007/ijarbss/v13-i4/16745</w:t>
      </w:r>
    </w:p>
    <w:p w14:paraId="549955B6"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Lan, T., &amp; Lee, S. (2024). EXPLORING THE INFLUENCE FROM FINANCIAL KNOWLEDGE FOR RETIREMENT AND RETIREMENT SELF-EFFICACY ON LIFE SATISFACTION THROUGH THE MEDIATOR - RETIREMENT READINESS AMONG WORKING ADULTS IN CHINA. </w:t>
      </w:r>
      <w:r w:rsidRPr="00C84D20">
        <w:rPr>
          <w:rFonts w:ascii="Arial" w:hAnsi="Arial" w:cs="Arial"/>
          <w:i/>
          <w:iCs/>
          <w:sz w:val="22"/>
          <w:szCs w:val="22"/>
        </w:rPr>
        <w:t>International Journal of Professional Business Review</w:t>
      </w:r>
      <w:r w:rsidRPr="00C84D20">
        <w:rPr>
          <w:rFonts w:ascii="Arial" w:hAnsi="Arial" w:cs="Arial"/>
          <w:sz w:val="22"/>
          <w:szCs w:val="22"/>
        </w:rPr>
        <w:t xml:space="preserve">, </w:t>
      </w:r>
      <w:r w:rsidRPr="00C84D20">
        <w:rPr>
          <w:rFonts w:ascii="Arial" w:hAnsi="Arial" w:cs="Arial"/>
          <w:i/>
          <w:iCs/>
          <w:sz w:val="22"/>
          <w:szCs w:val="22"/>
        </w:rPr>
        <w:t>9</w:t>
      </w:r>
      <w:r w:rsidRPr="00C84D20">
        <w:rPr>
          <w:rFonts w:ascii="Arial" w:hAnsi="Arial" w:cs="Arial"/>
          <w:sz w:val="22"/>
          <w:szCs w:val="22"/>
        </w:rPr>
        <w:t>(6), e04725. https://doi.org/10.26668/businessreview/2024.v9i6.4725</w:t>
      </w:r>
    </w:p>
    <w:p w14:paraId="1979FC17"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Lim, S. M., Tenk, T., Teoh, M., &amp; Lee, T. H. (2021). Employees’ retirement saving </w:t>
      </w:r>
      <w:proofErr w:type="spellStart"/>
      <w:r w:rsidRPr="00C84D20">
        <w:rPr>
          <w:rFonts w:ascii="Arial" w:hAnsi="Arial" w:cs="Arial"/>
          <w:sz w:val="22"/>
          <w:szCs w:val="22"/>
        </w:rPr>
        <w:t>behaviour</w:t>
      </w:r>
      <w:proofErr w:type="spellEnd"/>
      <w:r w:rsidRPr="00C84D20">
        <w:rPr>
          <w:rFonts w:ascii="Arial" w:hAnsi="Arial" w:cs="Arial"/>
          <w:sz w:val="22"/>
          <w:szCs w:val="22"/>
        </w:rPr>
        <w:t xml:space="preserve"> during the COVID-19 pandemic in Malaysia. </w:t>
      </w:r>
      <w:r w:rsidRPr="00C84D20">
        <w:rPr>
          <w:rFonts w:ascii="Arial" w:hAnsi="Arial" w:cs="Arial"/>
          <w:i/>
          <w:iCs/>
          <w:sz w:val="22"/>
          <w:szCs w:val="22"/>
        </w:rPr>
        <w:t>International Journal of Academic Research in Business and Social Sciences</w:t>
      </w:r>
      <w:r w:rsidRPr="00C84D20">
        <w:rPr>
          <w:rFonts w:ascii="Arial" w:hAnsi="Arial" w:cs="Arial"/>
          <w:sz w:val="22"/>
          <w:szCs w:val="22"/>
        </w:rPr>
        <w:t xml:space="preserve">, </w:t>
      </w:r>
      <w:r w:rsidRPr="00C84D20">
        <w:rPr>
          <w:rFonts w:ascii="Arial" w:hAnsi="Arial" w:cs="Arial"/>
          <w:i/>
          <w:iCs/>
          <w:sz w:val="22"/>
          <w:szCs w:val="22"/>
        </w:rPr>
        <w:t>11</w:t>
      </w:r>
      <w:r w:rsidRPr="00C84D20">
        <w:rPr>
          <w:rFonts w:ascii="Arial" w:hAnsi="Arial" w:cs="Arial"/>
          <w:sz w:val="22"/>
          <w:szCs w:val="22"/>
        </w:rPr>
        <w:t>(3). https://doi.org/10.6007/ijarbss/v11-i3/8855</w:t>
      </w:r>
    </w:p>
    <w:p w14:paraId="77C8B114"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Liu, C., Bai, X., &amp; Knapp, M. (2021). Multidimensional Retirement planning Behaviors, Retirement Confidence, and Post-Retirement Health and Well-Being among Chinese Older adults in Hong Kong. </w:t>
      </w:r>
      <w:r w:rsidRPr="00C84D20">
        <w:rPr>
          <w:rFonts w:ascii="Arial" w:hAnsi="Arial" w:cs="Arial"/>
          <w:i/>
          <w:iCs/>
          <w:sz w:val="22"/>
          <w:szCs w:val="22"/>
        </w:rPr>
        <w:t>Applied Research in Quality of Life</w:t>
      </w:r>
      <w:r w:rsidRPr="00C84D20">
        <w:rPr>
          <w:rFonts w:ascii="Arial" w:hAnsi="Arial" w:cs="Arial"/>
          <w:sz w:val="22"/>
          <w:szCs w:val="22"/>
        </w:rPr>
        <w:t xml:space="preserve">, </w:t>
      </w:r>
      <w:r w:rsidRPr="00C84D20">
        <w:rPr>
          <w:rFonts w:ascii="Arial" w:hAnsi="Arial" w:cs="Arial"/>
          <w:i/>
          <w:iCs/>
          <w:sz w:val="22"/>
          <w:szCs w:val="22"/>
        </w:rPr>
        <w:t>17</w:t>
      </w:r>
      <w:r w:rsidRPr="00C84D20">
        <w:rPr>
          <w:rFonts w:ascii="Arial" w:hAnsi="Arial" w:cs="Arial"/>
          <w:sz w:val="22"/>
          <w:szCs w:val="22"/>
        </w:rPr>
        <w:t>(2), 833–849. https://doi.org/10.1007/s11482-020-09901-7</w:t>
      </w:r>
    </w:p>
    <w:p w14:paraId="693E4B58"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Loureiro, H. M. a. M., De Oliveira Cruz Mendes, A. M., </w:t>
      </w:r>
      <w:proofErr w:type="spellStart"/>
      <w:r w:rsidRPr="00C84D20">
        <w:rPr>
          <w:rFonts w:ascii="Arial" w:hAnsi="Arial" w:cs="Arial"/>
          <w:sz w:val="22"/>
          <w:szCs w:val="22"/>
        </w:rPr>
        <w:t>Camarneiro</w:t>
      </w:r>
      <w:proofErr w:type="spellEnd"/>
      <w:r w:rsidRPr="00C84D20">
        <w:rPr>
          <w:rFonts w:ascii="Arial" w:hAnsi="Arial" w:cs="Arial"/>
          <w:sz w:val="22"/>
          <w:szCs w:val="22"/>
        </w:rPr>
        <w:t xml:space="preserve">, A. P. F., Da Silva, M. a. M., &amp; </w:t>
      </w:r>
      <w:proofErr w:type="spellStart"/>
      <w:r w:rsidRPr="00C84D20">
        <w:rPr>
          <w:rFonts w:ascii="Arial" w:hAnsi="Arial" w:cs="Arial"/>
          <w:sz w:val="22"/>
          <w:szCs w:val="22"/>
        </w:rPr>
        <w:t>Pedreiro</w:t>
      </w:r>
      <w:proofErr w:type="spellEnd"/>
      <w:r w:rsidRPr="00C84D20">
        <w:rPr>
          <w:rFonts w:ascii="Arial" w:hAnsi="Arial" w:cs="Arial"/>
          <w:sz w:val="22"/>
          <w:szCs w:val="22"/>
        </w:rPr>
        <w:t xml:space="preserve">, A. T. M. (2016). PERCEPTIONS ABOUT THE TRANSITION TO RETIREMENT: a QUALITATIVE STUDY. </w:t>
      </w:r>
      <w:proofErr w:type="spellStart"/>
      <w:r w:rsidRPr="00C84D20">
        <w:rPr>
          <w:rFonts w:ascii="Arial" w:hAnsi="Arial" w:cs="Arial"/>
          <w:i/>
          <w:iCs/>
          <w:sz w:val="22"/>
          <w:szCs w:val="22"/>
        </w:rPr>
        <w:t>Texto</w:t>
      </w:r>
      <w:proofErr w:type="spellEnd"/>
      <w:r w:rsidRPr="00C84D20">
        <w:rPr>
          <w:rFonts w:ascii="Arial" w:hAnsi="Arial" w:cs="Arial"/>
          <w:i/>
          <w:iCs/>
          <w:sz w:val="22"/>
          <w:szCs w:val="22"/>
        </w:rPr>
        <w:t xml:space="preserve"> &amp; </w:t>
      </w:r>
      <w:proofErr w:type="spellStart"/>
      <w:r w:rsidRPr="00C84D20">
        <w:rPr>
          <w:rFonts w:ascii="Arial" w:hAnsi="Arial" w:cs="Arial"/>
          <w:i/>
          <w:iCs/>
          <w:sz w:val="22"/>
          <w:szCs w:val="22"/>
        </w:rPr>
        <w:t>Contexto</w:t>
      </w:r>
      <w:proofErr w:type="spellEnd"/>
      <w:r w:rsidRPr="00C84D20">
        <w:rPr>
          <w:rFonts w:ascii="Arial" w:hAnsi="Arial" w:cs="Arial"/>
          <w:i/>
          <w:iCs/>
          <w:sz w:val="22"/>
          <w:szCs w:val="22"/>
        </w:rPr>
        <w:t xml:space="preserve"> - Enfermagem</w:t>
      </w:r>
      <w:r w:rsidRPr="00C84D20">
        <w:rPr>
          <w:rFonts w:ascii="Arial" w:hAnsi="Arial" w:cs="Arial"/>
          <w:sz w:val="22"/>
          <w:szCs w:val="22"/>
        </w:rPr>
        <w:t xml:space="preserve">, </w:t>
      </w:r>
      <w:r w:rsidRPr="00C84D20">
        <w:rPr>
          <w:rFonts w:ascii="Arial" w:hAnsi="Arial" w:cs="Arial"/>
          <w:i/>
          <w:iCs/>
          <w:sz w:val="22"/>
          <w:szCs w:val="22"/>
        </w:rPr>
        <w:t>25</w:t>
      </w:r>
      <w:r w:rsidRPr="00C84D20">
        <w:rPr>
          <w:rFonts w:ascii="Arial" w:hAnsi="Arial" w:cs="Arial"/>
          <w:sz w:val="22"/>
          <w:szCs w:val="22"/>
        </w:rPr>
        <w:t xml:space="preserve">(1). </w:t>
      </w:r>
      <w:hyperlink r:id="rId19" w:history="1">
        <w:r w:rsidRPr="00C84D20">
          <w:rPr>
            <w:rStyle w:val="Hyperlink"/>
            <w:rFonts w:ascii="Arial" w:hAnsi="Arial" w:cs="Arial"/>
            <w:color w:val="auto"/>
            <w:sz w:val="22"/>
            <w:szCs w:val="22"/>
            <w:u w:val="none"/>
          </w:rPr>
          <w:t>https://doi.org/10.1590/0104-070720160002260015</w:t>
        </w:r>
      </w:hyperlink>
    </w:p>
    <w:p w14:paraId="15DD4B35"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Lusardi, A., &amp; Messy, F. (2023). The importance of financial literacy and its impact on financial wellbeing. </w:t>
      </w:r>
      <w:r w:rsidRPr="00C84D20">
        <w:rPr>
          <w:rFonts w:ascii="Arial" w:hAnsi="Arial" w:cs="Arial"/>
          <w:i/>
          <w:iCs/>
          <w:sz w:val="22"/>
          <w:szCs w:val="22"/>
        </w:rPr>
        <w:t>Journal of Financial Literacy and Wellbeing</w:t>
      </w:r>
      <w:r w:rsidRPr="00C84D20">
        <w:rPr>
          <w:rFonts w:ascii="Arial" w:hAnsi="Arial" w:cs="Arial"/>
          <w:sz w:val="22"/>
          <w:szCs w:val="22"/>
        </w:rPr>
        <w:t xml:space="preserve">, </w:t>
      </w:r>
      <w:r w:rsidRPr="00C84D20">
        <w:rPr>
          <w:rFonts w:ascii="Arial" w:hAnsi="Arial" w:cs="Arial"/>
          <w:i/>
          <w:iCs/>
          <w:sz w:val="22"/>
          <w:szCs w:val="22"/>
        </w:rPr>
        <w:t>1</w:t>
      </w:r>
      <w:r w:rsidRPr="00C84D20">
        <w:rPr>
          <w:rFonts w:ascii="Arial" w:hAnsi="Arial" w:cs="Arial"/>
          <w:sz w:val="22"/>
          <w:szCs w:val="22"/>
        </w:rPr>
        <w:t>(1), 1–11. https://doi.org/10.1017/flw.2023.8</w:t>
      </w:r>
    </w:p>
    <w:p w14:paraId="659AFABB"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Lusardi, A., &amp; Mitchell, O. S. (2014). The Economic Importance of Financial Literacy: Theory and evidence. </w:t>
      </w:r>
      <w:r w:rsidRPr="00C84D20">
        <w:rPr>
          <w:rFonts w:ascii="Arial" w:hAnsi="Arial" w:cs="Arial"/>
          <w:i/>
          <w:iCs/>
          <w:sz w:val="22"/>
          <w:szCs w:val="22"/>
        </w:rPr>
        <w:t>Journal of Economic Literature</w:t>
      </w:r>
      <w:r w:rsidRPr="00C84D20">
        <w:rPr>
          <w:rFonts w:ascii="Arial" w:hAnsi="Arial" w:cs="Arial"/>
          <w:sz w:val="22"/>
          <w:szCs w:val="22"/>
        </w:rPr>
        <w:t xml:space="preserve">, </w:t>
      </w:r>
      <w:r w:rsidRPr="00C84D20">
        <w:rPr>
          <w:rFonts w:ascii="Arial" w:hAnsi="Arial" w:cs="Arial"/>
          <w:i/>
          <w:iCs/>
          <w:sz w:val="22"/>
          <w:szCs w:val="22"/>
        </w:rPr>
        <w:t>52</w:t>
      </w:r>
      <w:r w:rsidRPr="00C84D20">
        <w:rPr>
          <w:rFonts w:ascii="Arial" w:hAnsi="Arial" w:cs="Arial"/>
          <w:sz w:val="22"/>
          <w:szCs w:val="22"/>
        </w:rPr>
        <w:t>(1), 5–44. https://doi.org/10.1257/jel.52.1.5</w:t>
      </w:r>
    </w:p>
    <w:p w14:paraId="0591C6E8"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Mccombes, S. (2019, May 15). </w:t>
      </w:r>
      <w:r w:rsidRPr="00C84D20">
        <w:rPr>
          <w:rFonts w:ascii="Arial" w:hAnsi="Arial" w:cs="Arial"/>
          <w:i/>
          <w:iCs/>
          <w:sz w:val="22"/>
          <w:szCs w:val="22"/>
        </w:rPr>
        <w:t>Descriptive Research | Definition, Types, Methods &amp; Examples</w:t>
      </w:r>
      <w:r w:rsidRPr="00C84D20">
        <w:rPr>
          <w:rFonts w:ascii="Arial" w:hAnsi="Arial" w:cs="Arial"/>
          <w:sz w:val="22"/>
          <w:szCs w:val="22"/>
        </w:rPr>
        <w:t xml:space="preserve">. </w:t>
      </w:r>
      <w:proofErr w:type="spellStart"/>
      <w:r w:rsidRPr="00C84D20">
        <w:rPr>
          <w:rFonts w:ascii="Arial" w:hAnsi="Arial" w:cs="Arial"/>
          <w:sz w:val="22"/>
          <w:szCs w:val="22"/>
        </w:rPr>
        <w:t>Scribbr</w:t>
      </w:r>
      <w:proofErr w:type="spellEnd"/>
      <w:r w:rsidRPr="00C84D20">
        <w:rPr>
          <w:rFonts w:ascii="Arial" w:hAnsi="Arial" w:cs="Arial"/>
          <w:sz w:val="22"/>
          <w:szCs w:val="22"/>
        </w:rPr>
        <w:t xml:space="preserve">. Retrieved December 15, 2024, from </w:t>
      </w:r>
      <w:hyperlink r:id="rId20" w:history="1">
        <w:r w:rsidRPr="00C84D20">
          <w:rPr>
            <w:rStyle w:val="Hyperlink"/>
            <w:rFonts w:ascii="Arial" w:hAnsi="Arial" w:cs="Arial"/>
            <w:color w:val="auto"/>
            <w:sz w:val="22"/>
            <w:szCs w:val="22"/>
            <w:u w:val="none"/>
          </w:rPr>
          <w:t>https://www.scribbr.com/methodology/descriptive-research/</w:t>
        </w:r>
      </w:hyperlink>
    </w:p>
    <w:p w14:paraId="44886622"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Mishra, R. (2024). RETIREMENT READINESS: UNDERSTANDING FINANCIAL KNOWLEDGE AMONG GOVERNMENT WORKERS IN AHMEDABAD. </w:t>
      </w:r>
      <w:r w:rsidRPr="00C84D20">
        <w:rPr>
          <w:rFonts w:ascii="Arial" w:hAnsi="Arial" w:cs="Arial"/>
          <w:i/>
          <w:iCs/>
          <w:sz w:val="22"/>
          <w:szCs w:val="22"/>
        </w:rPr>
        <w:t>International Education and Research Journal</w:t>
      </w:r>
      <w:r w:rsidRPr="00C84D20">
        <w:rPr>
          <w:rFonts w:ascii="Arial" w:hAnsi="Arial" w:cs="Arial"/>
          <w:sz w:val="22"/>
          <w:szCs w:val="22"/>
        </w:rPr>
        <w:t xml:space="preserve">, </w:t>
      </w:r>
      <w:r w:rsidRPr="00C84D20">
        <w:rPr>
          <w:rFonts w:ascii="Arial" w:hAnsi="Arial" w:cs="Arial"/>
          <w:i/>
          <w:iCs/>
          <w:sz w:val="22"/>
          <w:szCs w:val="22"/>
        </w:rPr>
        <w:t>10</w:t>
      </w:r>
      <w:r w:rsidRPr="00C84D20">
        <w:rPr>
          <w:rFonts w:ascii="Arial" w:hAnsi="Arial" w:cs="Arial"/>
          <w:sz w:val="22"/>
          <w:szCs w:val="22"/>
        </w:rPr>
        <w:t xml:space="preserve">(1). </w:t>
      </w:r>
      <w:hyperlink r:id="rId21" w:history="1">
        <w:r w:rsidRPr="00C84D20">
          <w:rPr>
            <w:rStyle w:val="Hyperlink"/>
            <w:rFonts w:ascii="Arial" w:hAnsi="Arial" w:cs="Arial"/>
            <w:color w:val="auto"/>
            <w:sz w:val="22"/>
            <w:szCs w:val="22"/>
            <w:u w:val="none"/>
          </w:rPr>
          <w:t>https://doi.org/10.21276/ierj24795813784058</w:t>
        </w:r>
      </w:hyperlink>
    </w:p>
    <w:p w14:paraId="3FC2F481" w14:textId="77777777" w:rsidR="00C84D20" w:rsidRPr="00C84D20" w:rsidRDefault="00C84D20" w:rsidP="00C84D20">
      <w:pPr>
        <w:pStyle w:val="NormalWeb"/>
        <w:spacing w:before="0" w:beforeAutospacing="0" w:after="0" w:afterAutospacing="0"/>
        <w:ind w:left="720" w:hanging="720"/>
        <w:rPr>
          <w:rFonts w:ascii="Arial" w:hAnsi="Arial" w:cs="Arial"/>
          <w:sz w:val="22"/>
          <w:szCs w:val="22"/>
        </w:rPr>
      </w:pPr>
      <w:r w:rsidRPr="00C84D20">
        <w:rPr>
          <w:rFonts w:ascii="Arial" w:hAnsi="Arial" w:cs="Arial"/>
          <w:sz w:val="22"/>
          <w:szCs w:val="22"/>
        </w:rPr>
        <w:t xml:space="preserve">Nickell, G. S., &amp; Hinsz, V. B. (2023). Applying the theory of planned behavior to understand workers’ production of safe food. </w:t>
      </w:r>
      <w:r w:rsidRPr="00C84D20">
        <w:rPr>
          <w:rFonts w:ascii="Arial" w:hAnsi="Arial" w:cs="Arial"/>
          <w:i/>
          <w:iCs/>
          <w:sz w:val="22"/>
          <w:szCs w:val="22"/>
        </w:rPr>
        <w:t>Journal of Work and Organizational Psychology</w:t>
      </w:r>
      <w:r w:rsidRPr="00C84D20">
        <w:rPr>
          <w:rFonts w:ascii="Arial" w:hAnsi="Arial" w:cs="Arial"/>
          <w:sz w:val="22"/>
          <w:szCs w:val="22"/>
        </w:rPr>
        <w:t xml:space="preserve">, </w:t>
      </w:r>
      <w:r w:rsidRPr="00C84D20">
        <w:rPr>
          <w:rFonts w:ascii="Arial" w:hAnsi="Arial" w:cs="Arial"/>
          <w:i/>
          <w:iCs/>
          <w:sz w:val="22"/>
          <w:szCs w:val="22"/>
        </w:rPr>
        <w:t>39</w:t>
      </w:r>
      <w:r w:rsidRPr="00C84D20">
        <w:rPr>
          <w:rFonts w:ascii="Arial" w:hAnsi="Arial" w:cs="Arial"/>
          <w:sz w:val="22"/>
          <w:szCs w:val="22"/>
        </w:rPr>
        <w:t xml:space="preserve">(2), 89–100. </w:t>
      </w:r>
      <w:r w:rsidRPr="00C84D20">
        <w:rPr>
          <w:rStyle w:val="url"/>
          <w:rFonts w:ascii="Arial" w:hAnsi="Arial" w:cs="Arial"/>
          <w:sz w:val="22"/>
          <w:szCs w:val="22"/>
        </w:rPr>
        <w:t>https://doi.org/10.5093/jwop2023a10</w:t>
      </w:r>
    </w:p>
    <w:p w14:paraId="352ABDA6"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Nikolopoulou, K. (2022, July 20). </w:t>
      </w:r>
      <w:r w:rsidRPr="00C84D20">
        <w:rPr>
          <w:rFonts w:ascii="Arial" w:hAnsi="Arial" w:cs="Arial"/>
          <w:i/>
          <w:iCs/>
          <w:sz w:val="22"/>
          <w:szCs w:val="22"/>
        </w:rPr>
        <w:t>What Is Non-Probability Sampling? | Types &amp; Examples</w:t>
      </w:r>
      <w:r w:rsidRPr="00C84D20">
        <w:rPr>
          <w:rFonts w:ascii="Arial" w:hAnsi="Arial" w:cs="Arial"/>
          <w:sz w:val="22"/>
          <w:szCs w:val="22"/>
        </w:rPr>
        <w:t xml:space="preserve">. </w:t>
      </w:r>
      <w:proofErr w:type="spellStart"/>
      <w:r w:rsidRPr="00C84D20">
        <w:rPr>
          <w:rFonts w:ascii="Arial" w:hAnsi="Arial" w:cs="Arial"/>
          <w:sz w:val="22"/>
          <w:szCs w:val="22"/>
        </w:rPr>
        <w:t>Scribbr</w:t>
      </w:r>
      <w:proofErr w:type="spellEnd"/>
      <w:r w:rsidRPr="00C84D20">
        <w:rPr>
          <w:rFonts w:ascii="Arial" w:hAnsi="Arial" w:cs="Arial"/>
          <w:sz w:val="22"/>
          <w:szCs w:val="22"/>
        </w:rPr>
        <w:t xml:space="preserve">. Retrieved December 15, 2024, from </w:t>
      </w:r>
      <w:hyperlink r:id="rId22" w:history="1">
        <w:r w:rsidRPr="00C84D20">
          <w:rPr>
            <w:rStyle w:val="Hyperlink"/>
            <w:rFonts w:ascii="Arial" w:hAnsi="Arial" w:cs="Arial"/>
            <w:color w:val="auto"/>
            <w:sz w:val="22"/>
            <w:szCs w:val="22"/>
            <w:u w:val="none"/>
          </w:rPr>
          <w:t>https://www.scribbr.com/methodology/non-probability-sampling/</w:t>
        </w:r>
      </w:hyperlink>
    </w:p>
    <w:p w14:paraId="43BA5967"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lastRenderedPageBreak/>
        <w:t xml:space="preserve">Nunnally, J. C., &amp; Bernstein, I. H. (1994). </w:t>
      </w:r>
      <w:r w:rsidRPr="00C84D20">
        <w:rPr>
          <w:rFonts w:ascii="Arial" w:hAnsi="Arial" w:cs="Arial"/>
          <w:i/>
          <w:iCs/>
          <w:sz w:val="22"/>
          <w:szCs w:val="22"/>
        </w:rPr>
        <w:t>Psychometric theory</w:t>
      </w:r>
      <w:r w:rsidRPr="00C84D20">
        <w:rPr>
          <w:rFonts w:ascii="Arial" w:hAnsi="Arial" w:cs="Arial"/>
          <w:sz w:val="22"/>
          <w:szCs w:val="22"/>
        </w:rPr>
        <w:t xml:space="preserve"> (3rd ed.). McGraw-Hill. </w:t>
      </w:r>
    </w:p>
    <w:p w14:paraId="5F04A4ED"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Padhiyar</w:t>
      </w:r>
      <w:proofErr w:type="spellEnd"/>
      <w:r w:rsidRPr="00C84D20">
        <w:rPr>
          <w:rFonts w:ascii="Arial" w:hAnsi="Arial" w:cs="Arial"/>
          <w:sz w:val="22"/>
          <w:szCs w:val="22"/>
        </w:rPr>
        <w:t xml:space="preserve">, R., &amp; Trivedi, J. (2025). Retirement planning: gaps and future directions. </w:t>
      </w:r>
      <w:r w:rsidRPr="00C84D20">
        <w:rPr>
          <w:rFonts w:ascii="Arial" w:hAnsi="Arial" w:cs="Arial"/>
          <w:i/>
          <w:iCs/>
          <w:sz w:val="22"/>
          <w:szCs w:val="22"/>
        </w:rPr>
        <w:t>Darshan - the International Journal of Commerce and Management (DIJCM)</w:t>
      </w:r>
      <w:r w:rsidRPr="00C84D20">
        <w:rPr>
          <w:rFonts w:ascii="Arial" w:hAnsi="Arial" w:cs="Arial"/>
          <w:sz w:val="22"/>
          <w:szCs w:val="22"/>
        </w:rPr>
        <w:t xml:space="preserve">, </w:t>
      </w:r>
      <w:r w:rsidRPr="00C84D20">
        <w:rPr>
          <w:rFonts w:ascii="Arial" w:hAnsi="Arial" w:cs="Arial"/>
          <w:i/>
          <w:iCs/>
          <w:sz w:val="22"/>
          <w:szCs w:val="22"/>
        </w:rPr>
        <w:t>5</w:t>
      </w:r>
      <w:r w:rsidRPr="00C84D20">
        <w:rPr>
          <w:rFonts w:ascii="Arial" w:hAnsi="Arial" w:cs="Arial"/>
          <w:sz w:val="22"/>
          <w:szCs w:val="22"/>
        </w:rPr>
        <w:t>(1), 30–35. https://doi.org/10.56360/dijcm/5.i.2025.2505</w:t>
      </w:r>
    </w:p>
    <w:p w14:paraId="5037F023"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Padilla-</w:t>
      </w:r>
      <w:proofErr w:type="spellStart"/>
      <w:r w:rsidRPr="00C84D20">
        <w:rPr>
          <w:rFonts w:ascii="Arial" w:hAnsi="Arial" w:cs="Arial"/>
          <w:sz w:val="22"/>
          <w:szCs w:val="22"/>
        </w:rPr>
        <w:t>Casiño</w:t>
      </w:r>
      <w:proofErr w:type="spellEnd"/>
      <w:r w:rsidRPr="00C84D20">
        <w:rPr>
          <w:rFonts w:ascii="Arial" w:hAnsi="Arial" w:cs="Arial"/>
          <w:sz w:val="22"/>
          <w:szCs w:val="22"/>
        </w:rPr>
        <w:t xml:space="preserve">, M. M. (2026). The predicting role of financial literacy, social support, and government retirement policy awareness on retirement readiness. </w:t>
      </w:r>
      <w:r w:rsidRPr="00C84D20">
        <w:rPr>
          <w:rFonts w:ascii="Arial" w:hAnsi="Arial" w:cs="Arial"/>
          <w:i/>
          <w:iCs/>
          <w:sz w:val="22"/>
          <w:szCs w:val="22"/>
        </w:rPr>
        <w:t>International Journal of Research and Innovation in Social Science</w:t>
      </w:r>
      <w:r w:rsidRPr="00C84D20">
        <w:rPr>
          <w:rFonts w:ascii="Arial" w:hAnsi="Arial" w:cs="Arial"/>
          <w:sz w:val="22"/>
          <w:szCs w:val="22"/>
        </w:rPr>
        <w:t xml:space="preserve">, </w:t>
      </w:r>
      <w:r w:rsidRPr="00C84D20">
        <w:rPr>
          <w:rFonts w:ascii="Arial" w:hAnsi="Arial" w:cs="Arial"/>
          <w:i/>
          <w:iCs/>
          <w:sz w:val="22"/>
          <w:szCs w:val="22"/>
        </w:rPr>
        <w:t>10</w:t>
      </w:r>
      <w:r w:rsidRPr="00C84D20">
        <w:rPr>
          <w:rFonts w:ascii="Arial" w:hAnsi="Arial" w:cs="Arial"/>
          <w:sz w:val="22"/>
          <w:szCs w:val="22"/>
        </w:rPr>
        <w:t>(2), 2653–2728. https://doi.org/10.47772/ijriss.2026.10200201</w:t>
      </w:r>
    </w:p>
    <w:p w14:paraId="0D0458F7"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Panich, R., </w:t>
      </w:r>
      <w:proofErr w:type="spellStart"/>
      <w:r w:rsidRPr="00C84D20">
        <w:rPr>
          <w:rFonts w:ascii="Arial" w:hAnsi="Arial" w:cs="Arial"/>
          <w:sz w:val="22"/>
          <w:szCs w:val="22"/>
        </w:rPr>
        <w:t>Poonpol</w:t>
      </w:r>
      <w:proofErr w:type="spellEnd"/>
      <w:r w:rsidRPr="00C84D20">
        <w:rPr>
          <w:rFonts w:ascii="Arial" w:hAnsi="Arial" w:cs="Arial"/>
          <w:sz w:val="22"/>
          <w:szCs w:val="22"/>
        </w:rPr>
        <w:t xml:space="preserve">, P., &amp; </w:t>
      </w:r>
      <w:proofErr w:type="spellStart"/>
      <w:r w:rsidRPr="00C84D20">
        <w:rPr>
          <w:rFonts w:ascii="Arial" w:hAnsi="Arial" w:cs="Arial"/>
          <w:sz w:val="22"/>
          <w:szCs w:val="22"/>
        </w:rPr>
        <w:t>Junprasert</w:t>
      </w:r>
      <w:proofErr w:type="spellEnd"/>
      <w:r w:rsidRPr="00C84D20">
        <w:rPr>
          <w:rFonts w:ascii="Arial" w:hAnsi="Arial" w:cs="Arial"/>
          <w:sz w:val="22"/>
          <w:szCs w:val="22"/>
        </w:rPr>
        <w:t xml:space="preserve">, T. (2026). Guidelines for Promoting Positive financial behaviors to Enhance Thai Middle-Class Pre-Retirees’ Financial Well-Being. </w:t>
      </w:r>
      <w:r w:rsidRPr="00C84D20">
        <w:rPr>
          <w:rFonts w:ascii="Arial" w:hAnsi="Arial" w:cs="Arial"/>
          <w:i/>
          <w:iCs/>
          <w:sz w:val="22"/>
          <w:szCs w:val="22"/>
        </w:rPr>
        <w:t>The Journal of Behavioral Science</w:t>
      </w:r>
      <w:r w:rsidRPr="00C84D20">
        <w:rPr>
          <w:rFonts w:ascii="Arial" w:hAnsi="Arial" w:cs="Arial"/>
          <w:sz w:val="22"/>
          <w:szCs w:val="22"/>
        </w:rPr>
        <w:t xml:space="preserve">, </w:t>
      </w:r>
      <w:r w:rsidRPr="00C84D20">
        <w:rPr>
          <w:rFonts w:ascii="Arial" w:hAnsi="Arial" w:cs="Arial"/>
          <w:i/>
          <w:iCs/>
          <w:sz w:val="22"/>
          <w:szCs w:val="22"/>
        </w:rPr>
        <w:t>21</w:t>
      </w:r>
      <w:r w:rsidRPr="00C84D20">
        <w:rPr>
          <w:rFonts w:ascii="Arial" w:hAnsi="Arial" w:cs="Arial"/>
          <w:sz w:val="22"/>
          <w:szCs w:val="22"/>
        </w:rPr>
        <w:t>(1), 30–44. https://doi.org/10.69523/tjbs.2026.280917</w:t>
      </w:r>
    </w:p>
    <w:p w14:paraId="7AD5C4EF"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Papadopoulos, E. J., Bush, E. N., </w:t>
      </w:r>
      <w:proofErr w:type="spellStart"/>
      <w:r w:rsidRPr="00C84D20">
        <w:rPr>
          <w:rFonts w:ascii="Arial" w:hAnsi="Arial" w:cs="Arial"/>
          <w:sz w:val="22"/>
          <w:szCs w:val="22"/>
        </w:rPr>
        <w:t>Eremenco</w:t>
      </w:r>
      <w:proofErr w:type="spellEnd"/>
      <w:r w:rsidRPr="00C84D20">
        <w:rPr>
          <w:rFonts w:ascii="Arial" w:hAnsi="Arial" w:cs="Arial"/>
          <w:sz w:val="22"/>
          <w:szCs w:val="22"/>
        </w:rPr>
        <w:t xml:space="preserve">, S., &amp; Coons, S. J. (2019). Why reinvent the wheel? Use or modification of existing clinical outcome assessment tools in medical product development. </w:t>
      </w:r>
      <w:r w:rsidRPr="00C84D20">
        <w:rPr>
          <w:rFonts w:ascii="Arial" w:hAnsi="Arial" w:cs="Arial"/>
          <w:i/>
          <w:iCs/>
          <w:sz w:val="22"/>
          <w:szCs w:val="22"/>
        </w:rPr>
        <w:t>Value in Health</w:t>
      </w:r>
      <w:r w:rsidRPr="00C84D20">
        <w:rPr>
          <w:rFonts w:ascii="Arial" w:hAnsi="Arial" w:cs="Arial"/>
          <w:sz w:val="22"/>
          <w:szCs w:val="22"/>
        </w:rPr>
        <w:t xml:space="preserve">, </w:t>
      </w:r>
      <w:r w:rsidRPr="00C84D20">
        <w:rPr>
          <w:rFonts w:ascii="Arial" w:hAnsi="Arial" w:cs="Arial"/>
          <w:i/>
          <w:iCs/>
          <w:sz w:val="22"/>
          <w:szCs w:val="22"/>
        </w:rPr>
        <w:t>23</w:t>
      </w:r>
      <w:r w:rsidRPr="00C84D20">
        <w:rPr>
          <w:rFonts w:ascii="Arial" w:hAnsi="Arial" w:cs="Arial"/>
          <w:sz w:val="22"/>
          <w:szCs w:val="22"/>
        </w:rPr>
        <w:t xml:space="preserve">(2), 151–153. </w:t>
      </w:r>
      <w:hyperlink r:id="rId23" w:history="1">
        <w:r w:rsidRPr="00C84D20">
          <w:rPr>
            <w:rStyle w:val="Hyperlink"/>
            <w:rFonts w:ascii="Arial" w:hAnsi="Arial" w:cs="Arial"/>
            <w:color w:val="auto"/>
            <w:sz w:val="22"/>
            <w:szCs w:val="22"/>
            <w:u w:val="none"/>
          </w:rPr>
          <w:t>https://doi.org/10.1016/j.jval.2019.09.2745</w:t>
        </w:r>
      </w:hyperlink>
    </w:p>
    <w:p w14:paraId="75F0F06B"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Pescasiosa</w:t>
      </w:r>
      <w:proofErr w:type="spellEnd"/>
      <w:r w:rsidRPr="00C84D20">
        <w:rPr>
          <w:rFonts w:ascii="Arial" w:hAnsi="Arial" w:cs="Arial"/>
          <w:sz w:val="22"/>
          <w:szCs w:val="22"/>
        </w:rPr>
        <w:t xml:space="preserve">, C., &amp; </w:t>
      </w:r>
      <w:proofErr w:type="spellStart"/>
      <w:r w:rsidRPr="00C84D20">
        <w:rPr>
          <w:rFonts w:ascii="Arial" w:hAnsi="Arial" w:cs="Arial"/>
          <w:sz w:val="22"/>
          <w:szCs w:val="22"/>
        </w:rPr>
        <w:t>Namuag</w:t>
      </w:r>
      <w:proofErr w:type="spellEnd"/>
      <w:r w:rsidRPr="00C84D20">
        <w:rPr>
          <w:rFonts w:ascii="Arial" w:hAnsi="Arial" w:cs="Arial"/>
          <w:sz w:val="22"/>
          <w:szCs w:val="22"/>
        </w:rPr>
        <w:t xml:space="preserve">, L. (2026). Planning behaviors and retirement satisfaction among retired teachers in Department of Education, </w:t>
      </w:r>
      <w:proofErr w:type="spellStart"/>
      <w:r w:rsidRPr="00C84D20">
        <w:rPr>
          <w:rFonts w:ascii="Arial" w:hAnsi="Arial" w:cs="Arial"/>
          <w:sz w:val="22"/>
          <w:szCs w:val="22"/>
        </w:rPr>
        <w:t>Polomolok</w:t>
      </w:r>
      <w:proofErr w:type="spellEnd"/>
      <w:r w:rsidRPr="00C84D20">
        <w:rPr>
          <w:rFonts w:ascii="Arial" w:hAnsi="Arial" w:cs="Arial"/>
          <w:sz w:val="22"/>
          <w:szCs w:val="22"/>
        </w:rPr>
        <w:t xml:space="preserve"> East District. </w:t>
      </w:r>
      <w:r w:rsidRPr="00C84D20">
        <w:rPr>
          <w:rFonts w:ascii="Arial" w:hAnsi="Arial" w:cs="Arial"/>
          <w:i/>
          <w:iCs/>
          <w:sz w:val="22"/>
          <w:szCs w:val="22"/>
        </w:rPr>
        <w:t>International Journal for Multidisciplinary Research</w:t>
      </w:r>
      <w:r w:rsidRPr="00C84D20">
        <w:rPr>
          <w:rFonts w:ascii="Arial" w:hAnsi="Arial" w:cs="Arial"/>
          <w:sz w:val="22"/>
          <w:szCs w:val="22"/>
        </w:rPr>
        <w:t xml:space="preserve">, </w:t>
      </w:r>
      <w:r w:rsidRPr="00C84D20">
        <w:rPr>
          <w:rFonts w:ascii="Arial" w:hAnsi="Arial" w:cs="Arial"/>
          <w:i/>
          <w:iCs/>
          <w:sz w:val="22"/>
          <w:szCs w:val="22"/>
        </w:rPr>
        <w:t>8</w:t>
      </w:r>
      <w:r w:rsidRPr="00C84D20">
        <w:rPr>
          <w:rFonts w:ascii="Arial" w:hAnsi="Arial" w:cs="Arial"/>
          <w:sz w:val="22"/>
          <w:szCs w:val="22"/>
        </w:rPr>
        <w:t>(2). https://doi.org/10.36948/ijfmr.2026.v08i02.72705</w:t>
      </w:r>
    </w:p>
    <w:p w14:paraId="374432C8"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Radhakrishnan, S., N, S. V., &amp; Johnson, M. (2022). Demographic and socio-economic factors influencing financial preparedness and the level of preparedness of salaried women in India. </w:t>
      </w:r>
      <w:r w:rsidRPr="00C84D20">
        <w:rPr>
          <w:rFonts w:ascii="Arial" w:hAnsi="Arial" w:cs="Arial"/>
          <w:i/>
          <w:iCs/>
          <w:sz w:val="22"/>
          <w:szCs w:val="22"/>
        </w:rPr>
        <w:t>Research Square</w:t>
      </w:r>
      <w:r w:rsidRPr="00C84D20">
        <w:rPr>
          <w:rFonts w:ascii="Arial" w:hAnsi="Arial" w:cs="Arial"/>
          <w:sz w:val="22"/>
          <w:szCs w:val="22"/>
        </w:rPr>
        <w:t>. https://doi.org/10.21203/rs.3.rs-2055353/v1</w:t>
      </w:r>
    </w:p>
    <w:p w14:paraId="4E5CEA83"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Ramli, N. I. S., &amp; Shariff, N. S. M. (2023). A Study on Retirement Preparedness and Confidence among Private Sector Employees in Malaysia. </w:t>
      </w:r>
      <w:r w:rsidRPr="00C84D20">
        <w:rPr>
          <w:rFonts w:ascii="Arial" w:hAnsi="Arial" w:cs="Arial"/>
          <w:i/>
          <w:iCs/>
          <w:sz w:val="22"/>
          <w:szCs w:val="22"/>
        </w:rPr>
        <w:t>Malaysian Journal of Science Health &amp; Technology</w:t>
      </w:r>
      <w:r w:rsidRPr="00C84D20">
        <w:rPr>
          <w:rFonts w:ascii="Arial" w:hAnsi="Arial" w:cs="Arial"/>
          <w:sz w:val="22"/>
          <w:szCs w:val="22"/>
        </w:rPr>
        <w:t>, 153–163. https://doi.org/10.33102/mjosht.v9i2.328</w:t>
      </w:r>
    </w:p>
    <w:p w14:paraId="5D9D84D8"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Reyes, O. A. (2024). FINANCIAL PROFILE AND ATTITUDES TOWARDS RETIREMENT: EVIDENCE FROM EMPLOYEES ELIGIBLE FOR RETIREMENT. Malaysian Mental Health Journal, 3(2), 50–59. </w:t>
      </w:r>
      <w:proofErr w:type="gramStart"/>
      <w:r w:rsidRPr="00C84D20">
        <w:rPr>
          <w:rFonts w:ascii="Arial" w:hAnsi="Arial" w:cs="Arial"/>
          <w:sz w:val="22"/>
          <w:szCs w:val="22"/>
        </w:rPr>
        <w:t>https://doi.org/10.26480/mmhj.02.2024.50.59[</w:t>
      </w:r>
      <w:proofErr w:type="gramEnd"/>
      <w:r w:rsidRPr="00C84D20">
        <w:rPr>
          <w:rFonts w:ascii="Arial" w:hAnsi="Arial" w:cs="Arial"/>
          <w:sz w:val="22"/>
          <w:szCs w:val="22"/>
        </w:rPr>
        <w:t xml:space="preserve">Rogel, G. (2025). From Class to Business Venture: High School Teachers’ Perceptions of Starting a Business after Retirement. </w:t>
      </w:r>
      <w:r w:rsidRPr="00C84D20">
        <w:rPr>
          <w:rFonts w:ascii="Arial" w:hAnsi="Arial" w:cs="Arial"/>
          <w:i/>
          <w:iCs/>
          <w:sz w:val="22"/>
          <w:szCs w:val="22"/>
        </w:rPr>
        <w:t>Psychology and Education a Multidisciplinary Journal</w:t>
      </w:r>
      <w:r w:rsidRPr="00C84D20">
        <w:rPr>
          <w:rFonts w:ascii="Arial" w:hAnsi="Arial" w:cs="Arial"/>
          <w:sz w:val="22"/>
          <w:szCs w:val="22"/>
        </w:rPr>
        <w:t xml:space="preserve">, </w:t>
      </w:r>
      <w:r w:rsidRPr="00C84D20">
        <w:rPr>
          <w:rFonts w:ascii="Arial" w:hAnsi="Arial" w:cs="Arial"/>
          <w:i/>
          <w:iCs/>
          <w:sz w:val="22"/>
          <w:szCs w:val="22"/>
        </w:rPr>
        <w:t>41</w:t>
      </w:r>
      <w:r w:rsidRPr="00C84D20">
        <w:rPr>
          <w:rFonts w:ascii="Arial" w:hAnsi="Arial" w:cs="Arial"/>
          <w:sz w:val="22"/>
          <w:szCs w:val="22"/>
        </w:rPr>
        <w:t>(9), 1074–1084. https://doi.org/10.70838/pemj.410909</w:t>
      </w:r>
    </w:p>
    <w:p w14:paraId="7EFE49D3"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Rogers, D., Rogers, P., &amp; Armada, M. R. (2025). FINANCIAL WELL-BEING, HEALTH, AND QUALITY OF LIFE: EVIDENCE FROM INVESTORS IN THE BRAZILIAN CAPITAL MARKET. </w:t>
      </w:r>
      <w:r w:rsidRPr="00C84D20">
        <w:rPr>
          <w:rFonts w:ascii="Arial" w:hAnsi="Arial" w:cs="Arial"/>
          <w:i/>
          <w:iCs/>
          <w:sz w:val="22"/>
          <w:szCs w:val="22"/>
        </w:rPr>
        <w:t>International Journal for Quality Research</w:t>
      </w:r>
      <w:r w:rsidRPr="00C84D20">
        <w:rPr>
          <w:rFonts w:ascii="Arial" w:hAnsi="Arial" w:cs="Arial"/>
          <w:sz w:val="22"/>
          <w:szCs w:val="22"/>
        </w:rPr>
        <w:t xml:space="preserve">, </w:t>
      </w:r>
      <w:r w:rsidRPr="00C84D20">
        <w:rPr>
          <w:rFonts w:ascii="Arial" w:hAnsi="Arial" w:cs="Arial"/>
          <w:i/>
          <w:iCs/>
          <w:sz w:val="22"/>
          <w:szCs w:val="22"/>
        </w:rPr>
        <w:t>19</w:t>
      </w:r>
      <w:r w:rsidRPr="00C84D20">
        <w:rPr>
          <w:rFonts w:ascii="Arial" w:hAnsi="Arial" w:cs="Arial"/>
          <w:sz w:val="22"/>
          <w:szCs w:val="22"/>
        </w:rPr>
        <w:t>(3), 761–778. https://doi.org/10.24874/ijqr19.03-05</w:t>
      </w:r>
    </w:p>
    <w:p w14:paraId="7C63316A"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Safari, K., Njoka, C., &amp; </w:t>
      </w:r>
      <w:proofErr w:type="spellStart"/>
      <w:r w:rsidRPr="00C84D20">
        <w:rPr>
          <w:rFonts w:ascii="Arial" w:hAnsi="Arial" w:cs="Arial"/>
          <w:sz w:val="22"/>
          <w:szCs w:val="22"/>
        </w:rPr>
        <w:t>Munkwa</w:t>
      </w:r>
      <w:proofErr w:type="spellEnd"/>
      <w:r w:rsidRPr="00C84D20">
        <w:rPr>
          <w:rFonts w:ascii="Arial" w:hAnsi="Arial" w:cs="Arial"/>
          <w:sz w:val="22"/>
          <w:szCs w:val="22"/>
        </w:rPr>
        <w:t xml:space="preserve">, M. G. (2021). Financial literacy and personal retirement planning: a socioeconomic approach. </w:t>
      </w:r>
      <w:r w:rsidRPr="00C84D20">
        <w:rPr>
          <w:rFonts w:ascii="Arial" w:hAnsi="Arial" w:cs="Arial"/>
          <w:i/>
          <w:iCs/>
          <w:sz w:val="22"/>
          <w:szCs w:val="22"/>
        </w:rPr>
        <w:t>Journal of Business and Socio-economic Development</w:t>
      </w:r>
      <w:r w:rsidRPr="00C84D20">
        <w:rPr>
          <w:rFonts w:ascii="Arial" w:hAnsi="Arial" w:cs="Arial"/>
          <w:sz w:val="22"/>
          <w:szCs w:val="22"/>
        </w:rPr>
        <w:t xml:space="preserve">, </w:t>
      </w:r>
      <w:r w:rsidRPr="00C84D20">
        <w:rPr>
          <w:rFonts w:ascii="Arial" w:hAnsi="Arial" w:cs="Arial"/>
          <w:i/>
          <w:iCs/>
          <w:sz w:val="22"/>
          <w:szCs w:val="22"/>
        </w:rPr>
        <w:t>1</w:t>
      </w:r>
      <w:r w:rsidRPr="00C84D20">
        <w:rPr>
          <w:rFonts w:ascii="Arial" w:hAnsi="Arial" w:cs="Arial"/>
          <w:sz w:val="22"/>
          <w:szCs w:val="22"/>
        </w:rPr>
        <w:t>(2), 121–134. https://doi.org/10.1108/jbsed-04-2021-0052</w:t>
      </w:r>
    </w:p>
    <w:p w14:paraId="046BA2D4"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Silver, M. P., Wong, J. V., Barrett, K., Teshome, B., Hou, C., Lalchand, P., &amp; </w:t>
      </w:r>
      <w:proofErr w:type="spellStart"/>
      <w:r w:rsidRPr="00C84D20">
        <w:rPr>
          <w:rFonts w:ascii="Arial" w:hAnsi="Arial" w:cs="Arial"/>
          <w:sz w:val="22"/>
          <w:szCs w:val="22"/>
        </w:rPr>
        <w:t>Santhikumaran</w:t>
      </w:r>
      <w:proofErr w:type="spellEnd"/>
      <w:r w:rsidRPr="00C84D20">
        <w:rPr>
          <w:rFonts w:ascii="Arial" w:hAnsi="Arial" w:cs="Arial"/>
          <w:sz w:val="22"/>
          <w:szCs w:val="22"/>
        </w:rPr>
        <w:t xml:space="preserve">, S. (2025). A scoping review and synthesis of the literature on retirement among academic health professionals. </w:t>
      </w:r>
      <w:r w:rsidRPr="00C84D20">
        <w:rPr>
          <w:rFonts w:ascii="Arial" w:hAnsi="Arial" w:cs="Arial"/>
          <w:i/>
          <w:iCs/>
          <w:sz w:val="22"/>
          <w:szCs w:val="22"/>
        </w:rPr>
        <w:t>Discover Health Systems</w:t>
      </w:r>
      <w:r w:rsidRPr="00C84D20">
        <w:rPr>
          <w:rFonts w:ascii="Arial" w:hAnsi="Arial" w:cs="Arial"/>
          <w:sz w:val="22"/>
          <w:szCs w:val="22"/>
        </w:rPr>
        <w:t xml:space="preserve">, </w:t>
      </w:r>
      <w:r w:rsidRPr="00C84D20">
        <w:rPr>
          <w:rFonts w:ascii="Arial" w:hAnsi="Arial" w:cs="Arial"/>
          <w:i/>
          <w:iCs/>
          <w:sz w:val="22"/>
          <w:szCs w:val="22"/>
        </w:rPr>
        <w:t>4</w:t>
      </w:r>
      <w:r w:rsidRPr="00C84D20">
        <w:rPr>
          <w:rFonts w:ascii="Arial" w:hAnsi="Arial" w:cs="Arial"/>
          <w:sz w:val="22"/>
          <w:szCs w:val="22"/>
        </w:rPr>
        <w:t>(1). https://doi.org/10.1007/s44250-025-00221-x</w:t>
      </w:r>
    </w:p>
    <w:p w14:paraId="3052411C"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Singh, S. (2024, December 12). </w:t>
      </w:r>
      <w:r w:rsidRPr="00C84D20">
        <w:rPr>
          <w:rFonts w:ascii="Arial" w:hAnsi="Arial" w:cs="Arial"/>
          <w:i/>
          <w:iCs/>
          <w:sz w:val="22"/>
          <w:szCs w:val="22"/>
        </w:rPr>
        <w:t xml:space="preserve">What is Descriptive Research? Definition, Methods, Types and Examples | </w:t>
      </w:r>
      <w:proofErr w:type="spellStart"/>
      <w:r w:rsidRPr="00C84D20">
        <w:rPr>
          <w:rFonts w:ascii="Arial" w:hAnsi="Arial" w:cs="Arial"/>
          <w:i/>
          <w:iCs/>
          <w:sz w:val="22"/>
          <w:szCs w:val="22"/>
        </w:rPr>
        <w:t>Researcher.Life</w:t>
      </w:r>
      <w:proofErr w:type="spellEnd"/>
      <w:r w:rsidRPr="00C84D20">
        <w:rPr>
          <w:rFonts w:ascii="Arial" w:hAnsi="Arial" w:cs="Arial"/>
          <w:sz w:val="22"/>
          <w:szCs w:val="22"/>
        </w:rPr>
        <w:t xml:space="preserve">. </w:t>
      </w:r>
      <w:hyperlink r:id="rId24" w:history="1">
        <w:r w:rsidRPr="00C84D20">
          <w:rPr>
            <w:rStyle w:val="Hyperlink"/>
            <w:rFonts w:ascii="Arial" w:hAnsi="Arial" w:cs="Arial"/>
            <w:color w:val="auto"/>
            <w:sz w:val="22"/>
            <w:szCs w:val="22"/>
            <w:u w:val="none"/>
          </w:rPr>
          <w:t>https://researcher.life/blog/article/what-is-descriptive-research-definition-methods-types-and-examples/</w:t>
        </w:r>
      </w:hyperlink>
    </w:p>
    <w:p w14:paraId="5E989B73"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Sreekumar, D. (2024, December 12). </w:t>
      </w:r>
      <w:r w:rsidRPr="00C84D20">
        <w:rPr>
          <w:rFonts w:ascii="Arial" w:hAnsi="Arial" w:cs="Arial"/>
          <w:i/>
          <w:iCs/>
          <w:sz w:val="22"/>
          <w:szCs w:val="22"/>
        </w:rPr>
        <w:t xml:space="preserve">What is Quantitative Research? Definition, Methods, Types, and Examples | </w:t>
      </w:r>
      <w:proofErr w:type="spellStart"/>
      <w:r w:rsidRPr="00C84D20">
        <w:rPr>
          <w:rFonts w:ascii="Arial" w:hAnsi="Arial" w:cs="Arial"/>
          <w:i/>
          <w:iCs/>
          <w:sz w:val="22"/>
          <w:szCs w:val="22"/>
        </w:rPr>
        <w:t>Researcher.Life</w:t>
      </w:r>
      <w:proofErr w:type="spellEnd"/>
      <w:r w:rsidRPr="00C84D20">
        <w:rPr>
          <w:rFonts w:ascii="Arial" w:hAnsi="Arial" w:cs="Arial"/>
          <w:sz w:val="22"/>
          <w:szCs w:val="22"/>
        </w:rPr>
        <w:t xml:space="preserve">. </w:t>
      </w:r>
      <w:hyperlink r:id="rId25" w:history="1">
        <w:r w:rsidRPr="00C84D20">
          <w:rPr>
            <w:rStyle w:val="Hyperlink"/>
            <w:rFonts w:ascii="Arial" w:hAnsi="Arial" w:cs="Arial"/>
            <w:color w:val="auto"/>
            <w:sz w:val="22"/>
            <w:szCs w:val="22"/>
            <w:u w:val="none"/>
          </w:rPr>
          <w:t>https://researcher.life/blog/article/what-is-quantitative-research-types-and-examples/</w:t>
        </w:r>
      </w:hyperlink>
    </w:p>
    <w:p w14:paraId="1F90612C"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Stanimirović</w:t>
      </w:r>
      <w:proofErr w:type="spellEnd"/>
      <w:r w:rsidRPr="00C84D20">
        <w:rPr>
          <w:rFonts w:ascii="Arial" w:hAnsi="Arial" w:cs="Arial"/>
          <w:sz w:val="22"/>
          <w:szCs w:val="22"/>
        </w:rPr>
        <w:t xml:space="preserve">, D., &amp; </w:t>
      </w:r>
      <w:proofErr w:type="spellStart"/>
      <w:r w:rsidRPr="00C84D20">
        <w:rPr>
          <w:rFonts w:ascii="Arial" w:hAnsi="Arial" w:cs="Arial"/>
          <w:sz w:val="22"/>
          <w:szCs w:val="22"/>
        </w:rPr>
        <w:t>Brinovec</w:t>
      </w:r>
      <w:proofErr w:type="spellEnd"/>
      <w:r w:rsidRPr="00C84D20">
        <w:rPr>
          <w:rFonts w:ascii="Arial" w:hAnsi="Arial" w:cs="Arial"/>
          <w:sz w:val="22"/>
          <w:szCs w:val="22"/>
        </w:rPr>
        <w:t xml:space="preserve">, R. P. (2023). Management of health care workforce. </w:t>
      </w:r>
      <w:r w:rsidRPr="00C84D20">
        <w:rPr>
          <w:rFonts w:ascii="Arial" w:hAnsi="Arial" w:cs="Arial"/>
          <w:i/>
          <w:iCs/>
          <w:sz w:val="22"/>
          <w:szCs w:val="22"/>
        </w:rPr>
        <w:t>Management</w:t>
      </w:r>
      <w:r w:rsidRPr="00C84D20">
        <w:rPr>
          <w:rFonts w:ascii="Arial" w:hAnsi="Arial" w:cs="Arial"/>
          <w:sz w:val="22"/>
          <w:szCs w:val="22"/>
        </w:rPr>
        <w:t xml:space="preserve">, </w:t>
      </w:r>
      <w:r w:rsidRPr="00C84D20">
        <w:rPr>
          <w:rFonts w:ascii="Arial" w:hAnsi="Arial" w:cs="Arial"/>
          <w:i/>
          <w:iCs/>
          <w:sz w:val="22"/>
          <w:szCs w:val="22"/>
        </w:rPr>
        <w:t>28</w:t>
      </w:r>
      <w:r w:rsidRPr="00C84D20">
        <w:rPr>
          <w:rFonts w:ascii="Arial" w:hAnsi="Arial" w:cs="Arial"/>
          <w:sz w:val="22"/>
          <w:szCs w:val="22"/>
        </w:rPr>
        <w:t>(1), 29–43. https://doi.org/10.30924/mjcmi.28.1.3</w:t>
      </w:r>
    </w:p>
    <w:p w14:paraId="00EC9906"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Sundarasen</w:t>
      </w:r>
      <w:proofErr w:type="spellEnd"/>
      <w:r w:rsidRPr="00C84D20">
        <w:rPr>
          <w:rFonts w:ascii="Arial" w:hAnsi="Arial" w:cs="Arial"/>
          <w:sz w:val="22"/>
          <w:szCs w:val="22"/>
        </w:rPr>
        <w:t xml:space="preserve">, S., Rajagopalan, U., &amp; Ibrahim, I. (2024). Financial sustainability through literacy and retirement preparedness. </w:t>
      </w:r>
      <w:r w:rsidRPr="00C84D20">
        <w:rPr>
          <w:rFonts w:ascii="Arial" w:hAnsi="Arial" w:cs="Arial"/>
          <w:i/>
          <w:iCs/>
          <w:sz w:val="22"/>
          <w:szCs w:val="22"/>
        </w:rPr>
        <w:t>Sustainability</w:t>
      </w:r>
      <w:r w:rsidRPr="00C84D20">
        <w:rPr>
          <w:rFonts w:ascii="Arial" w:hAnsi="Arial" w:cs="Arial"/>
          <w:sz w:val="22"/>
          <w:szCs w:val="22"/>
        </w:rPr>
        <w:t xml:space="preserve">, </w:t>
      </w:r>
      <w:r w:rsidRPr="00C84D20">
        <w:rPr>
          <w:rFonts w:ascii="Arial" w:hAnsi="Arial" w:cs="Arial"/>
          <w:i/>
          <w:iCs/>
          <w:sz w:val="22"/>
          <w:szCs w:val="22"/>
        </w:rPr>
        <w:t>16</w:t>
      </w:r>
      <w:r w:rsidRPr="00C84D20">
        <w:rPr>
          <w:rFonts w:ascii="Arial" w:hAnsi="Arial" w:cs="Arial"/>
          <w:sz w:val="22"/>
          <w:szCs w:val="22"/>
        </w:rPr>
        <w:t>(23), 10692. https://doi.org/10.3390/su162310692</w:t>
      </w:r>
    </w:p>
    <w:p w14:paraId="0FB72BF6"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Taber, K. S. (2018). The use of Cronbach’s alpha when developing and reporting research instruments in science education. </w:t>
      </w:r>
      <w:r w:rsidRPr="00C84D20">
        <w:rPr>
          <w:rFonts w:ascii="Arial" w:hAnsi="Arial" w:cs="Arial"/>
          <w:i/>
          <w:iCs/>
          <w:sz w:val="22"/>
          <w:szCs w:val="22"/>
        </w:rPr>
        <w:t>Research in Science Education, 48</w:t>
      </w:r>
      <w:r w:rsidRPr="00C84D20">
        <w:rPr>
          <w:rFonts w:ascii="Arial" w:hAnsi="Arial" w:cs="Arial"/>
          <w:sz w:val="22"/>
          <w:szCs w:val="22"/>
        </w:rPr>
        <w:t xml:space="preserve">, 1273–1296. </w:t>
      </w:r>
      <w:hyperlink r:id="rId26" w:tgtFrame="_new" w:history="1">
        <w:r w:rsidRPr="00C84D20">
          <w:rPr>
            <w:rStyle w:val="Hyperlink"/>
            <w:rFonts w:ascii="Arial" w:hAnsi="Arial" w:cs="Arial"/>
            <w:color w:val="auto"/>
            <w:sz w:val="22"/>
            <w:szCs w:val="22"/>
            <w:u w:val="none"/>
          </w:rPr>
          <w:t>https://doi.org/10.1007/s11165-016-9602-2</w:t>
        </w:r>
      </w:hyperlink>
      <w:r w:rsidRPr="00C84D20">
        <w:rPr>
          <w:rFonts w:ascii="Arial" w:hAnsi="Arial" w:cs="Arial"/>
          <w:sz w:val="22"/>
          <w:szCs w:val="22"/>
        </w:rPr>
        <w:t xml:space="preserve"> </w:t>
      </w:r>
    </w:p>
    <w:p w14:paraId="011E395D"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Teatin</w:t>
      </w:r>
      <w:proofErr w:type="spellEnd"/>
      <w:r w:rsidRPr="00C84D20">
        <w:rPr>
          <w:rFonts w:ascii="Arial" w:hAnsi="Arial" w:cs="Arial"/>
          <w:sz w:val="22"/>
          <w:szCs w:val="22"/>
        </w:rPr>
        <w:t xml:space="preserve">, J. a. A., Romero-Muñoz, J. E., &amp; Blanco-Mesa, F. (2025). A qualitative fuzzy comparative analysis of patterns and relationships in financial variables. </w:t>
      </w:r>
      <w:proofErr w:type="spellStart"/>
      <w:r w:rsidRPr="00C84D20">
        <w:rPr>
          <w:rFonts w:ascii="Arial" w:hAnsi="Arial" w:cs="Arial"/>
          <w:i/>
          <w:iCs/>
          <w:sz w:val="22"/>
          <w:szCs w:val="22"/>
        </w:rPr>
        <w:t>Prometeica</w:t>
      </w:r>
      <w:proofErr w:type="spellEnd"/>
      <w:r w:rsidRPr="00C84D20">
        <w:rPr>
          <w:rFonts w:ascii="Arial" w:hAnsi="Arial" w:cs="Arial"/>
          <w:i/>
          <w:iCs/>
          <w:sz w:val="22"/>
          <w:szCs w:val="22"/>
        </w:rPr>
        <w:t xml:space="preserve"> - Revista De </w:t>
      </w:r>
      <w:proofErr w:type="spellStart"/>
      <w:r w:rsidRPr="00C84D20">
        <w:rPr>
          <w:rFonts w:ascii="Arial" w:hAnsi="Arial" w:cs="Arial"/>
          <w:i/>
          <w:iCs/>
          <w:sz w:val="22"/>
          <w:szCs w:val="22"/>
        </w:rPr>
        <w:t>Filosofía</w:t>
      </w:r>
      <w:proofErr w:type="spellEnd"/>
      <w:r w:rsidRPr="00C84D20">
        <w:rPr>
          <w:rFonts w:ascii="Arial" w:hAnsi="Arial" w:cs="Arial"/>
          <w:i/>
          <w:iCs/>
          <w:sz w:val="22"/>
          <w:szCs w:val="22"/>
        </w:rPr>
        <w:t xml:space="preserve"> Y </w:t>
      </w:r>
      <w:proofErr w:type="spellStart"/>
      <w:r w:rsidRPr="00C84D20">
        <w:rPr>
          <w:rFonts w:ascii="Arial" w:hAnsi="Arial" w:cs="Arial"/>
          <w:i/>
          <w:iCs/>
          <w:sz w:val="22"/>
          <w:szCs w:val="22"/>
        </w:rPr>
        <w:t>Ciencias</w:t>
      </w:r>
      <w:proofErr w:type="spellEnd"/>
      <w:r w:rsidRPr="00C84D20">
        <w:rPr>
          <w:rFonts w:ascii="Arial" w:hAnsi="Arial" w:cs="Arial"/>
          <w:sz w:val="22"/>
          <w:szCs w:val="22"/>
        </w:rPr>
        <w:t xml:space="preserve">, </w:t>
      </w:r>
      <w:r w:rsidRPr="00C84D20">
        <w:rPr>
          <w:rFonts w:ascii="Arial" w:hAnsi="Arial" w:cs="Arial"/>
          <w:i/>
          <w:iCs/>
          <w:sz w:val="22"/>
          <w:szCs w:val="22"/>
        </w:rPr>
        <w:t>32</w:t>
      </w:r>
      <w:r w:rsidRPr="00C84D20">
        <w:rPr>
          <w:rFonts w:ascii="Arial" w:hAnsi="Arial" w:cs="Arial"/>
          <w:sz w:val="22"/>
          <w:szCs w:val="22"/>
        </w:rPr>
        <w:t>. https://doi.org/10.34024/prometeica.2025.32.19752</w:t>
      </w:r>
    </w:p>
    <w:p w14:paraId="7F8B5E37"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Tolondon</w:t>
      </w:r>
      <w:proofErr w:type="spellEnd"/>
      <w:r w:rsidRPr="00C84D20">
        <w:rPr>
          <w:rFonts w:ascii="Arial" w:hAnsi="Arial" w:cs="Arial"/>
          <w:sz w:val="22"/>
          <w:szCs w:val="22"/>
        </w:rPr>
        <w:t xml:space="preserve">, F. a. M., &amp; </w:t>
      </w:r>
      <w:proofErr w:type="spellStart"/>
      <w:r w:rsidRPr="00C84D20">
        <w:rPr>
          <w:rFonts w:ascii="Arial" w:hAnsi="Arial" w:cs="Arial"/>
          <w:sz w:val="22"/>
          <w:szCs w:val="22"/>
        </w:rPr>
        <w:t>Ortizo</w:t>
      </w:r>
      <w:proofErr w:type="spellEnd"/>
      <w:r w:rsidRPr="00C84D20">
        <w:rPr>
          <w:rFonts w:ascii="Arial" w:hAnsi="Arial" w:cs="Arial"/>
          <w:sz w:val="22"/>
          <w:szCs w:val="22"/>
        </w:rPr>
        <w:t xml:space="preserve">, G. C. (2024a). Strategizing for the Future: A mixed method approach to Department of Education </w:t>
      </w:r>
      <w:proofErr w:type="gramStart"/>
      <w:r w:rsidRPr="00C84D20">
        <w:rPr>
          <w:rFonts w:ascii="Arial" w:hAnsi="Arial" w:cs="Arial"/>
          <w:sz w:val="22"/>
          <w:szCs w:val="22"/>
        </w:rPr>
        <w:t>employees</w:t>
      </w:r>
      <w:proofErr w:type="gramEnd"/>
      <w:r w:rsidRPr="00C84D20">
        <w:rPr>
          <w:rFonts w:ascii="Arial" w:hAnsi="Arial" w:cs="Arial"/>
          <w:sz w:val="22"/>
          <w:szCs w:val="22"/>
        </w:rPr>
        <w:t xml:space="preserve"> retirement readiness and lifestyle planning. </w:t>
      </w:r>
      <w:r w:rsidRPr="00C84D20">
        <w:rPr>
          <w:rFonts w:ascii="Arial" w:hAnsi="Arial" w:cs="Arial"/>
          <w:i/>
          <w:iCs/>
          <w:sz w:val="22"/>
          <w:szCs w:val="22"/>
        </w:rPr>
        <w:t xml:space="preserve">International Journal of </w:t>
      </w:r>
      <w:r w:rsidRPr="00C84D20">
        <w:rPr>
          <w:rFonts w:ascii="Arial" w:hAnsi="Arial" w:cs="Arial"/>
          <w:i/>
          <w:iCs/>
          <w:sz w:val="22"/>
          <w:szCs w:val="22"/>
        </w:rPr>
        <w:lastRenderedPageBreak/>
        <w:t>Scientific Research and Management (IJSRM)</w:t>
      </w:r>
      <w:r w:rsidRPr="00C84D20">
        <w:rPr>
          <w:rFonts w:ascii="Arial" w:hAnsi="Arial" w:cs="Arial"/>
          <w:sz w:val="22"/>
          <w:szCs w:val="22"/>
        </w:rPr>
        <w:t xml:space="preserve">, </w:t>
      </w:r>
      <w:r w:rsidRPr="00C84D20">
        <w:rPr>
          <w:rFonts w:ascii="Arial" w:hAnsi="Arial" w:cs="Arial"/>
          <w:i/>
          <w:iCs/>
          <w:sz w:val="22"/>
          <w:szCs w:val="22"/>
        </w:rPr>
        <w:t>12</w:t>
      </w:r>
      <w:r w:rsidRPr="00C84D20">
        <w:rPr>
          <w:rFonts w:ascii="Arial" w:hAnsi="Arial" w:cs="Arial"/>
          <w:sz w:val="22"/>
          <w:szCs w:val="22"/>
        </w:rPr>
        <w:t>(04), 3365–3379. https://doi.org/10.18535/ijsrm/v12i04.el07</w:t>
      </w:r>
    </w:p>
    <w:p w14:paraId="20AA59BC"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Tolondon</w:t>
      </w:r>
      <w:proofErr w:type="spellEnd"/>
      <w:r w:rsidRPr="00C84D20">
        <w:rPr>
          <w:rFonts w:ascii="Arial" w:hAnsi="Arial" w:cs="Arial"/>
          <w:sz w:val="22"/>
          <w:szCs w:val="22"/>
        </w:rPr>
        <w:t xml:space="preserve">, F. a. M., &amp; </w:t>
      </w:r>
      <w:proofErr w:type="spellStart"/>
      <w:r w:rsidRPr="00C84D20">
        <w:rPr>
          <w:rFonts w:ascii="Arial" w:hAnsi="Arial" w:cs="Arial"/>
          <w:sz w:val="22"/>
          <w:szCs w:val="22"/>
        </w:rPr>
        <w:t>Ortizo</w:t>
      </w:r>
      <w:proofErr w:type="spellEnd"/>
      <w:r w:rsidRPr="00C84D20">
        <w:rPr>
          <w:rFonts w:ascii="Arial" w:hAnsi="Arial" w:cs="Arial"/>
          <w:sz w:val="22"/>
          <w:szCs w:val="22"/>
        </w:rPr>
        <w:t xml:space="preserve">, G. C. (2024b). Strategizing for the Future: A mixed method approach to Department of Education </w:t>
      </w:r>
      <w:proofErr w:type="gramStart"/>
      <w:r w:rsidRPr="00C84D20">
        <w:rPr>
          <w:rFonts w:ascii="Arial" w:hAnsi="Arial" w:cs="Arial"/>
          <w:sz w:val="22"/>
          <w:szCs w:val="22"/>
        </w:rPr>
        <w:t>employees</w:t>
      </w:r>
      <w:proofErr w:type="gramEnd"/>
      <w:r w:rsidRPr="00C84D20">
        <w:rPr>
          <w:rFonts w:ascii="Arial" w:hAnsi="Arial" w:cs="Arial"/>
          <w:sz w:val="22"/>
          <w:szCs w:val="22"/>
        </w:rPr>
        <w:t xml:space="preserve"> retirement readiness and lifestyle planning. </w:t>
      </w:r>
      <w:r w:rsidRPr="00C84D20">
        <w:rPr>
          <w:rFonts w:ascii="Arial" w:hAnsi="Arial" w:cs="Arial"/>
          <w:i/>
          <w:iCs/>
          <w:sz w:val="22"/>
          <w:szCs w:val="22"/>
        </w:rPr>
        <w:t>International Journal of Scientific Research and Management (IJSRM)</w:t>
      </w:r>
      <w:r w:rsidRPr="00C84D20">
        <w:rPr>
          <w:rFonts w:ascii="Arial" w:hAnsi="Arial" w:cs="Arial"/>
          <w:sz w:val="22"/>
          <w:szCs w:val="22"/>
        </w:rPr>
        <w:t xml:space="preserve">, </w:t>
      </w:r>
      <w:r w:rsidRPr="00C84D20">
        <w:rPr>
          <w:rFonts w:ascii="Arial" w:hAnsi="Arial" w:cs="Arial"/>
          <w:i/>
          <w:iCs/>
          <w:sz w:val="22"/>
          <w:szCs w:val="22"/>
        </w:rPr>
        <w:t>12</w:t>
      </w:r>
      <w:r w:rsidRPr="00C84D20">
        <w:rPr>
          <w:rFonts w:ascii="Arial" w:hAnsi="Arial" w:cs="Arial"/>
          <w:sz w:val="22"/>
          <w:szCs w:val="22"/>
        </w:rPr>
        <w:t>(04), 3365–3379. https://doi.org/10.18535/ijsrm/v12i04.el07</w:t>
      </w:r>
    </w:p>
    <w:p w14:paraId="42413E5D"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Tsaih</w:t>
      </w:r>
      <w:proofErr w:type="spellEnd"/>
      <w:r w:rsidRPr="00C84D20">
        <w:rPr>
          <w:rFonts w:ascii="Arial" w:hAnsi="Arial" w:cs="Arial"/>
          <w:sz w:val="22"/>
          <w:szCs w:val="22"/>
        </w:rPr>
        <w:t xml:space="preserve">, Y., Chiang, H., &amp; </w:t>
      </w:r>
      <w:proofErr w:type="spellStart"/>
      <w:r w:rsidRPr="00C84D20">
        <w:rPr>
          <w:rFonts w:ascii="Arial" w:hAnsi="Arial" w:cs="Arial"/>
          <w:sz w:val="22"/>
          <w:szCs w:val="22"/>
        </w:rPr>
        <w:t>Prangcharoch</w:t>
      </w:r>
      <w:proofErr w:type="spellEnd"/>
      <w:r w:rsidRPr="00C84D20">
        <w:rPr>
          <w:rFonts w:ascii="Arial" w:hAnsi="Arial" w:cs="Arial"/>
          <w:sz w:val="22"/>
          <w:szCs w:val="22"/>
        </w:rPr>
        <w:t xml:space="preserve">, S. (2025). Key determinants of retirement financial planning in Thailand. </w:t>
      </w:r>
      <w:r w:rsidRPr="00C84D20">
        <w:rPr>
          <w:rFonts w:ascii="Arial" w:hAnsi="Arial" w:cs="Arial"/>
          <w:i/>
          <w:iCs/>
          <w:sz w:val="22"/>
          <w:szCs w:val="22"/>
        </w:rPr>
        <w:t>International Journal of Social Science and Human Research</w:t>
      </w:r>
      <w:r w:rsidRPr="00C84D20">
        <w:rPr>
          <w:rFonts w:ascii="Arial" w:hAnsi="Arial" w:cs="Arial"/>
          <w:sz w:val="22"/>
          <w:szCs w:val="22"/>
        </w:rPr>
        <w:t xml:space="preserve">, 08(04). </w:t>
      </w:r>
      <w:hyperlink r:id="rId27" w:history="1">
        <w:r w:rsidRPr="00C84D20">
          <w:rPr>
            <w:rStyle w:val="Hyperlink"/>
            <w:rFonts w:ascii="Arial" w:hAnsi="Arial" w:cs="Arial"/>
            <w:color w:val="auto"/>
            <w:sz w:val="22"/>
            <w:szCs w:val="22"/>
            <w:u w:val="none"/>
          </w:rPr>
          <w:t>https://doi.org/10.47191/ijsshr/v8-i4-26</w:t>
        </w:r>
      </w:hyperlink>
    </w:p>
    <w:p w14:paraId="5C02510C"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Ugwu, L. E., </w:t>
      </w:r>
      <w:proofErr w:type="spellStart"/>
      <w:r w:rsidRPr="00C84D20">
        <w:rPr>
          <w:rFonts w:ascii="Arial" w:hAnsi="Arial" w:cs="Arial"/>
          <w:sz w:val="22"/>
          <w:szCs w:val="22"/>
        </w:rPr>
        <w:t>Enwereuzor</w:t>
      </w:r>
      <w:proofErr w:type="spellEnd"/>
      <w:r w:rsidRPr="00C84D20">
        <w:rPr>
          <w:rFonts w:ascii="Arial" w:hAnsi="Arial" w:cs="Arial"/>
          <w:sz w:val="22"/>
          <w:szCs w:val="22"/>
        </w:rPr>
        <w:t xml:space="preserve">, I. K., Nwankwo, B. E., </w:t>
      </w:r>
      <w:proofErr w:type="spellStart"/>
      <w:r w:rsidRPr="00C84D20">
        <w:rPr>
          <w:rFonts w:ascii="Arial" w:hAnsi="Arial" w:cs="Arial"/>
          <w:sz w:val="22"/>
          <w:szCs w:val="22"/>
        </w:rPr>
        <w:t>Ugwueze</w:t>
      </w:r>
      <w:proofErr w:type="spellEnd"/>
      <w:r w:rsidRPr="00C84D20">
        <w:rPr>
          <w:rFonts w:ascii="Arial" w:hAnsi="Arial" w:cs="Arial"/>
          <w:sz w:val="22"/>
          <w:szCs w:val="22"/>
        </w:rPr>
        <w:t xml:space="preserve">, S., Ogba, F. N., </w:t>
      </w:r>
      <w:proofErr w:type="spellStart"/>
      <w:r w:rsidRPr="00C84D20">
        <w:rPr>
          <w:rFonts w:ascii="Arial" w:hAnsi="Arial" w:cs="Arial"/>
          <w:sz w:val="22"/>
          <w:szCs w:val="22"/>
        </w:rPr>
        <w:t>Nnadozie</w:t>
      </w:r>
      <w:proofErr w:type="spellEnd"/>
      <w:r w:rsidRPr="00C84D20">
        <w:rPr>
          <w:rFonts w:ascii="Arial" w:hAnsi="Arial" w:cs="Arial"/>
          <w:sz w:val="22"/>
          <w:szCs w:val="22"/>
        </w:rPr>
        <w:t xml:space="preserve">, E. E., Elom, C. O., Eze, A., &amp; Ezeh, M. A. (2021). Proactive personality and social support with pre-retirement anxiety: Mediating role of subjective career success. </w:t>
      </w:r>
      <w:r w:rsidRPr="00C84D20">
        <w:rPr>
          <w:rFonts w:ascii="Arial" w:hAnsi="Arial" w:cs="Arial"/>
          <w:i/>
          <w:iCs/>
          <w:sz w:val="22"/>
          <w:szCs w:val="22"/>
        </w:rPr>
        <w:t>Frontiers in Psychology</w:t>
      </w:r>
      <w:r w:rsidRPr="00C84D20">
        <w:rPr>
          <w:rFonts w:ascii="Arial" w:hAnsi="Arial" w:cs="Arial"/>
          <w:sz w:val="22"/>
          <w:szCs w:val="22"/>
        </w:rPr>
        <w:t xml:space="preserve">, </w:t>
      </w:r>
      <w:r w:rsidRPr="00C84D20">
        <w:rPr>
          <w:rFonts w:ascii="Arial" w:hAnsi="Arial" w:cs="Arial"/>
          <w:i/>
          <w:iCs/>
          <w:sz w:val="22"/>
          <w:szCs w:val="22"/>
        </w:rPr>
        <w:t>12</w:t>
      </w:r>
      <w:r w:rsidRPr="00C84D20">
        <w:rPr>
          <w:rFonts w:ascii="Arial" w:hAnsi="Arial" w:cs="Arial"/>
          <w:sz w:val="22"/>
          <w:szCs w:val="22"/>
        </w:rPr>
        <w:t>, 569065. https://doi.org/10.3389/fpsyg.2021.569065</w:t>
      </w:r>
    </w:p>
    <w:p w14:paraId="5FEC1C57" w14:textId="77777777" w:rsidR="00C84D20" w:rsidRPr="00C84D20" w:rsidRDefault="00C84D20" w:rsidP="00C84D20">
      <w:pPr>
        <w:pStyle w:val="Bibliography"/>
        <w:spacing w:after="0" w:line="240" w:lineRule="auto"/>
        <w:ind w:left="567" w:hanging="567"/>
        <w:rPr>
          <w:rFonts w:ascii="Arial" w:hAnsi="Arial" w:cs="Arial"/>
          <w:sz w:val="22"/>
          <w:szCs w:val="22"/>
        </w:rPr>
      </w:pPr>
      <w:proofErr w:type="spellStart"/>
      <w:r w:rsidRPr="00C84D20">
        <w:rPr>
          <w:rFonts w:ascii="Arial" w:hAnsi="Arial" w:cs="Arial"/>
          <w:sz w:val="22"/>
          <w:szCs w:val="22"/>
        </w:rPr>
        <w:t>Ujoatuonu</w:t>
      </w:r>
      <w:proofErr w:type="spellEnd"/>
      <w:r w:rsidRPr="00C84D20">
        <w:rPr>
          <w:rFonts w:ascii="Arial" w:hAnsi="Arial" w:cs="Arial"/>
          <w:sz w:val="22"/>
          <w:szCs w:val="22"/>
        </w:rPr>
        <w:t xml:space="preserve">, I. V. N., Ike, O. O., </w:t>
      </w:r>
      <w:proofErr w:type="spellStart"/>
      <w:r w:rsidRPr="00C84D20">
        <w:rPr>
          <w:rFonts w:ascii="Arial" w:hAnsi="Arial" w:cs="Arial"/>
          <w:sz w:val="22"/>
          <w:szCs w:val="22"/>
        </w:rPr>
        <w:t>Amazue</w:t>
      </w:r>
      <w:proofErr w:type="spellEnd"/>
      <w:r w:rsidRPr="00C84D20">
        <w:rPr>
          <w:rFonts w:ascii="Arial" w:hAnsi="Arial" w:cs="Arial"/>
          <w:sz w:val="22"/>
          <w:szCs w:val="22"/>
        </w:rPr>
        <w:t xml:space="preserve">, L. O., &amp; Kanu, G. C. (2023). Financial Self-Efficacy, Retirement Goal Clarity, and Pre-retirement Anxiety among Nurses in Southeast, Nigeria: The Mediating Role of Job Embeddedness. </w:t>
      </w:r>
      <w:r w:rsidRPr="00C84D20">
        <w:rPr>
          <w:rFonts w:ascii="Arial" w:hAnsi="Arial" w:cs="Arial"/>
          <w:i/>
          <w:iCs/>
          <w:sz w:val="22"/>
          <w:szCs w:val="22"/>
        </w:rPr>
        <w:t>Innovation in Aging</w:t>
      </w:r>
      <w:r w:rsidRPr="00C84D20">
        <w:rPr>
          <w:rFonts w:ascii="Arial" w:hAnsi="Arial" w:cs="Arial"/>
          <w:sz w:val="22"/>
          <w:szCs w:val="22"/>
        </w:rPr>
        <w:t xml:space="preserve">, </w:t>
      </w:r>
      <w:r w:rsidRPr="00C84D20">
        <w:rPr>
          <w:rFonts w:ascii="Arial" w:hAnsi="Arial" w:cs="Arial"/>
          <w:i/>
          <w:iCs/>
          <w:sz w:val="22"/>
          <w:szCs w:val="22"/>
        </w:rPr>
        <w:t>8</w:t>
      </w:r>
      <w:r w:rsidRPr="00C84D20">
        <w:rPr>
          <w:rFonts w:ascii="Arial" w:hAnsi="Arial" w:cs="Arial"/>
          <w:sz w:val="22"/>
          <w:szCs w:val="22"/>
        </w:rPr>
        <w:t>(4), igad067. https://doi.org/10.1093/geroni/igad067</w:t>
      </w:r>
    </w:p>
    <w:p w14:paraId="00080D6D" w14:textId="77777777" w:rsidR="00C84D20" w:rsidRPr="00C84D20" w:rsidRDefault="00C84D20" w:rsidP="00C84D20">
      <w:pPr>
        <w:pStyle w:val="NormalWeb"/>
        <w:spacing w:before="0" w:beforeAutospacing="0" w:after="0" w:afterAutospacing="0"/>
        <w:ind w:left="720" w:hanging="720"/>
        <w:rPr>
          <w:rStyle w:val="url"/>
          <w:rFonts w:ascii="Arial" w:hAnsi="Arial" w:cs="Arial"/>
          <w:sz w:val="22"/>
          <w:szCs w:val="22"/>
        </w:rPr>
      </w:pPr>
      <w:r w:rsidRPr="00C84D20">
        <w:rPr>
          <w:rFonts w:ascii="Arial" w:hAnsi="Arial" w:cs="Arial"/>
          <w:sz w:val="22"/>
          <w:szCs w:val="22"/>
        </w:rPr>
        <w:t xml:space="preserve">Wohlner, R. (2023, May 12). </w:t>
      </w:r>
      <w:r w:rsidRPr="00C84D20">
        <w:rPr>
          <w:rFonts w:ascii="Arial" w:hAnsi="Arial" w:cs="Arial"/>
          <w:i/>
          <w:iCs/>
          <w:sz w:val="22"/>
          <w:szCs w:val="22"/>
        </w:rPr>
        <w:t>Savings Rate: Definition, influences, history in the U.S.</w:t>
      </w:r>
      <w:r w:rsidRPr="00C84D20">
        <w:rPr>
          <w:rFonts w:ascii="Arial" w:hAnsi="Arial" w:cs="Arial"/>
          <w:sz w:val="22"/>
          <w:szCs w:val="22"/>
        </w:rPr>
        <w:t xml:space="preserve"> Investopedia. Retrieved December 15, 2024, from </w:t>
      </w:r>
      <w:hyperlink r:id="rId28" w:history="1">
        <w:r w:rsidRPr="00C84D20">
          <w:rPr>
            <w:rStyle w:val="Hyperlink"/>
            <w:rFonts w:ascii="Arial" w:hAnsi="Arial" w:cs="Arial"/>
            <w:color w:val="auto"/>
            <w:sz w:val="22"/>
            <w:szCs w:val="22"/>
            <w:u w:val="none"/>
          </w:rPr>
          <w:t>https://www.investopedia.com/terms/s/savings-rate.asp</w:t>
        </w:r>
      </w:hyperlink>
    </w:p>
    <w:p w14:paraId="4FF7BD94"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Yusoff, N. D., Ismail, S., Razak, N. A., </w:t>
      </w:r>
      <w:proofErr w:type="spellStart"/>
      <w:r w:rsidRPr="00C84D20">
        <w:rPr>
          <w:rFonts w:ascii="Arial" w:hAnsi="Arial" w:cs="Arial"/>
          <w:sz w:val="22"/>
          <w:szCs w:val="22"/>
        </w:rPr>
        <w:t>Rafien</w:t>
      </w:r>
      <w:proofErr w:type="spellEnd"/>
      <w:r w:rsidRPr="00C84D20">
        <w:rPr>
          <w:rFonts w:ascii="Arial" w:hAnsi="Arial" w:cs="Arial"/>
          <w:sz w:val="22"/>
          <w:szCs w:val="22"/>
        </w:rPr>
        <w:t xml:space="preserve">, N. S. M., &amp; Yaakub, W. (2024). Retirement Preparedness among Malaysia’s Low-Income Private Sector Employees: A Conceptual Model. </w:t>
      </w:r>
      <w:r w:rsidRPr="00C84D20">
        <w:rPr>
          <w:rFonts w:ascii="Arial" w:hAnsi="Arial" w:cs="Arial"/>
          <w:i/>
          <w:iCs/>
          <w:sz w:val="22"/>
          <w:szCs w:val="22"/>
        </w:rPr>
        <w:t>Information Management and Business Review</w:t>
      </w:r>
      <w:r w:rsidRPr="00C84D20">
        <w:rPr>
          <w:rFonts w:ascii="Arial" w:hAnsi="Arial" w:cs="Arial"/>
          <w:sz w:val="22"/>
          <w:szCs w:val="22"/>
        </w:rPr>
        <w:t xml:space="preserve">, </w:t>
      </w:r>
      <w:r w:rsidRPr="00C84D20">
        <w:rPr>
          <w:rFonts w:ascii="Arial" w:hAnsi="Arial" w:cs="Arial"/>
          <w:i/>
          <w:iCs/>
          <w:sz w:val="22"/>
          <w:szCs w:val="22"/>
        </w:rPr>
        <w:t>16</w:t>
      </w:r>
      <w:r w:rsidRPr="00C84D20">
        <w:rPr>
          <w:rFonts w:ascii="Arial" w:hAnsi="Arial" w:cs="Arial"/>
          <w:sz w:val="22"/>
          <w:szCs w:val="22"/>
        </w:rPr>
        <w:t>(3(I)S), 613–627. https://doi.org/10.22610/imbr.v16i3(i)s.4088</w:t>
      </w:r>
    </w:p>
    <w:p w14:paraId="6E30AC55"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Zhang, Y., Li, X., Lawrence, S., &amp; Chiasson, A. (2024). The retirement plan dilemma: Who is best prepared for retirement in today’s environment? </w:t>
      </w:r>
      <w:r w:rsidRPr="00C84D20">
        <w:rPr>
          <w:rFonts w:ascii="Arial" w:hAnsi="Arial" w:cs="Arial"/>
          <w:i/>
          <w:iCs/>
          <w:sz w:val="22"/>
          <w:szCs w:val="22"/>
        </w:rPr>
        <w:t>Journal of Accounting and Finance</w:t>
      </w:r>
      <w:r w:rsidRPr="00C84D20">
        <w:rPr>
          <w:rFonts w:ascii="Arial" w:hAnsi="Arial" w:cs="Arial"/>
          <w:sz w:val="22"/>
          <w:szCs w:val="22"/>
        </w:rPr>
        <w:t xml:space="preserve">, </w:t>
      </w:r>
      <w:r w:rsidRPr="00C84D20">
        <w:rPr>
          <w:rFonts w:ascii="Arial" w:hAnsi="Arial" w:cs="Arial"/>
          <w:i/>
          <w:iCs/>
          <w:sz w:val="22"/>
          <w:szCs w:val="22"/>
        </w:rPr>
        <w:t>24</w:t>
      </w:r>
      <w:r w:rsidRPr="00C84D20">
        <w:rPr>
          <w:rFonts w:ascii="Arial" w:hAnsi="Arial" w:cs="Arial"/>
          <w:sz w:val="22"/>
          <w:szCs w:val="22"/>
        </w:rPr>
        <w:t>(2). https://doi.org/10.33423/jaf.v24i2.6987</w:t>
      </w:r>
    </w:p>
    <w:p w14:paraId="5C5030FD" w14:textId="77777777" w:rsidR="00C84D20" w:rsidRPr="00C84D20" w:rsidRDefault="00C84D20" w:rsidP="00C84D20">
      <w:pPr>
        <w:pStyle w:val="Bibliography"/>
        <w:spacing w:after="0" w:line="240" w:lineRule="auto"/>
        <w:ind w:left="567" w:hanging="567"/>
        <w:rPr>
          <w:rFonts w:ascii="Arial" w:hAnsi="Arial" w:cs="Arial"/>
          <w:sz w:val="22"/>
          <w:szCs w:val="22"/>
        </w:rPr>
      </w:pPr>
      <w:r w:rsidRPr="00C84D20">
        <w:rPr>
          <w:rFonts w:ascii="Arial" w:hAnsi="Arial" w:cs="Arial"/>
          <w:sz w:val="22"/>
          <w:szCs w:val="22"/>
        </w:rPr>
        <w:t xml:space="preserve">Zulkarnaen, Y., Pranata, R. M., &amp; Suherman, U. (2024). </w:t>
      </w:r>
      <w:proofErr w:type="spellStart"/>
      <w:r w:rsidRPr="00C84D20">
        <w:rPr>
          <w:rFonts w:ascii="Arial" w:hAnsi="Arial" w:cs="Arial"/>
          <w:sz w:val="22"/>
          <w:szCs w:val="22"/>
        </w:rPr>
        <w:t>Pengaruh</w:t>
      </w:r>
      <w:proofErr w:type="spellEnd"/>
      <w:r w:rsidRPr="00C84D20">
        <w:rPr>
          <w:rFonts w:ascii="Arial" w:hAnsi="Arial" w:cs="Arial"/>
          <w:sz w:val="22"/>
          <w:szCs w:val="22"/>
        </w:rPr>
        <w:t xml:space="preserve"> Saving Behavior dan Literacy Finance </w:t>
      </w:r>
      <w:proofErr w:type="spellStart"/>
      <w:r w:rsidRPr="00C84D20">
        <w:rPr>
          <w:rFonts w:ascii="Arial" w:hAnsi="Arial" w:cs="Arial"/>
          <w:sz w:val="22"/>
          <w:szCs w:val="22"/>
        </w:rPr>
        <w:t>Terhadap</w:t>
      </w:r>
      <w:proofErr w:type="spellEnd"/>
      <w:r w:rsidRPr="00C84D20">
        <w:rPr>
          <w:rFonts w:ascii="Arial" w:hAnsi="Arial" w:cs="Arial"/>
          <w:sz w:val="22"/>
          <w:szCs w:val="22"/>
        </w:rPr>
        <w:t xml:space="preserve"> Retirement Preparedness pada </w:t>
      </w:r>
      <w:proofErr w:type="spellStart"/>
      <w:r w:rsidRPr="00C84D20">
        <w:rPr>
          <w:rFonts w:ascii="Arial" w:hAnsi="Arial" w:cs="Arial"/>
          <w:sz w:val="22"/>
          <w:szCs w:val="22"/>
        </w:rPr>
        <w:t>Karyawan</w:t>
      </w:r>
      <w:proofErr w:type="spellEnd"/>
      <w:r w:rsidRPr="00C84D20">
        <w:rPr>
          <w:rFonts w:ascii="Arial" w:hAnsi="Arial" w:cs="Arial"/>
          <w:sz w:val="22"/>
          <w:szCs w:val="22"/>
        </w:rPr>
        <w:t xml:space="preserve"> </w:t>
      </w:r>
      <w:proofErr w:type="spellStart"/>
      <w:r w:rsidRPr="00C84D20">
        <w:rPr>
          <w:rFonts w:ascii="Arial" w:hAnsi="Arial" w:cs="Arial"/>
          <w:sz w:val="22"/>
          <w:szCs w:val="22"/>
        </w:rPr>
        <w:t>Swasta</w:t>
      </w:r>
      <w:proofErr w:type="spellEnd"/>
      <w:r w:rsidRPr="00C84D20">
        <w:rPr>
          <w:rFonts w:ascii="Arial" w:hAnsi="Arial" w:cs="Arial"/>
          <w:sz w:val="22"/>
          <w:szCs w:val="22"/>
        </w:rPr>
        <w:t xml:space="preserve"> di PT. FCC Indonesia. </w:t>
      </w:r>
      <w:r w:rsidRPr="00C84D20">
        <w:rPr>
          <w:rFonts w:ascii="Arial" w:hAnsi="Arial" w:cs="Arial"/>
          <w:i/>
          <w:iCs/>
          <w:sz w:val="22"/>
          <w:szCs w:val="22"/>
        </w:rPr>
        <w:t>Al-</w:t>
      </w:r>
      <w:proofErr w:type="spellStart"/>
      <w:r w:rsidRPr="00C84D20">
        <w:rPr>
          <w:rFonts w:ascii="Arial" w:hAnsi="Arial" w:cs="Arial"/>
          <w:i/>
          <w:iCs/>
          <w:sz w:val="22"/>
          <w:szCs w:val="22"/>
        </w:rPr>
        <w:t>Kharaj</w:t>
      </w:r>
      <w:proofErr w:type="spellEnd"/>
      <w:r w:rsidRPr="00C84D20">
        <w:rPr>
          <w:rFonts w:ascii="Arial" w:hAnsi="Arial" w:cs="Arial"/>
          <w:i/>
          <w:iCs/>
          <w:sz w:val="22"/>
          <w:szCs w:val="22"/>
        </w:rPr>
        <w:t xml:space="preserve"> </w:t>
      </w:r>
      <w:proofErr w:type="spellStart"/>
      <w:r w:rsidRPr="00C84D20">
        <w:rPr>
          <w:rFonts w:ascii="Arial" w:hAnsi="Arial" w:cs="Arial"/>
          <w:i/>
          <w:iCs/>
          <w:sz w:val="22"/>
          <w:szCs w:val="22"/>
        </w:rPr>
        <w:t>Jurnal</w:t>
      </w:r>
      <w:proofErr w:type="spellEnd"/>
      <w:r w:rsidRPr="00C84D20">
        <w:rPr>
          <w:rFonts w:ascii="Arial" w:hAnsi="Arial" w:cs="Arial"/>
          <w:i/>
          <w:iCs/>
          <w:sz w:val="22"/>
          <w:szCs w:val="22"/>
        </w:rPr>
        <w:t xml:space="preserve"> Ekonomi Keuangan &amp; </w:t>
      </w:r>
      <w:proofErr w:type="spellStart"/>
      <w:r w:rsidRPr="00C84D20">
        <w:rPr>
          <w:rFonts w:ascii="Arial" w:hAnsi="Arial" w:cs="Arial"/>
          <w:i/>
          <w:iCs/>
          <w:sz w:val="22"/>
          <w:szCs w:val="22"/>
        </w:rPr>
        <w:t>Bisnis</w:t>
      </w:r>
      <w:proofErr w:type="spellEnd"/>
      <w:r w:rsidRPr="00C84D20">
        <w:rPr>
          <w:rFonts w:ascii="Arial" w:hAnsi="Arial" w:cs="Arial"/>
          <w:i/>
          <w:iCs/>
          <w:sz w:val="22"/>
          <w:szCs w:val="22"/>
        </w:rPr>
        <w:t xml:space="preserve"> Syariah</w:t>
      </w:r>
      <w:r w:rsidRPr="00C84D20">
        <w:rPr>
          <w:rFonts w:ascii="Arial" w:hAnsi="Arial" w:cs="Arial"/>
          <w:sz w:val="22"/>
          <w:szCs w:val="22"/>
        </w:rPr>
        <w:t xml:space="preserve">, </w:t>
      </w:r>
      <w:r w:rsidRPr="00C84D20">
        <w:rPr>
          <w:rFonts w:ascii="Arial" w:hAnsi="Arial" w:cs="Arial"/>
          <w:i/>
          <w:iCs/>
          <w:sz w:val="22"/>
          <w:szCs w:val="22"/>
        </w:rPr>
        <w:t>6</w:t>
      </w:r>
      <w:r w:rsidRPr="00C84D20">
        <w:rPr>
          <w:rFonts w:ascii="Arial" w:hAnsi="Arial" w:cs="Arial"/>
          <w:sz w:val="22"/>
          <w:szCs w:val="22"/>
        </w:rPr>
        <w:t>(5). https://doi.org/10.47467/alkharaj.v6i5.2535</w:t>
      </w:r>
    </w:p>
    <w:p w14:paraId="0B743A59" w14:textId="77777777" w:rsidR="00C84D20" w:rsidRPr="003546C2" w:rsidRDefault="00C84D20" w:rsidP="00C84D20">
      <w:pPr>
        <w:spacing w:line="480" w:lineRule="auto"/>
        <w:jc w:val="both"/>
        <w:rPr>
          <w:rFonts w:ascii="Arial" w:hAnsi="Arial" w:cs="Arial"/>
          <w:b/>
          <w:bCs/>
          <w:lang w:val="en-US"/>
        </w:rPr>
      </w:pPr>
    </w:p>
    <w:p w14:paraId="04EF130C" w14:textId="77777777" w:rsidR="00C84D20" w:rsidRPr="003546C2" w:rsidRDefault="00C84D20" w:rsidP="00C84D20">
      <w:pPr>
        <w:rPr>
          <w:rFonts w:ascii="Arial" w:hAnsi="Arial" w:cs="Arial"/>
          <w:lang w:val="en-US"/>
        </w:rPr>
      </w:pPr>
    </w:p>
    <w:p w14:paraId="743D166F" w14:textId="77777777" w:rsidR="00C84D20" w:rsidRPr="00C84D20" w:rsidRDefault="00C84D20" w:rsidP="007E77A5">
      <w:pPr>
        <w:spacing w:before="120" w:after="0" w:line="240" w:lineRule="auto"/>
        <w:jc w:val="both"/>
        <w:rPr>
          <w:rFonts w:ascii="Arial" w:hAnsi="Arial" w:cs="Arial"/>
          <w:b/>
          <w:bCs/>
          <w:sz w:val="22"/>
          <w:szCs w:val="22"/>
        </w:rPr>
      </w:pPr>
    </w:p>
    <w:p w14:paraId="1A93E366" w14:textId="77777777" w:rsidR="00C84D20" w:rsidRDefault="00C84D20" w:rsidP="007E77A5">
      <w:pPr>
        <w:spacing w:before="120" w:after="0" w:line="240" w:lineRule="auto"/>
        <w:jc w:val="both"/>
        <w:rPr>
          <w:rFonts w:ascii="Arial" w:hAnsi="Arial" w:cs="Arial"/>
          <w:sz w:val="22"/>
          <w:szCs w:val="22"/>
        </w:rPr>
      </w:pPr>
    </w:p>
    <w:p w14:paraId="0D559EAF" w14:textId="77777777" w:rsidR="007E77A5" w:rsidRPr="007E77A5" w:rsidRDefault="007E77A5" w:rsidP="007E77A5">
      <w:pPr>
        <w:spacing w:before="120" w:after="0" w:line="240" w:lineRule="auto"/>
        <w:jc w:val="both"/>
        <w:rPr>
          <w:rFonts w:ascii="Arial" w:hAnsi="Arial" w:cs="Arial"/>
          <w:sz w:val="22"/>
          <w:szCs w:val="22"/>
        </w:rPr>
      </w:pPr>
    </w:p>
    <w:p w14:paraId="25470934" w14:textId="77777777" w:rsidR="00A81877" w:rsidRPr="00F027F8" w:rsidRDefault="00A81877" w:rsidP="00A81877">
      <w:pPr>
        <w:spacing w:before="120" w:after="100" w:afterAutospacing="1" w:line="240" w:lineRule="auto"/>
        <w:jc w:val="both"/>
        <w:rPr>
          <w:rFonts w:ascii="Arial" w:hAnsi="Arial" w:cs="Arial"/>
          <w:sz w:val="22"/>
          <w:szCs w:val="22"/>
        </w:rPr>
      </w:pPr>
    </w:p>
    <w:p w14:paraId="5161E1C4" w14:textId="77777777" w:rsidR="00F027F8" w:rsidRPr="00F027F8" w:rsidRDefault="00F027F8" w:rsidP="00F027F8">
      <w:pPr>
        <w:spacing w:after="0" w:line="240" w:lineRule="auto"/>
        <w:jc w:val="center"/>
        <w:rPr>
          <w:rFonts w:ascii="Arial" w:hAnsi="Arial" w:cs="Arial"/>
          <w:sz w:val="22"/>
          <w:szCs w:val="22"/>
        </w:rPr>
      </w:pPr>
    </w:p>
    <w:p w14:paraId="031FF8D4" w14:textId="77777777" w:rsidR="00F027F8" w:rsidRPr="00F027F8" w:rsidRDefault="00F027F8" w:rsidP="00F027F8">
      <w:pPr>
        <w:spacing w:before="120" w:after="0" w:line="240" w:lineRule="auto"/>
        <w:jc w:val="both"/>
        <w:rPr>
          <w:rFonts w:ascii="Arial" w:hAnsi="Arial" w:cs="Arial"/>
          <w:b/>
          <w:bCs/>
          <w:sz w:val="22"/>
          <w:szCs w:val="22"/>
        </w:rPr>
      </w:pPr>
    </w:p>
    <w:p w14:paraId="3D14D264" w14:textId="77777777" w:rsidR="0001697F" w:rsidRPr="00F027F8" w:rsidRDefault="0001697F" w:rsidP="00F027F8">
      <w:pPr>
        <w:spacing w:before="120" w:after="0" w:line="240" w:lineRule="auto"/>
        <w:jc w:val="both"/>
        <w:rPr>
          <w:rFonts w:ascii="Arial" w:hAnsi="Arial" w:cs="Arial"/>
          <w:sz w:val="22"/>
          <w:szCs w:val="22"/>
        </w:rPr>
      </w:pPr>
    </w:p>
    <w:sectPr w:rsidR="0001697F" w:rsidRPr="00F027F8" w:rsidSect="00F027F8">
      <w:footerReference w:type="default" r:id="rId29"/>
      <w:pgSz w:w="12240" w:h="15840"/>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ECD4" w14:textId="77777777" w:rsidR="00F027F8" w:rsidRPr="00651C96" w:rsidRDefault="00F027F8">
    <w:pPr>
      <w:pStyle w:val="Footer"/>
      <w:jc w:val="center"/>
      <w:rPr>
        <w:rFonts w:ascii="Arial" w:hAnsi="Arial" w:cs="Arial"/>
      </w:rPr>
    </w:pPr>
  </w:p>
  <w:p w14:paraId="44704593" w14:textId="77777777" w:rsidR="00F027F8" w:rsidRDefault="00F027F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22"/>
    <w:rsid w:val="000030CC"/>
    <w:rsid w:val="0001697F"/>
    <w:rsid w:val="00033347"/>
    <w:rsid w:val="000E43CC"/>
    <w:rsid w:val="0014704C"/>
    <w:rsid w:val="00147B7E"/>
    <w:rsid w:val="003B7EA1"/>
    <w:rsid w:val="004400C4"/>
    <w:rsid w:val="00487F02"/>
    <w:rsid w:val="004A2215"/>
    <w:rsid w:val="004E59DF"/>
    <w:rsid w:val="0059265F"/>
    <w:rsid w:val="005B62F0"/>
    <w:rsid w:val="005E1B93"/>
    <w:rsid w:val="006B07E6"/>
    <w:rsid w:val="006E10F3"/>
    <w:rsid w:val="007732BE"/>
    <w:rsid w:val="007E77A5"/>
    <w:rsid w:val="00893A1D"/>
    <w:rsid w:val="008A2ACE"/>
    <w:rsid w:val="008B5924"/>
    <w:rsid w:val="008D23E4"/>
    <w:rsid w:val="00A81877"/>
    <w:rsid w:val="00AC5252"/>
    <w:rsid w:val="00B1390F"/>
    <w:rsid w:val="00BC1322"/>
    <w:rsid w:val="00BF455A"/>
    <w:rsid w:val="00C06658"/>
    <w:rsid w:val="00C16553"/>
    <w:rsid w:val="00C84D20"/>
    <w:rsid w:val="00CD4205"/>
    <w:rsid w:val="00DC2F0B"/>
    <w:rsid w:val="00E202C1"/>
    <w:rsid w:val="00E53598"/>
    <w:rsid w:val="00F027F8"/>
    <w:rsid w:val="00F03F5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809D"/>
  <w15:chartTrackingRefBased/>
  <w15:docId w15:val="{1E87A70E-CC29-41A1-B328-A4697A4E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322"/>
    <w:rPr>
      <w:rFonts w:eastAsiaTheme="majorEastAsia" w:cstheme="majorBidi"/>
      <w:color w:val="272727" w:themeColor="text1" w:themeTint="D8"/>
    </w:rPr>
  </w:style>
  <w:style w:type="paragraph" w:styleId="Title">
    <w:name w:val="Title"/>
    <w:basedOn w:val="Normal"/>
    <w:next w:val="Normal"/>
    <w:link w:val="TitleChar"/>
    <w:uiPriority w:val="10"/>
    <w:qFormat/>
    <w:rsid w:val="00BC1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322"/>
    <w:pPr>
      <w:spacing w:before="160"/>
      <w:jc w:val="center"/>
    </w:pPr>
    <w:rPr>
      <w:i/>
      <w:iCs/>
      <w:color w:val="404040" w:themeColor="text1" w:themeTint="BF"/>
    </w:rPr>
  </w:style>
  <w:style w:type="character" w:customStyle="1" w:styleId="QuoteChar">
    <w:name w:val="Quote Char"/>
    <w:basedOn w:val="DefaultParagraphFont"/>
    <w:link w:val="Quote"/>
    <w:uiPriority w:val="29"/>
    <w:rsid w:val="00BC1322"/>
    <w:rPr>
      <w:i/>
      <w:iCs/>
      <w:color w:val="404040" w:themeColor="text1" w:themeTint="BF"/>
    </w:rPr>
  </w:style>
  <w:style w:type="paragraph" w:styleId="ListParagraph">
    <w:name w:val="List Paragraph"/>
    <w:basedOn w:val="Normal"/>
    <w:uiPriority w:val="34"/>
    <w:qFormat/>
    <w:rsid w:val="00BC1322"/>
    <w:pPr>
      <w:ind w:left="720"/>
      <w:contextualSpacing/>
    </w:pPr>
  </w:style>
  <w:style w:type="character" w:styleId="IntenseEmphasis">
    <w:name w:val="Intense Emphasis"/>
    <w:basedOn w:val="DefaultParagraphFont"/>
    <w:uiPriority w:val="21"/>
    <w:qFormat/>
    <w:rsid w:val="00BC1322"/>
    <w:rPr>
      <w:i/>
      <w:iCs/>
      <w:color w:val="0F4761" w:themeColor="accent1" w:themeShade="BF"/>
    </w:rPr>
  </w:style>
  <w:style w:type="paragraph" w:styleId="IntenseQuote">
    <w:name w:val="Intense Quote"/>
    <w:basedOn w:val="Normal"/>
    <w:next w:val="Normal"/>
    <w:link w:val="IntenseQuoteChar"/>
    <w:uiPriority w:val="30"/>
    <w:qFormat/>
    <w:rsid w:val="00BC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322"/>
    <w:rPr>
      <w:i/>
      <w:iCs/>
      <w:color w:val="0F4761" w:themeColor="accent1" w:themeShade="BF"/>
    </w:rPr>
  </w:style>
  <w:style w:type="character" w:styleId="IntenseReference">
    <w:name w:val="Intense Reference"/>
    <w:basedOn w:val="DefaultParagraphFont"/>
    <w:uiPriority w:val="32"/>
    <w:qFormat/>
    <w:rsid w:val="00BC1322"/>
    <w:rPr>
      <w:b/>
      <w:bCs/>
      <w:smallCaps/>
      <w:color w:val="0F4761" w:themeColor="accent1" w:themeShade="BF"/>
      <w:spacing w:val="5"/>
    </w:rPr>
  </w:style>
  <w:style w:type="character" w:styleId="Hyperlink">
    <w:name w:val="Hyperlink"/>
    <w:basedOn w:val="DefaultParagraphFont"/>
    <w:uiPriority w:val="99"/>
    <w:unhideWhenUsed/>
    <w:rsid w:val="006E10F3"/>
    <w:rPr>
      <w:color w:val="467886" w:themeColor="hyperlink"/>
      <w:u w:val="single"/>
    </w:rPr>
  </w:style>
  <w:style w:type="character" w:styleId="UnresolvedMention">
    <w:name w:val="Unresolved Mention"/>
    <w:basedOn w:val="DefaultParagraphFont"/>
    <w:uiPriority w:val="99"/>
    <w:semiHidden/>
    <w:unhideWhenUsed/>
    <w:rsid w:val="006E10F3"/>
    <w:rPr>
      <w:color w:val="605E5C"/>
      <w:shd w:val="clear" w:color="auto" w:fill="E1DFDD"/>
    </w:rPr>
  </w:style>
  <w:style w:type="table" w:styleId="TableGrid">
    <w:name w:val="Table Grid"/>
    <w:basedOn w:val="TableNormal"/>
    <w:uiPriority w:val="39"/>
    <w:rsid w:val="00F027F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2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7F8"/>
  </w:style>
  <w:style w:type="paragraph" w:styleId="Bibliography">
    <w:name w:val="Bibliography"/>
    <w:basedOn w:val="Normal"/>
    <w:next w:val="Normal"/>
    <w:uiPriority w:val="37"/>
    <w:semiHidden/>
    <w:unhideWhenUsed/>
    <w:rsid w:val="00C84D20"/>
  </w:style>
  <w:style w:type="paragraph" w:styleId="NormalWeb">
    <w:name w:val="Normal (Web)"/>
    <w:basedOn w:val="Normal"/>
    <w:uiPriority w:val="99"/>
    <w:unhideWhenUsed/>
    <w:rsid w:val="00C84D2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url">
    <w:name w:val="url"/>
    <w:basedOn w:val="DefaultParagraphFont"/>
    <w:rsid w:val="00C8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190/fsr.v32i2.3555" TargetMode="External"/><Relationship Id="rId13" Type="http://schemas.openxmlformats.org/officeDocument/2006/relationships/hyperlink" Target="https://doi.org/10.7748/nr.2016.e1382" TargetMode="External"/><Relationship Id="rId18" Type="http://schemas.openxmlformats.org/officeDocument/2006/relationships/hyperlink" Target="https://www.investopedia.com/terms/r/retirement-planning.asp" TargetMode="External"/><Relationship Id="rId26" Type="http://schemas.openxmlformats.org/officeDocument/2006/relationships/hyperlink" Target="https://doi.org/10.1007/s11165-016-9602-2" TargetMode="External"/><Relationship Id="rId3" Type="http://schemas.openxmlformats.org/officeDocument/2006/relationships/settings" Target="settings.xml"/><Relationship Id="rId21" Type="http://schemas.openxmlformats.org/officeDocument/2006/relationships/hyperlink" Target="https://doi.org/10.21276/ierj24795813784058" TargetMode="External"/><Relationship Id="rId7" Type="http://schemas.openxmlformats.org/officeDocument/2006/relationships/image" Target="media/image1.png"/><Relationship Id="rId12" Type="http://schemas.openxmlformats.org/officeDocument/2006/relationships/hyperlink" Target="https://www.retently.com/blog/5-point-likert-scale/" TargetMode="External"/><Relationship Id="rId17" Type="http://schemas.openxmlformats.org/officeDocument/2006/relationships/hyperlink" Target="https://www.investopedia.com/terms/d/debtratio.asp" TargetMode="External"/><Relationship Id="rId25" Type="http://schemas.openxmlformats.org/officeDocument/2006/relationships/hyperlink" Target="https://researcher.life/blog/article/what-is-quantitative-research-types-and-examples/" TargetMode="External"/><Relationship Id="rId2" Type="http://schemas.openxmlformats.org/officeDocument/2006/relationships/styles" Target="styles.xml"/><Relationship Id="rId16" Type="http://schemas.openxmlformats.org/officeDocument/2006/relationships/hyperlink" Target="https://doi.org/10.1002/9781118521373.wbeaa003" TargetMode="External"/><Relationship Id="rId20" Type="http://schemas.openxmlformats.org/officeDocument/2006/relationships/hyperlink" Target="https://www.scribbr.com/methodology/descriptive-resear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hyperlink" Target="mailto:alma.miase@msugensan.edu.ph" TargetMode="External"/><Relationship Id="rId11" Type="http://schemas.openxmlformats.org/officeDocument/2006/relationships/hyperlink" Target="https://www.verywellmind.com/correlational-research-2795774" TargetMode="External"/><Relationship Id="rId24" Type="http://schemas.openxmlformats.org/officeDocument/2006/relationships/hyperlink" Target="https://researcher.life/blog/article/what-is-descriptive-research-definition-methods-types-and-examples/" TargetMode="External"/><Relationship Id="rId5" Type="http://schemas.openxmlformats.org/officeDocument/2006/relationships/hyperlink" Target="mailto:jemerryann.calipusan@msugensan.edu.ph" TargetMode="External"/><Relationship Id="rId15" Type="http://schemas.openxmlformats.org/officeDocument/2006/relationships/hyperlink" Target="https://doi.org/10.47760/cognizance.2025.v05i04.001" TargetMode="External"/><Relationship Id="rId23" Type="http://schemas.openxmlformats.org/officeDocument/2006/relationships/hyperlink" Target="https://doi.org/10.1016/j.jval.2019.09.2745" TargetMode="External"/><Relationship Id="rId28" Type="http://schemas.openxmlformats.org/officeDocument/2006/relationships/hyperlink" Target="https://www.investopedia.com/terms/s/savings-rate.asp" TargetMode="External"/><Relationship Id="rId10" Type="http://schemas.openxmlformats.org/officeDocument/2006/relationships/hyperlink" Target="https://doi.org/10.26076/77ca-3aa6" TargetMode="External"/><Relationship Id="rId19" Type="http://schemas.openxmlformats.org/officeDocument/2006/relationships/hyperlink" Target="https://doi.org/10.1590/0104-0707201600022600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7106/scientia.v12i1.146" TargetMode="External"/><Relationship Id="rId14" Type="http://schemas.openxmlformats.org/officeDocument/2006/relationships/hyperlink" Target="https://doi.org/10.1177/0164027519830610" TargetMode="External"/><Relationship Id="rId22" Type="http://schemas.openxmlformats.org/officeDocument/2006/relationships/hyperlink" Target="https://www.scribbr.com/methodology/non-probability-sampling/" TargetMode="External"/><Relationship Id="rId27" Type="http://schemas.openxmlformats.org/officeDocument/2006/relationships/hyperlink" Target="https://doi.org/10.47191/ijsshr/v8-i4-2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89F57AA-BF70-4333-AA16-4F5709E6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17</Pages>
  <Words>10127</Words>
  <Characters>57725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ERIKAGEN BALAAN</dc:creator>
  <cp:keywords/>
  <dc:description/>
  <cp:lastModifiedBy>ERIKAGEN BALAAN</cp:lastModifiedBy>
  <cp:revision>30</cp:revision>
  <dcterms:created xsi:type="dcterms:W3CDTF">2026-06-24T10:18:00Z</dcterms:created>
  <dcterms:modified xsi:type="dcterms:W3CDTF">2026-06-24T15:01:00Z</dcterms:modified>
</cp:coreProperties>
</file>