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3E227">
      <w:pPr>
        <w:spacing w:line="360" w:lineRule="auto"/>
        <w:jc w:val="center"/>
        <w:rPr>
          <w:rFonts w:hint="default" w:ascii="Times New Roman" w:hAnsi="Times New Roman" w:cs="Times New Roman"/>
          <w:b/>
          <w:sz w:val="24"/>
          <w:szCs w:val="24"/>
        </w:rPr>
      </w:pPr>
      <w:bookmarkStart w:id="0" w:name="_Hlk203044521"/>
      <w:r>
        <w:rPr>
          <w:rFonts w:hint="default" w:ascii="Times New Roman" w:hAnsi="Times New Roman" w:eastAsia="SimSun" w:cs="Times New Roman"/>
          <w:sz w:val="24"/>
          <w:szCs w:val="24"/>
        </w:rPr>
        <w:t xml:space="preserve">Molecular Detection of Extended-Spectrum β-Lactamase Genes and Antibiotic Susceptibility Patterns of Uropathogenic </w:t>
      </w:r>
      <w:r>
        <w:rPr>
          <w:rStyle w:val="14"/>
          <w:rFonts w:hint="default" w:ascii="Times New Roman" w:hAnsi="Times New Roman" w:eastAsia="SimSun" w:cs="Times New Roman"/>
          <w:sz w:val="24"/>
          <w:szCs w:val="24"/>
        </w:rPr>
        <w:t>Escherichia coli</w:t>
      </w:r>
      <w:r>
        <w:rPr>
          <w:rFonts w:hint="default" w:ascii="Times New Roman" w:hAnsi="Times New Roman" w:eastAsia="SimSun" w:cs="Times New Roman"/>
          <w:sz w:val="24"/>
          <w:szCs w:val="24"/>
        </w:rPr>
        <w:t xml:space="preserve"> Isolated from Patients Attending a Tertiary Hospital in Edo State, Nigeria</w:t>
      </w:r>
    </w:p>
    <w:p w14:paraId="4F4908E1">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Abstract</w:t>
      </w:r>
    </w:p>
    <w:p w14:paraId="1C3637AC">
      <w:pPr>
        <w:pStyle w:val="20"/>
        <w:keepNext w:val="0"/>
        <w:keepLines w:val="0"/>
        <w:widowControl/>
        <w:suppressLineNumbers w:val="0"/>
        <w:spacing w:line="360" w:lineRule="auto"/>
        <w:rPr>
          <w:rFonts w:hint="default" w:ascii="Times New Roman" w:hAnsi="Times New Roman" w:cs="Times New Roman"/>
          <w:sz w:val="24"/>
          <w:szCs w:val="24"/>
        </w:rPr>
      </w:pPr>
    </w:p>
    <w:p w14:paraId="6A246169">
      <w:pPr>
        <w:pStyle w:val="20"/>
        <w:keepNext w:val="0"/>
        <w:keepLines w:val="0"/>
        <w:widowControl/>
        <w:suppressLineNumbers w:val="0"/>
        <w:spacing w:line="360" w:lineRule="auto"/>
        <w:rPr>
          <w:rFonts w:hint="default" w:ascii="Times New Roman" w:hAnsi="Times New Roman" w:cs="Times New Roman"/>
          <w:sz w:val="24"/>
          <w:szCs w:val="24"/>
        </w:rPr>
      </w:pPr>
      <w:r>
        <w:rPr>
          <w:rStyle w:val="21"/>
          <w:rFonts w:hint="default" w:ascii="Times New Roman" w:hAnsi="Times New Roman" w:cs="Times New Roman"/>
          <w:sz w:val="24"/>
          <w:szCs w:val="24"/>
        </w:rPr>
        <w:t>Abstract</w:t>
      </w:r>
    </w:p>
    <w:p w14:paraId="253DD958">
      <w:pPr>
        <w:pStyle w:val="20"/>
        <w:keepNext w:val="0"/>
        <w:keepLines w:val="0"/>
        <w:widowControl/>
        <w:suppressLineNumbers w:val="0"/>
        <w:spacing w:line="360" w:lineRule="auto"/>
        <w:rPr>
          <w:rFonts w:hint="default" w:ascii="Times New Roman" w:hAnsi="Times New Roman" w:cs="Times New Roman"/>
          <w:sz w:val="24"/>
          <w:szCs w:val="24"/>
        </w:rPr>
      </w:pPr>
      <w:r>
        <w:rPr>
          <w:rStyle w:val="21"/>
          <w:rFonts w:hint="default" w:ascii="Times New Roman" w:hAnsi="Times New Roman" w:cs="Times New Roman"/>
          <w:sz w:val="24"/>
          <w:szCs w:val="24"/>
        </w:rPr>
        <w:t>Background:</w:t>
      </w:r>
      <w:r>
        <w:rPr>
          <w:rFonts w:hint="default" w:ascii="Times New Roman" w:hAnsi="Times New Roman" w:cs="Times New Roman"/>
          <w:sz w:val="24"/>
          <w:szCs w:val="24"/>
        </w:rPr>
        <w:t xml:space="preserve"> The emergence of extended-spectrum β-lactamase (ESBL)-producing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has become a major public health concern due to its contribution to antimicrobial resistance and treatment failure in urinary tract infections (UTIs). Continuous surveillance of resistance patterns and molecular characterization of ESBL genes are essential for effective infection management and antimicrobial stewardship.</w:t>
      </w:r>
    </w:p>
    <w:p w14:paraId="2D6F1F8E">
      <w:pPr>
        <w:pStyle w:val="20"/>
        <w:keepNext w:val="0"/>
        <w:keepLines w:val="0"/>
        <w:widowControl/>
        <w:suppressLineNumbers w:val="0"/>
        <w:spacing w:line="360" w:lineRule="auto"/>
        <w:rPr>
          <w:rFonts w:hint="default" w:ascii="Times New Roman" w:hAnsi="Times New Roman" w:cs="Times New Roman"/>
          <w:sz w:val="24"/>
          <w:szCs w:val="24"/>
        </w:rPr>
      </w:pPr>
      <w:r>
        <w:rPr>
          <w:rStyle w:val="21"/>
          <w:rFonts w:hint="default" w:ascii="Times New Roman" w:hAnsi="Times New Roman" w:cs="Times New Roman"/>
          <w:sz w:val="24"/>
          <w:szCs w:val="24"/>
        </w:rPr>
        <w:t>Aim:</w:t>
      </w:r>
      <w:r>
        <w:rPr>
          <w:rFonts w:hint="default" w:ascii="Times New Roman" w:hAnsi="Times New Roman" w:cs="Times New Roman"/>
          <w:sz w:val="24"/>
          <w:szCs w:val="24"/>
        </w:rPr>
        <w:t xml:space="preserve"> This study investigated the prevalence, antimicrobial susceptibility profile, and molecular characteristics of ESBL-producing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isolated from urine samples of patients with urinary tract infections attending Igbinedion University Teaching Hospital, Okada, Edo State, Nigeria.</w:t>
      </w:r>
    </w:p>
    <w:p w14:paraId="0C2EAE2C">
      <w:pPr>
        <w:pStyle w:val="20"/>
        <w:keepNext w:val="0"/>
        <w:keepLines w:val="0"/>
        <w:widowControl/>
        <w:suppressLineNumbers w:val="0"/>
        <w:spacing w:line="360" w:lineRule="auto"/>
        <w:rPr>
          <w:rFonts w:hint="default" w:ascii="Times New Roman" w:hAnsi="Times New Roman" w:cs="Times New Roman"/>
          <w:sz w:val="24"/>
          <w:szCs w:val="24"/>
        </w:rPr>
      </w:pPr>
      <w:r>
        <w:rPr>
          <w:rStyle w:val="21"/>
          <w:rFonts w:hint="default" w:ascii="Times New Roman" w:hAnsi="Times New Roman" w:cs="Times New Roman"/>
          <w:sz w:val="24"/>
          <w:szCs w:val="24"/>
        </w:rPr>
        <w:t>Methods:</w:t>
      </w:r>
      <w:r>
        <w:rPr>
          <w:rFonts w:hint="default" w:ascii="Times New Roman" w:hAnsi="Times New Roman" w:cs="Times New Roman"/>
          <w:sz w:val="24"/>
          <w:szCs w:val="24"/>
        </w:rPr>
        <w:t xml:space="preserve"> A cross-sectional study was conducted between April and June 2025. Four hundred midstream urine samples were collected from patients presenting with symptoms of UTIs. Samples were cultured on Cystine Lactose Electrolyte Deficient (CLED) agar, and bacterial isolates were identified using standard microbiological and biochemical methods. Antimicrobial susceptibility testing was performed using the Kirby–Bauer disc diffusion method according to Clinical and Laboratory Standards Institute (CLSI) guidelines. Phenotypic detection of ESBL production was carried out, while polymerase chain reaction (PCR) was used for molecular confirmation of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(uidA gene) and detection of ESBL genes (</w:t>
      </w:r>
      <w:r>
        <w:rPr>
          <w:rStyle w:val="14"/>
          <w:rFonts w:hint="default" w:ascii="Times New Roman" w:hAnsi="Times New Roman" w:cs="Times New Roman"/>
          <w:sz w:val="24"/>
          <w:szCs w:val="24"/>
        </w:rPr>
        <w:t>blaCTX-M</w:t>
      </w:r>
      <w:r>
        <w:rPr>
          <w:rFonts w:hint="default" w:ascii="Times New Roman" w:hAnsi="Times New Roman" w:cs="Times New Roman"/>
          <w:sz w:val="24"/>
          <w:szCs w:val="24"/>
        </w:rPr>
        <w:t xml:space="preserve">, </w:t>
      </w:r>
      <w:r>
        <w:rPr>
          <w:rStyle w:val="14"/>
          <w:rFonts w:hint="default" w:ascii="Times New Roman" w:hAnsi="Times New Roman" w:cs="Times New Roman"/>
          <w:sz w:val="24"/>
          <w:szCs w:val="24"/>
        </w:rPr>
        <w:t>blaTEM</w:t>
      </w:r>
      <w:r>
        <w:rPr>
          <w:rFonts w:hint="default" w:ascii="Times New Roman" w:hAnsi="Times New Roman" w:cs="Times New Roman"/>
          <w:sz w:val="24"/>
          <w:szCs w:val="24"/>
        </w:rPr>
        <w:t xml:space="preserve">, and </w:t>
      </w:r>
      <w:r>
        <w:rPr>
          <w:rStyle w:val="14"/>
          <w:rFonts w:hint="default" w:ascii="Times New Roman" w:hAnsi="Times New Roman" w:cs="Times New Roman"/>
          <w:sz w:val="24"/>
          <w:szCs w:val="24"/>
        </w:rPr>
        <w:t>blaSHV</w:t>
      </w:r>
      <w:r>
        <w:rPr>
          <w:rFonts w:hint="default" w:ascii="Times New Roman" w:hAnsi="Times New Roman" w:cs="Times New Roman"/>
          <w:sz w:val="24"/>
          <w:szCs w:val="24"/>
        </w:rPr>
        <w:t>).</w:t>
      </w:r>
    </w:p>
    <w:p w14:paraId="5A47E73C">
      <w:pPr>
        <w:pStyle w:val="20"/>
        <w:keepNext w:val="0"/>
        <w:keepLines w:val="0"/>
        <w:widowControl/>
        <w:suppressLineNumbers w:val="0"/>
        <w:spacing w:line="360" w:lineRule="auto"/>
        <w:rPr>
          <w:rFonts w:hint="default" w:ascii="Times New Roman" w:hAnsi="Times New Roman" w:cs="Times New Roman"/>
          <w:sz w:val="24"/>
          <w:szCs w:val="24"/>
        </w:rPr>
      </w:pPr>
      <w:r>
        <w:rPr>
          <w:rStyle w:val="21"/>
          <w:rFonts w:hint="default" w:ascii="Times New Roman" w:hAnsi="Times New Roman" w:cs="Times New Roman"/>
          <w:sz w:val="24"/>
          <w:szCs w:val="24"/>
        </w:rPr>
        <w:t>Results:</w:t>
      </w:r>
      <w:r>
        <w:rPr>
          <w:rFonts w:hint="default" w:ascii="Times New Roman" w:hAnsi="Times New Roman" w:cs="Times New Roman"/>
          <w:sz w:val="24"/>
          <w:szCs w:val="24"/>
        </w:rPr>
        <w:t xml:space="preserve"> Of the 400 urine samples analyzed, 160 (40.0%) yielded significant microbial growth.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accounted for 39 (24.4%) of the bacterial isolates. Phenotypic ESBL production was detected in 19 (48.7%) of the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isolates, while molecular analysis confirmed ESBL genes in 16 (84.2%) of the phenotypically positive isolates. The most prevalent ESBL gene was </w:t>
      </w:r>
      <w:r>
        <w:rPr>
          <w:rStyle w:val="14"/>
          <w:rFonts w:hint="default" w:ascii="Times New Roman" w:hAnsi="Times New Roman" w:cs="Times New Roman"/>
          <w:sz w:val="24"/>
          <w:szCs w:val="24"/>
        </w:rPr>
        <w:t>blaCTX-M</w:t>
      </w:r>
      <w:r>
        <w:rPr>
          <w:rFonts w:hint="default" w:ascii="Times New Roman" w:hAnsi="Times New Roman" w:cs="Times New Roman"/>
          <w:sz w:val="24"/>
          <w:szCs w:val="24"/>
        </w:rPr>
        <w:t xml:space="preserve"> (68.8%), followed by co-occurrence of </w:t>
      </w:r>
      <w:r>
        <w:rPr>
          <w:rStyle w:val="14"/>
          <w:rFonts w:hint="default" w:ascii="Times New Roman" w:hAnsi="Times New Roman" w:cs="Times New Roman"/>
          <w:sz w:val="24"/>
          <w:szCs w:val="24"/>
        </w:rPr>
        <w:t>blaCTX-M</w:t>
      </w:r>
      <w:r>
        <w:rPr>
          <w:rFonts w:hint="default" w:ascii="Times New Roman" w:hAnsi="Times New Roman" w:cs="Times New Roman"/>
          <w:sz w:val="24"/>
          <w:szCs w:val="24"/>
        </w:rPr>
        <w:t xml:space="preserve"> and </w:t>
      </w:r>
      <w:r>
        <w:rPr>
          <w:rStyle w:val="14"/>
          <w:rFonts w:hint="default" w:ascii="Times New Roman" w:hAnsi="Times New Roman" w:cs="Times New Roman"/>
          <w:sz w:val="24"/>
          <w:szCs w:val="24"/>
        </w:rPr>
        <w:t>blaTEM</w:t>
      </w:r>
      <w:r>
        <w:rPr>
          <w:rFonts w:hint="default" w:ascii="Times New Roman" w:hAnsi="Times New Roman" w:cs="Times New Roman"/>
          <w:sz w:val="24"/>
          <w:szCs w:val="24"/>
        </w:rPr>
        <w:t xml:space="preserve"> (18.8%), while </w:t>
      </w:r>
      <w:r>
        <w:rPr>
          <w:rStyle w:val="14"/>
          <w:rFonts w:hint="default" w:ascii="Times New Roman" w:hAnsi="Times New Roman" w:cs="Times New Roman"/>
          <w:sz w:val="24"/>
          <w:szCs w:val="24"/>
        </w:rPr>
        <w:t>blaTEM</w:t>
      </w:r>
      <w:r>
        <w:rPr>
          <w:rFonts w:hint="default" w:ascii="Times New Roman" w:hAnsi="Times New Roman" w:cs="Times New Roman"/>
          <w:sz w:val="24"/>
          <w:szCs w:val="24"/>
        </w:rPr>
        <w:t xml:space="preserve"> alone accounted for 12.5%. No </w:t>
      </w:r>
      <w:r>
        <w:rPr>
          <w:rStyle w:val="14"/>
          <w:rFonts w:hint="default" w:ascii="Times New Roman" w:hAnsi="Times New Roman" w:cs="Times New Roman"/>
          <w:sz w:val="24"/>
          <w:szCs w:val="24"/>
        </w:rPr>
        <w:t>blaSHV</w:t>
      </w:r>
      <w:r>
        <w:rPr>
          <w:rFonts w:hint="default" w:ascii="Times New Roman" w:hAnsi="Times New Roman" w:cs="Times New Roman"/>
          <w:sz w:val="24"/>
          <w:szCs w:val="24"/>
        </w:rPr>
        <w:t xml:space="preserve">-positive isolates were detected. Antibiotic susceptibility testing showed that amikacin exhibited the highest activity against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isolates (64.1% susceptible), whereas high resistance rates were observed for cotrimoxazole (89.7%), amoxicillin-clavulanate (74.4%), ciprofloxacin (53.8%), aztreonam (53.8%), gentamicin (53.8%), ceftriaxone (51.3%), and ceftazidime (51.3%). Multidrug resistance was observed in 27 (69.2%) isolates, while extensive drug resistance was detected in 10 (25.6%) isolates.</w:t>
      </w:r>
    </w:p>
    <w:p w14:paraId="6DD35600">
      <w:pPr>
        <w:pStyle w:val="20"/>
        <w:keepNext w:val="0"/>
        <w:keepLines w:val="0"/>
        <w:widowControl/>
        <w:suppressLineNumbers w:val="0"/>
        <w:spacing w:line="360" w:lineRule="auto"/>
        <w:rPr>
          <w:rFonts w:hint="default" w:ascii="Times New Roman" w:hAnsi="Times New Roman" w:cs="Times New Roman"/>
          <w:sz w:val="24"/>
          <w:szCs w:val="24"/>
        </w:rPr>
      </w:pPr>
      <w:r>
        <w:rPr>
          <w:rStyle w:val="21"/>
          <w:rFonts w:hint="default" w:ascii="Times New Roman" w:hAnsi="Times New Roman" w:cs="Times New Roman"/>
          <w:sz w:val="24"/>
          <w:szCs w:val="24"/>
        </w:rPr>
        <w:t>Conclusion:</w:t>
      </w:r>
      <w:r>
        <w:rPr>
          <w:rFonts w:hint="default" w:ascii="Times New Roman" w:hAnsi="Times New Roman" w:cs="Times New Roman"/>
          <w:sz w:val="24"/>
          <w:szCs w:val="24"/>
        </w:rPr>
        <w:t xml:space="preserve"> The study demonstrated the presence of multidrug-resistant and ESBL-producing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among patients with UTIs in Okada, Nigeria, with </w:t>
      </w:r>
      <w:r>
        <w:rPr>
          <w:rStyle w:val="14"/>
          <w:rFonts w:hint="default" w:ascii="Times New Roman" w:hAnsi="Times New Roman" w:cs="Times New Roman"/>
          <w:sz w:val="24"/>
          <w:szCs w:val="24"/>
        </w:rPr>
        <w:t>blaCTX-M</w:t>
      </w:r>
      <w:r>
        <w:rPr>
          <w:rFonts w:hint="default" w:ascii="Times New Roman" w:hAnsi="Times New Roman" w:cs="Times New Roman"/>
          <w:sz w:val="24"/>
          <w:szCs w:val="24"/>
        </w:rPr>
        <w:t xml:space="preserve"> identified as the predominant ESBL gene. The high levels of resistance to commonly prescribed antibiotics highlight the urgent need for routine antimicrobial resistance surveillance, molecular monitoring of resistance determinants, and strengthened antimicrobial stewardship programs to mitigate the spread of resistant uropathogens.</w:t>
      </w:r>
    </w:p>
    <w:p w14:paraId="53C9101A">
      <w:pPr>
        <w:pStyle w:val="20"/>
        <w:keepNext w:val="0"/>
        <w:keepLines w:val="0"/>
        <w:widowControl/>
        <w:suppressLineNumbers w:val="0"/>
        <w:spacing w:line="360" w:lineRule="auto"/>
        <w:rPr>
          <w:rFonts w:hint="default" w:ascii="Times New Roman" w:hAnsi="Times New Roman" w:cs="Times New Roman"/>
          <w:sz w:val="24"/>
          <w:szCs w:val="24"/>
        </w:rPr>
      </w:pPr>
      <w:r>
        <w:rPr>
          <w:rStyle w:val="21"/>
          <w:rFonts w:hint="default" w:ascii="Times New Roman" w:hAnsi="Times New Roman" w:cs="Times New Roman"/>
          <w:sz w:val="24"/>
          <w:szCs w:val="24"/>
        </w:rPr>
        <w:t>Keywords:</w:t>
      </w:r>
      <w:r>
        <w:rPr>
          <w:rFonts w:hint="default" w:ascii="Times New Roman" w:hAnsi="Times New Roman" w:cs="Times New Roman"/>
          <w:sz w:val="24"/>
          <w:szCs w:val="24"/>
        </w:rPr>
        <w:t xml:space="preserve">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urinary tract infection, extended-spectrum β-lactamase, antimicrobial resistance, </w:t>
      </w:r>
      <w:r>
        <w:rPr>
          <w:rStyle w:val="14"/>
          <w:rFonts w:hint="default" w:ascii="Times New Roman" w:hAnsi="Times New Roman" w:cs="Times New Roman"/>
          <w:sz w:val="24"/>
          <w:szCs w:val="24"/>
        </w:rPr>
        <w:t>blaCTX-M</w:t>
      </w:r>
      <w:r>
        <w:rPr>
          <w:rFonts w:hint="default" w:ascii="Times New Roman" w:hAnsi="Times New Roman" w:cs="Times New Roman"/>
          <w:sz w:val="24"/>
          <w:szCs w:val="24"/>
        </w:rPr>
        <w:t>, multidrug resistance, Nigeria.</w:t>
      </w:r>
    </w:p>
    <w:bookmarkEnd w:id="0"/>
    <w:p w14:paraId="6ED7690E">
      <w:pPr>
        <w:pStyle w:val="20"/>
        <w:keepNext w:val="0"/>
        <w:keepLines w:val="0"/>
        <w:widowControl/>
        <w:suppressLineNumbers w:val="0"/>
        <w:spacing w:line="360" w:lineRule="auto"/>
        <w:rPr>
          <w:rFonts w:hint="default" w:ascii="Times New Roman" w:hAnsi="Times New Roman" w:cs="Times New Roman"/>
          <w:b/>
          <w:dstrike/>
          <w:sz w:val="24"/>
          <w:szCs w:val="24"/>
          <w:vertAlign w:val="superscript"/>
        </w:rPr>
      </w:pPr>
    </w:p>
    <w:p w14:paraId="58E63F1C">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6ABF32D1">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Antimicrobial resistance (AMR) has emerged as one of the most critical global health threats in the 21st century, undermining the effectiveness of antibiotics that once served as the foundation for treating infectious diseases (World Health Organization [WHO], 2023). Extended-spectrum β-lactamases (ESBLs) are bacterial enzymes capable of degrading and neutralizing a wide range of β-lactam antibiotics, including penicillins, cephalosporins, and monobactams, although carbapenems generally remain effective (Bush &amp; Bradford, 2020). These enzymes are commonly produced by members of the Enterobacterales, particularly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and </w:t>
      </w:r>
      <w:r>
        <w:rPr>
          <w:rStyle w:val="14"/>
          <w:rFonts w:hint="default" w:ascii="Times New Roman" w:hAnsi="Times New Roman" w:cs="Times New Roman"/>
          <w:sz w:val="24"/>
          <w:szCs w:val="24"/>
        </w:rPr>
        <w:t>Klebsiella pneumoniae</w:t>
      </w:r>
      <w:r>
        <w:rPr>
          <w:rFonts w:hint="default" w:ascii="Times New Roman" w:hAnsi="Times New Roman" w:cs="Times New Roman"/>
          <w:sz w:val="24"/>
          <w:szCs w:val="24"/>
        </w:rPr>
        <w:t>, and are of significant concern in both clinical and community settings (Paterson &amp; Bonomo, 2005; Rawat &amp; Nair, 2010).</w:t>
      </w:r>
    </w:p>
    <w:p w14:paraId="1D73CD6F">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Infections caused by ESBL-producing bacteria are associated with increased severity of illness, higher mortality rates, prolonged hospitalization, elevated treatment costs, and limited therapeutic options (Paterson &amp; Bonomo, 2005; Bush &amp; Bradford, 2020). ESBL-producing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is a major cause of infections such as urinary tract infections (UTIs), bloodstream infections, and pneumonia, particularly among hospitalized and immunocompromised individuals (Tamma et al., 2021). Urinary tract infections remain among the most common bacterial infections worldwide, but the emergence of multidrug-resistant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has complicated treatment strategies and, in severe cases, resulted in treatment failure (Flores-Mireles et al., 2015).</w:t>
      </w:r>
    </w:p>
    <w:p w14:paraId="5D3E9286">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The occurrence of ESBL-producing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varies across geographical regions but is particularly pronounced in developing countries such as Nigeria. Research conducted in a Nigerian hospital revealed that 35% of </w:t>
      </w:r>
      <w:r>
        <w:rPr>
          <w:rStyle w:val="14"/>
          <w:rFonts w:hint="default" w:ascii="Times New Roman" w:hAnsi="Times New Roman" w:cs="Times New Roman"/>
          <w:sz w:val="24"/>
          <w:szCs w:val="24"/>
        </w:rPr>
        <w:t>E. coli</w:t>
      </w:r>
      <w:r>
        <w:rPr>
          <w:rFonts w:hint="default" w:ascii="Times New Roman" w:hAnsi="Times New Roman" w:cs="Times New Roman"/>
          <w:sz w:val="24"/>
          <w:szCs w:val="24"/>
        </w:rPr>
        <w:t xml:space="preserve"> isolates produced ESBLs, highlighting the growing challenge of antimicrobial resistance in clinical practice (Nwafia et al., 2019). These resistant strains are frequently associated with risk factors such as previous antibiotic use, recent surgical procedures, prolonged hospital stays, intensive care unit admissions, and the use of invasive medical devices (Karanika et al., 2016). In community settings, ESBL-producing bacteria may also be transmitted through zoonotic routes, including direct contact with livestock and consumption of contaminated food products (Ewers et al., 2012).</w:t>
      </w:r>
    </w:p>
    <w:p w14:paraId="23CD3D3C">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The spread of ESBL-producing bacteria is further exacerbated by inappropriate antibiotic use, inadequate infection prevention and control measures, and weak antimicrobial resistance surveillance systems (WHO, 2023). Consequently, there have been global calls for strengthened antimicrobial stewardship programs and improved resistance monitoring to mitigate the growing burden of AMR (Centers for Disease Control and Prevention [CDC], 2023; WHO, 2023). Continuous surveillance of resistance patterns is essential not only for guiding effective treatment but also for preventing the dissemination of resistant strains within healthcare facilities and the wider community (Prestinaci et al., 2015).</w:t>
      </w:r>
    </w:p>
    <w:p w14:paraId="7A2072D3">
      <w:pPr>
        <w:pStyle w:val="20"/>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Therefore, this study aimed to determine the antibiotic susceptibility profile of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isolated from urinary tract infections among patients attending various wards of Igbinedion University Teaching Hospital, Okada, Edo State, Nigeria.</w:t>
      </w:r>
    </w:p>
    <w:p w14:paraId="49A1AFF8">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METHODS</w:t>
      </w:r>
    </w:p>
    <w:p w14:paraId="5AE893DC">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Study Area</w:t>
      </w:r>
    </w:p>
    <w:p w14:paraId="28135E3A">
      <w:pPr>
        <w:spacing w:line="36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work was Carried out in Igbinedion University Okada Ovia North East Local Government of Edo state. Okada is a rural area and local government headquarters of Ovia North East Local Government area of Edo state</w:t>
      </w:r>
    </w:p>
    <w:p w14:paraId="02987D1B">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Ethical Permission</w:t>
      </w:r>
    </w:p>
    <w:p w14:paraId="2F042F41">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Ethical approval for this study was obtained from the Ethics Committee of the </w:t>
      </w:r>
      <w:r>
        <w:rPr>
          <w:rFonts w:hint="default" w:ascii="Times New Roman" w:hAnsi="Times New Roman" w:cs="Times New Roman"/>
          <w:sz w:val="24"/>
          <w:szCs w:val="24"/>
          <w:lang w:val="en-US"/>
        </w:rPr>
        <w:t>Igbinedion University Teaching Hospital, Okada</w:t>
      </w:r>
    </w:p>
    <w:p w14:paraId="4E959E2A">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Study Design</w:t>
      </w:r>
    </w:p>
    <w:p w14:paraId="5CE1A20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research design was a cross- sectional study, conducted between April and June, 2025, at the Medical Laboratory </w:t>
      </w:r>
      <w:r>
        <w:rPr>
          <w:rFonts w:hint="default" w:ascii="Times New Roman" w:hAnsi="Times New Roman" w:cs="Times New Roman"/>
          <w:sz w:val="24"/>
          <w:szCs w:val="24"/>
          <w:lang w:val="en-US"/>
        </w:rPr>
        <w:t xml:space="preserve">Science </w:t>
      </w:r>
      <w:r>
        <w:rPr>
          <w:rFonts w:hint="default" w:ascii="Times New Roman" w:hAnsi="Times New Roman" w:cs="Times New Roman"/>
          <w:sz w:val="24"/>
          <w:szCs w:val="24"/>
        </w:rPr>
        <w:t>Department</w:t>
      </w:r>
      <w:r>
        <w:rPr>
          <w:rFonts w:hint="default" w:ascii="Times New Roman" w:hAnsi="Times New Roman" w:cs="Times New Roman"/>
          <w:sz w:val="24"/>
          <w:szCs w:val="24"/>
          <w:lang w:val="en-US"/>
        </w:rPr>
        <w:t>, Igbinedion University Okada, Edo</w:t>
      </w:r>
      <w:r>
        <w:rPr>
          <w:rFonts w:hint="default" w:ascii="Times New Roman" w:hAnsi="Times New Roman" w:cs="Times New Roman"/>
          <w:sz w:val="24"/>
          <w:szCs w:val="24"/>
        </w:rPr>
        <w:t xml:space="preserve"> State, Nigeria. A </w:t>
      </w:r>
      <w:r>
        <w:rPr>
          <w:rFonts w:hint="default" w:ascii="Times New Roman" w:hAnsi="Times New Roman" w:cs="Times New Roman"/>
          <w:sz w:val="24"/>
          <w:szCs w:val="24"/>
          <w:lang w:val="en-US"/>
        </w:rPr>
        <w:t>non- repetitive mid stream urine sample were collected from participants presenting with symptoms of urinary tract infections.</w:t>
      </w:r>
      <w:r>
        <w:rPr>
          <w:rFonts w:hint="default" w:ascii="Times New Roman" w:hAnsi="Times New Roman" w:cs="Times New Roman"/>
          <w:sz w:val="24"/>
          <w:szCs w:val="24"/>
        </w:rPr>
        <w:t>.</w:t>
      </w:r>
    </w:p>
    <w:p w14:paraId="26308FEB">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Specimen Collection</w:t>
      </w:r>
    </w:p>
    <w:p w14:paraId="5B6DCB0B">
      <w:pPr>
        <w:spacing w:line="360" w:lineRule="auto"/>
        <w:rPr>
          <w:rFonts w:hint="default" w:ascii="Times New Roman" w:hAnsi="Times New Roman" w:cs="Times New Roman"/>
          <w:b/>
          <w:sz w:val="24"/>
          <w:szCs w:val="24"/>
          <w:lang w:val="en-US"/>
        </w:rPr>
      </w:pPr>
      <w:r>
        <w:rPr>
          <w:rFonts w:hint="default" w:ascii="Times New Roman" w:hAnsi="Times New Roman" w:cs="Times New Roman"/>
          <w:sz w:val="24"/>
          <w:szCs w:val="24"/>
        </w:rPr>
        <w:t>A total of 400 urine samples were collected from both male and female patients of varying age groups, drawn from multiple clinics and wards including the Antenatal Clinic, General Outpatient Department (GOPD), Gynecology Ward, Female and Male Medical Wards</w:t>
      </w:r>
      <w:r>
        <w:rPr>
          <w:rFonts w:hint="default" w:ascii="Times New Roman" w:hAnsi="Times New Roman" w:cs="Times New Roman"/>
          <w:sz w:val="24"/>
          <w:szCs w:val="24"/>
          <w:lang w:val="en-US"/>
        </w:rPr>
        <w:t>.</w:t>
      </w:r>
    </w:p>
    <w:p w14:paraId="1E135923">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Bacterial culture</w:t>
      </w:r>
    </w:p>
    <w:p w14:paraId="2E5FB4D0">
      <w:pPr>
        <w:pStyle w:val="38"/>
        <w:numPr>
          <w:ilvl w:val="0"/>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The urine samples were inoculated aseptically onto Cystine Lactose Electrolyte Deficient (CLED) agar; plates were incubated at 37 degrees Celcius overnight aerobically. Isolates were subjected to standard biochemical tests for identification</w:t>
      </w:r>
      <w:r>
        <w:rPr>
          <w:rFonts w:hint="default" w:ascii="Times New Roman" w:hAnsi="Times New Roman" w:cs="Times New Roman"/>
          <w:sz w:val="24"/>
          <w:szCs w:val="24"/>
          <w:lang w:val="en-US"/>
        </w:rPr>
        <w:t xml:space="preserve"> (Cheesebrough, 2006). </w:t>
      </w:r>
      <w:r>
        <w:rPr>
          <w:rFonts w:hint="default" w:ascii="Times New Roman" w:hAnsi="Times New Roman" w:eastAsia="SimSun" w:cs="Times New Roman"/>
          <w:sz w:val="24"/>
          <w:szCs w:val="24"/>
        </w:rPr>
        <w:t xml:space="preserve">Molecular confirmation of </w:t>
      </w:r>
      <w:r>
        <w:rPr>
          <w:rStyle w:val="14"/>
          <w:rFonts w:hint="default" w:ascii="Times New Roman" w:hAnsi="Times New Roman" w:eastAsia="SimSun" w:cs="Times New Roman"/>
          <w:sz w:val="24"/>
          <w:szCs w:val="24"/>
        </w:rPr>
        <w:t>Escherichia coli</w:t>
      </w:r>
      <w:r>
        <w:rPr>
          <w:rFonts w:hint="default" w:ascii="Times New Roman" w:hAnsi="Times New Roman" w:eastAsia="SimSun" w:cs="Times New Roman"/>
          <w:sz w:val="24"/>
          <w:szCs w:val="24"/>
        </w:rPr>
        <w:t xml:space="preserve"> isolates was subsequently performed using polymerase chain reaction (PCR) targeting the </w:t>
      </w:r>
      <w:r>
        <w:rPr>
          <w:rStyle w:val="14"/>
          <w:rFonts w:hint="default" w:ascii="Times New Roman" w:hAnsi="Times New Roman" w:eastAsia="SimSun" w:cs="Times New Roman"/>
          <w:sz w:val="24"/>
          <w:szCs w:val="24"/>
        </w:rPr>
        <w:t>uidA</w:t>
      </w:r>
      <w:r>
        <w:rPr>
          <w:rFonts w:hint="default" w:ascii="Times New Roman" w:hAnsi="Times New Roman" w:eastAsia="SimSun" w:cs="Times New Roman"/>
          <w:sz w:val="24"/>
          <w:szCs w:val="24"/>
        </w:rPr>
        <w:t xml:space="preserve"> gene as previously described by </w:t>
      </w:r>
      <w:r>
        <w:rPr>
          <w:rFonts w:hint="default" w:ascii="Times New Roman" w:hAnsi="Times New Roman" w:eastAsia="SimSun" w:cs="Times New Roman"/>
          <w:sz w:val="24"/>
          <w:szCs w:val="24"/>
          <w:lang w:val="en-US"/>
        </w:rPr>
        <w:t>Tille,</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2022</w:t>
      </w:r>
      <w:r>
        <w:rPr>
          <w:rFonts w:hint="default" w:ascii="Times New Roman" w:hAnsi="Times New Roman" w:eastAsia="SimSun" w:cs="Times New Roman"/>
          <w:sz w:val="24"/>
          <w:szCs w:val="24"/>
        </w:rPr>
        <w:t>).</w:t>
      </w:r>
      <w:r>
        <w:rPr>
          <w:rFonts w:hint="default" w:ascii="Times New Roman" w:hAnsi="Times New Roman" w:cs="Times New Roman"/>
          <w:sz w:val="24"/>
          <w:szCs w:val="24"/>
          <w:lang w:val="en-US"/>
        </w:rPr>
        <w:t>.</w:t>
      </w:r>
    </w:p>
    <w:p w14:paraId="2F9F72B0">
      <w:pPr>
        <w:pStyle w:val="38"/>
        <w:numPr>
          <w:ilvl w:val="0"/>
          <w:numId w:val="0"/>
        </w:numPr>
        <w:spacing w:line="360" w:lineRule="auto"/>
        <w:ind w:left="360" w:left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Antibiotic susceptibility testing</w:t>
      </w:r>
    </w:p>
    <w:p w14:paraId="353BCF10">
      <w:pPr>
        <w:spacing w:before="0" w:after="200" w:line="360" w:lineRule="auto"/>
        <w:ind w:left="0" w:right="0" w:firstLine="0"/>
        <w:jc w:val="both"/>
        <w:rPr>
          <w:rFonts w:hint="default" w:ascii="Times New Roman" w:hAnsi="Times New Roman" w:eastAsia="SimSun" w:cs="Times New Roman"/>
          <w:sz w:val="24"/>
          <w:szCs w:val="24"/>
          <w:lang w:val="en-US"/>
        </w:rPr>
      </w:pPr>
      <w:r>
        <w:rPr>
          <w:rFonts w:hint="default" w:ascii="Times New Roman" w:hAnsi="Times New Roman" w:eastAsia="Times New Roman" w:cs="Times New Roman"/>
          <w:color w:val="auto"/>
          <w:spacing w:val="0"/>
          <w:position w:val="0"/>
          <w:sz w:val="24"/>
          <w:szCs w:val="24"/>
          <w:shd w:val="clear" w:fill="auto"/>
        </w:rPr>
        <w:t xml:space="preserve">The antimicrobial susceptibility of </w:t>
      </w:r>
      <w:r>
        <w:rPr>
          <w:rFonts w:hint="default" w:ascii="Times New Roman" w:hAnsi="Times New Roman" w:eastAsia="Times New Roman" w:cs="Times New Roman"/>
          <w:i/>
          <w:color w:val="auto"/>
          <w:spacing w:val="0"/>
          <w:position w:val="0"/>
          <w:sz w:val="24"/>
          <w:szCs w:val="24"/>
          <w:shd w:val="clear" w:fill="auto"/>
        </w:rPr>
        <w:t>E. coli</w:t>
      </w:r>
      <w:r>
        <w:rPr>
          <w:rFonts w:hint="default" w:ascii="Times New Roman" w:hAnsi="Times New Roman" w:eastAsia="Times New Roman" w:cs="Times New Roman"/>
          <w:color w:val="auto"/>
          <w:spacing w:val="0"/>
          <w:position w:val="0"/>
          <w:sz w:val="24"/>
          <w:szCs w:val="24"/>
          <w:shd w:val="clear" w:fill="auto"/>
        </w:rPr>
        <w:t xml:space="preserve"> isolates to 12 antibiotics was assessed using the Kirby-Bauer disc diffusion method. The antibiotic discs included: ciprofloxacin (CIP, 5 µg), amoxicillin-clavulanate (AUG, 30 µg), cefepime (CPM, 30 µg), cefotaxime (CTX, 25 µg), ceftazidime (CXM, 30 µg), ceftriaxone (CTR, 30 µg), gentamicin (GEN, 10 µg), amikacin (AMK, 30 µg), cotrimoxazole (25 µg), nitrofurantoin (NIT, 30 µg), levofloxacin (LBC, 5 µg), and aztreonam (AT, 30 µg). The plates were incubated at 37°C for 24 hours following Clinical and Laboratory Standards Institute (CLSI) guidelines. The diameters of inhibition zones were measured and interpreted according to CLSI standards.</w:t>
      </w:r>
      <w:r>
        <w:rPr>
          <w:rFonts w:hint="default" w:ascii="Times New Roman" w:hAnsi="Times New Roman" w:eastAsia="Times New Roman" w:cs="Times New Roman"/>
          <w:color w:val="auto"/>
          <w:spacing w:val="0"/>
          <w:position w:val="0"/>
          <w:sz w:val="24"/>
          <w:szCs w:val="24"/>
          <w:shd w:val="clear" w:fill="auto"/>
          <w:lang w:val="en-US"/>
        </w:rPr>
        <w:t xml:space="preserve"> </w:t>
      </w:r>
      <w:r>
        <w:rPr>
          <w:rFonts w:hint="default" w:ascii="Times New Roman" w:hAnsi="Times New Roman" w:eastAsia="SimSun" w:cs="Times New Roman"/>
          <w:sz w:val="24"/>
          <w:szCs w:val="24"/>
        </w:rPr>
        <w:t>The sensitivity tests were standardised using E. coli</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NCTC no. 10418)</w:t>
      </w:r>
      <w:r>
        <w:rPr>
          <w:rFonts w:hint="default" w:ascii="Times New Roman" w:hAnsi="Times New Roman" w:eastAsia="SimSun" w:cs="Times New Roman"/>
          <w:sz w:val="24"/>
          <w:szCs w:val="24"/>
          <w:lang w:val="en-US"/>
        </w:rPr>
        <w:t xml:space="preserve"> </w:t>
      </w:r>
      <w:bookmarkStart w:id="6" w:name="_GoBack"/>
      <w:bookmarkEnd w:id="6"/>
      <w:r>
        <w:rPr>
          <w:rFonts w:ascii="SimSun" w:hAnsi="SimSun" w:eastAsia="SimSun" w:cs="SimSun"/>
          <w:sz w:val="24"/>
          <w:szCs w:val="24"/>
        </w:rPr>
        <w:t>(CLSI, 2024; Tille, 2022).</w:t>
      </w:r>
    </w:p>
    <w:p w14:paraId="21BE3FC8">
      <w:pPr>
        <w:spacing w:before="0" w:after="200" w:line="360" w:lineRule="auto"/>
        <w:ind w:left="0" w:right="0" w:firstLine="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RESULTS </w:t>
      </w:r>
    </w:p>
    <w:p w14:paraId="482D76BD">
      <w:pPr>
        <w:spacing w:before="0" w:after="200" w:line="360" w:lineRule="auto"/>
        <w:ind w:left="0" w:right="0" w:firstLine="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The various results for the tests done are shown below. Table 1 shows the distribution of E. coli </w:t>
      </w:r>
      <w:r>
        <w:rPr>
          <w:rFonts w:hint="default" w:ascii="Times New Roman" w:hAnsi="Times New Roman" w:eastAsia="SimSun" w:cs="Times New Roman"/>
          <w:sz w:val="24"/>
          <w:szCs w:val="24"/>
          <w:lang w:val="en-US"/>
        </w:rPr>
        <w:t>with respect to age</w:t>
      </w:r>
    </w:p>
    <w:p w14:paraId="5A48207E">
      <w:pPr>
        <w:spacing w:before="0" w:after="200" w:line="360" w:lineRule="auto"/>
        <w:ind w:left="0" w:right="0" w:firstLine="0"/>
        <w:jc w:val="both"/>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Table 4.5: Age Profiling of</w:t>
      </w:r>
      <w:r>
        <w:rPr>
          <w:rFonts w:hint="default" w:ascii="Times New Roman" w:hAnsi="Times New Roman" w:eastAsia="Times New Roman" w:cs="Times New Roman"/>
          <w:b/>
          <w:i/>
          <w:color w:val="auto"/>
          <w:spacing w:val="0"/>
          <w:position w:val="0"/>
          <w:sz w:val="24"/>
          <w:szCs w:val="24"/>
          <w:shd w:val="clear" w:fill="auto"/>
        </w:rPr>
        <w:t xml:space="preserve"> E. coli</w:t>
      </w:r>
      <w:r>
        <w:rPr>
          <w:rFonts w:hint="default" w:ascii="Times New Roman" w:hAnsi="Times New Roman" w:eastAsia="Times New Roman" w:cs="Times New Roman"/>
          <w:b/>
          <w:color w:val="auto"/>
          <w:spacing w:val="0"/>
          <w:position w:val="0"/>
          <w:sz w:val="24"/>
          <w:szCs w:val="24"/>
          <w:shd w:val="clear" w:fill="auto"/>
        </w:rPr>
        <w:t xml:space="preserve"> Isolates and ESBL positive </w:t>
      </w:r>
      <w:r>
        <w:rPr>
          <w:rFonts w:hint="default" w:ascii="Times New Roman" w:hAnsi="Times New Roman" w:eastAsia="Times New Roman" w:cs="Times New Roman"/>
          <w:b/>
          <w:i/>
          <w:color w:val="auto"/>
          <w:spacing w:val="0"/>
          <w:position w:val="0"/>
          <w:sz w:val="24"/>
          <w:szCs w:val="24"/>
          <w:shd w:val="clear" w:fill="auto"/>
        </w:rPr>
        <w:t>E. coli</w:t>
      </w:r>
      <w:r>
        <w:rPr>
          <w:rFonts w:hint="default" w:ascii="Times New Roman" w:hAnsi="Times New Roman" w:eastAsia="Times New Roman" w:cs="Times New Roman"/>
          <w:b/>
          <w:color w:val="auto"/>
          <w:spacing w:val="0"/>
          <w:position w:val="0"/>
          <w:sz w:val="24"/>
          <w:szCs w:val="24"/>
          <w:shd w:val="clear" w:fill="auto"/>
        </w:rPr>
        <w:t xml:space="preserve"> from urine samples among patients attending Federal Medical Centre, Keffi</w:t>
      </w:r>
    </w:p>
    <w:tbl>
      <w:tblPr>
        <w:tblStyle w:val="12"/>
        <w:tblW w:w="0" w:type="auto"/>
        <w:tblInd w:w="0" w:type="dxa"/>
        <w:tblLayout w:type="autofit"/>
        <w:tblCellMar>
          <w:top w:w="0" w:type="dxa"/>
          <w:left w:w="10" w:type="dxa"/>
          <w:bottom w:w="0" w:type="dxa"/>
          <w:right w:w="10" w:type="dxa"/>
        </w:tblCellMar>
      </w:tblPr>
      <w:tblGrid>
        <w:gridCol w:w="1423"/>
        <w:gridCol w:w="1485"/>
        <w:gridCol w:w="1491"/>
        <w:gridCol w:w="1879"/>
        <w:gridCol w:w="1491"/>
        <w:gridCol w:w="1807"/>
      </w:tblGrid>
      <w:tr w14:paraId="5B0689DE">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537EC2A">
            <w:pPr>
              <w:spacing w:before="0" w:after="200" w:line="360" w:lineRule="auto"/>
              <w:ind w:left="0" w:right="0" w:firstLine="0"/>
              <w:jc w:val="center"/>
              <w:rPr>
                <w:rFonts w:hint="default" w:ascii="Times New Roman" w:hAnsi="Times New Roman" w:eastAsia="Calibri" w:cs="Times New Roman"/>
                <w:color w:val="auto"/>
                <w:spacing w:val="0"/>
                <w:position w:val="0"/>
                <w:sz w:val="24"/>
                <w:szCs w:val="24"/>
                <w:shd w:val="clear" w:fill="auto"/>
              </w:rPr>
            </w:pP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7FBB0AE">
            <w:pPr>
              <w:spacing w:before="0" w:after="200" w:line="360" w:lineRule="auto"/>
              <w:ind w:left="0" w:right="0" w:firstLine="0"/>
              <w:jc w:val="center"/>
              <w:rPr>
                <w:rFonts w:hint="default" w:ascii="Times New Roman" w:hAnsi="Times New Roman" w:eastAsia="Calibri" w:cs="Times New Roman"/>
                <w:color w:val="auto"/>
                <w:spacing w:val="0"/>
                <w:position w:val="0"/>
                <w:sz w:val="24"/>
                <w:szCs w:val="24"/>
                <w:shd w:val="clear" w:fill="auto"/>
              </w:rPr>
            </w:pPr>
          </w:p>
        </w:tc>
        <w:tc>
          <w:tcPr>
            <w:tcW w:w="3690" w:type="dxa"/>
            <w:gridSpan w:val="2"/>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E671DCF">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i/>
                <w:color w:val="auto"/>
                <w:spacing w:val="0"/>
                <w:position w:val="0"/>
                <w:sz w:val="24"/>
                <w:szCs w:val="24"/>
                <w:shd w:val="clear" w:fill="auto"/>
              </w:rPr>
              <w:t>E. coli</w:t>
            </w:r>
          </w:p>
        </w:tc>
        <w:tc>
          <w:tcPr>
            <w:tcW w:w="3600" w:type="dxa"/>
            <w:gridSpan w:val="2"/>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B30798A">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ESBL</w:t>
            </w:r>
            <w:r>
              <w:rPr>
                <w:rFonts w:hint="default" w:ascii="Times New Roman" w:hAnsi="Times New Roman" w:eastAsia="Times New Roman" w:cs="Times New Roman"/>
                <w:b/>
                <w:i/>
                <w:color w:val="auto"/>
                <w:spacing w:val="0"/>
                <w:position w:val="0"/>
                <w:sz w:val="24"/>
                <w:szCs w:val="24"/>
                <w:shd w:val="clear" w:fill="auto"/>
              </w:rPr>
              <w:t>E. Coli</w:t>
            </w:r>
          </w:p>
        </w:tc>
      </w:tr>
      <w:tr w14:paraId="0638E44E">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745B118">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Age Group (Years)</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83D4502">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Number of Samples Examined</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C512944">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Prevalence</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3CA83E1">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X</w:t>
            </w:r>
            <w:r>
              <w:rPr>
                <w:rFonts w:hint="default" w:ascii="Times New Roman" w:hAnsi="Times New Roman" w:eastAsia="Times New Roman" w:cs="Times New Roman"/>
                <w:b/>
                <w:color w:val="auto"/>
                <w:spacing w:val="0"/>
                <w:position w:val="0"/>
                <w:sz w:val="24"/>
                <w:szCs w:val="24"/>
                <w:shd w:val="clear" w:fill="auto"/>
                <w:vertAlign w:val="superscript"/>
              </w:rPr>
              <w:t>2</w:t>
            </w:r>
            <w:r>
              <w:rPr>
                <w:rFonts w:hint="default" w:ascii="Times New Roman" w:hAnsi="Times New Roman" w:eastAsia="Times New Roman" w:cs="Times New Roman"/>
                <w:b/>
                <w:color w:val="auto"/>
                <w:spacing w:val="0"/>
                <w:position w:val="0"/>
                <w:sz w:val="24"/>
                <w:szCs w:val="24"/>
                <w:shd w:val="clear" w:fill="auto"/>
              </w:rPr>
              <w:t xml:space="preserve"> and P-value</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1693081">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Prevalence</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53F597B">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X</w:t>
            </w:r>
            <w:r>
              <w:rPr>
                <w:rFonts w:hint="default" w:ascii="Times New Roman" w:hAnsi="Times New Roman" w:eastAsia="Times New Roman" w:cs="Times New Roman"/>
                <w:b/>
                <w:color w:val="auto"/>
                <w:spacing w:val="0"/>
                <w:position w:val="0"/>
                <w:sz w:val="24"/>
                <w:szCs w:val="24"/>
                <w:shd w:val="clear" w:fill="auto"/>
                <w:vertAlign w:val="superscript"/>
              </w:rPr>
              <w:t>2</w:t>
            </w:r>
            <w:r>
              <w:rPr>
                <w:rFonts w:hint="default" w:ascii="Times New Roman" w:hAnsi="Times New Roman" w:eastAsia="Times New Roman" w:cs="Times New Roman"/>
                <w:b/>
                <w:color w:val="auto"/>
                <w:spacing w:val="0"/>
                <w:position w:val="0"/>
                <w:sz w:val="24"/>
                <w:szCs w:val="24"/>
                <w:shd w:val="clear" w:fill="auto"/>
              </w:rPr>
              <w:t xml:space="preserve"> and P-value</w:t>
            </w:r>
          </w:p>
        </w:tc>
      </w:tr>
      <w:tr w14:paraId="7E726BBF">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A9AEDE8">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0 – 10</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DF5EA25">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40</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567E64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 (2.5%)</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B9D8B74">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4BEA9B3">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 (2.5%)</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D8C8F35">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r>
      <w:tr w14:paraId="33E15F6B">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2B13002">
            <w:pPr>
              <w:spacing w:before="0" w:after="200" w:line="360" w:lineRule="auto"/>
              <w:ind w:left="3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 xml:space="preserve">11 – 20 </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1CA7472">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48</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DECB11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 (4.2%)</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56B6274">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FE4DB29">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0 (0%)</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BEFA9C4">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r>
      <w:tr w14:paraId="64E64DB1">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AF08B0E">
            <w:pPr>
              <w:spacing w:before="0" w:after="200" w:line="360" w:lineRule="auto"/>
              <w:ind w:left="3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 xml:space="preserve">21 – 30 </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AADCCEC">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91</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0F082C8">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11 (12.1%)</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5E72A4F">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 xml:space="preserve">X </w:t>
            </w:r>
            <w:r>
              <w:rPr>
                <w:rFonts w:hint="default" w:ascii="Times New Roman" w:hAnsi="Times New Roman" w:eastAsia="Times New Roman" w:cs="Times New Roman"/>
                <w:color w:val="auto"/>
                <w:spacing w:val="0"/>
                <w:position w:val="0"/>
                <w:sz w:val="24"/>
                <w:szCs w:val="24"/>
                <w:shd w:val="clear" w:fill="auto"/>
                <w:vertAlign w:val="superscript"/>
              </w:rPr>
              <w:t>2</w:t>
            </w:r>
            <w:r>
              <w:rPr>
                <w:rFonts w:hint="default" w:ascii="Times New Roman" w:hAnsi="Times New Roman" w:eastAsia="Times New Roman" w:cs="Times New Roman"/>
                <w:color w:val="auto"/>
                <w:spacing w:val="0"/>
                <w:position w:val="0"/>
                <w:sz w:val="24"/>
                <w:szCs w:val="24"/>
                <w:shd w:val="clear" w:fill="auto"/>
              </w:rPr>
              <w:t xml:space="preserve"> = 9.279</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58D5E7D">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 (1.1%)</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82BCC22">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 xml:space="preserve">X </w:t>
            </w:r>
            <w:r>
              <w:rPr>
                <w:rFonts w:hint="default" w:ascii="Times New Roman" w:hAnsi="Times New Roman" w:eastAsia="Times New Roman" w:cs="Times New Roman"/>
                <w:color w:val="auto"/>
                <w:spacing w:val="0"/>
                <w:position w:val="0"/>
                <w:sz w:val="24"/>
                <w:szCs w:val="24"/>
                <w:shd w:val="clear" w:fill="auto"/>
                <w:vertAlign w:val="superscript"/>
              </w:rPr>
              <w:t>2</w:t>
            </w:r>
            <w:r>
              <w:rPr>
                <w:rFonts w:hint="default" w:ascii="Times New Roman" w:hAnsi="Times New Roman" w:eastAsia="Times New Roman" w:cs="Times New Roman"/>
                <w:color w:val="auto"/>
                <w:spacing w:val="0"/>
                <w:position w:val="0"/>
                <w:sz w:val="24"/>
                <w:szCs w:val="24"/>
                <w:shd w:val="clear" w:fill="auto"/>
              </w:rPr>
              <w:t xml:space="preserve"> = 8.13</w:t>
            </w:r>
          </w:p>
        </w:tc>
      </w:tr>
      <w:tr w14:paraId="085FEF1F">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EDE2D0D">
            <w:pPr>
              <w:spacing w:before="0" w:after="200" w:line="360" w:lineRule="auto"/>
              <w:ind w:left="3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31 – 40</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0055AFA">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74</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F1F7AAD">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 (13.5%)</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38B9189">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 = 0.158</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6665091">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 (5.4%)</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327C912">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 = 0.229</w:t>
            </w:r>
          </w:p>
        </w:tc>
      </w:tr>
      <w:tr w14:paraId="27886CA6">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5CC5FE3">
            <w:pPr>
              <w:spacing w:before="0" w:after="200" w:line="360" w:lineRule="auto"/>
              <w:ind w:left="3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41 – 50</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E140047">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54</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70673F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 (7.4%)</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457D284">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 &gt; 0.05)</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09E25B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 (5.6%)</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6AD9002">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 &gt; 0.05)</w:t>
            </w:r>
          </w:p>
        </w:tc>
      </w:tr>
      <w:tr w14:paraId="17C0CA77">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55978E5">
            <w:pPr>
              <w:spacing w:before="0" w:after="200" w:line="360" w:lineRule="auto"/>
              <w:ind w:left="3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51 – 60</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221A4D3">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45</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37ED4D3">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 (6.7%)</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FE8245F">
            <w:pPr>
              <w:spacing w:before="0" w:after="200" w:line="360" w:lineRule="auto"/>
              <w:ind w:left="0" w:right="0" w:firstLine="0"/>
              <w:jc w:val="center"/>
              <w:rPr>
                <w:rFonts w:hint="default" w:ascii="Times New Roman" w:hAnsi="Times New Roman" w:eastAsia="Calibri" w:cs="Times New Roman"/>
                <w:color w:val="auto"/>
                <w:spacing w:val="0"/>
                <w:position w:val="0"/>
                <w:sz w:val="24"/>
                <w:szCs w:val="24"/>
                <w:shd w:val="clear" w:fill="auto"/>
              </w:rPr>
            </w:pP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93E4870">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 (6.7%)</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B59A6AB">
            <w:pPr>
              <w:spacing w:before="0" w:after="200" w:line="360" w:lineRule="auto"/>
              <w:ind w:left="0" w:right="0" w:firstLine="0"/>
              <w:jc w:val="center"/>
              <w:rPr>
                <w:rFonts w:hint="default" w:ascii="Times New Roman" w:hAnsi="Times New Roman" w:eastAsia="Calibri" w:cs="Times New Roman"/>
                <w:color w:val="auto"/>
                <w:spacing w:val="0"/>
                <w:position w:val="0"/>
                <w:sz w:val="24"/>
                <w:szCs w:val="24"/>
                <w:shd w:val="clear" w:fill="auto"/>
              </w:rPr>
            </w:pPr>
          </w:p>
        </w:tc>
      </w:tr>
      <w:tr w14:paraId="04EB6181">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E5F37B4">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61 – 70</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FEB2B20">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48</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DB4014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8 (16.7%)</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B4CE661">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C3C5C58">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 (8.3%)</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FEBB0A8">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r>
      <w:tr w14:paraId="5AC7738A">
        <w:tblPrEx>
          <w:tblCellMar>
            <w:top w:w="0" w:type="dxa"/>
            <w:left w:w="10" w:type="dxa"/>
            <w:bottom w:w="0" w:type="dxa"/>
            <w:right w:w="10" w:type="dxa"/>
          </w:tblCellMar>
        </w:tblPrEx>
        <w:trPr>
          <w:trHeight w:val="1" w:hRule="atLeast"/>
        </w:trPr>
        <w:tc>
          <w:tcPr>
            <w:tcW w:w="1535"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FF4607E">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Total</w:t>
            </w:r>
          </w:p>
        </w:tc>
        <w:tc>
          <w:tcPr>
            <w:tcW w:w="154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50B7321">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400</w:t>
            </w: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7D0720D">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39 (9.75%)</w:t>
            </w:r>
          </w:p>
        </w:tc>
        <w:tc>
          <w:tcPr>
            <w:tcW w:w="216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3870205">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c>
          <w:tcPr>
            <w:tcW w:w="153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BC26C2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16 (4%)</w:t>
            </w:r>
          </w:p>
        </w:tc>
        <w:tc>
          <w:tcPr>
            <w:tcW w:w="207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C06A76D">
            <w:pPr>
              <w:spacing w:before="0" w:after="200" w:line="360" w:lineRule="auto"/>
              <w:ind w:left="0" w:right="0" w:firstLine="0"/>
              <w:jc w:val="left"/>
              <w:rPr>
                <w:rFonts w:hint="default" w:ascii="Times New Roman" w:hAnsi="Times New Roman" w:eastAsia="Calibri" w:cs="Times New Roman"/>
                <w:color w:val="auto"/>
                <w:spacing w:val="0"/>
                <w:position w:val="0"/>
                <w:sz w:val="24"/>
                <w:szCs w:val="24"/>
                <w:shd w:val="clear" w:fill="auto"/>
              </w:rPr>
            </w:pPr>
          </w:p>
        </w:tc>
      </w:tr>
    </w:tbl>
    <w:p w14:paraId="71B52800">
      <w:pPr>
        <w:spacing w:before="0" w:after="0" w:line="360" w:lineRule="auto"/>
        <w:ind w:left="0" w:right="0" w:firstLine="0"/>
        <w:jc w:val="both"/>
        <w:rPr>
          <w:rFonts w:hint="default" w:ascii="Times New Roman" w:hAnsi="Times New Roman" w:eastAsia="Times New Roman" w:cs="Times New Roman"/>
          <w:color w:val="auto"/>
          <w:spacing w:val="0"/>
          <w:position w:val="0"/>
          <w:sz w:val="24"/>
          <w:szCs w:val="24"/>
          <w:shd w:val="clear" w:fill="auto"/>
        </w:rPr>
      </w:pPr>
    </w:p>
    <w:p w14:paraId="7A7BC084">
      <w:pPr>
        <w:spacing w:before="0" w:after="200" w:line="360" w:lineRule="auto"/>
        <w:ind w:left="0" w:right="0" w:firstLine="0"/>
        <w:jc w:val="left"/>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 xml:space="preserve">Table 4.8: Overall AntibioticSusceptibility Profile of </w:t>
      </w:r>
      <w:r>
        <w:rPr>
          <w:rFonts w:hint="default" w:ascii="Times New Roman" w:hAnsi="Times New Roman" w:eastAsia="Times New Roman" w:cs="Times New Roman"/>
          <w:b/>
          <w:i/>
          <w:color w:val="auto"/>
          <w:spacing w:val="0"/>
          <w:position w:val="0"/>
          <w:sz w:val="24"/>
          <w:szCs w:val="24"/>
          <w:shd w:val="clear" w:fill="auto"/>
        </w:rPr>
        <w:t>E. coli</w:t>
      </w:r>
      <w:r>
        <w:rPr>
          <w:rFonts w:hint="default" w:ascii="Times New Roman" w:hAnsi="Times New Roman" w:eastAsia="Times New Roman" w:cs="Times New Roman"/>
          <w:b/>
          <w:color w:val="auto"/>
          <w:spacing w:val="0"/>
          <w:position w:val="0"/>
          <w:sz w:val="24"/>
          <w:szCs w:val="24"/>
          <w:shd w:val="clear" w:fill="auto"/>
        </w:rPr>
        <w:t xml:space="preserve"> Isolates from urine samples among patients attending Federal Medical Centre,Keffi</w:t>
      </w:r>
    </w:p>
    <w:tbl>
      <w:tblPr>
        <w:tblStyle w:val="12"/>
        <w:tblW w:w="0" w:type="auto"/>
        <w:tblInd w:w="0" w:type="dxa"/>
        <w:tblLayout w:type="autofit"/>
        <w:tblCellMar>
          <w:top w:w="0" w:type="dxa"/>
          <w:left w:w="10" w:type="dxa"/>
          <w:bottom w:w="0" w:type="dxa"/>
          <w:right w:w="10" w:type="dxa"/>
        </w:tblCellMar>
      </w:tblPr>
      <w:tblGrid>
        <w:gridCol w:w="2637"/>
        <w:gridCol w:w="1525"/>
        <w:gridCol w:w="1820"/>
        <w:gridCol w:w="1821"/>
        <w:gridCol w:w="1773"/>
      </w:tblGrid>
      <w:tr w14:paraId="654D1A8B">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5CDE8E5">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ANTIMICROBIALS</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01097D1">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DISC CONTENT (µg)</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EEE61F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Sensitive (n = 39)</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50E6AAD">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Intermediate (n = 39)</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CE1399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Resistant (n = 39)</w:t>
            </w:r>
          </w:p>
        </w:tc>
      </w:tr>
      <w:tr w14:paraId="3A4EF5F0">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4529999">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AMIKACIN</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40CC99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64F4FE1">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25/39 (64.1%)</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E803D09">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6/39 (15.4%)</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C8C84B2">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8/39 (20.5%)</w:t>
            </w:r>
          </w:p>
        </w:tc>
      </w:tr>
      <w:tr w14:paraId="764CBAC9">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9ABC3A2">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LEVOFLOXACIN</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ACE71F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AE384C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13/39 (33.3%)</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060256E">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9/39 (23.1%)</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2FF1A9F">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17/39 (43.6%)</w:t>
            </w:r>
          </w:p>
        </w:tc>
      </w:tr>
      <w:tr w14:paraId="6BE26115">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63E89E3">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CIPROFLOXACIN</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EFCF840">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DF6A182">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12/39 (30.8%)</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0E34D9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6/39 (15.4%)</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E6C4417">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21/39 (53.8%)</w:t>
            </w:r>
          </w:p>
        </w:tc>
      </w:tr>
      <w:tr w14:paraId="49367ED6">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00265B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CEFTRIAXONE</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55CC195">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16F2067">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15/39 (38.5%)</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CFA12D2">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4/39 (10.3%)</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6DF3DAE">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20/39 (51.3%)</w:t>
            </w:r>
          </w:p>
        </w:tc>
      </w:tr>
      <w:tr w14:paraId="1DDF5FF0">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CFDB45F">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GENTAMYCIN</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E1717A9">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193869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9/39(23.1%)</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BAB98A3">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9/39(23.1%)</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4BBE757">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21/39 (53.8%)</w:t>
            </w:r>
          </w:p>
        </w:tc>
      </w:tr>
      <w:tr w14:paraId="7DB68F76">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96D1295">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CEFEPIME</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5902410">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3B6D9CF">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5/39 (12.8%)</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58D97C2">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15/39 (38.5%)</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158E9C2">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19/39 (48.7%)</w:t>
            </w:r>
          </w:p>
        </w:tc>
      </w:tr>
      <w:tr w14:paraId="74673AC9">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621AC94">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AZTREONAM</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63C63D3">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F118D5D">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7/39 (17.9%)</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B7354F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11/39 (28%)</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8F8CBE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21/39 (53.8%)</w:t>
            </w:r>
          </w:p>
        </w:tc>
      </w:tr>
      <w:tr w14:paraId="61A8B4DB">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D1E4DD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NITROFURANTOIN</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C1182FE">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3EB6B5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15/39 (38.5%)</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99EBAF4">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10/39 (25.6%)</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B210ED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14/39 (37%)</w:t>
            </w:r>
          </w:p>
        </w:tc>
      </w:tr>
      <w:tr w14:paraId="000F00F8">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FD2C548">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COTRIMOXAZOLE</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AA0588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7A8EA4D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1/39 (2.56%)</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21C158E">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3/39 (7.7%)</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4C04DD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35/39 (89.7%)</w:t>
            </w:r>
          </w:p>
        </w:tc>
      </w:tr>
      <w:tr w14:paraId="3F44A453">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110B66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AUGMENTIN</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B7B85F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ED186CF">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7/39 (17.9%)</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EBB4509">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3/39 (7.7%)</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AF8E09F">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29/39 (74.4%)</w:t>
            </w:r>
          </w:p>
        </w:tc>
      </w:tr>
      <w:tr w14:paraId="3874D944">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74A66BD">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CEFOTAXIME</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C37C185">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DC1FFF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8/39 (20.5%)</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DA95538">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12/39 (30.8%)</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6DAC649">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19/39 (48.7%)</w:t>
            </w:r>
          </w:p>
        </w:tc>
      </w:tr>
      <w:tr w14:paraId="34BBD07A">
        <w:tblPrEx>
          <w:tblCellMar>
            <w:top w:w="0" w:type="dxa"/>
            <w:left w:w="10" w:type="dxa"/>
            <w:bottom w:w="0" w:type="dxa"/>
            <w:right w:w="10" w:type="dxa"/>
          </w:tblCellMar>
        </w:tblPrEx>
        <w:trPr>
          <w:trHeight w:val="1" w:hRule="atLeast"/>
        </w:trPr>
        <w:tc>
          <w:tcPr>
            <w:tcW w:w="26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4F420A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 xml:space="preserve">CEFTAZIDIME              </w:t>
            </w:r>
          </w:p>
        </w:tc>
        <w:tc>
          <w:tcPr>
            <w:tcW w:w="1558"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526011C">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30</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3E3F0B9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10/39 (25.6%)</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854936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9/39(23.1%)</w:t>
            </w:r>
          </w:p>
        </w:tc>
        <w:tc>
          <w:tcPr>
            <w:tcW w:w="189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265D77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20/39 (51.3%)</w:t>
            </w:r>
          </w:p>
        </w:tc>
      </w:tr>
    </w:tbl>
    <w:p w14:paraId="7550A361">
      <w:pPr>
        <w:spacing w:before="0" w:after="200" w:line="360" w:lineRule="auto"/>
        <w:ind w:left="0" w:right="0" w:firstLine="0"/>
        <w:jc w:val="left"/>
        <w:rPr>
          <w:rFonts w:hint="default" w:ascii="Times New Roman" w:hAnsi="Times New Roman" w:eastAsia="Times New Roman" w:cs="Times New Roman"/>
          <w:b/>
          <w:color w:val="auto"/>
          <w:spacing w:val="0"/>
          <w:position w:val="0"/>
          <w:sz w:val="24"/>
          <w:szCs w:val="24"/>
          <w:shd w:val="clear" w:fill="auto"/>
        </w:rPr>
      </w:pPr>
    </w:p>
    <w:p w14:paraId="47367913">
      <w:pPr>
        <w:spacing w:before="0" w:after="200" w:line="360" w:lineRule="auto"/>
        <w:ind w:left="0" w:right="0" w:firstLine="0"/>
        <w:jc w:val="left"/>
        <w:rPr>
          <w:rFonts w:hint="default" w:ascii="Times New Roman" w:hAnsi="Times New Roman" w:eastAsia="Times New Roman" w:cs="Times New Roman"/>
          <w:b/>
          <w:color w:val="auto"/>
          <w:spacing w:val="0"/>
          <w:position w:val="0"/>
          <w:sz w:val="24"/>
          <w:szCs w:val="24"/>
          <w:shd w:val="clear" w:fill="auto"/>
        </w:rPr>
      </w:pPr>
    </w:p>
    <w:p w14:paraId="1C5E4642">
      <w:pPr>
        <w:spacing w:before="0" w:after="200" w:line="360" w:lineRule="auto"/>
        <w:ind w:left="0" w:right="0" w:firstLine="0"/>
        <w:jc w:val="left"/>
        <w:rPr>
          <w:rFonts w:hint="default" w:ascii="Times New Roman" w:hAnsi="Times New Roman" w:eastAsia="Times New Roman" w:cs="Times New Roman"/>
          <w:b/>
          <w:color w:val="auto"/>
          <w:spacing w:val="0"/>
          <w:position w:val="0"/>
          <w:sz w:val="24"/>
          <w:szCs w:val="24"/>
          <w:shd w:val="clear" w:fill="auto"/>
          <w:lang w:val="en-US"/>
        </w:rPr>
      </w:pPr>
      <w:r>
        <w:rPr>
          <w:rFonts w:hint="default" w:ascii="Times New Roman" w:hAnsi="Times New Roman" w:eastAsia="Times New Roman" w:cs="Times New Roman"/>
          <w:b/>
          <w:color w:val="auto"/>
          <w:spacing w:val="0"/>
          <w:position w:val="0"/>
          <w:sz w:val="24"/>
          <w:szCs w:val="24"/>
          <w:shd w:val="clear" w:fill="auto"/>
        </w:rPr>
        <w:t>Figure 4.2: Antibiotic</w:t>
      </w:r>
      <w:r>
        <w:rPr>
          <w:rFonts w:hint="default" w:ascii="Times New Roman" w:hAnsi="Times New Roman" w:eastAsia="Times New Roman" w:cs="Times New Roman"/>
          <w:color w:val="auto"/>
          <w:spacing w:val="0"/>
          <w:position w:val="0"/>
          <w:sz w:val="24"/>
          <w:szCs w:val="24"/>
          <w:shd w:val="clear" w:fill="auto"/>
        </w:rPr>
        <w:t xml:space="preserve"> </w:t>
      </w:r>
      <w:r>
        <w:rPr>
          <w:rFonts w:hint="default" w:ascii="Times New Roman" w:hAnsi="Times New Roman" w:eastAsia="Times New Roman" w:cs="Times New Roman"/>
          <w:b/>
          <w:color w:val="auto"/>
          <w:spacing w:val="0"/>
          <w:position w:val="0"/>
          <w:sz w:val="24"/>
          <w:szCs w:val="24"/>
          <w:shd w:val="clear" w:fill="auto"/>
        </w:rPr>
        <w:t xml:space="preserve">Susceptibility Profile of </w:t>
      </w:r>
      <w:r>
        <w:rPr>
          <w:rFonts w:hint="default" w:ascii="Times New Roman" w:hAnsi="Times New Roman" w:eastAsia="Times New Roman" w:cs="Times New Roman"/>
          <w:b/>
          <w:i/>
          <w:color w:val="auto"/>
          <w:spacing w:val="0"/>
          <w:position w:val="0"/>
          <w:sz w:val="24"/>
          <w:szCs w:val="24"/>
          <w:shd w:val="clear" w:fill="auto"/>
        </w:rPr>
        <w:t>E. coli</w:t>
      </w:r>
      <w:r>
        <w:rPr>
          <w:rFonts w:hint="default" w:ascii="Times New Roman" w:hAnsi="Times New Roman" w:eastAsia="Times New Roman" w:cs="Times New Roman"/>
          <w:b/>
          <w:color w:val="auto"/>
          <w:spacing w:val="0"/>
          <w:position w:val="0"/>
          <w:sz w:val="24"/>
          <w:szCs w:val="24"/>
          <w:shd w:val="clear" w:fill="auto"/>
        </w:rPr>
        <w:t xml:space="preserve"> Isolates from urine samples among patients attending </w:t>
      </w:r>
      <w:r>
        <w:rPr>
          <w:rFonts w:hint="default" w:ascii="Times New Roman" w:hAnsi="Times New Roman" w:eastAsia="Times New Roman" w:cs="Times New Roman"/>
          <w:b/>
          <w:color w:val="auto"/>
          <w:spacing w:val="0"/>
          <w:position w:val="0"/>
          <w:sz w:val="24"/>
          <w:szCs w:val="24"/>
          <w:shd w:val="clear" w:fill="auto"/>
          <w:lang w:val="en-US"/>
        </w:rPr>
        <w:t>Igbinedion University Teaching Hospital, Okada</w:t>
      </w:r>
    </w:p>
    <w:p w14:paraId="10B18078">
      <w:pPr>
        <w:spacing w:before="0" w:after="200" w:line="360" w:lineRule="auto"/>
        <w:ind w:left="0" w:right="0" w:firstLine="0"/>
        <w:jc w:val="left"/>
        <w:rPr>
          <w:rFonts w:hint="default" w:ascii="Times New Roman" w:hAnsi="Times New Roman" w:eastAsia="Times New Roman" w:cs="Times New Roman"/>
          <w:b/>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 xml:space="preserve">Table 4.11: Classification of antimicrobial resistance among </w:t>
      </w:r>
      <w:r>
        <w:rPr>
          <w:rFonts w:hint="default" w:ascii="Times New Roman" w:hAnsi="Times New Roman" w:eastAsia="Times New Roman" w:cs="Times New Roman"/>
          <w:b/>
          <w:i/>
          <w:color w:val="auto"/>
          <w:spacing w:val="0"/>
          <w:position w:val="0"/>
          <w:sz w:val="24"/>
          <w:szCs w:val="24"/>
          <w:shd w:val="clear" w:fill="auto"/>
        </w:rPr>
        <w:t>E. coli</w:t>
      </w:r>
      <w:r>
        <w:rPr>
          <w:rFonts w:hint="default" w:ascii="Times New Roman" w:hAnsi="Times New Roman" w:eastAsia="Times New Roman" w:cs="Times New Roman"/>
          <w:b/>
          <w:color w:val="auto"/>
          <w:spacing w:val="0"/>
          <w:position w:val="0"/>
          <w:sz w:val="24"/>
          <w:szCs w:val="24"/>
          <w:shd w:val="clear" w:fill="auto"/>
        </w:rPr>
        <w:t xml:space="preserve"> isolates from urine samples among patients attending Federal Medical Centre, Keffi</w:t>
      </w:r>
    </w:p>
    <w:tbl>
      <w:tblPr>
        <w:tblStyle w:val="12"/>
        <w:tblW w:w="0" w:type="auto"/>
        <w:jc w:val="center"/>
        <w:tblLayout w:type="autofit"/>
        <w:tblCellMar>
          <w:top w:w="0" w:type="dxa"/>
          <w:left w:w="10" w:type="dxa"/>
          <w:bottom w:w="0" w:type="dxa"/>
          <w:right w:w="10" w:type="dxa"/>
        </w:tblCellMar>
      </w:tblPr>
      <w:tblGrid>
        <w:gridCol w:w="1933"/>
        <w:gridCol w:w="3240"/>
        <w:gridCol w:w="3013"/>
      </w:tblGrid>
      <w:tr w14:paraId="0FDF319F">
        <w:tblPrEx>
          <w:tblCellMar>
            <w:top w:w="0" w:type="dxa"/>
            <w:left w:w="10" w:type="dxa"/>
            <w:bottom w:w="0" w:type="dxa"/>
            <w:right w:w="10" w:type="dxa"/>
          </w:tblCellMar>
        </w:tblPrEx>
        <w:trPr>
          <w:trHeight w:val="1" w:hRule="atLeast"/>
          <w:jc w:val="center"/>
        </w:trPr>
        <w:tc>
          <w:tcPr>
            <w:tcW w:w="193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10A667E6">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Classes of Antimicrobial Resistance</w:t>
            </w:r>
          </w:p>
        </w:tc>
        <w:tc>
          <w:tcPr>
            <w:tcW w:w="324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F07235A">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Prevalence</w:t>
            </w:r>
          </w:p>
        </w:tc>
        <w:tc>
          <w:tcPr>
            <w:tcW w:w="301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395EDF8">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X</w:t>
            </w:r>
            <w:r>
              <w:rPr>
                <w:rFonts w:hint="default" w:ascii="Times New Roman" w:hAnsi="Times New Roman" w:eastAsia="Times New Roman" w:cs="Times New Roman"/>
                <w:b/>
                <w:color w:val="auto"/>
                <w:spacing w:val="0"/>
                <w:position w:val="0"/>
                <w:sz w:val="24"/>
                <w:szCs w:val="24"/>
                <w:shd w:val="clear" w:fill="auto"/>
                <w:vertAlign w:val="superscript"/>
              </w:rPr>
              <w:t>2</w:t>
            </w:r>
            <w:r>
              <w:rPr>
                <w:rFonts w:hint="default" w:ascii="Times New Roman" w:hAnsi="Times New Roman" w:eastAsia="Times New Roman" w:cs="Times New Roman"/>
                <w:b/>
                <w:color w:val="auto"/>
                <w:spacing w:val="0"/>
                <w:position w:val="0"/>
                <w:sz w:val="24"/>
                <w:szCs w:val="24"/>
                <w:shd w:val="clear" w:fill="auto"/>
              </w:rPr>
              <w:t xml:space="preserve"> and P-value</w:t>
            </w:r>
          </w:p>
        </w:tc>
      </w:tr>
      <w:tr w14:paraId="45C91EB1">
        <w:tblPrEx>
          <w:tblCellMar>
            <w:top w:w="0" w:type="dxa"/>
            <w:left w:w="10" w:type="dxa"/>
            <w:bottom w:w="0" w:type="dxa"/>
            <w:right w:w="10" w:type="dxa"/>
          </w:tblCellMar>
        </w:tblPrEx>
        <w:trPr>
          <w:trHeight w:val="1" w:hRule="atLeast"/>
          <w:jc w:val="center"/>
        </w:trPr>
        <w:tc>
          <w:tcPr>
            <w:tcW w:w="193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C412139">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NDR</w:t>
            </w:r>
          </w:p>
        </w:tc>
        <w:tc>
          <w:tcPr>
            <w:tcW w:w="324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2B5D5B81">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 (5.1%)</w:t>
            </w:r>
          </w:p>
        </w:tc>
        <w:tc>
          <w:tcPr>
            <w:tcW w:w="301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0F12ECC">
            <w:pPr>
              <w:spacing w:before="0" w:after="200" w:line="360" w:lineRule="auto"/>
              <w:ind w:left="0" w:right="0" w:firstLine="0"/>
              <w:jc w:val="center"/>
              <w:rPr>
                <w:rFonts w:hint="default" w:ascii="Times New Roman" w:hAnsi="Times New Roman" w:eastAsia="Calibri" w:cs="Times New Roman"/>
                <w:color w:val="auto"/>
                <w:spacing w:val="0"/>
                <w:position w:val="0"/>
                <w:sz w:val="24"/>
                <w:szCs w:val="24"/>
                <w:shd w:val="clear" w:fill="auto"/>
              </w:rPr>
            </w:pPr>
          </w:p>
        </w:tc>
      </w:tr>
      <w:tr w14:paraId="48D27F98">
        <w:tblPrEx>
          <w:tblCellMar>
            <w:top w:w="0" w:type="dxa"/>
            <w:left w:w="10" w:type="dxa"/>
            <w:bottom w:w="0" w:type="dxa"/>
            <w:right w:w="10" w:type="dxa"/>
          </w:tblCellMar>
        </w:tblPrEx>
        <w:trPr>
          <w:trHeight w:val="1" w:hRule="atLeast"/>
          <w:jc w:val="center"/>
        </w:trPr>
        <w:tc>
          <w:tcPr>
            <w:tcW w:w="193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083BEF8">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XDR</w:t>
            </w:r>
          </w:p>
        </w:tc>
        <w:tc>
          <w:tcPr>
            <w:tcW w:w="324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395506F">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10 (25.6%)</w:t>
            </w:r>
          </w:p>
        </w:tc>
        <w:tc>
          <w:tcPr>
            <w:tcW w:w="301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E3CEE5A">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X</w:t>
            </w:r>
            <w:r>
              <w:rPr>
                <w:rFonts w:hint="default" w:ascii="Times New Roman" w:hAnsi="Times New Roman" w:eastAsia="Times New Roman" w:cs="Times New Roman"/>
                <w:color w:val="auto"/>
                <w:spacing w:val="0"/>
                <w:position w:val="0"/>
                <w:sz w:val="24"/>
                <w:szCs w:val="24"/>
                <w:shd w:val="clear" w:fill="auto"/>
                <w:vertAlign w:val="superscript"/>
              </w:rPr>
              <w:t xml:space="preserve">2 </w:t>
            </w:r>
            <w:r>
              <w:rPr>
                <w:rFonts w:hint="default" w:ascii="Times New Roman" w:hAnsi="Times New Roman" w:eastAsia="Times New Roman" w:cs="Times New Roman"/>
                <w:color w:val="auto"/>
                <w:spacing w:val="0"/>
                <w:position w:val="0"/>
                <w:sz w:val="24"/>
                <w:szCs w:val="24"/>
                <w:shd w:val="clear" w:fill="auto"/>
              </w:rPr>
              <w:t>= 7.35</w:t>
            </w:r>
          </w:p>
        </w:tc>
      </w:tr>
      <w:tr w14:paraId="23671935">
        <w:tblPrEx>
          <w:tblCellMar>
            <w:top w:w="0" w:type="dxa"/>
            <w:left w:w="10" w:type="dxa"/>
            <w:bottom w:w="0" w:type="dxa"/>
            <w:right w:w="10" w:type="dxa"/>
          </w:tblCellMar>
        </w:tblPrEx>
        <w:trPr>
          <w:trHeight w:val="1" w:hRule="atLeast"/>
          <w:jc w:val="center"/>
        </w:trPr>
        <w:tc>
          <w:tcPr>
            <w:tcW w:w="193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775D23B">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MDR</w:t>
            </w:r>
          </w:p>
        </w:tc>
        <w:tc>
          <w:tcPr>
            <w:tcW w:w="3240"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893B0DD">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27 (69.2%)</w:t>
            </w:r>
          </w:p>
        </w:tc>
        <w:tc>
          <w:tcPr>
            <w:tcW w:w="3013" w:type="dxa"/>
            <w:tcBorders>
              <w:top w:val="single" w:color="000000" w:sz="18"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66FADF31">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 = 0.149</w:t>
            </w:r>
          </w:p>
        </w:tc>
      </w:tr>
      <w:tr w14:paraId="1BE3411E">
        <w:tblPrEx>
          <w:tblCellMar>
            <w:top w:w="0" w:type="dxa"/>
            <w:left w:w="10" w:type="dxa"/>
            <w:bottom w:w="0" w:type="dxa"/>
            <w:right w:w="10" w:type="dxa"/>
          </w:tblCellMar>
        </w:tblPrEx>
        <w:trPr>
          <w:trHeight w:val="1" w:hRule="atLeast"/>
          <w:jc w:val="center"/>
        </w:trPr>
        <w:tc>
          <w:tcPr>
            <w:tcW w:w="1933" w:type="dxa"/>
            <w:tcBorders>
              <w:top w:val="single" w:color="000000" w:sz="18" w:space="0"/>
              <w:left w:val="single" w:color="000000" w:sz="0" w:space="0"/>
              <w:bottom w:val="single" w:color="000000" w:sz="4" w:space="0"/>
              <w:right w:val="single" w:color="000000" w:sz="0" w:space="0"/>
            </w:tcBorders>
            <w:shd w:val="clear" w:color="000000" w:fill="FFFFFF"/>
            <w:tcMar>
              <w:left w:w="108" w:type="dxa"/>
              <w:right w:w="108" w:type="dxa"/>
            </w:tcMar>
            <w:vAlign w:val="top"/>
          </w:tcPr>
          <w:p w14:paraId="6D9CC295">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PDR</w:t>
            </w:r>
          </w:p>
        </w:tc>
        <w:tc>
          <w:tcPr>
            <w:tcW w:w="3240" w:type="dxa"/>
            <w:tcBorders>
              <w:top w:val="single" w:color="000000" w:sz="18" w:space="0"/>
              <w:left w:val="single" w:color="000000" w:sz="0" w:space="0"/>
              <w:bottom w:val="single" w:color="000000" w:sz="4" w:space="0"/>
              <w:right w:val="single" w:color="000000" w:sz="0" w:space="0"/>
            </w:tcBorders>
            <w:shd w:val="clear" w:color="000000" w:fill="FFFFFF"/>
            <w:tcMar>
              <w:left w:w="108" w:type="dxa"/>
              <w:right w:w="108" w:type="dxa"/>
            </w:tcMar>
            <w:vAlign w:val="top"/>
          </w:tcPr>
          <w:p w14:paraId="5AB43B25">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1 (2.6%)</w:t>
            </w:r>
          </w:p>
        </w:tc>
        <w:tc>
          <w:tcPr>
            <w:tcW w:w="3013" w:type="dxa"/>
            <w:tcBorders>
              <w:top w:val="single" w:color="000000" w:sz="18" w:space="0"/>
              <w:left w:val="single" w:color="000000" w:sz="0" w:space="0"/>
              <w:bottom w:val="single" w:color="000000" w:sz="4" w:space="0"/>
              <w:right w:val="single" w:color="000000" w:sz="0" w:space="0"/>
            </w:tcBorders>
            <w:shd w:val="clear" w:color="000000" w:fill="FFFFFF"/>
            <w:tcMar>
              <w:left w:w="108" w:type="dxa"/>
              <w:right w:w="108" w:type="dxa"/>
            </w:tcMar>
            <w:vAlign w:val="top"/>
          </w:tcPr>
          <w:p w14:paraId="313EF5F8">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 &gt; 0.05)</w:t>
            </w:r>
          </w:p>
        </w:tc>
      </w:tr>
      <w:tr w14:paraId="27E40E3F">
        <w:tblPrEx>
          <w:tblCellMar>
            <w:top w:w="0" w:type="dxa"/>
            <w:left w:w="10" w:type="dxa"/>
            <w:bottom w:w="0" w:type="dxa"/>
            <w:right w:w="10" w:type="dxa"/>
          </w:tblCellMar>
        </w:tblPrEx>
        <w:trPr>
          <w:trHeight w:val="1" w:hRule="atLeast"/>
          <w:jc w:val="center"/>
        </w:trPr>
        <w:tc>
          <w:tcPr>
            <w:tcW w:w="1933" w:type="dxa"/>
            <w:tcBorders>
              <w:top w:val="single" w:color="000000" w:sz="4"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48C5C373">
            <w:pPr>
              <w:spacing w:before="0" w:after="200" w:line="360" w:lineRule="auto"/>
              <w:ind w:left="0" w:right="0" w:firstLine="0"/>
              <w:jc w:val="left"/>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Total</w:t>
            </w:r>
          </w:p>
        </w:tc>
        <w:tc>
          <w:tcPr>
            <w:tcW w:w="3240" w:type="dxa"/>
            <w:tcBorders>
              <w:top w:val="single" w:color="000000" w:sz="4"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534C2EA0">
            <w:pPr>
              <w:spacing w:before="0" w:after="200" w:line="360" w:lineRule="auto"/>
              <w:ind w:left="0" w:right="0" w:firstLine="0"/>
              <w:jc w:val="center"/>
              <w:rPr>
                <w:rFonts w:hint="default" w:ascii="Times New Roman" w:hAnsi="Times New Roman" w:cs="Times New Roman"/>
                <w:color w:val="auto"/>
                <w:spacing w:val="0"/>
                <w:position w:val="0"/>
                <w:sz w:val="24"/>
                <w:szCs w:val="24"/>
                <w:shd w:val="clear" w:fill="auto"/>
              </w:rPr>
            </w:pPr>
            <w:r>
              <w:rPr>
                <w:rFonts w:hint="default" w:ascii="Times New Roman" w:hAnsi="Times New Roman" w:eastAsia="Times New Roman" w:cs="Times New Roman"/>
                <w:b/>
                <w:color w:val="auto"/>
                <w:spacing w:val="0"/>
                <w:position w:val="0"/>
                <w:sz w:val="24"/>
                <w:szCs w:val="24"/>
                <w:shd w:val="clear" w:fill="auto"/>
              </w:rPr>
              <w:t>39</w:t>
            </w:r>
          </w:p>
        </w:tc>
        <w:tc>
          <w:tcPr>
            <w:tcW w:w="3013" w:type="dxa"/>
            <w:tcBorders>
              <w:top w:val="single" w:color="000000" w:sz="4" w:space="0"/>
              <w:left w:val="single" w:color="000000" w:sz="0" w:space="0"/>
              <w:bottom w:val="single" w:color="000000" w:sz="18" w:space="0"/>
              <w:right w:val="single" w:color="000000" w:sz="0" w:space="0"/>
            </w:tcBorders>
            <w:shd w:val="clear" w:color="000000" w:fill="FFFFFF"/>
            <w:tcMar>
              <w:left w:w="108" w:type="dxa"/>
              <w:right w:w="108" w:type="dxa"/>
            </w:tcMar>
            <w:vAlign w:val="top"/>
          </w:tcPr>
          <w:p w14:paraId="049A19FE">
            <w:pPr>
              <w:spacing w:before="0" w:after="200" w:line="360" w:lineRule="auto"/>
              <w:ind w:left="0" w:right="0" w:firstLine="0"/>
              <w:jc w:val="center"/>
              <w:rPr>
                <w:rFonts w:hint="default" w:ascii="Times New Roman" w:hAnsi="Times New Roman" w:eastAsia="Calibri" w:cs="Times New Roman"/>
                <w:color w:val="auto"/>
                <w:spacing w:val="0"/>
                <w:position w:val="0"/>
                <w:sz w:val="24"/>
                <w:szCs w:val="24"/>
                <w:shd w:val="clear" w:fill="auto"/>
              </w:rPr>
            </w:pPr>
          </w:p>
        </w:tc>
      </w:tr>
    </w:tbl>
    <w:p w14:paraId="6DADCFD7">
      <w:pPr>
        <w:spacing w:before="0" w:after="200" w:line="360" w:lineRule="auto"/>
        <w:ind w:left="0" w:right="0" w:firstLine="0"/>
        <w:jc w:val="left"/>
        <w:rPr>
          <w:rFonts w:hint="default" w:ascii="Times New Roman" w:hAnsi="Times New Roman" w:eastAsia="Times New Roman" w:cs="Times New Roman"/>
          <w:color w:val="auto"/>
          <w:spacing w:val="0"/>
          <w:position w:val="0"/>
          <w:sz w:val="24"/>
          <w:szCs w:val="24"/>
          <w:shd w:val="clear" w:fill="auto"/>
        </w:rPr>
      </w:pPr>
    </w:p>
    <w:p w14:paraId="0577F290">
      <w:pPr>
        <w:spacing w:before="0" w:after="200" w:line="360" w:lineRule="auto"/>
        <w:ind w:left="0" w:right="0" w:firstLine="0"/>
        <w:jc w:val="left"/>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Key:</w:t>
      </w:r>
    </w:p>
    <w:p w14:paraId="4901EFE2">
      <w:pPr>
        <w:spacing w:before="0" w:after="200" w:line="360" w:lineRule="auto"/>
        <w:ind w:left="0" w:right="0" w:firstLine="0"/>
        <w:jc w:val="left"/>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Non drug resistance (NDR) = Sensitive to all the classes of antibiotics tested</w:t>
      </w:r>
    </w:p>
    <w:p w14:paraId="2B33E0A9">
      <w:pPr>
        <w:spacing w:before="0" w:after="200" w:line="360" w:lineRule="auto"/>
        <w:ind w:left="0" w:right="0" w:firstLine="0"/>
        <w:jc w:val="left"/>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Extensive drug resistance (XDR) = Resistance to less than or equal to 2 classes of antibiotics used.</w:t>
      </w:r>
    </w:p>
    <w:p w14:paraId="0DEEF697">
      <w:pPr>
        <w:spacing w:before="0" w:after="200" w:line="360" w:lineRule="auto"/>
        <w:ind w:left="0" w:right="0" w:firstLine="0"/>
        <w:jc w:val="left"/>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Multi drug resistance (MDR) = Resistance to greater than 2 classes of antibiotics used.</w:t>
      </w:r>
    </w:p>
    <w:p w14:paraId="46F3F8E9">
      <w:pPr>
        <w:spacing w:before="0" w:after="200" w:line="360" w:lineRule="auto"/>
        <w:ind w:left="0" w:right="0" w:firstLine="0"/>
        <w:jc w:val="left"/>
        <w:rPr>
          <w:rFonts w:hint="default" w:ascii="Times New Roman" w:hAnsi="Times New Roman" w:eastAsia="Times New Roman" w:cs="Times New Roman"/>
          <w:color w:val="auto"/>
          <w:spacing w:val="0"/>
          <w:position w:val="0"/>
          <w:sz w:val="24"/>
          <w:szCs w:val="24"/>
          <w:shd w:val="clear" w:fill="auto"/>
        </w:rPr>
      </w:pPr>
      <w:r>
        <w:rPr>
          <w:rFonts w:hint="default" w:ascii="Times New Roman" w:hAnsi="Times New Roman" w:eastAsia="Times New Roman" w:cs="Times New Roman"/>
          <w:color w:val="auto"/>
          <w:spacing w:val="0"/>
          <w:position w:val="0"/>
          <w:sz w:val="24"/>
          <w:szCs w:val="24"/>
          <w:shd w:val="clear" w:fill="auto"/>
        </w:rPr>
        <w:t>Pan drug resistance (PDR) = Resistance to all the classes of antibiotics tested</w:t>
      </w:r>
    </w:p>
    <w:p w14:paraId="60E55A6C">
      <w:pPr>
        <w:spacing w:before="0" w:after="200" w:line="360" w:lineRule="auto"/>
        <w:ind w:left="0" w:right="0" w:firstLine="0"/>
        <w:jc w:val="left"/>
        <w:rPr>
          <w:rFonts w:hint="default" w:ascii="Times New Roman" w:hAnsi="Times New Roman" w:eastAsia="Times New Roman" w:cs="Times New Roman"/>
          <w:b/>
          <w:color w:val="auto"/>
          <w:spacing w:val="0"/>
          <w:position w:val="0"/>
          <w:sz w:val="24"/>
          <w:szCs w:val="24"/>
          <w:shd w:val="clear" w:fill="auto"/>
        </w:rPr>
      </w:pPr>
    </w:p>
    <w:p w14:paraId="655E9911">
      <w:pPr>
        <w:spacing w:before="0" w:after="0" w:line="360" w:lineRule="auto"/>
        <w:ind w:left="0" w:right="0" w:firstLine="0"/>
        <w:jc w:val="both"/>
        <w:rPr>
          <w:rFonts w:hint="default" w:ascii="Times New Roman" w:hAnsi="Times New Roman" w:eastAsia="Times New Roman" w:cs="Times New Roman"/>
          <w:color w:val="auto"/>
          <w:spacing w:val="0"/>
          <w:position w:val="0"/>
          <w:sz w:val="24"/>
          <w:szCs w:val="24"/>
          <w:shd w:val="clear" w:fill="auto"/>
        </w:rPr>
      </w:pPr>
    </w:p>
    <w:p w14:paraId="42A97D08">
      <w:pPr>
        <w:spacing w:before="0" w:after="0" w:line="360" w:lineRule="auto"/>
        <w:ind w:left="0" w:right="0" w:firstLine="0"/>
        <w:jc w:val="both"/>
        <w:rPr>
          <w:rFonts w:hint="default" w:ascii="Times New Roman" w:hAnsi="Times New Roman" w:eastAsia="Times New Roman" w:cs="Times New Roman"/>
          <w:color w:val="auto"/>
          <w:spacing w:val="0"/>
          <w:position w:val="0"/>
          <w:sz w:val="24"/>
          <w:szCs w:val="24"/>
          <w:shd w:val="clear" w:fill="auto"/>
        </w:rPr>
      </w:pPr>
    </w:p>
    <w:p w14:paraId="1AA5BF36">
      <w:pPr>
        <w:spacing w:before="0" w:after="0" w:line="360" w:lineRule="auto"/>
        <w:ind w:left="0" w:right="0" w:firstLine="0"/>
        <w:jc w:val="both"/>
        <w:rPr>
          <w:rFonts w:hint="default" w:ascii="Times New Roman" w:hAnsi="Times New Roman" w:eastAsia="Times New Roman" w:cs="Times New Roman"/>
          <w:color w:val="auto"/>
          <w:spacing w:val="0"/>
          <w:position w:val="0"/>
          <w:sz w:val="24"/>
          <w:szCs w:val="24"/>
          <w:shd w:val="clear" w:fill="auto"/>
        </w:rPr>
      </w:pPr>
    </w:p>
    <w:p w14:paraId="2B6A3CBF">
      <w:pPr>
        <w:spacing w:before="0" w:after="200" w:line="360" w:lineRule="auto"/>
        <w:ind w:left="0" w:right="0" w:firstLine="0"/>
        <w:jc w:val="both"/>
        <w:rPr>
          <w:rFonts w:hint="default" w:ascii="Times New Roman" w:hAnsi="Times New Roman" w:eastAsia="SimSun" w:cs="Times New Roman"/>
          <w:sz w:val="24"/>
          <w:szCs w:val="24"/>
          <w:lang w:val="en-US"/>
        </w:rPr>
      </w:pPr>
    </w:p>
    <w:p w14:paraId="6B7C098A">
      <w:pPr>
        <w:pStyle w:val="38"/>
        <w:numPr>
          <w:ilvl w:val="0"/>
          <w:numId w:val="0"/>
        </w:numPr>
        <w:spacing w:line="360" w:lineRule="auto"/>
        <w:ind w:left="360" w:leftChars="0"/>
        <w:jc w:val="both"/>
        <w:rPr>
          <w:rFonts w:hint="default" w:ascii="Times New Roman" w:hAnsi="Times New Roman" w:cs="Times New Roman"/>
          <w:b/>
          <w:bCs/>
          <w:sz w:val="24"/>
          <w:szCs w:val="24"/>
        </w:rPr>
      </w:pPr>
      <w:r>
        <w:rPr>
          <w:rFonts w:hint="default" w:ascii="Times New Roman" w:hAnsi="Times New Roman" w:cs="Times New Roman"/>
          <w:bCs/>
          <w:sz w:val="24"/>
          <w:szCs w:val="24"/>
        </w:rPr>
        <w:t xml:space="preserve"> </w:t>
      </w:r>
    </w:p>
    <w:p w14:paraId="0E5FA1CA">
      <w:pPr>
        <w:spacing w:line="360" w:lineRule="auto"/>
        <w:rPr>
          <w:rFonts w:hint="default" w:ascii="Times New Roman" w:hAnsi="Times New Roman" w:cs="Times New Roman"/>
          <w:sz w:val="24"/>
          <w:szCs w:val="24"/>
        </w:rPr>
      </w:pPr>
    </w:p>
    <w:p w14:paraId="4F24DF96">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Data Analysis</w:t>
      </w:r>
    </w:p>
    <w:p w14:paraId="54A2529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All data obtained was analyzed using SPSS 20 package. Descriptive statistics including frequencies and percentages were used to summarize the data. The chi test was employed to test the hypotheses, and a P-value of less than 0.05 was considered statistically significant.</w:t>
      </w:r>
    </w:p>
    <w:p w14:paraId="724811B2">
      <w:pPr>
        <w:spacing w:line="360" w:lineRule="auto"/>
        <w:jc w:val="center"/>
        <w:rPr>
          <w:rFonts w:hint="default" w:ascii="Times New Roman" w:hAnsi="Times New Roman" w:cs="Times New Roman"/>
          <w:b/>
          <w:bCs/>
          <w:sz w:val="24"/>
          <w:szCs w:val="24"/>
        </w:rPr>
      </w:pPr>
    </w:p>
    <w:p w14:paraId="51B89FA9">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RESULTS</w:t>
      </w:r>
    </w:p>
    <w:p w14:paraId="22F3EA5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total of 400 urine samples were examined in patients suspected with urinary tract infections attending Federal Medical Centre, Keffi as shown on Table 2, </w:t>
      </w:r>
      <w:r>
        <w:rPr>
          <w:rFonts w:hint="default" w:ascii="Times New Roman" w:hAnsi="Times New Roman" w:cs="Times New Roman"/>
          <w:i/>
          <w:sz w:val="24"/>
          <w:szCs w:val="24"/>
        </w:rPr>
        <w:t>Escherichia coli</w:t>
      </w:r>
      <w:r>
        <w:rPr>
          <w:rFonts w:hint="default" w:ascii="Times New Roman" w:hAnsi="Times New Roman" w:cs="Times New Roman"/>
          <w:sz w:val="24"/>
          <w:szCs w:val="24"/>
        </w:rPr>
        <w:t xml:space="preserve"> constitutes 24.4% of the isolates. The distribution of E. coli is statistically significant.</w:t>
      </w:r>
    </w:p>
    <w:p w14:paraId="0ABB727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Molecular characterization of isolated strains of E.coli had 16 strains ESBL- producers. Table 3 showed the distribution of ESBL genes among ESBL positive</w:t>
      </w:r>
      <w:r>
        <w:rPr>
          <w:rFonts w:hint="default" w:ascii="Times New Roman" w:hAnsi="Times New Roman" w:cs="Times New Roman"/>
          <w:i/>
          <w:sz w:val="24"/>
          <w:szCs w:val="24"/>
        </w:rPr>
        <w:t xml:space="preserve"> E. coli</w:t>
      </w:r>
      <w:r>
        <w:rPr>
          <w:rFonts w:hint="default" w:ascii="Times New Roman" w:hAnsi="Times New Roman" w:cs="Times New Roman"/>
          <w:sz w:val="24"/>
          <w:szCs w:val="24"/>
        </w:rPr>
        <w:t xml:space="preserve"> in urine; in which BLA</w:t>
      </w:r>
      <w:r>
        <w:rPr>
          <w:rFonts w:hint="default" w:ascii="Times New Roman" w:hAnsi="Times New Roman" w:cs="Times New Roman"/>
          <w:sz w:val="24"/>
          <w:szCs w:val="24"/>
          <w:vertAlign w:val="subscript"/>
        </w:rPr>
        <w:t>CTXM</w:t>
      </w:r>
      <w:r>
        <w:rPr>
          <w:rFonts w:hint="default" w:ascii="Times New Roman" w:hAnsi="Times New Roman" w:cs="Times New Roman"/>
          <w:sz w:val="24"/>
          <w:szCs w:val="24"/>
        </w:rPr>
        <w:t xml:space="preserve"> was the most prevalence ESBL gene as 68.75%, followed by BLA</w:t>
      </w:r>
      <w:r>
        <w:rPr>
          <w:rFonts w:hint="default" w:ascii="Times New Roman" w:hAnsi="Times New Roman" w:cs="Times New Roman"/>
          <w:sz w:val="24"/>
          <w:szCs w:val="24"/>
          <w:vertAlign w:val="subscript"/>
        </w:rPr>
        <w:t>CTXM</w:t>
      </w:r>
      <w:r>
        <w:rPr>
          <w:rFonts w:hint="default" w:ascii="Times New Roman" w:hAnsi="Times New Roman" w:cs="Times New Roman"/>
          <w:sz w:val="24"/>
          <w:szCs w:val="24"/>
        </w:rPr>
        <w:t xml:space="preserve"> / BLA</w:t>
      </w:r>
      <w:r>
        <w:rPr>
          <w:rFonts w:hint="default" w:ascii="Times New Roman" w:hAnsi="Times New Roman" w:cs="Times New Roman"/>
          <w:sz w:val="24"/>
          <w:szCs w:val="24"/>
          <w:vertAlign w:val="subscript"/>
        </w:rPr>
        <w:t>TEM</w:t>
      </w:r>
      <w:r>
        <w:rPr>
          <w:rFonts w:hint="default" w:ascii="Times New Roman" w:hAnsi="Times New Roman" w:cs="Times New Roman"/>
          <w:sz w:val="24"/>
          <w:szCs w:val="24"/>
        </w:rPr>
        <w:t xml:space="preserve"> (18.75%) andBLA</w:t>
      </w:r>
      <w:r>
        <w:rPr>
          <w:rFonts w:hint="default" w:ascii="Times New Roman" w:hAnsi="Times New Roman" w:cs="Times New Roman"/>
          <w:sz w:val="24"/>
          <w:szCs w:val="24"/>
          <w:vertAlign w:val="subscript"/>
        </w:rPr>
        <w:t>TEM</w:t>
      </w:r>
      <w:r>
        <w:rPr>
          <w:rFonts w:hint="default" w:ascii="Times New Roman" w:hAnsi="Times New Roman" w:cs="Times New Roman"/>
          <w:sz w:val="24"/>
          <w:szCs w:val="24"/>
        </w:rPr>
        <w:t xml:space="preserve"> (12.5%). While BLA</w:t>
      </w:r>
      <w:r>
        <w:rPr>
          <w:rFonts w:hint="default" w:ascii="Times New Roman" w:hAnsi="Times New Roman" w:cs="Times New Roman"/>
          <w:sz w:val="24"/>
          <w:szCs w:val="24"/>
          <w:vertAlign w:val="subscript"/>
        </w:rPr>
        <w:t>SHV</w:t>
      </w:r>
      <w:r>
        <w:rPr>
          <w:rFonts w:hint="default" w:ascii="Times New Roman" w:hAnsi="Times New Roman" w:cs="Times New Roman"/>
          <w:sz w:val="24"/>
          <w:szCs w:val="24"/>
        </w:rPr>
        <w:t>, BLA</w:t>
      </w:r>
      <w:r>
        <w:rPr>
          <w:rFonts w:hint="default" w:ascii="Times New Roman" w:hAnsi="Times New Roman" w:cs="Times New Roman"/>
          <w:sz w:val="24"/>
          <w:szCs w:val="24"/>
          <w:vertAlign w:val="subscript"/>
        </w:rPr>
        <w:t>SHV</w:t>
      </w:r>
      <w:r>
        <w:rPr>
          <w:rFonts w:hint="default" w:ascii="Times New Roman" w:hAnsi="Times New Roman" w:cs="Times New Roman"/>
          <w:sz w:val="24"/>
          <w:szCs w:val="24"/>
        </w:rPr>
        <w:t>/ BLA</w:t>
      </w:r>
      <w:r>
        <w:rPr>
          <w:rFonts w:hint="default" w:ascii="Times New Roman" w:hAnsi="Times New Roman" w:cs="Times New Roman"/>
          <w:sz w:val="24"/>
          <w:szCs w:val="24"/>
          <w:vertAlign w:val="subscript"/>
        </w:rPr>
        <w:t>CTXM</w:t>
      </w:r>
      <w:r>
        <w:rPr>
          <w:rFonts w:hint="default" w:ascii="Times New Roman" w:hAnsi="Times New Roman" w:cs="Times New Roman"/>
          <w:sz w:val="24"/>
          <w:szCs w:val="24"/>
        </w:rPr>
        <w:t>, BLA</w:t>
      </w:r>
      <w:r>
        <w:rPr>
          <w:rFonts w:hint="default" w:ascii="Times New Roman" w:hAnsi="Times New Roman" w:cs="Times New Roman"/>
          <w:sz w:val="24"/>
          <w:szCs w:val="24"/>
          <w:vertAlign w:val="subscript"/>
        </w:rPr>
        <w:t>SHV</w:t>
      </w:r>
      <w:r>
        <w:rPr>
          <w:rFonts w:hint="default" w:ascii="Times New Roman" w:hAnsi="Times New Roman" w:cs="Times New Roman"/>
          <w:sz w:val="24"/>
          <w:szCs w:val="24"/>
        </w:rPr>
        <w:t>/ BLA</w:t>
      </w:r>
      <w:r>
        <w:rPr>
          <w:rFonts w:hint="default" w:ascii="Times New Roman" w:hAnsi="Times New Roman" w:cs="Times New Roman"/>
          <w:sz w:val="24"/>
          <w:szCs w:val="24"/>
          <w:vertAlign w:val="subscript"/>
        </w:rPr>
        <w:t>TEM</w:t>
      </w:r>
      <w:r>
        <w:rPr>
          <w:rFonts w:hint="default" w:ascii="Times New Roman" w:hAnsi="Times New Roman" w:cs="Times New Roman"/>
          <w:sz w:val="24"/>
          <w:szCs w:val="24"/>
        </w:rPr>
        <w:t xml:space="preserve"> and BLA</w:t>
      </w:r>
      <w:r>
        <w:rPr>
          <w:rFonts w:hint="default" w:ascii="Times New Roman" w:hAnsi="Times New Roman" w:cs="Times New Roman"/>
          <w:sz w:val="24"/>
          <w:szCs w:val="24"/>
          <w:vertAlign w:val="subscript"/>
        </w:rPr>
        <w:t>SHV</w:t>
      </w:r>
      <w:r>
        <w:rPr>
          <w:rFonts w:hint="default" w:ascii="Times New Roman" w:hAnsi="Times New Roman" w:cs="Times New Roman"/>
          <w:sz w:val="24"/>
          <w:szCs w:val="24"/>
        </w:rPr>
        <w:t>/ BLA</w:t>
      </w:r>
      <w:r>
        <w:rPr>
          <w:rFonts w:hint="default" w:ascii="Times New Roman" w:hAnsi="Times New Roman" w:cs="Times New Roman"/>
          <w:sz w:val="24"/>
          <w:szCs w:val="24"/>
          <w:vertAlign w:val="subscript"/>
        </w:rPr>
        <w:t>CTXM</w:t>
      </w:r>
      <w:r>
        <w:rPr>
          <w:rFonts w:hint="default" w:ascii="Times New Roman" w:hAnsi="Times New Roman" w:cs="Times New Roman"/>
          <w:sz w:val="24"/>
          <w:szCs w:val="24"/>
        </w:rPr>
        <w:t xml:space="preserve"> / BLA</w:t>
      </w:r>
      <w:r>
        <w:rPr>
          <w:rFonts w:hint="default" w:ascii="Times New Roman" w:hAnsi="Times New Roman" w:cs="Times New Roman"/>
          <w:sz w:val="24"/>
          <w:szCs w:val="24"/>
          <w:vertAlign w:val="subscript"/>
        </w:rPr>
        <w:t>TEM</w:t>
      </w:r>
      <w:r>
        <w:rPr>
          <w:rFonts w:hint="default" w:ascii="Times New Roman" w:hAnsi="Times New Roman" w:cs="Times New Roman"/>
          <w:sz w:val="24"/>
          <w:szCs w:val="24"/>
        </w:rPr>
        <w:t xml:space="preserve"> were not detected in ESBL positive </w:t>
      </w:r>
      <w:r>
        <w:rPr>
          <w:rFonts w:hint="default" w:ascii="Times New Roman" w:hAnsi="Times New Roman" w:cs="Times New Roman"/>
          <w:i/>
          <w:sz w:val="24"/>
          <w:szCs w:val="24"/>
        </w:rPr>
        <w:t>E .coli</w:t>
      </w:r>
      <w:r>
        <w:rPr>
          <w:rFonts w:hint="default" w:ascii="Times New Roman" w:hAnsi="Times New Roman" w:cs="Times New Roman"/>
          <w:sz w:val="24"/>
          <w:szCs w:val="24"/>
        </w:rPr>
        <w:t>. The distribution of ESBL genes among ESBL positive</w:t>
      </w:r>
      <w:r>
        <w:rPr>
          <w:rFonts w:hint="default" w:ascii="Times New Roman" w:hAnsi="Times New Roman" w:cs="Times New Roman"/>
          <w:i/>
          <w:sz w:val="24"/>
          <w:szCs w:val="24"/>
        </w:rPr>
        <w:t xml:space="preserve"> E. coli</w:t>
      </w:r>
      <w:r>
        <w:rPr>
          <w:rFonts w:hint="default" w:ascii="Times New Roman" w:hAnsi="Times New Roman" w:cs="Times New Roman"/>
          <w:sz w:val="24"/>
          <w:szCs w:val="24"/>
        </w:rPr>
        <w:t xml:space="preserve"> in urine was statistically significant.</w:t>
      </w:r>
    </w:p>
    <w:p w14:paraId="407938A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5 showed the distribution of </w:t>
      </w:r>
      <w:r>
        <w:rPr>
          <w:rFonts w:hint="default" w:ascii="Times New Roman" w:hAnsi="Times New Roman" w:cs="Times New Roman"/>
          <w:i/>
          <w:sz w:val="24"/>
          <w:szCs w:val="24"/>
        </w:rPr>
        <w:t>E. coli</w:t>
      </w:r>
      <w:r>
        <w:rPr>
          <w:rFonts w:hint="default" w:ascii="Times New Roman" w:hAnsi="Times New Roman" w:cs="Times New Roman"/>
          <w:sz w:val="24"/>
          <w:szCs w:val="24"/>
        </w:rPr>
        <w:t xml:space="preserve"> isolates in urine among different age groups; in which age group 61 – 70 years has the highest percentage of </w:t>
      </w:r>
      <w:r>
        <w:rPr>
          <w:rFonts w:hint="default" w:ascii="Times New Roman" w:hAnsi="Times New Roman" w:cs="Times New Roman"/>
          <w:i/>
          <w:sz w:val="24"/>
          <w:szCs w:val="24"/>
        </w:rPr>
        <w:t>E. coli</w:t>
      </w:r>
      <w:r>
        <w:rPr>
          <w:rFonts w:hint="default" w:ascii="Times New Roman" w:hAnsi="Times New Roman" w:cs="Times New Roman"/>
          <w:sz w:val="24"/>
          <w:szCs w:val="24"/>
        </w:rPr>
        <w:t xml:space="preserve"> isolates as 16.7%, followed by age groups 31 – 40 years (13.5%), 21-30 years (12.1%), 41 – 50 years (7.4%), 51 - 60 years (6.7%), 11 – 20 years (4.2%) and 0- 10 years (2.5%). The distribution of </w:t>
      </w:r>
      <w:r>
        <w:rPr>
          <w:rFonts w:hint="default" w:ascii="Times New Roman" w:hAnsi="Times New Roman" w:cs="Times New Roman"/>
          <w:i/>
          <w:sz w:val="24"/>
          <w:szCs w:val="24"/>
        </w:rPr>
        <w:t>E. coli</w:t>
      </w:r>
      <w:r>
        <w:rPr>
          <w:rFonts w:hint="default" w:ascii="Times New Roman" w:hAnsi="Times New Roman" w:cs="Times New Roman"/>
          <w:sz w:val="24"/>
          <w:szCs w:val="24"/>
        </w:rPr>
        <w:t xml:space="preserve"> isolates in urine among different age groups was not statistically significant.</w:t>
      </w:r>
    </w:p>
    <w:p w14:paraId="3D1096E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PCR results for the isolated strains of </w:t>
      </w:r>
      <w:r>
        <w:rPr>
          <w:rFonts w:hint="default" w:ascii="Times New Roman" w:hAnsi="Times New Roman" w:cs="Times New Roman"/>
          <w:i/>
          <w:sz w:val="24"/>
          <w:szCs w:val="24"/>
        </w:rPr>
        <w:t>E. coli</w:t>
      </w:r>
      <w:r>
        <w:rPr>
          <w:rFonts w:hint="default" w:ascii="Times New Roman" w:hAnsi="Times New Roman" w:cs="Times New Roman"/>
          <w:sz w:val="24"/>
          <w:szCs w:val="24"/>
        </w:rPr>
        <w:t xml:space="preserve">  analysed with 1% agaose gel electrophoresis stained</w:t>
      </w:r>
      <w:r>
        <w:rPr>
          <w:rFonts w:hint="default" w:ascii="Times New Roman" w:hAnsi="Times New Roman" w:cs="Times New Roman"/>
          <w:i/>
          <w:sz w:val="24"/>
          <w:szCs w:val="24"/>
        </w:rPr>
        <w:t xml:space="preserve"> </w:t>
      </w:r>
    </w:p>
    <w:p w14:paraId="1B517329">
      <w:pPr>
        <w:spacing w:line="360" w:lineRule="auto"/>
        <w:jc w:val="both"/>
        <w:rPr>
          <w:rFonts w:hint="default" w:ascii="Times New Roman" w:hAnsi="Times New Roman" w:cs="Times New Roman"/>
          <w:sz w:val="24"/>
          <w:szCs w:val="24"/>
        </w:rPr>
      </w:pPr>
    </w:p>
    <w:p w14:paraId="1C5B5F9F">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Table 2: Distribution of microbes among patients with UTI </w:t>
      </w:r>
    </w:p>
    <w:tbl>
      <w:tblPr>
        <w:tblStyle w:val="12"/>
        <w:tblW w:w="1009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18"/>
        <w:gridCol w:w="2160"/>
        <w:gridCol w:w="2160"/>
        <w:gridCol w:w="2160"/>
      </w:tblGrid>
      <w:tr w14:paraId="2BB257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3618" w:type="dxa"/>
            <w:tcBorders>
              <w:bottom w:val="single" w:color="auto" w:sz="4" w:space="0"/>
            </w:tcBorders>
          </w:tcPr>
          <w:p w14:paraId="787017B9">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Isolates Recovered</w:t>
            </w:r>
          </w:p>
        </w:tc>
        <w:tc>
          <w:tcPr>
            <w:tcW w:w="2160" w:type="dxa"/>
            <w:tcBorders>
              <w:bottom w:val="single" w:color="auto" w:sz="4" w:space="0"/>
            </w:tcBorders>
          </w:tcPr>
          <w:p w14:paraId="7F4B008D">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Occurrence</w:t>
            </w:r>
          </w:p>
        </w:tc>
        <w:tc>
          <w:tcPr>
            <w:tcW w:w="2160" w:type="dxa"/>
            <w:tcBorders>
              <w:bottom w:val="single" w:color="auto" w:sz="4" w:space="0"/>
            </w:tcBorders>
          </w:tcPr>
          <w:p w14:paraId="7B61143C">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X</w:t>
            </w:r>
            <w:r>
              <w:rPr>
                <w:rFonts w:hint="default" w:ascii="Times New Roman" w:hAnsi="Times New Roman" w:cs="Times New Roman"/>
                <w:b/>
                <w:sz w:val="24"/>
                <w:szCs w:val="24"/>
                <w:vertAlign w:val="superscript"/>
              </w:rPr>
              <w:t>2</w:t>
            </w:r>
          </w:p>
        </w:tc>
        <w:tc>
          <w:tcPr>
            <w:tcW w:w="2160" w:type="dxa"/>
            <w:tcBorders>
              <w:bottom w:val="single" w:color="auto" w:sz="4" w:space="0"/>
            </w:tcBorders>
          </w:tcPr>
          <w:p w14:paraId="56523B1B">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P-value</w:t>
            </w:r>
          </w:p>
        </w:tc>
      </w:tr>
      <w:tr w14:paraId="34B5F8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18" w:type="dxa"/>
            <w:tcBorders>
              <w:top w:val="single" w:color="auto" w:sz="4" w:space="0"/>
              <w:bottom w:val="nil"/>
            </w:tcBorders>
          </w:tcPr>
          <w:p w14:paraId="73D930C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 growth</w:t>
            </w:r>
          </w:p>
        </w:tc>
        <w:tc>
          <w:tcPr>
            <w:tcW w:w="2160" w:type="dxa"/>
            <w:tcBorders>
              <w:top w:val="single" w:color="auto" w:sz="4" w:space="0"/>
              <w:bottom w:val="nil"/>
            </w:tcBorders>
          </w:tcPr>
          <w:p w14:paraId="6E321CD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130 (32.5%)</w:t>
            </w:r>
          </w:p>
        </w:tc>
        <w:tc>
          <w:tcPr>
            <w:tcW w:w="2160" w:type="dxa"/>
            <w:tcBorders>
              <w:top w:val="single" w:color="auto" w:sz="4" w:space="0"/>
              <w:bottom w:val="nil"/>
            </w:tcBorders>
          </w:tcPr>
          <w:p w14:paraId="13891B08">
            <w:pPr>
              <w:spacing w:line="360" w:lineRule="auto"/>
              <w:jc w:val="center"/>
              <w:rPr>
                <w:rFonts w:hint="default" w:ascii="Times New Roman" w:hAnsi="Times New Roman" w:cs="Times New Roman"/>
                <w:sz w:val="24"/>
                <w:szCs w:val="24"/>
              </w:rPr>
            </w:pPr>
          </w:p>
        </w:tc>
        <w:tc>
          <w:tcPr>
            <w:tcW w:w="2160" w:type="dxa"/>
            <w:tcBorders>
              <w:top w:val="single" w:color="auto" w:sz="4" w:space="0"/>
              <w:bottom w:val="nil"/>
            </w:tcBorders>
          </w:tcPr>
          <w:p w14:paraId="0DDEBAEE">
            <w:pPr>
              <w:spacing w:line="360" w:lineRule="auto"/>
              <w:jc w:val="center"/>
              <w:rPr>
                <w:rFonts w:hint="default" w:ascii="Times New Roman" w:hAnsi="Times New Roman" w:cs="Times New Roman"/>
                <w:sz w:val="24"/>
                <w:szCs w:val="24"/>
              </w:rPr>
            </w:pPr>
          </w:p>
        </w:tc>
      </w:tr>
      <w:tr w14:paraId="61DBEA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618" w:type="dxa"/>
            <w:tcBorders>
              <w:top w:val="nil"/>
              <w:bottom w:val="nil"/>
            </w:tcBorders>
          </w:tcPr>
          <w:p w14:paraId="4412ECB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 significant growth</w:t>
            </w:r>
          </w:p>
        </w:tc>
        <w:tc>
          <w:tcPr>
            <w:tcW w:w="2160" w:type="dxa"/>
            <w:tcBorders>
              <w:top w:val="nil"/>
              <w:bottom w:val="nil"/>
            </w:tcBorders>
          </w:tcPr>
          <w:p w14:paraId="2510858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110 (27.5%)</w:t>
            </w:r>
          </w:p>
        </w:tc>
        <w:tc>
          <w:tcPr>
            <w:tcW w:w="2160" w:type="dxa"/>
            <w:tcBorders>
              <w:top w:val="nil"/>
              <w:bottom w:val="nil"/>
            </w:tcBorders>
          </w:tcPr>
          <w:p w14:paraId="05DF1304">
            <w:pPr>
              <w:spacing w:line="360" w:lineRule="auto"/>
              <w:jc w:val="center"/>
              <w:rPr>
                <w:rFonts w:hint="default" w:ascii="Times New Roman" w:hAnsi="Times New Roman" w:cs="Times New Roman"/>
                <w:sz w:val="24"/>
                <w:szCs w:val="24"/>
              </w:rPr>
            </w:pPr>
          </w:p>
        </w:tc>
        <w:tc>
          <w:tcPr>
            <w:tcW w:w="2160" w:type="dxa"/>
            <w:tcBorders>
              <w:top w:val="nil"/>
              <w:bottom w:val="nil"/>
            </w:tcBorders>
          </w:tcPr>
          <w:p w14:paraId="59E92FCE">
            <w:pPr>
              <w:spacing w:line="360" w:lineRule="auto"/>
              <w:jc w:val="center"/>
              <w:rPr>
                <w:rFonts w:hint="default" w:ascii="Times New Roman" w:hAnsi="Times New Roman" w:cs="Times New Roman"/>
                <w:sz w:val="24"/>
                <w:szCs w:val="24"/>
              </w:rPr>
            </w:pPr>
          </w:p>
        </w:tc>
      </w:tr>
      <w:tr w14:paraId="1EFB31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618" w:type="dxa"/>
            <w:tcBorders>
              <w:top w:val="nil"/>
              <w:bottom w:val="nil"/>
            </w:tcBorders>
          </w:tcPr>
          <w:p w14:paraId="4CB648C1">
            <w:pPr>
              <w:spacing w:line="360" w:lineRule="auto"/>
              <w:jc w:val="both"/>
              <w:rPr>
                <w:rFonts w:hint="default" w:ascii="Times New Roman" w:hAnsi="Times New Roman" w:cs="Times New Roman"/>
                <w:sz w:val="24"/>
                <w:szCs w:val="24"/>
              </w:rPr>
            </w:pPr>
            <w:r>
              <w:rPr>
                <w:rFonts w:hint="default" w:ascii="Times New Roman" w:hAnsi="Times New Roman" w:cs="Times New Roman"/>
                <w:i/>
                <w:sz w:val="24"/>
                <w:szCs w:val="24"/>
              </w:rPr>
              <w:t>Klebsiella pneumonia</w:t>
            </w:r>
          </w:p>
        </w:tc>
        <w:tc>
          <w:tcPr>
            <w:tcW w:w="2160" w:type="dxa"/>
            <w:tcBorders>
              <w:top w:val="nil"/>
              <w:bottom w:val="nil"/>
            </w:tcBorders>
          </w:tcPr>
          <w:p w14:paraId="0811F41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56 (35%)</w:t>
            </w:r>
          </w:p>
        </w:tc>
        <w:tc>
          <w:tcPr>
            <w:tcW w:w="2160" w:type="dxa"/>
            <w:tcBorders>
              <w:top w:val="nil"/>
              <w:bottom w:val="nil"/>
            </w:tcBorders>
          </w:tcPr>
          <w:p w14:paraId="33CE30B5">
            <w:pPr>
              <w:spacing w:line="360" w:lineRule="auto"/>
              <w:jc w:val="center"/>
              <w:rPr>
                <w:rFonts w:hint="default" w:ascii="Times New Roman" w:hAnsi="Times New Roman" w:cs="Times New Roman"/>
                <w:sz w:val="24"/>
                <w:szCs w:val="24"/>
              </w:rPr>
            </w:pPr>
          </w:p>
        </w:tc>
        <w:tc>
          <w:tcPr>
            <w:tcW w:w="2160" w:type="dxa"/>
            <w:tcBorders>
              <w:top w:val="nil"/>
              <w:bottom w:val="nil"/>
            </w:tcBorders>
          </w:tcPr>
          <w:p w14:paraId="082F707D">
            <w:pPr>
              <w:spacing w:line="360" w:lineRule="auto"/>
              <w:jc w:val="center"/>
              <w:rPr>
                <w:rFonts w:hint="default" w:ascii="Times New Roman" w:hAnsi="Times New Roman" w:cs="Times New Roman"/>
                <w:sz w:val="24"/>
                <w:szCs w:val="24"/>
              </w:rPr>
            </w:pPr>
          </w:p>
        </w:tc>
      </w:tr>
      <w:tr w14:paraId="35ACE6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18" w:type="dxa"/>
            <w:tcBorders>
              <w:top w:val="nil"/>
              <w:bottom w:val="nil"/>
            </w:tcBorders>
          </w:tcPr>
          <w:p w14:paraId="25B9BB29">
            <w:pPr>
              <w:spacing w:line="36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Escherichia coli</w:t>
            </w:r>
          </w:p>
        </w:tc>
        <w:tc>
          <w:tcPr>
            <w:tcW w:w="2160" w:type="dxa"/>
            <w:tcBorders>
              <w:top w:val="nil"/>
              <w:bottom w:val="nil"/>
            </w:tcBorders>
          </w:tcPr>
          <w:p w14:paraId="614DDE3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39 (24.4 %)</w:t>
            </w:r>
          </w:p>
        </w:tc>
        <w:tc>
          <w:tcPr>
            <w:tcW w:w="2160" w:type="dxa"/>
            <w:tcBorders>
              <w:top w:val="nil"/>
              <w:bottom w:val="nil"/>
            </w:tcBorders>
          </w:tcPr>
          <w:p w14:paraId="035311B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132.4</w:t>
            </w:r>
          </w:p>
        </w:tc>
        <w:tc>
          <w:tcPr>
            <w:tcW w:w="2160" w:type="dxa"/>
            <w:tcBorders>
              <w:top w:val="nil"/>
              <w:bottom w:val="nil"/>
            </w:tcBorders>
          </w:tcPr>
          <w:p w14:paraId="24DC621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 = 0.000005</w:t>
            </w:r>
          </w:p>
        </w:tc>
      </w:tr>
      <w:tr w14:paraId="0AC73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3618" w:type="dxa"/>
            <w:tcBorders>
              <w:top w:val="nil"/>
              <w:bottom w:val="nil"/>
            </w:tcBorders>
          </w:tcPr>
          <w:p w14:paraId="450BFACE">
            <w:pPr>
              <w:spacing w:line="36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Staphylococcus aureus</w:t>
            </w:r>
          </w:p>
        </w:tc>
        <w:tc>
          <w:tcPr>
            <w:tcW w:w="2160" w:type="dxa"/>
            <w:tcBorders>
              <w:top w:val="nil"/>
              <w:bottom w:val="nil"/>
            </w:tcBorders>
          </w:tcPr>
          <w:p w14:paraId="77A17AB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26 (16.3%)</w:t>
            </w:r>
          </w:p>
        </w:tc>
        <w:tc>
          <w:tcPr>
            <w:tcW w:w="2160" w:type="dxa"/>
            <w:tcBorders>
              <w:top w:val="nil"/>
              <w:bottom w:val="nil"/>
            </w:tcBorders>
          </w:tcPr>
          <w:p w14:paraId="08ED9C1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df=7</w:t>
            </w:r>
          </w:p>
        </w:tc>
        <w:tc>
          <w:tcPr>
            <w:tcW w:w="2160" w:type="dxa"/>
            <w:tcBorders>
              <w:top w:val="nil"/>
              <w:bottom w:val="nil"/>
            </w:tcBorders>
          </w:tcPr>
          <w:p w14:paraId="1E890D12">
            <w:pPr>
              <w:spacing w:line="360" w:lineRule="auto"/>
              <w:rPr>
                <w:rFonts w:hint="default" w:ascii="Times New Roman" w:hAnsi="Times New Roman" w:cs="Times New Roman"/>
                <w:sz w:val="24"/>
                <w:szCs w:val="24"/>
              </w:rPr>
            </w:pPr>
          </w:p>
        </w:tc>
      </w:tr>
      <w:tr w14:paraId="569380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18" w:type="dxa"/>
            <w:tcBorders>
              <w:top w:val="nil"/>
              <w:bottom w:val="nil"/>
            </w:tcBorders>
          </w:tcPr>
          <w:p w14:paraId="1895593C">
            <w:pPr>
              <w:spacing w:line="36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Candida albicans</w:t>
            </w:r>
          </w:p>
        </w:tc>
        <w:tc>
          <w:tcPr>
            <w:tcW w:w="2160" w:type="dxa"/>
            <w:tcBorders>
              <w:top w:val="nil"/>
              <w:bottom w:val="nil"/>
            </w:tcBorders>
          </w:tcPr>
          <w:p w14:paraId="348D084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17 (10.6%)</w:t>
            </w:r>
          </w:p>
        </w:tc>
        <w:tc>
          <w:tcPr>
            <w:tcW w:w="2160" w:type="dxa"/>
            <w:tcBorders>
              <w:top w:val="nil"/>
              <w:bottom w:val="nil"/>
            </w:tcBorders>
          </w:tcPr>
          <w:p w14:paraId="2184199D">
            <w:pPr>
              <w:spacing w:line="360" w:lineRule="auto"/>
              <w:jc w:val="center"/>
              <w:rPr>
                <w:rFonts w:hint="default" w:ascii="Times New Roman" w:hAnsi="Times New Roman" w:cs="Times New Roman"/>
                <w:sz w:val="24"/>
                <w:szCs w:val="24"/>
              </w:rPr>
            </w:pPr>
          </w:p>
        </w:tc>
        <w:tc>
          <w:tcPr>
            <w:tcW w:w="2160" w:type="dxa"/>
            <w:tcBorders>
              <w:top w:val="nil"/>
              <w:bottom w:val="nil"/>
            </w:tcBorders>
          </w:tcPr>
          <w:p w14:paraId="63D752E1">
            <w:pPr>
              <w:spacing w:line="360" w:lineRule="auto"/>
              <w:jc w:val="center"/>
              <w:rPr>
                <w:rFonts w:hint="default" w:ascii="Times New Roman" w:hAnsi="Times New Roman" w:cs="Times New Roman"/>
                <w:sz w:val="24"/>
                <w:szCs w:val="24"/>
              </w:rPr>
            </w:pPr>
          </w:p>
        </w:tc>
      </w:tr>
      <w:tr w14:paraId="206F6C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18" w:type="dxa"/>
            <w:tcBorders>
              <w:top w:val="nil"/>
              <w:bottom w:val="nil"/>
            </w:tcBorders>
          </w:tcPr>
          <w:p w14:paraId="73B34ECE">
            <w:pPr>
              <w:spacing w:line="360" w:lineRule="auto"/>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Non-Candida </w:t>
            </w:r>
            <w:r>
              <w:rPr>
                <w:rFonts w:hint="default" w:ascii="Times New Roman" w:hAnsi="Times New Roman" w:cs="Times New Roman"/>
                <w:sz w:val="24"/>
                <w:szCs w:val="24"/>
              </w:rPr>
              <w:t>albicans</w:t>
            </w:r>
          </w:p>
        </w:tc>
        <w:tc>
          <w:tcPr>
            <w:tcW w:w="2160" w:type="dxa"/>
            <w:tcBorders>
              <w:top w:val="nil"/>
              <w:bottom w:val="nil"/>
            </w:tcBorders>
          </w:tcPr>
          <w:p w14:paraId="40E33A4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 (3.1%)</w:t>
            </w:r>
          </w:p>
        </w:tc>
        <w:tc>
          <w:tcPr>
            <w:tcW w:w="2160" w:type="dxa"/>
            <w:tcBorders>
              <w:top w:val="nil"/>
              <w:bottom w:val="nil"/>
            </w:tcBorders>
          </w:tcPr>
          <w:p w14:paraId="683FC953">
            <w:pPr>
              <w:spacing w:line="360" w:lineRule="auto"/>
              <w:jc w:val="center"/>
              <w:rPr>
                <w:rFonts w:hint="default" w:ascii="Times New Roman" w:hAnsi="Times New Roman" w:cs="Times New Roman"/>
                <w:sz w:val="24"/>
                <w:szCs w:val="24"/>
              </w:rPr>
            </w:pPr>
          </w:p>
        </w:tc>
        <w:tc>
          <w:tcPr>
            <w:tcW w:w="2160" w:type="dxa"/>
            <w:tcBorders>
              <w:top w:val="nil"/>
              <w:bottom w:val="nil"/>
            </w:tcBorders>
          </w:tcPr>
          <w:p w14:paraId="721B67F1">
            <w:pPr>
              <w:spacing w:line="360" w:lineRule="auto"/>
              <w:jc w:val="center"/>
              <w:rPr>
                <w:rFonts w:hint="default" w:ascii="Times New Roman" w:hAnsi="Times New Roman" w:cs="Times New Roman"/>
                <w:sz w:val="24"/>
                <w:szCs w:val="24"/>
              </w:rPr>
            </w:pPr>
          </w:p>
        </w:tc>
      </w:tr>
      <w:tr w14:paraId="6FCDBD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18" w:type="dxa"/>
            <w:tcBorders>
              <w:top w:val="nil"/>
              <w:bottom w:val="nil"/>
            </w:tcBorders>
          </w:tcPr>
          <w:p w14:paraId="6DB0D5F8">
            <w:pPr>
              <w:spacing w:line="36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Pseudomonas aeruginosa</w:t>
            </w:r>
          </w:p>
        </w:tc>
        <w:tc>
          <w:tcPr>
            <w:tcW w:w="2160" w:type="dxa"/>
            <w:tcBorders>
              <w:top w:val="nil"/>
              <w:bottom w:val="nil"/>
            </w:tcBorders>
          </w:tcPr>
          <w:p w14:paraId="340D69F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14 </w:t>
            </w:r>
            <w:bookmarkStart w:id="1" w:name="_Hlk209576576"/>
            <w:r>
              <w:rPr>
                <w:rFonts w:hint="default" w:ascii="Times New Roman" w:hAnsi="Times New Roman" w:cs="Times New Roman"/>
                <w:sz w:val="24"/>
                <w:szCs w:val="24"/>
              </w:rPr>
              <w:t>(8.8%)</w:t>
            </w:r>
            <w:bookmarkEnd w:id="1"/>
          </w:p>
        </w:tc>
        <w:tc>
          <w:tcPr>
            <w:tcW w:w="2160" w:type="dxa"/>
            <w:tcBorders>
              <w:top w:val="nil"/>
              <w:bottom w:val="nil"/>
            </w:tcBorders>
          </w:tcPr>
          <w:p w14:paraId="01A68DFC">
            <w:pPr>
              <w:spacing w:line="360" w:lineRule="auto"/>
              <w:jc w:val="center"/>
              <w:rPr>
                <w:rFonts w:hint="default" w:ascii="Times New Roman" w:hAnsi="Times New Roman" w:cs="Times New Roman"/>
                <w:sz w:val="24"/>
                <w:szCs w:val="24"/>
              </w:rPr>
            </w:pPr>
          </w:p>
        </w:tc>
        <w:tc>
          <w:tcPr>
            <w:tcW w:w="2160" w:type="dxa"/>
            <w:tcBorders>
              <w:top w:val="nil"/>
              <w:bottom w:val="nil"/>
            </w:tcBorders>
          </w:tcPr>
          <w:p w14:paraId="6DA1B5F1">
            <w:pPr>
              <w:spacing w:line="360" w:lineRule="auto"/>
              <w:jc w:val="center"/>
              <w:rPr>
                <w:rFonts w:hint="default" w:ascii="Times New Roman" w:hAnsi="Times New Roman" w:cs="Times New Roman"/>
                <w:sz w:val="24"/>
                <w:szCs w:val="24"/>
              </w:rPr>
            </w:pPr>
          </w:p>
        </w:tc>
      </w:tr>
      <w:tr w14:paraId="7CD61B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18" w:type="dxa"/>
            <w:tcBorders>
              <w:top w:val="nil"/>
              <w:bottom w:val="nil"/>
            </w:tcBorders>
          </w:tcPr>
          <w:p w14:paraId="42F0E890">
            <w:pPr>
              <w:spacing w:line="36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Proteus mirabilis</w:t>
            </w:r>
          </w:p>
        </w:tc>
        <w:tc>
          <w:tcPr>
            <w:tcW w:w="2160" w:type="dxa"/>
            <w:tcBorders>
              <w:top w:val="nil"/>
              <w:bottom w:val="nil"/>
            </w:tcBorders>
          </w:tcPr>
          <w:p w14:paraId="2F16A7C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2 </w:t>
            </w:r>
            <w:bookmarkStart w:id="2" w:name="_Hlk209576593"/>
            <w:r>
              <w:rPr>
                <w:rFonts w:hint="default" w:ascii="Times New Roman" w:hAnsi="Times New Roman" w:cs="Times New Roman"/>
                <w:sz w:val="24"/>
                <w:szCs w:val="24"/>
              </w:rPr>
              <w:t>(1.3%)</w:t>
            </w:r>
            <w:bookmarkEnd w:id="2"/>
          </w:p>
        </w:tc>
        <w:tc>
          <w:tcPr>
            <w:tcW w:w="2160" w:type="dxa"/>
            <w:tcBorders>
              <w:top w:val="nil"/>
              <w:bottom w:val="nil"/>
            </w:tcBorders>
          </w:tcPr>
          <w:p w14:paraId="132EE0AC">
            <w:pPr>
              <w:spacing w:line="360" w:lineRule="auto"/>
              <w:jc w:val="center"/>
              <w:rPr>
                <w:rFonts w:hint="default" w:ascii="Times New Roman" w:hAnsi="Times New Roman" w:cs="Times New Roman"/>
                <w:sz w:val="24"/>
                <w:szCs w:val="24"/>
              </w:rPr>
            </w:pPr>
          </w:p>
        </w:tc>
        <w:tc>
          <w:tcPr>
            <w:tcW w:w="2160" w:type="dxa"/>
            <w:tcBorders>
              <w:top w:val="nil"/>
              <w:bottom w:val="nil"/>
            </w:tcBorders>
          </w:tcPr>
          <w:p w14:paraId="086DF17E">
            <w:pPr>
              <w:spacing w:line="360" w:lineRule="auto"/>
              <w:jc w:val="center"/>
              <w:rPr>
                <w:rFonts w:hint="default" w:ascii="Times New Roman" w:hAnsi="Times New Roman" w:cs="Times New Roman"/>
                <w:sz w:val="24"/>
                <w:szCs w:val="24"/>
              </w:rPr>
            </w:pPr>
          </w:p>
        </w:tc>
      </w:tr>
      <w:tr w14:paraId="7F3331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18" w:type="dxa"/>
            <w:tcBorders>
              <w:top w:val="nil"/>
              <w:bottom w:val="single" w:color="auto" w:sz="4" w:space="0"/>
            </w:tcBorders>
          </w:tcPr>
          <w:p w14:paraId="3CE72EB1">
            <w:pPr>
              <w:spacing w:line="360" w:lineRule="auto"/>
              <w:jc w:val="both"/>
              <w:rPr>
                <w:rFonts w:hint="default" w:ascii="Times New Roman" w:hAnsi="Times New Roman" w:cs="Times New Roman"/>
                <w:sz w:val="24"/>
                <w:szCs w:val="24"/>
              </w:rPr>
            </w:pPr>
            <w:bookmarkStart w:id="3" w:name="_Hlk209576644"/>
            <w:r>
              <w:rPr>
                <w:rFonts w:hint="default" w:ascii="Times New Roman" w:hAnsi="Times New Roman" w:cs="Times New Roman"/>
                <w:i/>
                <w:sz w:val="24"/>
                <w:szCs w:val="24"/>
              </w:rPr>
              <w:t xml:space="preserve">Streptococcus </w:t>
            </w:r>
            <w:r>
              <w:rPr>
                <w:rFonts w:hint="default" w:ascii="Times New Roman" w:hAnsi="Times New Roman" w:cs="Times New Roman"/>
                <w:sz w:val="24"/>
                <w:szCs w:val="24"/>
              </w:rPr>
              <w:t>spp</w:t>
            </w:r>
            <w:bookmarkEnd w:id="3"/>
          </w:p>
        </w:tc>
        <w:tc>
          <w:tcPr>
            <w:tcW w:w="2160" w:type="dxa"/>
            <w:tcBorders>
              <w:top w:val="nil"/>
              <w:bottom w:val="single" w:color="auto" w:sz="4" w:space="0"/>
            </w:tcBorders>
          </w:tcPr>
          <w:p w14:paraId="0BF70D2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1 </w:t>
            </w:r>
            <w:bookmarkStart w:id="4" w:name="_Hlk209576621"/>
            <w:r>
              <w:rPr>
                <w:rFonts w:hint="default" w:ascii="Times New Roman" w:hAnsi="Times New Roman" w:cs="Times New Roman"/>
                <w:sz w:val="24"/>
                <w:szCs w:val="24"/>
              </w:rPr>
              <w:t>(0.6%)</w:t>
            </w:r>
            <w:bookmarkEnd w:id="4"/>
          </w:p>
        </w:tc>
        <w:tc>
          <w:tcPr>
            <w:tcW w:w="2160" w:type="dxa"/>
            <w:tcBorders>
              <w:top w:val="nil"/>
              <w:bottom w:val="single" w:color="auto" w:sz="4" w:space="0"/>
            </w:tcBorders>
          </w:tcPr>
          <w:p w14:paraId="1FC04445">
            <w:pPr>
              <w:spacing w:line="360" w:lineRule="auto"/>
              <w:jc w:val="center"/>
              <w:rPr>
                <w:rFonts w:hint="default" w:ascii="Times New Roman" w:hAnsi="Times New Roman" w:cs="Times New Roman"/>
                <w:sz w:val="24"/>
                <w:szCs w:val="24"/>
              </w:rPr>
            </w:pPr>
          </w:p>
        </w:tc>
        <w:tc>
          <w:tcPr>
            <w:tcW w:w="2160" w:type="dxa"/>
            <w:tcBorders>
              <w:top w:val="nil"/>
              <w:bottom w:val="single" w:color="auto" w:sz="4" w:space="0"/>
            </w:tcBorders>
          </w:tcPr>
          <w:p w14:paraId="2E07E043">
            <w:pPr>
              <w:spacing w:line="360" w:lineRule="auto"/>
              <w:jc w:val="center"/>
              <w:rPr>
                <w:rFonts w:hint="default" w:ascii="Times New Roman" w:hAnsi="Times New Roman" w:cs="Times New Roman"/>
                <w:sz w:val="24"/>
                <w:szCs w:val="24"/>
              </w:rPr>
            </w:pPr>
          </w:p>
        </w:tc>
      </w:tr>
      <w:tr w14:paraId="1562A9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18" w:type="dxa"/>
            <w:tcBorders>
              <w:top w:val="single" w:color="auto" w:sz="4" w:space="0"/>
            </w:tcBorders>
          </w:tcPr>
          <w:p w14:paraId="6A10E9CF">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2160" w:type="dxa"/>
            <w:tcBorders>
              <w:top w:val="single" w:color="auto" w:sz="4" w:space="0"/>
            </w:tcBorders>
          </w:tcPr>
          <w:p w14:paraId="25E687A3">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160</w:t>
            </w:r>
          </w:p>
        </w:tc>
        <w:tc>
          <w:tcPr>
            <w:tcW w:w="2160" w:type="dxa"/>
            <w:tcBorders>
              <w:top w:val="single" w:color="auto" w:sz="4" w:space="0"/>
            </w:tcBorders>
          </w:tcPr>
          <w:p w14:paraId="17EE3F1A">
            <w:pPr>
              <w:spacing w:line="360" w:lineRule="auto"/>
              <w:jc w:val="both"/>
              <w:rPr>
                <w:rFonts w:hint="default" w:ascii="Times New Roman" w:hAnsi="Times New Roman" w:cs="Times New Roman"/>
                <w:b/>
                <w:sz w:val="24"/>
                <w:szCs w:val="24"/>
              </w:rPr>
            </w:pPr>
          </w:p>
        </w:tc>
        <w:tc>
          <w:tcPr>
            <w:tcW w:w="2160" w:type="dxa"/>
            <w:tcBorders>
              <w:top w:val="single" w:color="auto" w:sz="4" w:space="0"/>
            </w:tcBorders>
          </w:tcPr>
          <w:p w14:paraId="29F7757B">
            <w:pPr>
              <w:spacing w:line="360" w:lineRule="auto"/>
              <w:jc w:val="both"/>
              <w:rPr>
                <w:rFonts w:hint="default" w:ascii="Times New Roman" w:hAnsi="Times New Roman" w:cs="Times New Roman"/>
                <w:b/>
                <w:sz w:val="24"/>
                <w:szCs w:val="24"/>
              </w:rPr>
            </w:pPr>
          </w:p>
        </w:tc>
      </w:tr>
    </w:tbl>
    <w:p w14:paraId="050E8294">
      <w:pPr>
        <w:spacing w:line="360" w:lineRule="auto"/>
        <w:rPr>
          <w:rFonts w:hint="default" w:ascii="Times New Roman" w:hAnsi="Times New Roman" w:cs="Times New Roman"/>
          <w:sz w:val="24"/>
          <w:szCs w:val="24"/>
        </w:rPr>
      </w:pPr>
    </w:p>
    <w:p w14:paraId="0629B584">
      <w:pPr>
        <w:tabs>
          <w:tab w:val="left" w:pos="2880"/>
        </w:tabs>
        <w:spacing w:line="360" w:lineRule="auto"/>
        <w:rPr>
          <w:rFonts w:hint="default" w:ascii="Times New Roman" w:hAnsi="Times New Roman" w:cs="Times New Roman"/>
          <w:sz w:val="24"/>
          <w:szCs w:val="24"/>
        </w:rPr>
      </w:pPr>
    </w:p>
    <w:p w14:paraId="72363488">
      <w:pPr>
        <w:tabs>
          <w:tab w:val="left" w:pos="2880"/>
        </w:tabs>
        <w:spacing w:line="360" w:lineRule="auto"/>
        <w:rPr>
          <w:rFonts w:hint="default" w:ascii="Times New Roman" w:hAnsi="Times New Roman" w:cs="Times New Roman"/>
          <w:sz w:val="24"/>
          <w:szCs w:val="24"/>
        </w:rPr>
      </w:pPr>
    </w:p>
    <w:p w14:paraId="6A9C228F">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Table 3: Distributon of ESBL- producing E. coli</w:t>
      </w:r>
      <w:r>
        <w:rPr>
          <w:rStyle w:val="48"/>
          <w:rFonts w:hint="default" w:ascii="Times New Roman" w:hAnsi="Times New Roman" w:eastAsia="SimSun" w:cs="Times New Roman"/>
          <w:sz w:val="24"/>
          <w:szCs w:val="24"/>
        </w:rPr>
        <w:t xml:space="preserve"> among patients with UTI attending Federal Medical Centre,</w:t>
      </w:r>
      <w:r>
        <w:rPr>
          <w:rFonts w:hint="default" w:ascii="Times New Roman" w:hAnsi="Times New Roman" w:cs="Times New Roman"/>
          <w:b/>
          <w:sz w:val="24"/>
          <w:szCs w:val="24"/>
        </w:rPr>
        <w:t xml:space="preserve"> Keffi</w:t>
      </w:r>
    </w:p>
    <w:tbl>
      <w:tblPr>
        <w:tblStyle w:val="12"/>
        <w:tblW w:w="9828" w:type="dxa"/>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8"/>
        <w:gridCol w:w="2070"/>
        <w:gridCol w:w="2520"/>
        <w:gridCol w:w="2250"/>
      </w:tblGrid>
      <w:tr w14:paraId="0F6565B3">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18" w:space="0"/>
              <w:bottom w:val="single" w:color="auto" w:sz="18" w:space="0"/>
            </w:tcBorders>
          </w:tcPr>
          <w:p w14:paraId="02E6C3A9">
            <w:pPr>
              <w:spacing w:line="360" w:lineRule="auto"/>
              <w:rPr>
                <w:rFonts w:hint="default" w:ascii="Times New Roman" w:hAnsi="Times New Roman" w:cs="Times New Roman"/>
                <w:sz w:val="24"/>
                <w:szCs w:val="24"/>
              </w:rPr>
            </w:pPr>
          </w:p>
        </w:tc>
        <w:tc>
          <w:tcPr>
            <w:tcW w:w="2070" w:type="dxa"/>
            <w:tcBorders>
              <w:top w:val="single" w:color="auto" w:sz="18" w:space="0"/>
              <w:bottom w:val="single" w:color="auto" w:sz="18" w:space="0"/>
            </w:tcBorders>
          </w:tcPr>
          <w:p w14:paraId="69ECD99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Urine sample examined</w:t>
            </w:r>
          </w:p>
        </w:tc>
        <w:tc>
          <w:tcPr>
            <w:tcW w:w="2520" w:type="dxa"/>
            <w:tcBorders>
              <w:top w:val="single" w:color="auto" w:sz="18" w:space="0"/>
              <w:bottom w:val="single" w:color="auto" w:sz="18" w:space="0"/>
            </w:tcBorders>
          </w:tcPr>
          <w:p w14:paraId="3E64AD0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Positive Isolates</w:t>
            </w:r>
          </w:p>
        </w:tc>
        <w:tc>
          <w:tcPr>
            <w:tcW w:w="2250" w:type="dxa"/>
            <w:tcBorders>
              <w:top w:val="single" w:color="auto" w:sz="18" w:space="0"/>
              <w:bottom w:val="single" w:color="auto" w:sz="18" w:space="0"/>
            </w:tcBorders>
          </w:tcPr>
          <w:p w14:paraId="374FE73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Negative isolates</w:t>
            </w:r>
          </w:p>
        </w:tc>
      </w:tr>
      <w:tr w14:paraId="37F0BAC3">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18" w:space="0"/>
            </w:tcBorders>
          </w:tcPr>
          <w:p w14:paraId="3FFB3328">
            <w:pPr>
              <w:spacing w:line="360" w:lineRule="auto"/>
              <w:rPr>
                <w:rFonts w:hint="default" w:ascii="Times New Roman" w:hAnsi="Times New Roman" w:cs="Times New Roman"/>
                <w:sz w:val="24"/>
                <w:szCs w:val="24"/>
              </w:rPr>
            </w:pP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Isolated</w:t>
            </w:r>
          </w:p>
        </w:tc>
        <w:tc>
          <w:tcPr>
            <w:tcW w:w="2070" w:type="dxa"/>
            <w:tcBorders>
              <w:top w:val="single" w:color="auto" w:sz="18" w:space="0"/>
            </w:tcBorders>
          </w:tcPr>
          <w:p w14:paraId="22E6690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160</w:t>
            </w:r>
          </w:p>
        </w:tc>
        <w:tc>
          <w:tcPr>
            <w:tcW w:w="2520" w:type="dxa"/>
            <w:tcBorders>
              <w:top w:val="single" w:color="auto" w:sz="18" w:space="0"/>
            </w:tcBorders>
          </w:tcPr>
          <w:p w14:paraId="7C58607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39 (24.4%)</w:t>
            </w:r>
          </w:p>
        </w:tc>
        <w:tc>
          <w:tcPr>
            <w:tcW w:w="2250" w:type="dxa"/>
            <w:tcBorders>
              <w:top w:val="single" w:color="auto" w:sz="18" w:space="0"/>
            </w:tcBorders>
          </w:tcPr>
          <w:p w14:paraId="657AED5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121 (75.6%)</w:t>
            </w:r>
          </w:p>
        </w:tc>
      </w:tr>
      <w:tr w14:paraId="420838E7">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14:paraId="2939AA9A">
            <w:pPr>
              <w:spacing w:line="360" w:lineRule="auto"/>
              <w:rPr>
                <w:rFonts w:hint="default" w:ascii="Times New Roman" w:hAnsi="Times New Roman" w:cs="Times New Roman"/>
                <w:sz w:val="24"/>
                <w:szCs w:val="24"/>
              </w:rPr>
            </w:pP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Confirmation (UiDA gene)</w:t>
            </w:r>
          </w:p>
        </w:tc>
        <w:tc>
          <w:tcPr>
            <w:tcW w:w="2070" w:type="dxa"/>
          </w:tcPr>
          <w:p w14:paraId="24528EA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160</w:t>
            </w:r>
          </w:p>
        </w:tc>
        <w:tc>
          <w:tcPr>
            <w:tcW w:w="2520" w:type="dxa"/>
          </w:tcPr>
          <w:p w14:paraId="0E37FCD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39 (24.4%)</w:t>
            </w:r>
          </w:p>
        </w:tc>
        <w:tc>
          <w:tcPr>
            <w:tcW w:w="2250" w:type="dxa"/>
          </w:tcPr>
          <w:p w14:paraId="14EC230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121 (75.6%)</w:t>
            </w:r>
          </w:p>
        </w:tc>
      </w:tr>
      <w:tr w14:paraId="6DD92731">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14:paraId="507BD7B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ESBL Phenotypic Detection</w:t>
            </w:r>
          </w:p>
        </w:tc>
        <w:tc>
          <w:tcPr>
            <w:tcW w:w="2070" w:type="dxa"/>
          </w:tcPr>
          <w:p w14:paraId="3A0EC97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39</w:t>
            </w:r>
          </w:p>
        </w:tc>
        <w:tc>
          <w:tcPr>
            <w:tcW w:w="2520" w:type="dxa"/>
          </w:tcPr>
          <w:p w14:paraId="6452BE9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19 (48.7%)</w:t>
            </w:r>
          </w:p>
        </w:tc>
        <w:tc>
          <w:tcPr>
            <w:tcW w:w="2250" w:type="dxa"/>
          </w:tcPr>
          <w:p w14:paraId="55670FE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20 (51.3%)</w:t>
            </w:r>
          </w:p>
        </w:tc>
      </w:tr>
      <w:tr w14:paraId="47C6A0CC">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14:paraId="3EC177B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ESBL Confirmation (BLA</w:t>
            </w:r>
            <w:r>
              <w:rPr>
                <w:rFonts w:hint="default" w:ascii="Times New Roman" w:hAnsi="Times New Roman" w:cs="Times New Roman"/>
                <w:sz w:val="24"/>
                <w:szCs w:val="24"/>
                <w:vertAlign w:val="subscript"/>
              </w:rPr>
              <w:t xml:space="preserve">SHV, </w:t>
            </w: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CTXM</w:t>
            </w:r>
            <w:r>
              <w:rPr>
                <w:rFonts w:hint="default" w:ascii="Times New Roman" w:hAnsi="Times New Roman" w:cs="Times New Roman"/>
                <w:sz w:val="24"/>
                <w:szCs w:val="24"/>
              </w:rPr>
              <w:t xml:space="preserve"> and BLA</w:t>
            </w:r>
            <w:r>
              <w:rPr>
                <w:rFonts w:hint="default" w:ascii="Times New Roman" w:hAnsi="Times New Roman" w:cs="Times New Roman"/>
                <w:sz w:val="24"/>
                <w:szCs w:val="24"/>
                <w:vertAlign w:val="subscript"/>
              </w:rPr>
              <w:t>TEM</w:t>
            </w:r>
            <w:r>
              <w:rPr>
                <w:rFonts w:hint="default" w:ascii="Times New Roman" w:hAnsi="Times New Roman" w:cs="Times New Roman"/>
                <w:sz w:val="24"/>
                <w:szCs w:val="24"/>
              </w:rPr>
              <w:t xml:space="preserve"> genes)</w:t>
            </w:r>
          </w:p>
        </w:tc>
        <w:tc>
          <w:tcPr>
            <w:tcW w:w="2070" w:type="dxa"/>
          </w:tcPr>
          <w:p w14:paraId="1F19829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19</w:t>
            </w:r>
          </w:p>
        </w:tc>
        <w:tc>
          <w:tcPr>
            <w:tcW w:w="2520" w:type="dxa"/>
          </w:tcPr>
          <w:p w14:paraId="30B2B02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16 (84%)</w:t>
            </w:r>
          </w:p>
        </w:tc>
        <w:tc>
          <w:tcPr>
            <w:tcW w:w="2250" w:type="dxa"/>
          </w:tcPr>
          <w:p w14:paraId="521D440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 (16%)</w:t>
            </w:r>
          </w:p>
        </w:tc>
      </w:tr>
    </w:tbl>
    <w:p w14:paraId="2A13820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p- value for Phenotypic ESBL : 0.88</w:t>
      </w:r>
    </w:p>
    <w:p w14:paraId="6FF79DE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P- value ESBL gene : 0.0003</w:t>
      </w:r>
    </w:p>
    <w:p w14:paraId="49714C05">
      <w:pPr>
        <w:spacing w:line="360" w:lineRule="auto"/>
        <w:rPr>
          <w:rFonts w:hint="default" w:ascii="Times New Roman" w:hAnsi="Times New Roman" w:cs="Times New Roman"/>
          <w:sz w:val="24"/>
          <w:szCs w:val="24"/>
        </w:rPr>
      </w:pPr>
    </w:p>
    <w:p w14:paraId="63C62FA5">
      <w:pPr>
        <w:tabs>
          <w:tab w:val="left" w:pos="2880"/>
        </w:tabs>
        <w:spacing w:line="360" w:lineRule="auto"/>
        <w:rPr>
          <w:rFonts w:hint="default" w:ascii="Times New Roman" w:hAnsi="Times New Roman" w:cs="Times New Roman"/>
          <w:sz w:val="24"/>
          <w:szCs w:val="24"/>
        </w:rPr>
      </w:pPr>
    </w:p>
    <w:p w14:paraId="4929BC31">
      <w:pPr>
        <w:tabs>
          <w:tab w:val="left" w:pos="2880"/>
        </w:tabs>
        <w:spacing w:line="360" w:lineRule="auto"/>
        <w:rPr>
          <w:rFonts w:hint="default" w:ascii="Times New Roman" w:hAnsi="Times New Roman" w:cs="Times New Roman"/>
          <w:sz w:val="24"/>
          <w:szCs w:val="24"/>
        </w:rPr>
      </w:pPr>
    </w:p>
    <w:p w14:paraId="76886BCA">
      <w:pPr>
        <w:tabs>
          <w:tab w:val="left" w:pos="2880"/>
        </w:tabs>
        <w:spacing w:line="360" w:lineRule="auto"/>
        <w:rPr>
          <w:rFonts w:hint="default" w:ascii="Times New Roman" w:hAnsi="Times New Roman" w:cs="Times New Roman"/>
          <w:sz w:val="24"/>
          <w:szCs w:val="24"/>
        </w:rPr>
      </w:pPr>
    </w:p>
    <w:p w14:paraId="4EE521C8">
      <w:pPr>
        <w:spacing w:line="360" w:lineRule="auto"/>
        <w:rPr>
          <w:rFonts w:hint="default" w:ascii="Times New Roman" w:hAnsi="Times New Roman" w:cs="Times New Roman"/>
          <w:b/>
          <w:sz w:val="24"/>
          <w:szCs w:val="24"/>
        </w:rPr>
      </w:pPr>
    </w:p>
    <w:p w14:paraId="474DCF92">
      <w:pPr>
        <w:spacing w:line="360" w:lineRule="auto"/>
        <w:rPr>
          <w:rFonts w:hint="default" w:ascii="Times New Roman" w:hAnsi="Times New Roman" w:cs="Times New Roman"/>
          <w:b/>
          <w:sz w:val="24"/>
          <w:szCs w:val="24"/>
        </w:rPr>
      </w:pPr>
    </w:p>
    <w:p w14:paraId="0F20ECAF">
      <w:pPr>
        <w:spacing w:line="360" w:lineRule="auto"/>
        <w:rPr>
          <w:rFonts w:hint="default" w:ascii="Times New Roman" w:hAnsi="Times New Roman" w:cs="Times New Roman"/>
          <w:b/>
          <w:sz w:val="24"/>
          <w:szCs w:val="24"/>
        </w:rPr>
      </w:pPr>
    </w:p>
    <w:p w14:paraId="7D24A47A">
      <w:pPr>
        <w:spacing w:line="360" w:lineRule="auto"/>
        <w:rPr>
          <w:rFonts w:hint="default" w:ascii="Times New Roman" w:hAnsi="Times New Roman" w:cs="Times New Roman"/>
          <w:b/>
          <w:sz w:val="24"/>
          <w:szCs w:val="24"/>
        </w:rPr>
      </w:pPr>
    </w:p>
    <w:p w14:paraId="01C6D14A">
      <w:pPr>
        <w:spacing w:line="360" w:lineRule="auto"/>
        <w:rPr>
          <w:rFonts w:hint="default" w:ascii="Times New Roman" w:hAnsi="Times New Roman" w:cs="Times New Roman"/>
          <w:b/>
          <w:sz w:val="24"/>
          <w:szCs w:val="24"/>
        </w:rPr>
      </w:pPr>
    </w:p>
    <w:p w14:paraId="455D9E8A">
      <w:pPr>
        <w:spacing w:line="360" w:lineRule="auto"/>
        <w:jc w:val="both"/>
        <w:rPr>
          <w:rFonts w:hint="default" w:ascii="Times New Roman" w:hAnsi="Times New Roman" w:cs="Times New Roman"/>
          <w:b/>
          <w:sz w:val="24"/>
          <w:szCs w:val="24"/>
        </w:rPr>
      </w:pPr>
    </w:p>
    <w:p w14:paraId="66D51167">
      <w:pPr>
        <w:spacing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Table 4: Molecular Characteristics of</w:t>
      </w:r>
      <w:r>
        <w:rPr>
          <w:rStyle w:val="48"/>
          <w:rFonts w:hint="default" w:ascii="Times New Roman" w:hAnsi="Times New Roman" w:cs="Times New Roman"/>
          <w:sz w:val="24"/>
          <w:szCs w:val="24"/>
        </w:rPr>
        <w:t xml:space="preserve"> ESBL positive </w:t>
      </w:r>
      <w:r>
        <w:rPr>
          <w:rStyle w:val="48"/>
          <w:rFonts w:hint="default" w:ascii="Times New Roman" w:hAnsi="Times New Roman" w:cs="Times New Roman"/>
          <w:i/>
          <w:sz w:val="24"/>
          <w:szCs w:val="24"/>
        </w:rPr>
        <w:t>E. coli</w:t>
      </w:r>
      <w:r>
        <w:rPr>
          <w:rStyle w:val="48"/>
          <w:rFonts w:hint="default" w:ascii="Times New Roman" w:hAnsi="Times New Roman" w:cs="Times New Roman"/>
          <w:sz w:val="24"/>
          <w:szCs w:val="24"/>
        </w:rPr>
        <w:t xml:space="preserve"> from </w:t>
      </w:r>
      <w:r>
        <w:rPr>
          <w:rStyle w:val="48"/>
          <w:rFonts w:hint="default" w:ascii="Times New Roman" w:hAnsi="Times New Roman" w:eastAsia="SimSun" w:cs="Times New Roman"/>
          <w:sz w:val="24"/>
          <w:szCs w:val="24"/>
        </w:rPr>
        <w:t>urine samples among patients attending Federal Medical Centre,</w:t>
      </w:r>
      <w:r>
        <w:rPr>
          <w:rFonts w:hint="default" w:ascii="Times New Roman" w:hAnsi="Times New Roman" w:cs="Times New Roman"/>
          <w:b/>
          <w:sz w:val="24"/>
          <w:szCs w:val="24"/>
        </w:rPr>
        <w:t xml:space="preserve"> Keffi</w:t>
      </w:r>
    </w:p>
    <w:tbl>
      <w:tblPr>
        <w:tblStyle w:val="12"/>
        <w:tblW w:w="9468" w:type="dxa"/>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48"/>
        <w:gridCol w:w="2070"/>
        <w:gridCol w:w="1980"/>
        <w:gridCol w:w="2070"/>
      </w:tblGrid>
      <w:tr w14:paraId="5AD98F32">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Borders>
              <w:top w:val="single" w:color="auto" w:sz="18" w:space="0"/>
              <w:bottom w:val="single" w:color="auto" w:sz="18" w:space="0"/>
            </w:tcBorders>
          </w:tcPr>
          <w:p w14:paraId="17099D5F">
            <w:pPr>
              <w:spacing w:line="360" w:lineRule="auto"/>
              <w:rPr>
                <w:rFonts w:hint="default" w:ascii="Times New Roman" w:hAnsi="Times New Roman" w:cs="Times New Roman"/>
                <w:sz w:val="24"/>
                <w:szCs w:val="24"/>
              </w:rPr>
            </w:pPr>
            <w:r>
              <w:rPr>
                <w:rStyle w:val="48"/>
                <w:rFonts w:hint="default" w:ascii="Times New Roman" w:hAnsi="Times New Roman" w:cs="Times New Roman"/>
                <w:sz w:val="24"/>
                <w:szCs w:val="24"/>
              </w:rPr>
              <w:t>ESBL Genes</w:t>
            </w:r>
          </w:p>
        </w:tc>
        <w:tc>
          <w:tcPr>
            <w:tcW w:w="2070" w:type="dxa"/>
            <w:tcBorders>
              <w:top w:val="single" w:color="auto" w:sz="18" w:space="0"/>
              <w:bottom w:val="single" w:color="auto" w:sz="18" w:space="0"/>
            </w:tcBorders>
          </w:tcPr>
          <w:p w14:paraId="66E7102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Occurrence</w:t>
            </w:r>
          </w:p>
        </w:tc>
        <w:tc>
          <w:tcPr>
            <w:tcW w:w="1980" w:type="dxa"/>
            <w:tcBorders>
              <w:top w:val="single" w:color="auto" w:sz="18" w:space="0"/>
              <w:bottom w:val="single" w:color="auto" w:sz="18" w:space="0"/>
            </w:tcBorders>
          </w:tcPr>
          <w:p w14:paraId="49630B9F">
            <w:pPr>
              <w:spacing w:line="360" w:lineRule="auto"/>
              <w:jc w:val="center"/>
              <w:rPr>
                <w:rFonts w:hint="default" w:ascii="Times New Roman" w:hAnsi="Times New Roman" w:cs="Times New Roman"/>
                <w:sz w:val="24"/>
                <w:szCs w:val="24"/>
                <w:vertAlign w:val="superscript"/>
              </w:rPr>
            </w:pPr>
            <w:r>
              <w:rPr>
                <w:rFonts w:hint="default" w:ascii="Times New Roman" w:hAnsi="Times New Roman" w:cs="Times New Roman"/>
                <w:sz w:val="24"/>
                <w:szCs w:val="24"/>
              </w:rPr>
              <w:t>X</w:t>
            </w:r>
            <w:r>
              <w:rPr>
                <w:rFonts w:hint="default" w:ascii="Times New Roman" w:hAnsi="Times New Roman" w:cs="Times New Roman"/>
                <w:sz w:val="24"/>
                <w:szCs w:val="24"/>
                <w:vertAlign w:val="superscript"/>
              </w:rPr>
              <w:t>2</w:t>
            </w:r>
          </w:p>
        </w:tc>
        <w:tc>
          <w:tcPr>
            <w:tcW w:w="2070" w:type="dxa"/>
            <w:tcBorders>
              <w:top w:val="single" w:color="auto" w:sz="18" w:space="0"/>
              <w:bottom w:val="single" w:color="auto" w:sz="18" w:space="0"/>
            </w:tcBorders>
          </w:tcPr>
          <w:p w14:paraId="77C1A4B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P-value</w:t>
            </w:r>
          </w:p>
        </w:tc>
      </w:tr>
      <w:tr w14:paraId="291A0A70">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Borders>
              <w:top w:val="single" w:color="auto" w:sz="18" w:space="0"/>
            </w:tcBorders>
          </w:tcPr>
          <w:p w14:paraId="6757555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SHV</w:t>
            </w:r>
          </w:p>
        </w:tc>
        <w:tc>
          <w:tcPr>
            <w:tcW w:w="2070" w:type="dxa"/>
            <w:tcBorders>
              <w:top w:val="single" w:color="auto" w:sz="18" w:space="0"/>
            </w:tcBorders>
          </w:tcPr>
          <w:p w14:paraId="1C71E53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0 (0%)</w:t>
            </w:r>
          </w:p>
        </w:tc>
        <w:tc>
          <w:tcPr>
            <w:tcW w:w="1980" w:type="dxa"/>
            <w:tcBorders>
              <w:top w:val="single" w:color="auto" w:sz="18" w:space="0"/>
            </w:tcBorders>
          </w:tcPr>
          <w:p w14:paraId="58724292">
            <w:pPr>
              <w:spacing w:line="360" w:lineRule="auto"/>
              <w:rPr>
                <w:rFonts w:hint="default" w:ascii="Times New Roman" w:hAnsi="Times New Roman" w:cs="Times New Roman"/>
                <w:sz w:val="24"/>
                <w:szCs w:val="24"/>
              </w:rPr>
            </w:pPr>
          </w:p>
        </w:tc>
        <w:tc>
          <w:tcPr>
            <w:tcW w:w="2070" w:type="dxa"/>
            <w:tcBorders>
              <w:top w:val="single" w:color="auto" w:sz="18" w:space="0"/>
            </w:tcBorders>
          </w:tcPr>
          <w:p w14:paraId="3270B69A">
            <w:pPr>
              <w:spacing w:line="360" w:lineRule="auto"/>
              <w:rPr>
                <w:rFonts w:hint="default" w:ascii="Times New Roman" w:hAnsi="Times New Roman" w:cs="Times New Roman"/>
                <w:sz w:val="24"/>
                <w:szCs w:val="24"/>
              </w:rPr>
            </w:pPr>
          </w:p>
        </w:tc>
      </w:tr>
      <w:tr w14:paraId="7F8DC5C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Pr>
          <w:p w14:paraId="670F320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CTXM</w:t>
            </w:r>
          </w:p>
        </w:tc>
        <w:tc>
          <w:tcPr>
            <w:tcW w:w="2070" w:type="dxa"/>
          </w:tcPr>
          <w:p w14:paraId="4CFEC0A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11 (68.75%)</w:t>
            </w:r>
          </w:p>
        </w:tc>
        <w:tc>
          <w:tcPr>
            <w:tcW w:w="1980" w:type="dxa"/>
          </w:tcPr>
          <w:p w14:paraId="6431DAE0">
            <w:pPr>
              <w:spacing w:line="360" w:lineRule="auto"/>
              <w:rPr>
                <w:rFonts w:hint="default" w:ascii="Times New Roman" w:hAnsi="Times New Roman" w:cs="Times New Roman"/>
                <w:sz w:val="24"/>
                <w:szCs w:val="24"/>
              </w:rPr>
            </w:pPr>
          </w:p>
        </w:tc>
        <w:tc>
          <w:tcPr>
            <w:tcW w:w="2070" w:type="dxa"/>
          </w:tcPr>
          <w:p w14:paraId="67A6A827">
            <w:pPr>
              <w:spacing w:line="360" w:lineRule="auto"/>
              <w:rPr>
                <w:rFonts w:hint="default" w:ascii="Times New Roman" w:hAnsi="Times New Roman" w:cs="Times New Roman"/>
                <w:sz w:val="24"/>
                <w:szCs w:val="24"/>
              </w:rPr>
            </w:pPr>
          </w:p>
        </w:tc>
      </w:tr>
      <w:tr w14:paraId="4FD06369">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Pr>
          <w:p w14:paraId="7CE8FC1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TEM</w:t>
            </w:r>
          </w:p>
        </w:tc>
        <w:tc>
          <w:tcPr>
            <w:tcW w:w="2070" w:type="dxa"/>
          </w:tcPr>
          <w:p w14:paraId="111C035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(12.5%)</w:t>
            </w:r>
          </w:p>
        </w:tc>
        <w:tc>
          <w:tcPr>
            <w:tcW w:w="1980" w:type="dxa"/>
          </w:tcPr>
          <w:p w14:paraId="7AB97D6A">
            <w:pPr>
              <w:spacing w:line="360" w:lineRule="auto"/>
              <w:rPr>
                <w:rFonts w:hint="default" w:ascii="Times New Roman" w:hAnsi="Times New Roman" w:cs="Times New Roman"/>
                <w:sz w:val="24"/>
                <w:szCs w:val="24"/>
              </w:rPr>
            </w:pPr>
          </w:p>
        </w:tc>
        <w:tc>
          <w:tcPr>
            <w:tcW w:w="2070" w:type="dxa"/>
          </w:tcPr>
          <w:p w14:paraId="390D5706">
            <w:pPr>
              <w:spacing w:line="360" w:lineRule="auto"/>
              <w:rPr>
                <w:rFonts w:hint="default" w:ascii="Times New Roman" w:hAnsi="Times New Roman" w:cs="Times New Roman"/>
                <w:sz w:val="24"/>
                <w:szCs w:val="24"/>
              </w:rPr>
            </w:pPr>
          </w:p>
        </w:tc>
      </w:tr>
      <w:tr w14:paraId="133B2A28">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Pr>
          <w:p w14:paraId="0882920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SHV</w:t>
            </w: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CTXM</w:t>
            </w:r>
          </w:p>
        </w:tc>
        <w:tc>
          <w:tcPr>
            <w:tcW w:w="2070" w:type="dxa"/>
          </w:tcPr>
          <w:p w14:paraId="1428088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1980" w:type="dxa"/>
          </w:tcPr>
          <w:p w14:paraId="5EDD0168">
            <w:pPr>
              <w:spacing w:line="360" w:lineRule="auto"/>
              <w:jc w:val="center"/>
              <w:rPr>
                <w:rFonts w:hint="default" w:ascii="Times New Roman" w:hAnsi="Times New Roman" w:cs="Times New Roman"/>
                <w:sz w:val="24"/>
                <w:szCs w:val="24"/>
              </w:rPr>
            </w:pPr>
          </w:p>
        </w:tc>
        <w:tc>
          <w:tcPr>
            <w:tcW w:w="2070" w:type="dxa"/>
          </w:tcPr>
          <w:p w14:paraId="5F8BDA1B">
            <w:pPr>
              <w:spacing w:line="360" w:lineRule="auto"/>
              <w:jc w:val="center"/>
              <w:rPr>
                <w:rFonts w:hint="default" w:ascii="Times New Roman" w:hAnsi="Times New Roman" w:cs="Times New Roman"/>
                <w:sz w:val="24"/>
                <w:szCs w:val="24"/>
              </w:rPr>
            </w:pPr>
          </w:p>
        </w:tc>
      </w:tr>
      <w:tr w14:paraId="23ED4F9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Pr>
          <w:p w14:paraId="5FCD0D0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SHV</w:t>
            </w:r>
            <w:r>
              <w:rPr>
                <w:rFonts w:hint="default" w:ascii="Times New Roman" w:hAnsi="Times New Roman" w:cs="Times New Roman"/>
                <w:sz w:val="24"/>
                <w:szCs w:val="24"/>
              </w:rPr>
              <w:t>/ BLA</w:t>
            </w:r>
            <w:r>
              <w:rPr>
                <w:rFonts w:hint="default" w:ascii="Times New Roman" w:hAnsi="Times New Roman" w:cs="Times New Roman"/>
                <w:sz w:val="24"/>
                <w:szCs w:val="24"/>
                <w:vertAlign w:val="subscript"/>
              </w:rPr>
              <w:t>TEM</w:t>
            </w:r>
          </w:p>
        </w:tc>
        <w:tc>
          <w:tcPr>
            <w:tcW w:w="2070" w:type="dxa"/>
          </w:tcPr>
          <w:p w14:paraId="5879D73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0 (0%)</w:t>
            </w:r>
          </w:p>
        </w:tc>
        <w:tc>
          <w:tcPr>
            <w:tcW w:w="1980" w:type="dxa"/>
          </w:tcPr>
          <w:p w14:paraId="5541C3ED">
            <w:pPr>
              <w:spacing w:line="360" w:lineRule="auto"/>
              <w:rPr>
                <w:rFonts w:hint="default" w:ascii="Times New Roman" w:hAnsi="Times New Roman" w:cs="Times New Roman"/>
                <w:sz w:val="24"/>
                <w:szCs w:val="24"/>
              </w:rPr>
            </w:pPr>
          </w:p>
        </w:tc>
        <w:tc>
          <w:tcPr>
            <w:tcW w:w="2070" w:type="dxa"/>
          </w:tcPr>
          <w:p w14:paraId="5706335D">
            <w:pPr>
              <w:spacing w:line="360" w:lineRule="auto"/>
              <w:jc w:val="center"/>
              <w:rPr>
                <w:rFonts w:hint="default" w:ascii="Times New Roman" w:hAnsi="Times New Roman" w:cs="Times New Roman"/>
                <w:sz w:val="24"/>
                <w:szCs w:val="24"/>
              </w:rPr>
            </w:pPr>
          </w:p>
        </w:tc>
      </w:tr>
      <w:tr w14:paraId="5E73302E">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Pr>
          <w:p w14:paraId="62129D9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CTXM</w:t>
            </w:r>
            <w:r>
              <w:rPr>
                <w:rFonts w:hint="default" w:ascii="Times New Roman" w:hAnsi="Times New Roman" w:cs="Times New Roman"/>
                <w:sz w:val="24"/>
                <w:szCs w:val="24"/>
              </w:rPr>
              <w:t xml:space="preserve"> / BLA</w:t>
            </w:r>
            <w:r>
              <w:rPr>
                <w:rFonts w:hint="default" w:ascii="Times New Roman" w:hAnsi="Times New Roman" w:cs="Times New Roman"/>
                <w:sz w:val="24"/>
                <w:szCs w:val="24"/>
                <w:vertAlign w:val="subscript"/>
              </w:rPr>
              <w:t>TEM</w:t>
            </w:r>
          </w:p>
        </w:tc>
        <w:tc>
          <w:tcPr>
            <w:tcW w:w="2070" w:type="dxa"/>
          </w:tcPr>
          <w:p w14:paraId="7F35300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 (18.75%)</w:t>
            </w:r>
          </w:p>
        </w:tc>
        <w:tc>
          <w:tcPr>
            <w:tcW w:w="1980" w:type="dxa"/>
          </w:tcPr>
          <w:p w14:paraId="36806BE3">
            <w:pPr>
              <w:spacing w:line="360" w:lineRule="auto"/>
              <w:rPr>
                <w:rFonts w:hint="default" w:ascii="Times New Roman" w:hAnsi="Times New Roman" w:cs="Times New Roman"/>
                <w:sz w:val="24"/>
                <w:szCs w:val="24"/>
              </w:rPr>
            </w:pPr>
          </w:p>
        </w:tc>
        <w:tc>
          <w:tcPr>
            <w:tcW w:w="2070" w:type="dxa"/>
          </w:tcPr>
          <w:p w14:paraId="77B7BA4E">
            <w:pPr>
              <w:spacing w:line="360" w:lineRule="auto"/>
              <w:rPr>
                <w:rFonts w:hint="default" w:ascii="Times New Roman" w:hAnsi="Times New Roman" w:cs="Times New Roman"/>
                <w:sz w:val="24"/>
                <w:szCs w:val="24"/>
              </w:rPr>
            </w:pPr>
          </w:p>
        </w:tc>
      </w:tr>
      <w:tr w14:paraId="7A1D8D6B">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Pr>
          <w:p w14:paraId="040C39A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BLA</w:t>
            </w:r>
            <w:r>
              <w:rPr>
                <w:rFonts w:hint="default" w:ascii="Times New Roman" w:hAnsi="Times New Roman" w:cs="Times New Roman"/>
                <w:sz w:val="24"/>
                <w:szCs w:val="24"/>
                <w:vertAlign w:val="subscript"/>
              </w:rPr>
              <w:t>SHV</w:t>
            </w:r>
            <w:r>
              <w:rPr>
                <w:rFonts w:hint="default" w:ascii="Times New Roman" w:hAnsi="Times New Roman" w:cs="Times New Roman"/>
                <w:sz w:val="24"/>
                <w:szCs w:val="24"/>
              </w:rPr>
              <w:t>/ BLA</w:t>
            </w:r>
            <w:r>
              <w:rPr>
                <w:rFonts w:hint="default" w:ascii="Times New Roman" w:hAnsi="Times New Roman" w:cs="Times New Roman"/>
                <w:sz w:val="24"/>
                <w:szCs w:val="24"/>
                <w:vertAlign w:val="subscript"/>
              </w:rPr>
              <w:t>CTXM</w:t>
            </w:r>
            <w:r>
              <w:rPr>
                <w:rFonts w:hint="default" w:ascii="Times New Roman" w:hAnsi="Times New Roman" w:cs="Times New Roman"/>
                <w:sz w:val="24"/>
                <w:szCs w:val="24"/>
              </w:rPr>
              <w:t xml:space="preserve"> / BLA</w:t>
            </w:r>
            <w:r>
              <w:rPr>
                <w:rFonts w:hint="default" w:ascii="Times New Roman" w:hAnsi="Times New Roman" w:cs="Times New Roman"/>
                <w:sz w:val="24"/>
                <w:szCs w:val="24"/>
                <w:vertAlign w:val="subscript"/>
              </w:rPr>
              <w:t>TEM</w:t>
            </w:r>
          </w:p>
        </w:tc>
        <w:tc>
          <w:tcPr>
            <w:tcW w:w="2070" w:type="dxa"/>
          </w:tcPr>
          <w:p w14:paraId="640C15C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0 (0%)</w:t>
            </w:r>
          </w:p>
        </w:tc>
        <w:tc>
          <w:tcPr>
            <w:tcW w:w="1980" w:type="dxa"/>
          </w:tcPr>
          <w:p w14:paraId="3EAB6A66">
            <w:pPr>
              <w:spacing w:line="360" w:lineRule="auto"/>
              <w:rPr>
                <w:rFonts w:hint="default" w:ascii="Times New Roman" w:hAnsi="Times New Roman" w:cs="Times New Roman"/>
                <w:sz w:val="24"/>
                <w:szCs w:val="24"/>
              </w:rPr>
            </w:pPr>
          </w:p>
        </w:tc>
        <w:tc>
          <w:tcPr>
            <w:tcW w:w="2070" w:type="dxa"/>
          </w:tcPr>
          <w:p w14:paraId="511DAA5D">
            <w:pPr>
              <w:spacing w:line="360" w:lineRule="auto"/>
              <w:rPr>
                <w:rFonts w:hint="default" w:ascii="Times New Roman" w:hAnsi="Times New Roman" w:cs="Times New Roman"/>
                <w:sz w:val="24"/>
                <w:szCs w:val="24"/>
              </w:rPr>
            </w:pPr>
          </w:p>
        </w:tc>
      </w:tr>
      <w:tr w14:paraId="742E9E49">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8" w:type="dxa"/>
          </w:tcPr>
          <w:p w14:paraId="5AC747B1">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Total</w:t>
            </w:r>
          </w:p>
        </w:tc>
        <w:tc>
          <w:tcPr>
            <w:tcW w:w="2070" w:type="dxa"/>
          </w:tcPr>
          <w:p w14:paraId="2A163B07">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16</w:t>
            </w:r>
          </w:p>
        </w:tc>
        <w:tc>
          <w:tcPr>
            <w:tcW w:w="1980" w:type="dxa"/>
          </w:tcPr>
          <w:p w14:paraId="31E33A56">
            <w:pPr>
              <w:spacing w:line="360" w:lineRule="auto"/>
              <w:rPr>
                <w:rFonts w:hint="default" w:ascii="Times New Roman" w:hAnsi="Times New Roman" w:cs="Times New Roman"/>
                <w:b/>
                <w:sz w:val="24"/>
                <w:szCs w:val="24"/>
              </w:rPr>
            </w:pPr>
          </w:p>
        </w:tc>
        <w:tc>
          <w:tcPr>
            <w:tcW w:w="2070" w:type="dxa"/>
          </w:tcPr>
          <w:p w14:paraId="7541B0F5">
            <w:pPr>
              <w:spacing w:line="360" w:lineRule="auto"/>
              <w:rPr>
                <w:rFonts w:hint="default" w:ascii="Times New Roman" w:hAnsi="Times New Roman" w:cs="Times New Roman"/>
                <w:b/>
                <w:sz w:val="24"/>
                <w:szCs w:val="24"/>
              </w:rPr>
            </w:pPr>
          </w:p>
        </w:tc>
      </w:tr>
    </w:tbl>
    <w:p w14:paraId="06B7BD94">
      <w:pPr>
        <w:spacing w:line="360" w:lineRule="auto"/>
        <w:jc w:val="both"/>
        <w:rPr>
          <w:rFonts w:hint="default" w:ascii="Times New Roman" w:hAnsi="Times New Roman" w:cs="Times New Roman"/>
          <w:sz w:val="24"/>
          <w:szCs w:val="24"/>
        </w:rPr>
      </w:pPr>
    </w:p>
    <w:p w14:paraId="51F07F60">
      <w:pPr>
        <w:spacing w:line="360" w:lineRule="auto"/>
        <w:jc w:val="both"/>
        <w:rPr>
          <w:rFonts w:hint="default" w:ascii="Times New Roman" w:hAnsi="Times New Roman" w:cs="Times New Roman"/>
          <w:sz w:val="24"/>
          <w:szCs w:val="24"/>
        </w:rPr>
      </w:pPr>
    </w:p>
    <w:p w14:paraId="125370F3">
      <w:pPr>
        <w:spacing w:line="360" w:lineRule="auto"/>
        <w:jc w:val="both"/>
        <w:rPr>
          <w:rFonts w:hint="default" w:ascii="Times New Roman" w:hAnsi="Times New Roman" w:cs="Times New Roman"/>
          <w:sz w:val="24"/>
          <w:szCs w:val="24"/>
        </w:rPr>
      </w:pPr>
    </w:p>
    <w:p w14:paraId="2620E369">
      <w:pPr>
        <w:spacing w:line="360" w:lineRule="auto"/>
        <w:jc w:val="both"/>
        <w:rPr>
          <w:rFonts w:hint="default" w:ascii="Times New Roman" w:hAnsi="Times New Roman" w:cs="Times New Roman"/>
          <w:sz w:val="24"/>
          <w:szCs w:val="24"/>
        </w:rPr>
      </w:pPr>
    </w:p>
    <w:p w14:paraId="56C0F169">
      <w:pPr>
        <w:spacing w:line="360" w:lineRule="auto"/>
        <w:jc w:val="both"/>
        <w:rPr>
          <w:rFonts w:hint="default" w:ascii="Times New Roman" w:hAnsi="Times New Roman" w:cs="Times New Roman"/>
          <w:sz w:val="24"/>
          <w:szCs w:val="24"/>
        </w:rPr>
      </w:pPr>
    </w:p>
    <w:p w14:paraId="42FA20D0">
      <w:pPr>
        <w:spacing w:line="360" w:lineRule="auto"/>
        <w:jc w:val="both"/>
        <w:rPr>
          <w:rFonts w:hint="default" w:ascii="Times New Roman" w:hAnsi="Times New Roman" w:cs="Times New Roman"/>
          <w:sz w:val="24"/>
          <w:szCs w:val="24"/>
        </w:rPr>
      </w:pPr>
    </w:p>
    <w:p w14:paraId="5E48A4A3">
      <w:pPr>
        <w:spacing w:line="360" w:lineRule="auto"/>
        <w:rPr>
          <w:rFonts w:hint="default" w:ascii="Times New Roman" w:hAnsi="Times New Roman" w:cs="Times New Roman"/>
          <w:sz w:val="24"/>
          <w:szCs w:val="24"/>
        </w:rPr>
      </w:pPr>
    </w:p>
    <w:p w14:paraId="23E0FBF3">
      <w:pPr>
        <w:spacing w:line="360" w:lineRule="auto"/>
        <w:rPr>
          <w:rFonts w:hint="default" w:ascii="Times New Roman" w:hAnsi="Times New Roman" w:cs="Times New Roman"/>
          <w:sz w:val="24"/>
          <w:szCs w:val="24"/>
        </w:rPr>
      </w:pPr>
    </w:p>
    <w:p w14:paraId="092E60FD">
      <w:pPr>
        <w:spacing w:line="360" w:lineRule="auto"/>
        <w:rPr>
          <w:rFonts w:hint="default" w:ascii="Times New Roman" w:hAnsi="Times New Roman" w:cs="Times New Roman"/>
          <w:sz w:val="24"/>
          <w:szCs w:val="24"/>
        </w:rPr>
      </w:pPr>
    </w:p>
    <w:p w14:paraId="534B76DE">
      <w:pPr>
        <w:spacing w:line="360" w:lineRule="auto"/>
        <w:rPr>
          <w:rFonts w:hint="default" w:ascii="Times New Roman" w:hAnsi="Times New Roman" w:cs="Times New Roman"/>
          <w:sz w:val="24"/>
          <w:szCs w:val="24"/>
        </w:rPr>
      </w:pPr>
    </w:p>
    <w:p w14:paraId="111BFBE4">
      <w:pPr>
        <w:spacing w:line="360" w:lineRule="auto"/>
        <w:rPr>
          <w:rFonts w:hint="default" w:ascii="Times New Roman" w:hAnsi="Times New Roman" w:cs="Times New Roman"/>
          <w:sz w:val="24"/>
          <w:szCs w:val="24"/>
        </w:rPr>
      </w:pPr>
    </w:p>
    <w:p w14:paraId="799B1A1D">
      <w:pPr>
        <w:spacing w:line="360" w:lineRule="auto"/>
        <w:rPr>
          <w:rFonts w:hint="default" w:ascii="Times New Roman" w:hAnsi="Times New Roman" w:cs="Times New Roman"/>
          <w:sz w:val="24"/>
          <w:szCs w:val="24"/>
        </w:rPr>
      </w:pPr>
    </w:p>
    <w:p w14:paraId="4E45C4E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6184900" cy="2933700"/>
            <wp:effectExtent l="0" t="0" r="0" b="0"/>
            <wp:docPr id="161586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63359" name="Picture 1"/>
                    <pic:cNvPicPr>
                      <a:picLocks noChangeAspect="1"/>
                    </pic:cNvPicPr>
                  </pic:nvPicPr>
                  <pic:blipFill>
                    <a:blip r:embed="rId7"/>
                    <a:stretch>
                      <a:fillRect/>
                    </a:stretch>
                  </pic:blipFill>
                  <pic:spPr>
                    <a:xfrm>
                      <a:off x="0" y="0"/>
                      <a:ext cx="6196527" cy="2939529"/>
                    </a:xfrm>
                    <a:prstGeom prst="rect">
                      <a:avLst/>
                    </a:prstGeom>
                  </pic:spPr>
                </pic:pic>
              </a:graphicData>
            </a:graphic>
          </wp:inline>
        </w:drawing>
      </w:r>
    </w:p>
    <w:p w14:paraId="659F507E">
      <w:pPr>
        <w:spacing w:line="360" w:lineRule="auto"/>
        <w:rPr>
          <w:rFonts w:hint="default" w:ascii="Times New Roman" w:hAnsi="Times New Roman" w:cs="Times New Roman"/>
          <w:sz w:val="24"/>
          <w:szCs w:val="24"/>
        </w:rPr>
      </w:pPr>
    </w:p>
    <w:p w14:paraId="2BDFE0AB">
      <w:pPr>
        <w:spacing w:line="360" w:lineRule="auto"/>
        <w:rPr>
          <w:rFonts w:hint="default" w:ascii="Times New Roman" w:hAnsi="Times New Roman" w:cs="Times New Roman"/>
          <w:sz w:val="24"/>
          <w:szCs w:val="24"/>
        </w:rPr>
      </w:pPr>
    </w:p>
    <w:p w14:paraId="46BAD35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6172200" cy="2769870"/>
            <wp:effectExtent l="0" t="0" r="0" b="0"/>
            <wp:docPr id="19612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6838" name="Picture 1"/>
                    <pic:cNvPicPr>
                      <a:picLocks noChangeAspect="1"/>
                    </pic:cNvPicPr>
                  </pic:nvPicPr>
                  <pic:blipFill>
                    <a:blip r:embed="rId8"/>
                    <a:stretch>
                      <a:fillRect/>
                    </a:stretch>
                  </pic:blipFill>
                  <pic:spPr>
                    <a:xfrm>
                      <a:off x="0" y="0"/>
                      <a:ext cx="6183010" cy="2775139"/>
                    </a:xfrm>
                    <a:prstGeom prst="rect">
                      <a:avLst/>
                    </a:prstGeom>
                  </pic:spPr>
                </pic:pic>
              </a:graphicData>
            </a:graphic>
          </wp:inline>
        </w:drawing>
      </w:r>
    </w:p>
    <w:p w14:paraId="084B8F6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Agarose gel electrophoresis (2%) showing the typical amplion of  the uidA gene product of  E. coli isolates</w:t>
      </w:r>
    </w:p>
    <w:p w14:paraId="55C9E6A5">
      <w:pPr>
        <w:spacing w:line="360" w:lineRule="auto"/>
        <w:jc w:val="center"/>
        <w:rPr>
          <w:rFonts w:hint="default" w:ascii="Times New Roman" w:hAnsi="Times New Roman" w:cs="Times New Roman"/>
          <w:b/>
          <w:bCs/>
          <w:sz w:val="24"/>
          <w:szCs w:val="24"/>
        </w:rPr>
      </w:pPr>
    </w:p>
    <w:p w14:paraId="3DA21B90">
      <w:pPr>
        <w:spacing w:line="360" w:lineRule="auto"/>
        <w:jc w:val="center"/>
        <w:rPr>
          <w:rFonts w:hint="default" w:ascii="Times New Roman" w:hAnsi="Times New Roman" w:cs="Times New Roman"/>
          <w:b/>
          <w:bCs/>
          <w:sz w:val="24"/>
          <w:szCs w:val="24"/>
        </w:rPr>
      </w:pPr>
    </w:p>
    <w:p w14:paraId="0F083211">
      <w:pPr>
        <w:spacing w:line="360" w:lineRule="auto"/>
        <w:jc w:val="center"/>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5438775" cy="3084195"/>
            <wp:effectExtent l="0" t="0" r="0" b="0"/>
            <wp:docPr id="26920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01343" name="Picture 1"/>
                    <pic:cNvPicPr>
                      <a:picLocks noChangeAspect="1"/>
                    </pic:cNvPicPr>
                  </pic:nvPicPr>
                  <pic:blipFill>
                    <a:blip r:embed="rId9"/>
                    <a:stretch>
                      <a:fillRect/>
                    </a:stretch>
                  </pic:blipFill>
                  <pic:spPr>
                    <a:xfrm>
                      <a:off x="0" y="0"/>
                      <a:ext cx="5450793" cy="3091209"/>
                    </a:xfrm>
                    <a:prstGeom prst="rect">
                      <a:avLst/>
                    </a:prstGeom>
                  </pic:spPr>
                </pic:pic>
              </a:graphicData>
            </a:graphic>
          </wp:inline>
        </w:drawing>
      </w:r>
    </w:p>
    <w:p w14:paraId="487565FB">
      <w:pPr>
        <w:spacing w:line="360" w:lineRule="auto"/>
        <w:jc w:val="center"/>
        <w:rPr>
          <w:rFonts w:hint="default" w:ascii="Times New Roman" w:hAnsi="Times New Roman" w:cs="Times New Roman"/>
          <w:b/>
          <w:bCs/>
          <w:sz w:val="24"/>
          <w:szCs w:val="24"/>
        </w:rPr>
      </w:pPr>
    </w:p>
    <w:p w14:paraId="5AD623AD">
      <w:pPr>
        <w:spacing w:line="360" w:lineRule="auto"/>
        <w:jc w:val="center"/>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5695950" cy="2947670"/>
            <wp:effectExtent l="0" t="0" r="0" b="0"/>
            <wp:docPr id="119217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77122" name="Picture 1"/>
                    <pic:cNvPicPr>
                      <a:picLocks noChangeAspect="1"/>
                    </pic:cNvPicPr>
                  </pic:nvPicPr>
                  <pic:blipFill>
                    <a:blip r:embed="rId10"/>
                    <a:stretch>
                      <a:fillRect/>
                    </a:stretch>
                  </pic:blipFill>
                  <pic:spPr>
                    <a:xfrm>
                      <a:off x="0" y="0"/>
                      <a:ext cx="5711745" cy="2956091"/>
                    </a:xfrm>
                    <a:prstGeom prst="rect">
                      <a:avLst/>
                    </a:prstGeom>
                  </pic:spPr>
                </pic:pic>
              </a:graphicData>
            </a:graphic>
          </wp:inline>
        </w:drawing>
      </w:r>
    </w:p>
    <w:p w14:paraId="6423875A">
      <w:pPr>
        <w:spacing w:line="360" w:lineRule="auto"/>
        <w:jc w:val="center"/>
        <w:rPr>
          <w:rFonts w:hint="default" w:ascii="Times New Roman" w:hAnsi="Times New Roman" w:cs="Times New Roman"/>
          <w:b/>
          <w:bCs/>
          <w:sz w:val="24"/>
          <w:szCs w:val="24"/>
        </w:rPr>
      </w:pPr>
    </w:p>
    <w:p w14:paraId="420C69ED">
      <w:pPr>
        <w:spacing w:line="360" w:lineRule="auto"/>
        <w:jc w:val="center"/>
        <w:rPr>
          <w:rFonts w:hint="default" w:ascii="Times New Roman" w:hAnsi="Times New Roman" w:cs="Times New Roman"/>
          <w:b/>
          <w:bCs/>
          <w:sz w:val="24"/>
          <w:szCs w:val="24"/>
        </w:rPr>
      </w:pPr>
    </w:p>
    <w:p w14:paraId="714887F4">
      <w:pPr>
        <w:spacing w:line="360" w:lineRule="auto"/>
        <w:jc w:val="center"/>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5958205" cy="2715895"/>
            <wp:effectExtent l="0" t="0" r="0" b="0"/>
            <wp:docPr id="46858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1460" name="Picture 1"/>
                    <pic:cNvPicPr>
                      <a:picLocks noChangeAspect="1"/>
                    </pic:cNvPicPr>
                  </pic:nvPicPr>
                  <pic:blipFill>
                    <a:blip r:embed="rId11"/>
                    <a:stretch>
                      <a:fillRect/>
                    </a:stretch>
                  </pic:blipFill>
                  <pic:spPr>
                    <a:xfrm>
                      <a:off x="0" y="0"/>
                      <a:ext cx="5976106" cy="2723803"/>
                    </a:xfrm>
                    <a:prstGeom prst="rect">
                      <a:avLst/>
                    </a:prstGeom>
                  </pic:spPr>
                </pic:pic>
              </a:graphicData>
            </a:graphic>
          </wp:inline>
        </w:drawing>
      </w:r>
    </w:p>
    <w:p w14:paraId="06949A33">
      <w:pPr>
        <w:spacing w:line="360" w:lineRule="auto"/>
        <w:jc w:val="center"/>
        <w:rPr>
          <w:rFonts w:hint="default" w:ascii="Times New Roman" w:hAnsi="Times New Roman" w:cs="Times New Roman"/>
          <w:b/>
          <w:bCs/>
          <w:sz w:val="24"/>
          <w:szCs w:val="24"/>
        </w:rPr>
      </w:pPr>
      <w:r>
        <w:rPr>
          <w:rFonts w:hint="default" w:ascii="Times New Roman" w:hAnsi="Times New Roman" w:cs="Times New Roman"/>
          <w:i/>
          <w:iCs/>
          <w:sz w:val="24"/>
          <w:szCs w:val="24"/>
        </w:rPr>
        <w:t>blaSHV</w:t>
      </w:r>
    </w:p>
    <w:p w14:paraId="0DEC4210">
      <w:pPr>
        <w:spacing w:line="360" w:lineRule="auto"/>
        <w:jc w:val="center"/>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5880100" cy="2552065"/>
            <wp:effectExtent l="0" t="0" r="0" b="0"/>
            <wp:docPr id="106218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82203" name="Picture 1"/>
                    <pic:cNvPicPr>
                      <a:picLocks noChangeAspect="1"/>
                    </pic:cNvPicPr>
                  </pic:nvPicPr>
                  <pic:blipFill>
                    <a:blip r:embed="rId12"/>
                    <a:stretch>
                      <a:fillRect/>
                    </a:stretch>
                  </pic:blipFill>
                  <pic:spPr>
                    <a:xfrm>
                      <a:off x="0" y="0"/>
                      <a:ext cx="5894550" cy="2558398"/>
                    </a:xfrm>
                    <a:prstGeom prst="rect">
                      <a:avLst/>
                    </a:prstGeom>
                  </pic:spPr>
                </pic:pic>
              </a:graphicData>
            </a:graphic>
          </wp:inline>
        </w:drawing>
      </w:r>
    </w:p>
    <w:p w14:paraId="3BAF27BF">
      <w:pPr>
        <w:spacing w:line="360" w:lineRule="auto"/>
        <w:jc w:val="center"/>
        <w:rPr>
          <w:rFonts w:hint="default" w:ascii="Times New Roman" w:hAnsi="Times New Roman" w:cs="Times New Roman"/>
          <w:b/>
          <w:bCs/>
          <w:sz w:val="24"/>
          <w:szCs w:val="24"/>
        </w:rPr>
      </w:pPr>
      <w:r>
        <w:rPr>
          <w:rFonts w:hint="default" w:ascii="Times New Roman" w:hAnsi="Times New Roman" w:cs="Times New Roman"/>
          <w:i/>
          <w:iCs/>
          <w:sz w:val="24"/>
          <w:szCs w:val="24"/>
        </w:rPr>
        <w:t>blaSHV</w:t>
      </w:r>
    </w:p>
    <w:p w14:paraId="49948C40">
      <w:pPr>
        <w:spacing w:line="360" w:lineRule="auto"/>
        <w:jc w:val="center"/>
        <w:rPr>
          <w:rFonts w:hint="default" w:ascii="Times New Roman" w:hAnsi="Times New Roman" w:cs="Times New Roman"/>
          <w:b/>
          <w:bCs/>
          <w:sz w:val="24"/>
          <w:szCs w:val="24"/>
        </w:rPr>
      </w:pPr>
    </w:p>
    <w:p w14:paraId="62D54020">
      <w:pPr>
        <w:spacing w:line="360" w:lineRule="auto"/>
        <w:jc w:val="center"/>
        <w:rPr>
          <w:rFonts w:hint="default" w:ascii="Times New Roman" w:hAnsi="Times New Roman" w:cs="Times New Roman"/>
          <w:b/>
          <w:bCs/>
          <w:sz w:val="24"/>
          <w:szCs w:val="24"/>
        </w:rPr>
      </w:pPr>
    </w:p>
    <w:p w14:paraId="2A09F367">
      <w:pPr>
        <w:spacing w:line="360" w:lineRule="auto"/>
        <w:jc w:val="center"/>
        <w:rPr>
          <w:rFonts w:hint="default" w:ascii="Times New Roman" w:hAnsi="Times New Roman" w:cs="Times New Roman"/>
          <w:b/>
          <w:bCs/>
          <w:sz w:val="24"/>
          <w:szCs w:val="24"/>
        </w:rPr>
      </w:pPr>
    </w:p>
    <w:p w14:paraId="5ACB7FD9">
      <w:pPr>
        <w:spacing w:line="360" w:lineRule="auto"/>
        <w:jc w:val="center"/>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6353175" cy="2579370"/>
            <wp:effectExtent l="0" t="0" r="0" b="0"/>
            <wp:docPr id="148050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04770" name="Picture 1"/>
                    <pic:cNvPicPr>
                      <a:picLocks noChangeAspect="1"/>
                    </pic:cNvPicPr>
                  </pic:nvPicPr>
                  <pic:blipFill>
                    <a:blip r:embed="rId13"/>
                    <a:stretch>
                      <a:fillRect/>
                    </a:stretch>
                  </pic:blipFill>
                  <pic:spPr>
                    <a:xfrm>
                      <a:off x="0" y="0"/>
                      <a:ext cx="6384359" cy="2591854"/>
                    </a:xfrm>
                    <a:prstGeom prst="rect">
                      <a:avLst/>
                    </a:prstGeom>
                  </pic:spPr>
                </pic:pic>
              </a:graphicData>
            </a:graphic>
          </wp:inline>
        </w:drawing>
      </w:r>
    </w:p>
    <w:p w14:paraId="4BF481F8">
      <w:pPr>
        <w:spacing w:line="360" w:lineRule="auto"/>
        <w:jc w:val="center"/>
        <w:rPr>
          <w:rFonts w:hint="default" w:ascii="Times New Roman" w:hAnsi="Times New Roman" w:cs="Times New Roman"/>
          <w:b/>
          <w:bCs/>
          <w:sz w:val="24"/>
          <w:szCs w:val="24"/>
        </w:rPr>
      </w:pPr>
      <w:r>
        <w:rPr>
          <w:rFonts w:hint="default" w:ascii="Times New Roman" w:hAnsi="Times New Roman" w:cs="Times New Roman"/>
          <w:sz w:val="24"/>
          <w:szCs w:val="24"/>
        </w:rPr>
        <w:drawing>
          <wp:inline distT="0" distB="0" distL="0" distR="0">
            <wp:extent cx="6358890" cy="2456180"/>
            <wp:effectExtent l="0" t="0" r="0" b="0"/>
            <wp:docPr id="99685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51216" name="Picture 1"/>
                    <pic:cNvPicPr>
                      <a:picLocks noChangeAspect="1"/>
                    </pic:cNvPicPr>
                  </pic:nvPicPr>
                  <pic:blipFill>
                    <a:blip r:embed="rId14"/>
                    <a:stretch>
                      <a:fillRect/>
                    </a:stretch>
                  </pic:blipFill>
                  <pic:spPr>
                    <a:xfrm>
                      <a:off x="0" y="0"/>
                      <a:ext cx="6398884" cy="2471836"/>
                    </a:xfrm>
                    <a:prstGeom prst="rect">
                      <a:avLst/>
                    </a:prstGeom>
                  </pic:spPr>
                </pic:pic>
              </a:graphicData>
            </a:graphic>
          </wp:inline>
        </w:drawing>
      </w:r>
    </w:p>
    <w:p w14:paraId="5673B4A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688965" cy="2197100"/>
            <wp:effectExtent l="0" t="0" r="0" b="0"/>
            <wp:docPr id="64205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5260" name="Picture 1"/>
                    <pic:cNvPicPr>
                      <a:picLocks noChangeAspect="1"/>
                    </pic:cNvPicPr>
                  </pic:nvPicPr>
                  <pic:blipFill>
                    <a:blip r:embed="rId15"/>
                    <a:stretch>
                      <a:fillRect/>
                    </a:stretch>
                  </pic:blipFill>
                  <pic:spPr>
                    <a:xfrm>
                      <a:off x="0" y="0"/>
                      <a:ext cx="5715151" cy="2207313"/>
                    </a:xfrm>
                    <a:prstGeom prst="rect">
                      <a:avLst/>
                    </a:prstGeom>
                  </pic:spPr>
                </pic:pic>
              </a:graphicData>
            </a:graphic>
          </wp:inline>
        </w:drawing>
      </w:r>
    </w:p>
    <w:p w14:paraId="2FE5DCBC">
      <w:pPr>
        <w:spacing w:line="360" w:lineRule="auto"/>
        <w:rPr>
          <w:rFonts w:hint="default" w:ascii="Times New Roman" w:hAnsi="Times New Roman" w:cs="Times New Roman"/>
          <w:b/>
          <w:sz w:val="24"/>
          <w:szCs w:val="24"/>
        </w:rPr>
      </w:pPr>
    </w:p>
    <w:p w14:paraId="2051D404">
      <w:pPr>
        <w:spacing w:line="360" w:lineRule="auto"/>
        <w:rPr>
          <w:rFonts w:hint="default" w:ascii="Times New Roman" w:hAnsi="Times New Roman" w:cs="Times New Roman"/>
          <w:b/>
          <w:sz w:val="24"/>
          <w:szCs w:val="24"/>
        </w:rPr>
      </w:pPr>
    </w:p>
    <w:p w14:paraId="7900BD72">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Discussion</w:t>
      </w:r>
    </w:p>
    <w:p w14:paraId="2C70A7D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Antimicrobial resistance (AMR) is now recognized as one of the most critical global health threats of the 21st century, undermining the effectiveness of antibiotics that were once the backbone of infectious disease treatment. Among the mechanisms fueling AMR, the emergence of extended-spectrum β-lactamase (ESBL) production is especially concerning (Al-Hasso and Mohialdeen, 2023). </w:t>
      </w:r>
    </w:p>
    <w:p w14:paraId="78E3AC7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this study, analysis of specimen bio data showed that out of 400 urine samples, the largest proportion was contributed by individuals aged 21–30 years (22.75%), followed by those aged 31–40 years (18.5%). Females accounted for 56.25% of the samples, while males contributed 43.75%. Most specimens were obtained from the General Outpatient Department (56%), with smaller proportions from the Antenatal Clinic (13.5%) and Gynaecology Emergency Unit (13%). In contrast, only 3.75% of samples were from the Pediatric Unit and 14% collectively from the surgical wards. These findings align with those of Li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(2025), who reported a higher risk of UTIs among females (96.05%) compared to males (77.27%). However, they differ from a Nigerian study by Allamin </w:t>
      </w:r>
      <w:r>
        <w:rPr>
          <w:rFonts w:hint="default" w:ascii="Times New Roman" w:hAnsi="Times New Roman" w:cs="Times New Roman"/>
          <w:i/>
          <w:iCs/>
          <w:sz w:val="24"/>
          <w:szCs w:val="24"/>
        </w:rPr>
        <w:t>et al</w:t>
      </w:r>
      <w:r>
        <w:rPr>
          <w:rFonts w:hint="default" w:ascii="Times New Roman" w:hAnsi="Times New Roman" w:cs="Times New Roman"/>
          <w:sz w:val="24"/>
          <w:szCs w:val="24"/>
        </w:rPr>
        <w:t>., (2015), which found a higher prevalence (50%) among children aged 4–6 years. The predominance of female samples in the present study is expected, as women are generally more susceptible to urinary tract infections due to anatomical and physiological factors such as a shorter urethra, proximity of the urethral opening to the anus, and increased vulnerability during sexual activity and pregnancy.</w:t>
      </w:r>
    </w:p>
    <w:p w14:paraId="515BFE0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Out of 400 urine specimens cultured in this study, 160 (40%) yielded significant microbial growth, while the remaining 240 samples (60%) showed either no growth (32.5%) or no significant growth (27.5%). Among the isolates, </w:t>
      </w:r>
      <w:r>
        <w:rPr>
          <w:rFonts w:hint="default" w:ascii="Times New Roman" w:hAnsi="Times New Roman" w:cs="Times New Roman"/>
          <w:i/>
          <w:iCs/>
          <w:sz w:val="24"/>
          <w:szCs w:val="24"/>
        </w:rPr>
        <w:t>Klebsiella pneumoniae</w:t>
      </w:r>
      <w:r>
        <w:rPr>
          <w:rFonts w:hint="default" w:ascii="Times New Roman" w:hAnsi="Times New Roman" w:cs="Times New Roman"/>
          <w:sz w:val="24"/>
          <w:szCs w:val="24"/>
        </w:rPr>
        <w:t xml:space="preserve"> was the most frequently recovered organism (14.0%), followed by </w:t>
      </w:r>
      <w:r>
        <w:rPr>
          <w:rFonts w:hint="default" w:ascii="Times New Roman" w:hAnsi="Times New Roman" w:cs="Times New Roman"/>
          <w:i/>
          <w:iCs/>
          <w:sz w:val="24"/>
          <w:szCs w:val="24"/>
        </w:rPr>
        <w:t>Escherichia coli</w:t>
      </w:r>
      <w:r>
        <w:rPr>
          <w:rFonts w:hint="default" w:ascii="Times New Roman" w:hAnsi="Times New Roman" w:cs="Times New Roman"/>
          <w:sz w:val="24"/>
          <w:szCs w:val="24"/>
        </w:rPr>
        <w:t xml:space="preserve"> (9.25%), </w:t>
      </w:r>
      <w:r>
        <w:rPr>
          <w:rFonts w:hint="default" w:ascii="Times New Roman" w:hAnsi="Times New Roman" w:cs="Times New Roman"/>
          <w:i/>
          <w:iCs/>
          <w:sz w:val="24"/>
          <w:szCs w:val="24"/>
        </w:rPr>
        <w:t>Staphylococcus aureus</w:t>
      </w:r>
      <w:r>
        <w:rPr>
          <w:rFonts w:hint="default" w:ascii="Times New Roman" w:hAnsi="Times New Roman" w:cs="Times New Roman"/>
          <w:sz w:val="24"/>
          <w:szCs w:val="24"/>
        </w:rPr>
        <w:t xml:space="preserve"> (6.5%), </w:t>
      </w:r>
      <w:r>
        <w:rPr>
          <w:rFonts w:hint="default" w:ascii="Times New Roman" w:hAnsi="Times New Roman" w:cs="Times New Roman"/>
          <w:i/>
          <w:iCs/>
          <w:sz w:val="24"/>
          <w:szCs w:val="24"/>
        </w:rPr>
        <w:t>Candida albicans</w:t>
      </w:r>
      <w:r>
        <w:rPr>
          <w:rFonts w:hint="default" w:ascii="Times New Roman" w:hAnsi="Times New Roman" w:cs="Times New Roman"/>
          <w:sz w:val="24"/>
          <w:szCs w:val="24"/>
        </w:rPr>
        <w:t xml:space="preserve"> (4.25%), </w:t>
      </w:r>
      <w:r>
        <w:rPr>
          <w:rFonts w:hint="default" w:ascii="Times New Roman" w:hAnsi="Times New Roman" w:cs="Times New Roman"/>
          <w:i/>
          <w:iCs/>
          <w:sz w:val="24"/>
          <w:szCs w:val="24"/>
        </w:rPr>
        <w:t>Pseudomonas aeruginosa</w:t>
      </w:r>
      <w:r>
        <w:rPr>
          <w:rFonts w:hint="default" w:ascii="Times New Roman" w:hAnsi="Times New Roman" w:cs="Times New Roman"/>
          <w:sz w:val="24"/>
          <w:szCs w:val="24"/>
        </w:rPr>
        <w:t xml:space="preserve"> (3.5%), </w:t>
      </w:r>
      <w:r>
        <w:rPr>
          <w:rFonts w:hint="default" w:ascii="Times New Roman" w:hAnsi="Times New Roman" w:cs="Times New Roman"/>
          <w:i/>
          <w:iCs/>
          <w:sz w:val="24"/>
          <w:szCs w:val="24"/>
        </w:rPr>
        <w:t>Proteus mirabilis</w:t>
      </w:r>
      <w:r>
        <w:rPr>
          <w:rFonts w:hint="default" w:ascii="Times New Roman" w:hAnsi="Times New Roman" w:cs="Times New Roman"/>
          <w:sz w:val="24"/>
          <w:szCs w:val="24"/>
        </w:rPr>
        <w:t xml:space="preserve"> (0.5%), and </w:t>
      </w:r>
      <w:r>
        <w:rPr>
          <w:rFonts w:hint="default" w:ascii="Times New Roman" w:hAnsi="Times New Roman" w:cs="Times New Roman"/>
          <w:i/>
          <w:iCs/>
          <w:sz w:val="24"/>
          <w:szCs w:val="24"/>
        </w:rPr>
        <w:t>Streptococcus</w:t>
      </w:r>
      <w:r>
        <w:rPr>
          <w:rFonts w:hint="default" w:ascii="Times New Roman" w:hAnsi="Times New Roman" w:cs="Times New Roman"/>
          <w:sz w:val="24"/>
          <w:szCs w:val="24"/>
        </w:rPr>
        <w:t xml:space="preserve"> spp. (0.25%). Although the relatively high proportion of culture-negative results is not uncommon in hospital-based urine surveillance, it contrasts with the findings of Hansen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who reported a lower rate of 20.9% among cultured urine samples. The predominance of Enterobacterales, particularly </w:t>
      </w:r>
      <w:r>
        <w:rPr>
          <w:rFonts w:hint="default" w:ascii="Times New Roman" w:hAnsi="Times New Roman" w:cs="Times New Roman"/>
          <w:i/>
          <w:iCs/>
          <w:sz w:val="24"/>
          <w:szCs w:val="24"/>
        </w:rPr>
        <w:t>Klebsiella pneumoniae</w:t>
      </w:r>
      <w:r>
        <w:rPr>
          <w:rFonts w:hint="default" w:ascii="Times New Roman" w:hAnsi="Times New Roman" w:cs="Times New Roman"/>
          <w:sz w:val="24"/>
          <w:szCs w:val="24"/>
        </w:rPr>
        <w:t xml:space="preserve"> and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is consistent with existing African and global literature, including a Nigerian study by Haruna </w:t>
      </w:r>
      <w:r>
        <w:rPr>
          <w:rFonts w:hint="default" w:ascii="Times New Roman" w:hAnsi="Times New Roman" w:cs="Times New Roman"/>
          <w:i/>
          <w:iCs/>
          <w:sz w:val="24"/>
          <w:szCs w:val="24"/>
        </w:rPr>
        <w:t>et al</w:t>
      </w:r>
      <w:r>
        <w:rPr>
          <w:rFonts w:hint="default" w:ascii="Times New Roman" w:hAnsi="Times New Roman" w:cs="Times New Roman"/>
          <w:sz w:val="24"/>
          <w:szCs w:val="24"/>
        </w:rPr>
        <w:t>., (2024), which identified uropathogenic</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(29.1%) and </w:t>
      </w:r>
      <w:r>
        <w:rPr>
          <w:rFonts w:hint="default" w:ascii="Times New Roman" w:hAnsi="Times New Roman" w:cs="Times New Roman"/>
          <w:i/>
          <w:iCs/>
          <w:sz w:val="24"/>
          <w:szCs w:val="24"/>
        </w:rPr>
        <w:t>K. pneumoniae</w:t>
      </w:r>
      <w:r>
        <w:rPr>
          <w:rFonts w:hint="default" w:ascii="Times New Roman" w:hAnsi="Times New Roman" w:cs="Times New Roman"/>
          <w:sz w:val="24"/>
          <w:szCs w:val="24"/>
        </w:rPr>
        <w:t xml:space="preserve"> (15.8%) as the most common isolates. The high frequency of “no growth” and “no significant growth” in the present study may be attributed to prior antibiotic exposure before specimen collection, as self-medication and over-the-counter antibiotic use are widespread in Nigeria and similar contexts. The dominance of </w:t>
      </w:r>
      <w:r>
        <w:rPr>
          <w:rFonts w:hint="default" w:ascii="Times New Roman" w:hAnsi="Times New Roman" w:cs="Times New Roman"/>
          <w:i/>
          <w:iCs/>
          <w:sz w:val="24"/>
          <w:szCs w:val="24"/>
        </w:rPr>
        <w:t>K. pneumoniae</w:t>
      </w:r>
      <w:r>
        <w:rPr>
          <w:rFonts w:hint="default" w:ascii="Times New Roman" w:hAnsi="Times New Roman" w:cs="Times New Roman"/>
          <w:sz w:val="24"/>
          <w:szCs w:val="24"/>
        </w:rPr>
        <w:t xml:space="preserve"> and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is noteworthy, reaffirming their role as major uropathogens in hospital settings.</w:t>
      </w:r>
    </w:p>
    <w:p w14:paraId="512D911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found that only 39 of the 400 urine samples (9.75%) yielded </w:t>
      </w:r>
      <w:r>
        <w:rPr>
          <w:rFonts w:hint="default" w:ascii="Times New Roman" w:hAnsi="Times New Roman" w:cs="Times New Roman"/>
          <w:i/>
          <w:iCs/>
          <w:sz w:val="24"/>
          <w:szCs w:val="24"/>
        </w:rPr>
        <w:t>Escherichia coli</w:t>
      </w:r>
      <w:r>
        <w:rPr>
          <w:rFonts w:hint="default" w:ascii="Times New Roman" w:hAnsi="Times New Roman" w:cs="Times New Roman"/>
          <w:sz w:val="24"/>
          <w:szCs w:val="24"/>
        </w:rPr>
        <w:t xml:space="preserve">. Of these, phenotypic ESBL production was detected in 19 isolates (4.75%), while molecular screening confirmed ESBL-associated genes in 16 isolates (4.0%). Molecular confirmation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using the </w:t>
      </w:r>
      <w:r>
        <w:rPr>
          <w:rFonts w:hint="default" w:ascii="Times New Roman" w:hAnsi="Times New Roman" w:cs="Times New Roman"/>
          <w:i/>
          <w:iCs/>
          <w:sz w:val="24"/>
          <w:szCs w:val="24"/>
        </w:rPr>
        <w:t>uidA</w:t>
      </w:r>
      <w:r>
        <w:rPr>
          <w:rFonts w:hint="default" w:ascii="Times New Roman" w:hAnsi="Times New Roman" w:cs="Times New Roman"/>
          <w:sz w:val="24"/>
          <w:szCs w:val="24"/>
        </w:rPr>
        <w:t xml:space="preserve"> gene validated all 39 isolates. The relatively low proportion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observed in this study contrasts with findings from a Nigerian study by Mofolorunsho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(2021), which reported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in 128 isolates (82%), with 69% producing ESBLs significantly higher than the 4.75% ESBL rate observed here. Similarly, the phenotypic ESBL rate (4.75%) and the slightly lower molecular detection of </w:t>
      </w:r>
      <w:r>
        <w:rPr>
          <w:rFonts w:hint="default" w:ascii="Times New Roman" w:hAnsi="Times New Roman" w:cs="Times New Roman"/>
          <w:i/>
          <w:iCs/>
          <w:sz w:val="24"/>
          <w:szCs w:val="24"/>
        </w:rPr>
        <w:t>blaSHV</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blaCTX-M</w:t>
      </w:r>
      <w:r>
        <w:rPr>
          <w:rFonts w:hint="default" w:ascii="Times New Roman" w:hAnsi="Times New Roman" w:cs="Times New Roman"/>
          <w:sz w:val="24"/>
          <w:szCs w:val="24"/>
        </w:rPr>
        <w:t xml:space="preserve">, and </w:t>
      </w:r>
      <w:r>
        <w:rPr>
          <w:rFonts w:hint="default" w:ascii="Times New Roman" w:hAnsi="Times New Roman" w:cs="Times New Roman"/>
          <w:i/>
          <w:iCs/>
          <w:sz w:val="24"/>
          <w:szCs w:val="24"/>
        </w:rPr>
        <w:t>blaTEM</w:t>
      </w:r>
      <w:r>
        <w:rPr>
          <w:rFonts w:hint="default" w:ascii="Times New Roman" w:hAnsi="Times New Roman" w:cs="Times New Roman"/>
          <w:sz w:val="24"/>
          <w:szCs w:val="24"/>
        </w:rPr>
        <w:t xml:space="preserve"> genes (4.0%) fall below the wide prevalence range reported in Nigeria between 2004 and 2019, as documented in a systematic review by Tanko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(2020), where rates varied from 7.5% to 82.3%. The moderate ESBL prevalence observed in this study (4–4.75%) may be explained by outpatient sampling, prior antibiotic exposure, and hospital antimicrobial pressure. Furthermore, the slight difference between phenotypic and molecular ESBL detection suggests the possible involvement of additional resistance genes beyond </w:t>
      </w:r>
      <w:r>
        <w:rPr>
          <w:rFonts w:hint="default" w:ascii="Times New Roman" w:hAnsi="Times New Roman" w:cs="Times New Roman"/>
          <w:i/>
          <w:iCs/>
          <w:sz w:val="24"/>
          <w:szCs w:val="24"/>
        </w:rPr>
        <w:t>blaSHV</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blaCTX-M</w:t>
      </w:r>
      <w:r>
        <w:rPr>
          <w:rFonts w:hint="default" w:ascii="Times New Roman" w:hAnsi="Times New Roman" w:cs="Times New Roman"/>
          <w:sz w:val="24"/>
          <w:szCs w:val="24"/>
        </w:rPr>
        <w:t xml:space="preserve">, and </w:t>
      </w:r>
      <w:r>
        <w:rPr>
          <w:rFonts w:hint="default" w:ascii="Times New Roman" w:hAnsi="Times New Roman" w:cs="Times New Roman"/>
          <w:i/>
          <w:iCs/>
          <w:sz w:val="24"/>
          <w:szCs w:val="24"/>
        </w:rPr>
        <w:t>blaTEM</w:t>
      </w:r>
      <w:r>
        <w:rPr>
          <w:rFonts w:hint="default" w:ascii="Times New Roman" w:hAnsi="Times New Roman" w:cs="Times New Roman"/>
          <w:sz w:val="24"/>
          <w:szCs w:val="24"/>
        </w:rPr>
        <w:t>.</w:t>
      </w:r>
    </w:p>
    <w:p w14:paraId="5C23CF7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age distribution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isolates and ESBL-positive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in this study showed that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was most common among older working-age and elderly groups, particularly those aged 61–70 years (16.7%), followed by 31–40 years (13.5%) and 21–30 years (12.1%). ESBL-positive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was concentrated mainly in older adults, with the highest proportions observed in the 51–70-year groups (6.7% and 8.3%, respectively). These findings differ from a cross-sectional study in Tanzania by Omar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which reported the majority (38.8%) of ESBL-producing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among younger individuals aged 16–30 years. Similarly, the relatively low prevalence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isolates (4.2%) in patients aged 11–20 years contradicts the findings of Nkene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(2019) in Nigeria, who reported a higher prevalence (23.5%) in the same age group. The observed age-related distribution in this study may be attributed to differences in risk factors: younger adults (21–40 years) show higher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prevalence due to increased sexual activity and pregnancy-related susceptibility, whereas older adults (51–70 years) exhibit higher ESBL rates because of comorbidities, urinary tract abnormalities, frequent hospital attendance, and prior antibiotic exposure.</w:t>
      </w:r>
    </w:p>
    <w:p w14:paraId="64DAACDE">
      <w:pPr>
        <w:spacing w:line="360" w:lineRule="auto"/>
        <w:jc w:val="both"/>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Gender-stratified analysis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isolates and ESBL-positive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showed higher prevalence in females compared to males (12.9% vs. 5.7% for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4.9% vs. 2.9% for ESBL-producing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These findings are consistent with a study by Omar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which reported that ESBL-producing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infections were more common in females (52.6%) than in males. Similarly, the results align with a Nigerian study by Babatunde and Oluwatoyin, (2025), which found a slightly higher prevalence of ESBL-</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in females (50.4%) compared to males (49.6%). The predominance in females may be attributed to biological factors such as a shorter urethra and pregnancy-related susceptibility, behavioral and care-seeking patterns such as more frequent screening during antenatal visits, and greater antibiotic exposure linked to pregnancy and repeated healthcare contact, all of which contribute to increased detection and selection pressure for resistant strains in women.</w:t>
      </w:r>
    </w:p>
    <w:p w14:paraId="3426BA0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clinic-wise distribution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and ESBL-producing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in this study revealed modest prevalence in the Antenatal Clinic (9.3%), Gynaecology Emergency (7.7%), and GOPD (8.5%), but markedly higher rates in surgical wards. In female surgical patients,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prevalence was 17.6% with ESBL positivity at 11.8%, while in male surgical patients, prevalence reached 19.1% with ESBL positivity at 14.3%. The relatively low prevalence observed in the Gynaecology Emergency unit contrasts with the findings of Vicar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in Ghana, who reported a 27.8% prevalence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among pregnant women and demonstrated a significant association between socio demographic, obstetric, and hygiene factors and UTI occurrence (p &lt; 0.0001). By contrast, the elevated prevalence and ESBL rates in surgical wards are consistent with the clinical profile of this patient group, which often includes prior antibiotic exposure, invasive procedures, and indwelling devices all of which predispose to complicated UTIs and select for resistant, hospital-acquired pathogens. Indeed, multicentre and hospital surveillance studies in Nigeria have consistently shown higher proportions of ESBL-producing Enterobacterales among inpatients and surgical populations compared with outpatients. For example, Iliyasu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(2018) reported a 43.1% prevalence of hospital-acquired urinary tract infections among inpatients. The elevated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and ESBL burden in surgical wards observed in this study may further reflect challenges in infection control and maintenance of healthcare facilities in the country.</w:t>
      </w:r>
    </w:p>
    <w:p w14:paraId="4CBBA8A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antibiotic susceptibility profile of isolates in this study reveals a concerning pattern, though broadly consistent with recent Nigerian and regional reports. Amikacin demonstrated the highest retained activity (64.1% susceptible), whereas commonly used oral agents such as cotrimoxazole and amoxicillin-clavulanate (Augmentin) showed very high resistance rates of 89.7% and 74.4%, respectively. Fluoroquinolones (ciprofloxacin, levofloxacin) and several β-lactams (ceftriaxone, cefepime, aztreonam) exhibited resistance exceeding 40–50%, while nitrofurantoin showed only moderate activity (38.5% susceptible). These findings are consistent with those of Anueyiagu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who reported that poor access to quality healthcare, widespread misuse of antibiotics, and self-medication practices have accelerated antimicrobial resistance across Nigerian communities. Similarly, Kasanga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observed high resistance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isolates to ciprofloxacin (67.9%), levofloxacin (64.6%), and ceftriaxone (62.3%), while noting complete susceptibility to amikacin (100%). The high resistance rates observed against cotrimoxazole, Augmentin, and fluoroquinolones in this study likely reflect their long-term, widespread use and the prevalence of self-medication, which continue to drive resistance selection in the community.</w:t>
      </w:r>
    </w:p>
    <w:p w14:paraId="564145F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molecular detection of bla_TEM, bla_SHV and bla_CTX-M among </w:t>
      </w:r>
      <w:r>
        <w:rPr>
          <w:rFonts w:hint="default" w:ascii="Times New Roman" w:hAnsi="Times New Roman" w:cs="Times New Roman"/>
          <w:i/>
          <w:iCs/>
          <w:sz w:val="24"/>
          <w:szCs w:val="24"/>
        </w:rPr>
        <w:t>Escherichia coli</w:t>
      </w:r>
      <w:r>
        <w:rPr>
          <w:rFonts w:hint="default" w:ascii="Times New Roman" w:hAnsi="Times New Roman" w:cs="Times New Roman"/>
          <w:sz w:val="24"/>
          <w:szCs w:val="24"/>
        </w:rPr>
        <w:t xml:space="preserve"> urinary isolates in this study fits a well-documented and contemporary West African pattern, yet also highlights local nuance in the ecology of ESBLs. Across Nigeria and the sub-region bla_CTX-M (particularly CTX-M-15) has emerged as the single most frequently reported ESBL family in humans, animals and the environment, but the relative frequencies of bla_TEM and bla_SHV vary by setting and over time some hospital series and regional surveys report bla_TEM dominance or a substantial proportion of isolates carrying multiple genes concurrently. The results of this study are consistent with those of Ogbolu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(2018), who reported that the high-level multidrug resistance of uropathogens to third-generation cephalosporins and other antibiotics was strongly linked to ESBL carriage, particularly CTX-M-15, alongside CTX-M-14, OXA-10, and VEB-1. Similarly, the present findings align with Saka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(2020), who observed that blaCTX-M (73.3%) and blaTEM (73.3%) were the predominant resistance genes among ESBL-positive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with 22 of 30 isolates carrying each gene and 14 isolates harboring both. Notably, one isolate was found to simultaneously carry blaCTX-M, blaTEM, and blaSHV genes. The detection of bla_TEM, bla_SHV, and bla_CTX-M in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may be due to the widespread plasmid-mediated transmission of ESBL genes and the selective pressure from inappropriate and prolonged antibiotic use in both community and hospital settings.</w:t>
      </w:r>
    </w:p>
    <w:p w14:paraId="2126CD69">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5.2 Conclusion </w:t>
      </w:r>
    </w:p>
    <w:p w14:paraId="68A2E818">
      <w:pPr>
        <w:spacing w:line="360" w:lineRule="auto"/>
        <w:jc w:val="both"/>
        <w:rPr>
          <w:rFonts w:hint="default" w:ascii="Times New Roman" w:hAnsi="Times New Roman" w:cs="Times New Roman"/>
          <w:sz w:val="24"/>
          <w:szCs w:val="24"/>
        </w:rPr>
      </w:pPr>
      <w:bookmarkStart w:id="5" w:name="_Hlk209997144"/>
      <w:r>
        <w:rPr>
          <w:rFonts w:hint="default" w:ascii="Times New Roman" w:hAnsi="Times New Roman" w:cs="Times New Roman"/>
          <w:sz w:val="24"/>
          <w:szCs w:val="24"/>
        </w:rPr>
        <w:t xml:space="preserve">In conclusion, this study demonstrates that </w:t>
      </w:r>
      <w:r>
        <w:rPr>
          <w:rFonts w:hint="default" w:ascii="Times New Roman" w:hAnsi="Times New Roman" w:cs="Times New Roman"/>
          <w:i/>
          <w:iCs/>
          <w:sz w:val="24"/>
          <w:szCs w:val="24"/>
        </w:rPr>
        <w:t>Escherichia coli</w:t>
      </w:r>
      <w:r>
        <w:rPr>
          <w:rFonts w:hint="default" w:ascii="Times New Roman" w:hAnsi="Times New Roman" w:cs="Times New Roman"/>
          <w:sz w:val="24"/>
          <w:szCs w:val="24"/>
        </w:rPr>
        <w:t xml:space="preserve"> remains an important uropathogen among patients attending the Federal Medical Centre, Keffi, with a notable proportion exhibiting extended spectrum beta-lactamase (ESBL) production.</w:t>
      </w:r>
      <w:bookmarkEnd w:id="5"/>
      <w:r>
        <w:rPr>
          <w:rFonts w:hint="default" w:ascii="Times New Roman" w:hAnsi="Times New Roman" w:cs="Times New Roman"/>
          <w:sz w:val="24"/>
          <w:szCs w:val="24"/>
        </w:rPr>
        <w:t xml:space="preserve"> Although the overall prevalence of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was lower than that of some other uropathogens, the detection of ESBL-positive strains highlights a significant clinical and public health concern. The presence of ESBL-producing </w:t>
      </w:r>
      <w:r>
        <w:rPr>
          <w:rFonts w:hint="default" w:ascii="Times New Roman" w:hAnsi="Times New Roman" w:cs="Times New Roman"/>
          <w:i/>
          <w:iCs/>
          <w:sz w:val="24"/>
          <w:szCs w:val="24"/>
        </w:rPr>
        <w:t>E. coli</w:t>
      </w:r>
      <w:r>
        <w:rPr>
          <w:rFonts w:hint="default" w:ascii="Times New Roman" w:hAnsi="Times New Roman" w:cs="Times New Roman"/>
          <w:sz w:val="24"/>
          <w:szCs w:val="24"/>
        </w:rPr>
        <w:t xml:space="preserve"> reduces the effectiveness of commonly used antibiotics, particularly cephalosporins and fluoroquinolones, thereby limiting therapeutic options and increasing the risk of treatment failure. The findings underscore the role of irrational antibiotic use, prolonged hospital stays, invasive procedures, and inadequate infection control practices in driving resistance within both community and hospital settings. These results emphasize the urgent need for continuous antimicrobial resistance surveillance, strict antibiotic stewardship programs, and strengthened infection prevention measures.</w:t>
      </w:r>
    </w:p>
    <w:p w14:paraId="09C00FEF">
      <w:pPr>
        <w:spacing w:line="360" w:lineRule="auto"/>
        <w:rPr>
          <w:rFonts w:hint="default" w:ascii="Times New Roman" w:hAnsi="Times New Roman" w:eastAsia="Times New Roman" w:cs="Times New Roman"/>
          <w:sz w:val="24"/>
          <w:szCs w:val="24"/>
        </w:rPr>
      </w:pPr>
    </w:p>
    <w:p w14:paraId="282FE924">
      <w:pPr>
        <w:spacing w:line="360" w:lineRule="auto"/>
        <w:rPr>
          <w:rFonts w:hint="default" w:ascii="Times New Roman" w:hAnsi="Times New Roman" w:eastAsia="Times New Roman" w:cs="Times New Roman"/>
          <w:sz w:val="24"/>
          <w:szCs w:val="24"/>
        </w:rPr>
      </w:pPr>
    </w:p>
    <w:p w14:paraId="510FCF16">
      <w:pPr>
        <w:spacing w:line="360" w:lineRule="auto"/>
        <w:rPr>
          <w:rFonts w:hint="default" w:ascii="Times New Roman" w:hAnsi="Times New Roman" w:eastAsia="Times New Roman" w:cs="Times New Roman"/>
          <w:sz w:val="24"/>
          <w:szCs w:val="24"/>
        </w:rPr>
      </w:pPr>
    </w:p>
    <w:p w14:paraId="668863FE">
      <w:pPr>
        <w:spacing w:line="360" w:lineRule="auto"/>
        <w:rPr>
          <w:rFonts w:hint="default" w:ascii="Times New Roman" w:hAnsi="Times New Roman" w:eastAsia="Times New Roman" w:cs="Times New Roman"/>
          <w:sz w:val="24"/>
          <w:szCs w:val="24"/>
        </w:rPr>
      </w:pPr>
    </w:p>
    <w:p w14:paraId="197101C9">
      <w:pPr>
        <w:spacing w:line="360" w:lineRule="auto"/>
        <w:rPr>
          <w:rFonts w:hint="default" w:ascii="Times New Roman" w:hAnsi="Times New Roman" w:eastAsia="Times New Roman" w:cs="Times New Roman"/>
          <w:sz w:val="24"/>
          <w:szCs w:val="24"/>
        </w:rPr>
      </w:pPr>
    </w:p>
    <w:p w14:paraId="1F5E2ED3">
      <w:pPr>
        <w:spacing w:line="360" w:lineRule="auto"/>
        <w:rPr>
          <w:rFonts w:hint="default" w:ascii="Times New Roman" w:hAnsi="Times New Roman" w:eastAsia="Times New Roman" w:cs="Times New Roman"/>
          <w:sz w:val="24"/>
          <w:szCs w:val="24"/>
        </w:rPr>
      </w:pPr>
    </w:p>
    <w:p w14:paraId="7B370DF8">
      <w:pPr>
        <w:spacing w:line="360" w:lineRule="auto"/>
        <w:rPr>
          <w:rFonts w:hint="default" w:ascii="Times New Roman" w:hAnsi="Times New Roman" w:eastAsia="Times New Roman" w:cs="Times New Roman"/>
          <w:sz w:val="24"/>
          <w:szCs w:val="24"/>
        </w:rPr>
      </w:pPr>
    </w:p>
    <w:p w14:paraId="0A1FE194">
      <w:pPr>
        <w:spacing w:line="360" w:lineRule="auto"/>
        <w:rPr>
          <w:rFonts w:hint="default" w:ascii="Times New Roman" w:hAnsi="Times New Roman" w:eastAsia="Times New Roman" w:cs="Times New Roman"/>
          <w:sz w:val="24"/>
          <w:szCs w:val="24"/>
        </w:rPr>
      </w:pPr>
    </w:p>
    <w:p w14:paraId="041D8F42">
      <w:pPr>
        <w:spacing w:line="360" w:lineRule="auto"/>
        <w:rPr>
          <w:rFonts w:hint="default" w:ascii="Times New Roman" w:hAnsi="Times New Roman" w:eastAsia="Times New Roman" w:cs="Times New Roman"/>
          <w:sz w:val="24"/>
          <w:szCs w:val="24"/>
        </w:rPr>
      </w:pPr>
    </w:p>
    <w:p w14:paraId="7D0D9C0F">
      <w:pPr>
        <w:spacing w:line="360" w:lineRule="auto"/>
        <w:rPr>
          <w:rFonts w:hint="default" w:ascii="Times New Roman" w:hAnsi="Times New Roman" w:eastAsia="Times New Roman" w:cs="Times New Roman"/>
          <w:sz w:val="24"/>
          <w:szCs w:val="24"/>
        </w:rPr>
      </w:pPr>
    </w:p>
    <w:p w14:paraId="5387A224">
      <w:pPr>
        <w:pStyle w:val="20"/>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eastAsia="Times New Roman" w:cs="Times New Roman"/>
          <w:b/>
          <w:bCs/>
          <w:sz w:val="24"/>
          <w:szCs w:val="24"/>
        </w:rPr>
        <w:t>References</w:t>
      </w:r>
    </w:p>
    <w:p w14:paraId="0F390C35">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Al-Hasso, A. A., &amp; Mohialdeen, A. S. (2023). Extended-spectrum beta-lactamase-producing bacteria and antimicrobial resistance: A global challenge. </w:t>
      </w:r>
      <w:r>
        <w:rPr>
          <w:rStyle w:val="14"/>
          <w:rFonts w:hint="default" w:ascii="Times New Roman" w:hAnsi="Times New Roman" w:cs="Times New Roman"/>
          <w:sz w:val="24"/>
          <w:szCs w:val="24"/>
        </w:rPr>
        <w:t>Journal of Infection and Public Health, 16</w:t>
      </w:r>
      <w:r>
        <w:rPr>
          <w:rFonts w:hint="default" w:ascii="Times New Roman" w:hAnsi="Times New Roman" w:cs="Times New Roman"/>
          <w:sz w:val="24"/>
          <w:szCs w:val="24"/>
        </w:rPr>
        <w:t>(4), 565–573.</w:t>
      </w:r>
    </w:p>
    <w:p w14:paraId="36C84170">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Allamin, I. A., Machina, I. B., Abbas, M. I., &amp; Angale, K. I. (2015). Prevalence of urinary tract infection among children attending Babban Mutum Science Primary School, Shekal, Bauchi State, Nigeria. </w:t>
      </w:r>
      <w:r>
        <w:rPr>
          <w:rStyle w:val="14"/>
          <w:rFonts w:hint="default" w:ascii="Times New Roman" w:hAnsi="Times New Roman" w:cs="Times New Roman"/>
          <w:sz w:val="24"/>
          <w:szCs w:val="24"/>
        </w:rPr>
        <w:t>Open Access Library Journal, 2</w:t>
      </w:r>
      <w:r>
        <w:rPr>
          <w:rFonts w:hint="default" w:ascii="Times New Roman" w:hAnsi="Times New Roman" w:cs="Times New Roman"/>
          <w:sz w:val="24"/>
          <w:szCs w:val="24"/>
        </w:rPr>
        <w:t>(6), 1–5.</w:t>
      </w:r>
    </w:p>
    <w:p w14:paraId="49AD014C">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Anueyiagu, K. N., Eze, P. M., &amp; Nnadi, C. O. (2024). Antimicrobial resistance patterns among uropathogenic bacteria in Nigeria. </w:t>
      </w:r>
      <w:r>
        <w:rPr>
          <w:rStyle w:val="14"/>
          <w:rFonts w:hint="default" w:ascii="Times New Roman" w:hAnsi="Times New Roman" w:cs="Times New Roman"/>
          <w:sz w:val="24"/>
          <w:szCs w:val="24"/>
        </w:rPr>
        <w:t>African Journal of Clinical Microbiology, 25</w:t>
      </w:r>
      <w:r>
        <w:rPr>
          <w:rFonts w:hint="default" w:ascii="Times New Roman" w:hAnsi="Times New Roman" w:cs="Times New Roman"/>
          <w:sz w:val="24"/>
          <w:szCs w:val="24"/>
        </w:rPr>
        <w:t>(2), 110–118.</w:t>
      </w:r>
    </w:p>
    <w:p w14:paraId="4EE2E330">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Babatunde, O., &amp; Oluwatoyin, A. (2025). High prevalence of extended-spectrum beta-lactamase-producing </w:t>
      </w:r>
      <w:r>
        <w:rPr>
          <w:rStyle w:val="14"/>
          <w:rFonts w:hint="default" w:ascii="Times New Roman" w:hAnsi="Times New Roman" w:cs="Times New Roman"/>
          <w:sz w:val="24"/>
          <w:szCs w:val="24"/>
        </w:rPr>
        <w:t>Klebsiella pneumoniae</w:t>
      </w:r>
      <w:r>
        <w:rPr>
          <w:rFonts w:hint="default" w:ascii="Times New Roman" w:hAnsi="Times New Roman" w:cs="Times New Roman"/>
          <w:sz w:val="24"/>
          <w:szCs w:val="24"/>
        </w:rPr>
        <w:t xml:space="preserve"> and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in clinical infections in a tertiary care hospital in southwestern Nigeria. </w:t>
      </w:r>
      <w:r>
        <w:rPr>
          <w:rStyle w:val="14"/>
          <w:rFonts w:hint="default" w:ascii="Times New Roman" w:hAnsi="Times New Roman" w:cs="Times New Roman"/>
          <w:sz w:val="24"/>
          <w:szCs w:val="24"/>
        </w:rPr>
        <w:t>Microbiologia Medica, 40</w:t>
      </w:r>
      <w:r>
        <w:rPr>
          <w:rFonts w:hint="default" w:ascii="Times New Roman" w:hAnsi="Times New Roman" w:cs="Times New Roman"/>
          <w:sz w:val="24"/>
          <w:szCs w:val="24"/>
        </w:rPr>
        <w:t>, 12941.</w:t>
      </w:r>
    </w:p>
    <w:p w14:paraId="01377FC0">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Bush, K., &amp; Bradford, P. A. (2020). Epidemiology of β-lactamase-producing pathogens. </w:t>
      </w:r>
      <w:r>
        <w:rPr>
          <w:rStyle w:val="14"/>
          <w:rFonts w:hint="default" w:ascii="Times New Roman" w:hAnsi="Times New Roman" w:cs="Times New Roman"/>
          <w:sz w:val="24"/>
          <w:szCs w:val="24"/>
        </w:rPr>
        <w:t>Clinical Microbiology Reviews, 33</w:t>
      </w:r>
      <w:r>
        <w:rPr>
          <w:rFonts w:hint="default" w:ascii="Times New Roman" w:hAnsi="Times New Roman" w:cs="Times New Roman"/>
          <w:sz w:val="24"/>
          <w:szCs w:val="24"/>
        </w:rPr>
        <w:t xml:space="preserve">(2), e00047-19.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"https://doi.org/10.1128/CMR.00047-19"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https://doi.org/10.1128/CMR.00047-19</w:t>
      </w:r>
      <w:r>
        <w:rPr>
          <w:rFonts w:hint="default" w:ascii="Times New Roman" w:hAnsi="Times New Roman" w:cs="Times New Roman"/>
          <w:sz w:val="24"/>
          <w:szCs w:val="24"/>
        </w:rPr>
        <w:fldChar w:fldCharType="end"/>
      </w:r>
    </w:p>
    <w:p w14:paraId="43276157">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Cheesbrough, M. (2006). </w:t>
      </w:r>
      <w:r>
        <w:rPr>
          <w:rStyle w:val="14"/>
          <w:rFonts w:hint="default" w:ascii="Times New Roman" w:hAnsi="Times New Roman" w:cs="Times New Roman"/>
          <w:sz w:val="24"/>
          <w:szCs w:val="24"/>
        </w:rPr>
        <w:t>District laboratory practice in tropical countries</w:t>
      </w:r>
      <w:r>
        <w:rPr>
          <w:rFonts w:hint="default" w:ascii="Times New Roman" w:hAnsi="Times New Roman" w:cs="Times New Roman"/>
          <w:sz w:val="24"/>
          <w:szCs w:val="24"/>
        </w:rPr>
        <w:t xml:space="preserve"> (2nd ed.). Cambridge University Press.</w:t>
      </w:r>
    </w:p>
    <w:p w14:paraId="05597416">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Flores-Mireles, A. L., Walker, J. N., Caparon, M., &amp; Hultgren, S. J. (2015). Urinary tract infections: Epidemiology, mechanisms of infection and treatment options. </w:t>
      </w:r>
      <w:r>
        <w:rPr>
          <w:rStyle w:val="14"/>
          <w:rFonts w:hint="default" w:ascii="Times New Roman" w:hAnsi="Times New Roman" w:cs="Times New Roman"/>
          <w:sz w:val="24"/>
          <w:szCs w:val="24"/>
        </w:rPr>
        <w:t>Nature Reviews Microbiology, 13</w:t>
      </w:r>
      <w:r>
        <w:rPr>
          <w:rFonts w:hint="default" w:ascii="Times New Roman" w:hAnsi="Times New Roman" w:cs="Times New Roman"/>
          <w:sz w:val="24"/>
          <w:szCs w:val="24"/>
        </w:rPr>
        <w:t xml:space="preserve">(5), 269–284.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"https://doi.org/10.1038/nrmicro3432"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https://doi.org/10.1038/nrmicro3432</w:t>
      </w:r>
      <w:r>
        <w:rPr>
          <w:rFonts w:hint="default" w:ascii="Times New Roman" w:hAnsi="Times New Roman" w:cs="Times New Roman"/>
          <w:sz w:val="24"/>
          <w:szCs w:val="24"/>
        </w:rPr>
        <w:fldChar w:fldCharType="end"/>
      </w:r>
    </w:p>
    <w:p w14:paraId="64A131C3">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Hansen, M. A., Valentine-King, M., Zoorob, R., Schlueter, M., Matas, J. L., Willis, S. E., ... &amp; Grigoryan, L. (2022). Prevalence and predictors of urine culture contamination in primary care: A cross-sectional study. </w:t>
      </w:r>
      <w:r>
        <w:rPr>
          <w:rStyle w:val="14"/>
          <w:rFonts w:hint="default" w:ascii="Times New Roman" w:hAnsi="Times New Roman" w:cs="Times New Roman"/>
          <w:sz w:val="24"/>
          <w:szCs w:val="24"/>
        </w:rPr>
        <w:t>International Journal of Nursing Studies, 134</w:t>
      </w:r>
      <w:r>
        <w:rPr>
          <w:rFonts w:hint="default" w:ascii="Times New Roman" w:hAnsi="Times New Roman" w:cs="Times New Roman"/>
          <w:sz w:val="24"/>
          <w:szCs w:val="24"/>
        </w:rPr>
        <w:t>, 104325.</w:t>
      </w:r>
    </w:p>
    <w:p w14:paraId="1CD3191D">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Haruna, U. L., Abdulmumin, I. S., Halilu, H., &amp; Qasim, M. (2024). Prevalence and antibiotic susceptibility pattern of uropathogens isolated from urine in a tertiary care hospital in Nigeria. </w:t>
      </w:r>
      <w:r>
        <w:rPr>
          <w:rStyle w:val="14"/>
          <w:rFonts w:hint="default" w:ascii="Times New Roman" w:hAnsi="Times New Roman" w:cs="Times New Roman"/>
          <w:sz w:val="24"/>
          <w:szCs w:val="24"/>
        </w:rPr>
        <w:t>GSC Biological and Pharmaceutical Sciences, 28</w:t>
      </w:r>
      <w:r>
        <w:rPr>
          <w:rFonts w:hint="default" w:ascii="Times New Roman" w:hAnsi="Times New Roman" w:cs="Times New Roman"/>
          <w:sz w:val="24"/>
          <w:szCs w:val="24"/>
        </w:rPr>
        <w:t>(3), 253–260.</w:t>
      </w:r>
    </w:p>
    <w:p w14:paraId="0C4DD189">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Iliyasu, G., Habib, Z. G., Aminu, M., et al. (2018). Hospital-acquired infections and antimicrobial resistance patterns among hospitalized patients in Nigeria. </w:t>
      </w:r>
      <w:r>
        <w:rPr>
          <w:rStyle w:val="14"/>
          <w:rFonts w:hint="default" w:ascii="Times New Roman" w:hAnsi="Times New Roman" w:cs="Times New Roman"/>
          <w:sz w:val="24"/>
          <w:szCs w:val="24"/>
        </w:rPr>
        <w:t>Nigerian Journal of Clinical Practice, 21</w:t>
      </w:r>
      <w:r>
        <w:rPr>
          <w:rFonts w:hint="default" w:ascii="Times New Roman" w:hAnsi="Times New Roman" w:cs="Times New Roman"/>
          <w:sz w:val="24"/>
          <w:szCs w:val="24"/>
        </w:rPr>
        <w:t>(11), 1460–1468.</w:t>
      </w:r>
    </w:p>
    <w:p w14:paraId="24E6602A">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Karanika, S., Karantanos, T., Arvanitis, M., Grigoras, C., &amp; Mylonakis, E. (2016). Fecal colonization with extended-spectrum beta-lactamase-producing Enterobacteriaceae and risk factors among healthy individuals: A systematic review and meta-analysis. </w:t>
      </w:r>
      <w:r>
        <w:rPr>
          <w:rStyle w:val="14"/>
          <w:rFonts w:hint="default" w:ascii="Times New Roman" w:hAnsi="Times New Roman" w:cs="Times New Roman"/>
          <w:sz w:val="24"/>
          <w:szCs w:val="24"/>
        </w:rPr>
        <w:t>Clinical Infectious Diseases, 63</w:t>
      </w:r>
      <w:r>
        <w:rPr>
          <w:rFonts w:hint="default" w:ascii="Times New Roman" w:hAnsi="Times New Roman" w:cs="Times New Roman"/>
          <w:sz w:val="24"/>
          <w:szCs w:val="24"/>
        </w:rPr>
        <w:t xml:space="preserve">(3), 310–318.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"https://doi.org/10.1093/cid/ciw283"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https://doi.org/10.1093/cid/ciw283</w:t>
      </w:r>
      <w:r>
        <w:rPr>
          <w:rFonts w:hint="default" w:ascii="Times New Roman" w:hAnsi="Times New Roman" w:cs="Times New Roman"/>
          <w:sz w:val="24"/>
          <w:szCs w:val="24"/>
        </w:rPr>
        <w:fldChar w:fldCharType="end"/>
      </w:r>
    </w:p>
    <w:p w14:paraId="6B6D2DCE">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Li, L., Li, Y., Chen, Y., Hou, H., Wang, J., Liu, M., ... &amp; Wang, S. (2025). Global, regional, and national lifetime probabilities of urinary tract infections and interstitial nephritis from 1990 to 2021. </w:t>
      </w:r>
      <w:r>
        <w:rPr>
          <w:rStyle w:val="14"/>
          <w:rFonts w:hint="default" w:ascii="Times New Roman" w:hAnsi="Times New Roman" w:cs="Times New Roman"/>
          <w:sz w:val="24"/>
          <w:szCs w:val="24"/>
        </w:rPr>
        <w:t>Journal of Health, Population and Nutrition, 44</w:t>
      </w:r>
      <w:r>
        <w:rPr>
          <w:rFonts w:hint="default" w:ascii="Times New Roman" w:hAnsi="Times New Roman" w:cs="Times New Roman"/>
          <w:sz w:val="24"/>
          <w:szCs w:val="24"/>
        </w:rPr>
        <w:t>, 231.</w:t>
      </w:r>
    </w:p>
    <w:p w14:paraId="338CA0B4">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Li, X., Wang, Y., Zhang, H., &amp; Liu, J. (2025). Epidemiology of urinary tract infections among hospitalized patients: A multicenter study. </w:t>
      </w:r>
      <w:r>
        <w:rPr>
          <w:rStyle w:val="14"/>
          <w:rFonts w:hint="default" w:ascii="Times New Roman" w:hAnsi="Times New Roman" w:cs="Times New Roman"/>
          <w:sz w:val="24"/>
          <w:szCs w:val="24"/>
        </w:rPr>
        <w:t>BMC Infectious Diseases, 25</w:t>
      </w:r>
      <w:r>
        <w:rPr>
          <w:rFonts w:hint="default" w:ascii="Times New Roman" w:hAnsi="Times New Roman" w:cs="Times New Roman"/>
          <w:sz w:val="24"/>
          <w:szCs w:val="24"/>
        </w:rPr>
        <w:t>(1), 112.</w:t>
      </w:r>
    </w:p>
    <w:p w14:paraId="2D2AD744">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Mofolorunsho, K. C., Oladipo, O. O., &amp; Adekunle, A. A. (2021). Extended-spectrum beta-lactamase production among uropathogenic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isolates in Nigeria. </w:t>
      </w:r>
      <w:r>
        <w:rPr>
          <w:rStyle w:val="14"/>
          <w:rFonts w:hint="default" w:ascii="Times New Roman" w:hAnsi="Times New Roman" w:cs="Times New Roman"/>
          <w:sz w:val="24"/>
          <w:szCs w:val="24"/>
        </w:rPr>
        <w:t>Journal of Global Antimicrobial Resistance, 24</w:t>
      </w:r>
      <w:r>
        <w:rPr>
          <w:rFonts w:hint="default" w:ascii="Times New Roman" w:hAnsi="Times New Roman" w:cs="Times New Roman"/>
          <w:sz w:val="24"/>
          <w:szCs w:val="24"/>
        </w:rPr>
        <w:t>, 245–251.</w:t>
      </w:r>
    </w:p>
    <w:p w14:paraId="24D95D80">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Nwafia, I. N., Ebong, O. O., &amp; Umego, C. F. (2019). Prevalence of extended-spectrum beta-lactamase-producing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among clinical isolates in Nigeria. </w:t>
      </w:r>
      <w:r>
        <w:rPr>
          <w:rStyle w:val="14"/>
          <w:rFonts w:hint="default" w:ascii="Times New Roman" w:hAnsi="Times New Roman" w:cs="Times New Roman"/>
          <w:sz w:val="24"/>
          <w:szCs w:val="24"/>
        </w:rPr>
        <w:t>Nigerian Journal of Clinical Practice, 22</w:t>
      </w:r>
      <w:r>
        <w:rPr>
          <w:rFonts w:hint="default" w:ascii="Times New Roman" w:hAnsi="Times New Roman" w:cs="Times New Roman"/>
          <w:sz w:val="24"/>
          <w:szCs w:val="24"/>
        </w:rPr>
        <w:t>(3), 345–352.</w:t>
      </w:r>
    </w:p>
    <w:p w14:paraId="55930C94">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Ogbolu, D. O., Daini, O. A., Ogunledun, A., Alli, O. A. T., &amp; Webber, M. A. (2018). High levels of multidrug resistance among clinical isolates of Gram-negative pathogens associated with ESBL production in Nigeria. </w:t>
      </w:r>
      <w:r>
        <w:rPr>
          <w:rStyle w:val="14"/>
          <w:rFonts w:hint="default" w:ascii="Times New Roman" w:hAnsi="Times New Roman" w:cs="Times New Roman"/>
          <w:sz w:val="24"/>
          <w:szCs w:val="24"/>
        </w:rPr>
        <w:t>Journal of Infection in Developing Countries, 12</w:t>
      </w:r>
      <w:r>
        <w:rPr>
          <w:rFonts w:hint="default" w:ascii="Times New Roman" w:hAnsi="Times New Roman" w:cs="Times New Roman"/>
          <w:sz w:val="24"/>
          <w:szCs w:val="24"/>
        </w:rPr>
        <w:t>(8), 642–650.</w:t>
      </w:r>
    </w:p>
    <w:p w14:paraId="20AF89FD">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Omar, M. A., Mushi, M. F., &amp; Mshana, S. E. (2024). Prevalence and determinants of ESBL-producing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among patients with urinary tract infections in Tanzania. </w:t>
      </w:r>
      <w:r>
        <w:rPr>
          <w:rStyle w:val="14"/>
          <w:rFonts w:hint="default" w:ascii="Times New Roman" w:hAnsi="Times New Roman" w:cs="Times New Roman"/>
          <w:sz w:val="24"/>
          <w:szCs w:val="24"/>
        </w:rPr>
        <w:t>BMC Infectious Diseases, 24</w:t>
      </w:r>
      <w:r>
        <w:rPr>
          <w:rFonts w:hint="default" w:ascii="Times New Roman" w:hAnsi="Times New Roman" w:cs="Times New Roman"/>
          <w:sz w:val="24"/>
          <w:szCs w:val="24"/>
        </w:rPr>
        <w:t>(1), 387.</w:t>
      </w:r>
    </w:p>
    <w:p w14:paraId="38FE4F82">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Paterson, D. L., &amp; Bonomo, R. A. (2005). Extended-spectrum β-lactamases: A clinical update. </w:t>
      </w:r>
      <w:r>
        <w:rPr>
          <w:rStyle w:val="14"/>
          <w:rFonts w:hint="default" w:ascii="Times New Roman" w:hAnsi="Times New Roman" w:cs="Times New Roman"/>
          <w:sz w:val="24"/>
          <w:szCs w:val="24"/>
        </w:rPr>
        <w:t>Clinical Microbiology Reviews, 18</w:t>
      </w:r>
      <w:r>
        <w:rPr>
          <w:rFonts w:hint="default" w:ascii="Times New Roman" w:hAnsi="Times New Roman" w:cs="Times New Roman"/>
          <w:sz w:val="24"/>
          <w:szCs w:val="24"/>
        </w:rPr>
        <w:t xml:space="preserve">(4), 657–686.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"https://doi.org/10.1128/CMR.18.4.657-686.2005"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https://doi.org/10.1128/CMR.18.4.657-686.2005</w:t>
      </w:r>
      <w:r>
        <w:rPr>
          <w:rFonts w:hint="default" w:ascii="Times New Roman" w:hAnsi="Times New Roman" w:cs="Times New Roman"/>
          <w:sz w:val="24"/>
          <w:szCs w:val="24"/>
        </w:rPr>
        <w:fldChar w:fldCharType="end"/>
      </w:r>
    </w:p>
    <w:p w14:paraId="07240521">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Prestinaci, F., Pezzotti, P., &amp; Pantosti, A. (2015). Antimicrobial resistance: A global multifaceted phenomenon. </w:t>
      </w:r>
      <w:r>
        <w:rPr>
          <w:rStyle w:val="14"/>
          <w:rFonts w:hint="default" w:ascii="Times New Roman" w:hAnsi="Times New Roman" w:cs="Times New Roman"/>
          <w:sz w:val="24"/>
          <w:szCs w:val="24"/>
        </w:rPr>
        <w:t>Pathogens and Global Health, 109</w:t>
      </w:r>
      <w:r>
        <w:rPr>
          <w:rFonts w:hint="default" w:ascii="Times New Roman" w:hAnsi="Times New Roman" w:cs="Times New Roman"/>
          <w:sz w:val="24"/>
          <w:szCs w:val="24"/>
        </w:rPr>
        <w:t xml:space="preserve">(7), 309–318.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"https://doi.org/10.1179/2047773215Y.0000000030"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https://doi.org/10.1179/2047773215Y.0000000030</w:t>
      </w:r>
      <w:r>
        <w:rPr>
          <w:rFonts w:hint="default" w:ascii="Times New Roman" w:hAnsi="Times New Roman" w:cs="Times New Roman"/>
          <w:sz w:val="24"/>
          <w:szCs w:val="24"/>
        </w:rPr>
        <w:fldChar w:fldCharType="end"/>
      </w:r>
    </w:p>
    <w:p w14:paraId="0F049517">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Rawat, D., &amp; Nair, D. (2010). Extended-spectrum β-lactamases in Gram-negative bacteria. </w:t>
      </w:r>
      <w:r>
        <w:rPr>
          <w:rStyle w:val="14"/>
          <w:rFonts w:hint="default" w:ascii="Times New Roman" w:hAnsi="Times New Roman" w:cs="Times New Roman"/>
          <w:sz w:val="24"/>
          <w:szCs w:val="24"/>
        </w:rPr>
        <w:t>Journal of Global Infectious Diseases, 2</w:t>
      </w:r>
      <w:r>
        <w:rPr>
          <w:rFonts w:hint="default" w:ascii="Times New Roman" w:hAnsi="Times New Roman" w:cs="Times New Roman"/>
          <w:sz w:val="24"/>
          <w:szCs w:val="24"/>
        </w:rPr>
        <w:t xml:space="preserve">(3), 263–274.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"https://doi.org/10.4103/0974-777X.68531"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https://doi.org/10.4103/0974-777X.68531</w:t>
      </w:r>
      <w:r>
        <w:rPr>
          <w:rFonts w:hint="default" w:ascii="Times New Roman" w:hAnsi="Times New Roman" w:cs="Times New Roman"/>
          <w:sz w:val="24"/>
          <w:szCs w:val="24"/>
        </w:rPr>
        <w:fldChar w:fldCharType="end"/>
      </w:r>
    </w:p>
    <w:p w14:paraId="36ACF2B8">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Saka, H. K., Fasina, F. O., &amp; Olowe, O. A. (2020). Molecular characterization of ESBL genes among multidrug-resistant </w:t>
      </w:r>
      <w:r>
        <w:rPr>
          <w:rStyle w:val="14"/>
          <w:rFonts w:hint="default" w:ascii="Times New Roman" w:hAnsi="Times New Roman" w:cs="Times New Roman"/>
          <w:sz w:val="24"/>
          <w:szCs w:val="24"/>
        </w:rPr>
        <w:t>Escherichia coli</w:t>
      </w:r>
      <w:r>
        <w:rPr>
          <w:rFonts w:hint="default" w:ascii="Times New Roman" w:hAnsi="Times New Roman" w:cs="Times New Roman"/>
          <w:sz w:val="24"/>
          <w:szCs w:val="24"/>
        </w:rPr>
        <w:t xml:space="preserve"> isolates in Nigeria. </w:t>
      </w:r>
      <w:r>
        <w:rPr>
          <w:rStyle w:val="14"/>
          <w:rFonts w:hint="default" w:ascii="Times New Roman" w:hAnsi="Times New Roman" w:cs="Times New Roman"/>
          <w:sz w:val="24"/>
          <w:szCs w:val="24"/>
        </w:rPr>
        <w:t>Journal of Infection in Developing Countries, 14</w:t>
      </w:r>
      <w:r>
        <w:rPr>
          <w:rFonts w:hint="default" w:ascii="Times New Roman" w:hAnsi="Times New Roman" w:cs="Times New Roman"/>
          <w:sz w:val="24"/>
          <w:szCs w:val="24"/>
        </w:rPr>
        <w:t>(9), 1012–1019.</w:t>
      </w:r>
    </w:p>
    <w:p w14:paraId="0641004E">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Tamma, P. D., Aitken, S. L., Bonomo, R. A., Mathers, A. J., van Duin, D., &amp; Clancy, C. J. (2021). Infectious Diseases Society of America guidance on the treatment of extended-spectrum β-lactamase-producing Enterobacterales. </w:t>
      </w:r>
      <w:r>
        <w:rPr>
          <w:rStyle w:val="14"/>
          <w:rFonts w:hint="default" w:ascii="Times New Roman" w:hAnsi="Times New Roman" w:cs="Times New Roman"/>
          <w:sz w:val="24"/>
          <w:szCs w:val="24"/>
        </w:rPr>
        <w:t>Clinical Infectious Diseases, 72</w:t>
      </w:r>
      <w:r>
        <w:rPr>
          <w:rFonts w:hint="default" w:ascii="Times New Roman" w:hAnsi="Times New Roman" w:cs="Times New Roman"/>
          <w:sz w:val="24"/>
          <w:szCs w:val="24"/>
        </w:rPr>
        <w:t>(7), e169–e183.</w:t>
      </w:r>
    </w:p>
    <w:p w14:paraId="3F772C35">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Tanko, N., Mohammed, A., &amp; Adamu, Y. (2020). Prevalence of extended-spectrum beta-lactamase-producing Enterobacteriaceae in Nigeria: A systematic review. </w:t>
      </w:r>
      <w:r>
        <w:rPr>
          <w:rStyle w:val="14"/>
          <w:rFonts w:hint="default" w:ascii="Times New Roman" w:hAnsi="Times New Roman" w:cs="Times New Roman"/>
          <w:sz w:val="24"/>
          <w:szCs w:val="24"/>
        </w:rPr>
        <w:t>African Journal of Laboratory Medicine, 9</w:t>
      </w:r>
      <w:r>
        <w:rPr>
          <w:rFonts w:hint="default" w:ascii="Times New Roman" w:hAnsi="Times New Roman" w:cs="Times New Roman"/>
          <w:sz w:val="24"/>
          <w:szCs w:val="24"/>
        </w:rPr>
        <w:t>(1), 1–10.</w:t>
      </w:r>
    </w:p>
    <w:p w14:paraId="2EA04915">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Tille, P. (2022). </w:t>
      </w:r>
      <w:r>
        <w:rPr>
          <w:rStyle w:val="14"/>
          <w:rFonts w:hint="default" w:ascii="Times New Roman" w:hAnsi="Times New Roman" w:eastAsia="SimSun" w:cs="Times New Roman"/>
          <w:sz w:val="24"/>
          <w:szCs w:val="24"/>
        </w:rPr>
        <w:t>Bailey &amp; Scott's diagnostic microbiology</w:t>
      </w:r>
      <w:r>
        <w:rPr>
          <w:rFonts w:hint="default" w:ascii="Times New Roman" w:hAnsi="Times New Roman" w:eastAsia="SimSun" w:cs="Times New Roman"/>
          <w:sz w:val="24"/>
          <w:szCs w:val="24"/>
        </w:rPr>
        <w:t xml:space="preserve"> (15th ed.). Elsevier.</w:t>
      </w:r>
    </w:p>
    <w:p w14:paraId="2AA7C914">
      <w:pPr>
        <w:pStyle w:val="20"/>
        <w:keepNext w:val="0"/>
        <w:keepLines w:val="0"/>
        <w:widowControl/>
        <w:suppressLineNumbers w:val="0"/>
        <w:spacing w:before="0" w:beforeAutospacing="1" w:after="0" w:afterAutospacing="1"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Vicar, E. K., Acquah, S. E., Wallana, W., Kuugbee, E. D., Osbutey, E. K., Aidoo, A., ... &amp; Mensah, G. I. (2023). Urinary tract infection and associated factors among pregnant women receiving antenatal care at a primary health care facility in the Northern Region of Ghana. </w:t>
      </w:r>
      <w:r>
        <w:rPr>
          <w:rStyle w:val="14"/>
          <w:rFonts w:hint="default" w:ascii="Times New Roman" w:hAnsi="Times New Roman" w:cs="Times New Roman"/>
          <w:sz w:val="24"/>
          <w:szCs w:val="24"/>
        </w:rPr>
        <w:t>International Journal of Microbiology, 2023</w:t>
      </w:r>
      <w:r>
        <w:rPr>
          <w:rFonts w:hint="default" w:ascii="Times New Roman" w:hAnsi="Times New Roman" w:cs="Times New Roman"/>
          <w:sz w:val="24"/>
          <w:szCs w:val="24"/>
        </w:rPr>
        <w:t>(1), 3727265.</w:t>
      </w:r>
    </w:p>
    <w:p w14:paraId="28F46577">
      <w:pPr>
        <w:pStyle w:val="20"/>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(2023). </w:t>
      </w:r>
      <w:r>
        <w:rPr>
          <w:rStyle w:val="14"/>
          <w:rFonts w:hint="default" w:ascii="Times New Roman" w:hAnsi="Times New Roman" w:cs="Times New Roman"/>
          <w:sz w:val="24"/>
          <w:szCs w:val="24"/>
        </w:rPr>
        <w:t>Antimicrobial resistance</w:t>
      </w:r>
      <w:r>
        <w:rPr>
          <w:rFonts w:hint="default" w:ascii="Times New Roman" w:hAnsi="Times New Roman" w:cs="Times New Roman"/>
          <w:sz w:val="24"/>
          <w:szCs w:val="24"/>
        </w:rPr>
        <w:t xml:space="preserve">. World Health Organization.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"https://www.who.int/news-room/fact-sheets/detail/antimicrobial-resistance" </w:instrText>
      </w:r>
      <w:r>
        <w:rPr>
          <w:rFonts w:hint="default" w:ascii="Times New Roman" w:hAnsi="Times New Roman" w:cs="Times New Roman"/>
          <w:sz w:val="24"/>
          <w:szCs w:val="24"/>
        </w:rPr>
        <w:fldChar w:fldCharType="separate"/>
      </w:r>
      <w:r>
        <w:rPr>
          <w:rStyle w:val="19"/>
          <w:rFonts w:hint="default" w:ascii="Times New Roman" w:hAnsi="Times New Roman" w:cs="Times New Roman"/>
          <w:sz w:val="24"/>
          <w:szCs w:val="24"/>
        </w:rPr>
        <w:t>https://www.who.int/news-room/fact-sheets/detail/antimicrobial-resistance</w:t>
      </w:r>
      <w:r>
        <w:rPr>
          <w:rFonts w:hint="default" w:ascii="Times New Roman" w:hAnsi="Times New Roman" w:cs="Times New Roman"/>
          <w:sz w:val="24"/>
          <w:szCs w:val="24"/>
        </w:rPr>
        <w:fldChar w:fldCharType="end"/>
      </w:r>
    </w:p>
    <w:p w14:paraId="148C7115">
      <w:pPr>
        <w:pStyle w:val="20"/>
        <w:keepNext w:val="0"/>
        <w:keepLines w:val="0"/>
        <w:widowControl/>
        <w:suppressLineNumbers w:val="0"/>
        <w:spacing w:line="360" w:lineRule="auto"/>
        <w:rPr>
          <w:rFonts w:hint="default" w:ascii="Times New Roman" w:hAnsi="Times New Roman" w:cs="Times New Roman"/>
          <w:sz w:val="24"/>
          <w:szCs w:val="24"/>
        </w:rPr>
      </w:pPr>
    </w:p>
    <w:p w14:paraId="7FA0563A">
      <w:pPr>
        <w:spacing w:line="360" w:lineRule="auto"/>
        <w:jc w:val="center"/>
        <w:rPr>
          <w:rFonts w:hint="default" w:ascii="Times New Roman" w:hAnsi="Times New Roman" w:eastAsia="Times New Roman" w:cs="Times New Roman"/>
          <w:b/>
          <w:bCs/>
          <w:sz w:val="24"/>
          <w:szCs w:val="24"/>
        </w:rPr>
      </w:pPr>
    </w:p>
    <w:p w14:paraId="2C43BA07">
      <w:pPr>
        <w:spacing w:line="360" w:lineRule="auto"/>
        <w:jc w:val="both"/>
        <w:rPr>
          <w:rFonts w:hint="default" w:ascii="Times New Roman" w:hAnsi="Times New Roman" w:cs="Times New Roman"/>
          <w:sz w:val="24"/>
          <w:szCs w:val="24"/>
        </w:rPr>
      </w:pPr>
    </w:p>
    <w:p w14:paraId="3D445C22">
      <w:pPr>
        <w:spacing w:line="360" w:lineRule="auto"/>
        <w:rPr>
          <w:rFonts w:hint="default" w:ascii="Times New Roman" w:hAnsi="Times New Roman" w:cs="Times New Roman"/>
          <w:sz w:val="24"/>
          <w:szCs w:val="24"/>
        </w:rPr>
      </w:pPr>
    </w:p>
    <w:p w14:paraId="028F6A09">
      <w:pPr>
        <w:spacing w:line="360" w:lineRule="auto"/>
        <w:rPr>
          <w:rFonts w:hint="default" w:ascii="Times New Roman" w:hAnsi="Times New Roman" w:cs="Times New Roman"/>
          <w:b/>
          <w:sz w:val="24"/>
          <w:szCs w:val="24"/>
        </w:rPr>
      </w:pPr>
    </w:p>
    <w:p w14:paraId="52E37B0A">
      <w:pPr>
        <w:spacing w:line="360" w:lineRule="auto"/>
        <w:rPr>
          <w:rFonts w:hint="default" w:ascii="Times New Roman" w:hAnsi="Times New Roman" w:cs="Times New Roman"/>
          <w:b/>
          <w:sz w:val="24"/>
          <w:szCs w:val="24"/>
        </w:rPr>
      </w:pPr>
    </w:p>
    <w:p w14:paraId="7BF40912">
      <w:pPr>
        <w:spacing w:line="360" w:lineRule="auto"/>
        <w:rPr>
          <w:rFonts w:hint="default" w:ascii="Times New Roman" w:hAnsi="Times New Roman" w:cs="Times New Roman"/>
          <w:b/>
          <w:sz w:val="24"/>
          <w:szCs w:val="24"/>
        </w:rPr>
      </w:pPr>
    </w:p>
    <w:p w14:paraId="5C0CF199">
      <w:pPr>
        <w:spacing w:line="360" w:lineRule="auto"/>
        <w:rPr>
          <w:rFonts w:hint="default" w:ascii="Times New Roman" w:hAnsi="Times New Roman" w:cs="Times New Roman"/>
          <w:b/>
          <w:sz w:val="24"/>
          <w:szCs w:val="24"/>
        </w:rPr>
      </w:pPr>
    </w:p>
    <w:p w14:paraId="779D505F">
      <w:pPr>
        <w:spacing w:line="360" w:lineRule="auto"/>
        <w:rPr>
          <w:rFonts w:hint="default" w:ascii="Times New Roman" w:hAnsi="Times New Roman" w:cs="Times New Roman"/>
          <w:b/>
          <w:sz w:val="24"/>
          <w:szCs w:val="24"/>
        </w:rPr>
      </w:pPr>
    </w:p>
    <w:p w14:paraId="69214BE3">
      <w:pPr>
        <w:spacing w:line="360" w:lineRule="auto"/>
        <w:rPr>
          <w:rFonts w:hint="default" w:ascii="Times New Roman" w:hAnsi="Times New Roman" w:cs="Times New Roman"/>
          <w:b/>
          <w:sz w:val="24"/>
          <w:szCs w:val="24"/>
        </w:rPr>
      </w:pPr>
    </w:p>
    <w:p w14:paraId="3D693B93">
      <w:pPr>
        <w:spacing w:line="360" w:lineRule="auto"/>
        <w:rPr>
          <w:rFonts w:hint="default" w:ascii="Times New Roman" w:hAnsi="Times New Roman" w:cs="Times New Roman"/>
          <w:b/>
          <w:sz w:val="24"/>
          <w:szCs w:val="24"/>
        </w:rPr>
      </w:pPr>
    </w:p>
    <w:p w14:paraId="091F56C4">
      <w:pPr>
        <w:spacing w:line="360" w:lineRule="auto"/>
        <w:rPr>
          <w:rFonts w:hint="default" w:ascii="Times New Roman" w:hAnsi="Times New Roman" w:cs="Times New Roman"/>
          <w:b/>
          <w:sz w:val="24"/>
          <w:szCs w:val="24"/>
        </w:rPr>
      </w:pPr>
    </w:p>
    <w:p w14:paraId="12D07D59">
      <w:pPr>
        <w:spacing w:line="360" w:lineRule="auto"/>
        <w:rPr>
          <w:rFonts w:hint="default" w:ascii="Times New Roman" w:hAnsi="Times New Roman" w:cs="Times New Roman"/>
          <w:sz w:val="24"/>
          <w:szCs w:val="24"/>
        </w:rPr>
      </w:pP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40F2">
    <w:pPr>
      <w:pStyle w:val="16"/>
      <w:jc w:val="center"/>
    </w:pPr>
    <w:r>
      <w:fldChar w:fldCharType="begin"/>
    </w:r>
    <w:r>
      <w:instrText xml:space="preserve"> PAGE   \* MERGEFORMAT </w:instrText>
    </w:r>
    <w:r>
      <w:fldChar w:fldCharType="separate"/>
    </w:r>
    <w:r>
      <w:t>10</w:t>
    </w:r>
    <w:r>
      <w:fldChar w:fldCharType="end"/>
    </w:r>
  </w:p>
  <w:p w14:paraId="2BD8500B">
    <w:pPr>
      <w:pStyle w:val="44"/>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CC"/>
    <w:rsid w:val="00054A79"/>
    <w:rsid w:val="000A301C"/>
    <w:rsid w:val="000A7843"/>
    <w:rsid w:val="00110A69"/>
    <w:rsid w:val="00147046"/>
    <w:rsid w:val="00187E86"/>
    <w:rsid w:val="001A4CAC"/>
    <w:rsid w:val="00286773"/>
    <w:rsid w:val="00346273"/>
    <w:rsid w:val="004852CC"/>
    <w:rsid w:val="004F6057"/>
    <w:rsid w:val="00530330"/>
    <w:rsid w:val="005B54A0"/>
    <w:rsid w:val="00603204"/>
    <w:rsid w:val="006D591D"/>
    <w:rsid w:val="0073025C"/>
    <w:rsid w:val="007435DF"/>
    <w:rsid w:val="00830773"/>
    <w:rsid w:val="00896FEC"/>
    <w:rsid w:val="00900246"/>
    <w:rsid w:val="00913398"/>
    <w:rsid w:val="009C541D"/>
    <w:rsid w:val="009D3ACF"/>
    <w:rsid w:val="00AB17C1"/>
    <w:rsid w:val="00B30551"/>
    <w:rsid w:val="00B60932"/>
    <w:rsid w:val="00B6473F"/>
    <w:rsid w:val="00B860FB"/>
    <w:rsid w:val="00BB6F36"/>
    <w:rsid w:val="00C13C23"/>
    <w:rsid w:val="00C3238B"/>
    <w:rsid w:val="00C52AA9"/>
    <w:rsid w:val="00CE3AAE"/>
    <w:rsid w:val="00D234A8"/>
    <w:rsid w:val="00D46F20"/>
    <w:rsid w:val="00DC0E22"/>
    <w:rsid w:val="00E232BB"/>
    <w:rsid w:val="00EA097F"/>
    <w:rsid w:val="00EB4454"/>
    <w:rsid w:val="00EC7EA7"/>
    <w:rsid w:val="00ED1C78"/>
    <w:rsid w:val="00FF23F5"/>
    <w:rsid w:val="1DB86092"/>
    <w:rsid w:val="2CD5539D"/>
    <w:rsid w:val="4D992982"/>
    <w:rsid w:val="66BA4C17"/>
    <w:rsid w:val="6901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6"/>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5"/>
    <w:semiHidden/>
    <w:unhideWhenUsed/>
    <w:qFormat/>
    <w:uiPriority w:val="99"/>
    <w:pPr>
      <w:spacing w:after="0" w:line="240" w:lineRule="auto"/>
    </w:pPr>
    <w:rPr>
      <w:rFonts w:ascii="Tahoma" w:hAnsi="Tahoma" w:cs="Tahoma"/>
      <w:sz w:val="16"/>
      <w:szCs w:val="16"/>
    </w:rPr>
  </w:style>
  <w:style w:type="character" w:styleId="14">
    <w:name w:val="Emphasis"/>
    <w:basedOn w:val="11"/>
    <w:qFormat/>
    <w:uiPriority w:val="20"/>
    <w:rPr>
      <w:i/>
      <w:iCs/>
    </w:rPr>
  </w:style>
  <w:style w:type="character" w:styleId="15">
    <w:name w:val="FollowedHyperlink"/>
    <w:basedOn w:val="11"/>
    <w:semiHidden/>
    <w:unhideWhenUsed/>
    <w:uiPriority w:val="99"/>
    <w:rPr>
      <w:color w:val="800080"/>
      <w:u w:val="single"/>
    </w:rPr>
  </w:style>
  <w:style w:type="paragraph" w:styleId="16">
    <w:name w:val="footer"/>
    <w:basedOn w:val="1"/>
    <w:link w:val="43"/>
    <w:unhideWhenUsed/>
    <w:qFormat/>
    <w:uiPriority w:val="99"/>
    <w:pPr>
      <w:tabs>
        <w:tab w:val="center" w:pos="4680"/>
        <w:tab w:val="right" w:pos="9360"/>
      </w:tabs>
      <w:spacing w:after="0" w:line="240" w:lineRule="auto"/>
    </w:pPr>
  </w:style>
  <w:style w:type="paragraph" w:styleId="17">
    <w:name w:val="header"/>
    <w:basedOn w:val="1"/>
    <w:link w:val="47"/>
    <w:unhideWhenUsed/>
    <w:qFormat/>
    <w:uiPriority w:val="99"/>
    <w:pPr>
      <w:tabs>
        <w:tab w:val="center" w:pos="4680"/>
        <w:tab w:val="right" w:pos="9360"/>
      </w:tabs>
      <w:spacing w:after="0" w:line="240" w:lineRule="auto"/>
    </w:pPr>
  </w:style>
  <w:style w:type="character" w:styleId="18">
    <w:name w:val="HTML Cite"/>
    <w:basedOn w:val="11"/>
    <w:semiHidden/>
    <w:unhideWhenUsed/>
    <w:qFormat/>
    <w:uiPriority w:val="99"/>
    <w:rPr>
      <w:i/>
      <w:iCs/>
    </w:rPr>
  </w:style>
  <w:style w:type="character" w:styleId="19">
    <w:name w:val="Hyperlink"/>
    <w:basedOn w:val="11"/>
    <w:unhideWhenUsed/>
    <w:qFormat/>
    <w:uiPriority w:val="99"/>
    <w:rPr>
      <w:color w:val="0000FF"/>
      <w:u w:val="single"/>
    </w:rPr>
  </w:style>
  <w:style w:type="paragraph" w:styleId="2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1">
    <w:name w:val="Strong"/>
    <w:basedOn w:val="11"/>
    <w:qFormat/>
    <w:uiPriority w:val="22"/>
    <w:rPr>
      <w:b/>
      <w:bCs/>
    </w:rPr>
  </w:style>
  <w:style w:type="paragraph" w:styleId="22">
    <w:name w:val="Subtitle"/>
    <w:basedOn w:val="1"/>
    <w:next w:val="1"/>
    <w:link w:val="3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3">
    <w:name w:val="Table Grid"/>
    <w:basedOn w:val="12"/>
    <w:qFormat/>
    <w:uiPriority w:val="39"/>
    <w:pPr>
      <w:spacing w:after="0" w:line="240" w:lineRule="auto"/>
    </w:pPr>
    <w:rPr>
      <w:rFonts w:ascii="Times New Roman" w:hAnsi="Times New Roman" w:eastAsia="SimSu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4">
    <w:name w:val="Title"/>
    <w:basedOn w:val="1"/>
    <w:next w:val="1"/>
    <w:link w:val="3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6">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8">
    <w:name w:val="Heading 4 Char"/>
    <w:basedOn w:val="11"/>
    <w:link w:val="5"/>
    <w:semiHidden/>
    <w:qFormat/>
    <w:uiPriority w:val="9"/>
    <w:rPr>
      <w:rFonts w:eastAsiaTheme="majorEastAsia" w:cstheme="majorBidi"/>
      <w:i/>
      <w:iCs/>
      <w:color w:val="2F5597" w:themeColor="accent1" w:themeShade="BF"/>
    </w:rPr>
  </w:style>
  <w:style w:type="character" w:customStyle="1" w:styleId="29">
    <w:name w:val="Heading 5 Char"/>
    <w:basedOn w:val="11"/>
    <w:link w:val="6"/>
    <w:semiHidden/>
    <w:uiPriority w:val="9"/>
    <w:rPr>
      <w:rFonts w:eastAsiaTheme="majorEastAsia" w:cstheme="majorBidi"/>
      <w:color w:val="2F5597" w:themeColor="accent1" w:themeShade="BF"/>
    </w:rPr>
  </w:style>
  <w:style w:type="character" w:customStyle="1" w:styleId="3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Title Char"/>
    <w:basedOn w:val="11"/>
    <w:link w:val="24"/>
    <w:uiPriority w:val="10"/>
    <w:rPr>
      <w:rFonts w:asciiTheme="majorHAnsi" w:hAnsiTheme="majorHAnsi" w:eastAsiaTheme="majorEastAsia" w:cstheme="majorBidi"/>
      <w:spacing w:val="-10"/>
      <w:kern w:val="28"/>
      <w:sz w:val="56"/>
      <w:szCs w:val="56"/>
    </w:rPr>
  </w:style>
  <w:style w:type="character" w:customStyle="1" w:styleId="35">
    <w:name w:val="Subtitle Char"/>
    <w:basedOn w:val="11"/>
    <w:link w:val="2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11"/>
    <w:link w:val="36"/>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1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Intense Quote Char"/>
    <w:basedOn w:val="11"/>
    <w:link w:val="40"/>
    <w:qFormat/>
    <w:uiPriority w:val="30"/>
    <w:rPr>
      <w:i/>
      <w:iCs/>
      <w:color w:val="2F5597" w:themeColor="accent1" w:themeShade="BF"/>
    </w:rPr>
  </w:style>
  <w:style w:type="character" w:customStyle="1" w:styleId="42">
    <w:name w:val="Intense Reference"/>
    <w:basedOn w:val="11"/>
    <w:qFormat/>
    <w:uiPriority w:val="32"/>
    <w:rPr>
      <w:b/>
      <w:bCs/>
      <w:smallCaps/>
      <w:color w:val="2F5597" w:themeColor="accent1" w:themeShade="BF"/>
      <w:spacing w:val="5"/>
    </w:rPr>
  </w:style>
  <w:style w:type="character" w:customStyle="1" w:styleId="43">
    <w:name w:val="Footer Char"/>
    <w:basedOn w:val="11"/>
    <w:link w:val="16"/>
    <w:uiPriority w:val="99"/>
    <w:rPr>
      <w:kern w:val="0"/>
      <w14:ligatures w14:val="none"/>
    </w:rPr>
  </w:style>
  <w:style w:type="paragraph" w:customStyle="1" w:styleId="44">
    <w:name w:val="ParaAttribute2"/>
    <w:uiPriority w:val="0"/>
    <w:pPr>
      <w:tabs>
        <w:tab w:val="center" w:pos="4513"/>
        <w:tab w:val="right" w:pos="9026"/>
      </w:tabs>
      <w:spacing w:after="0" w:line="240" w:lineRule="auto"/>
    </w:pPr>
    <w:rPr>
      <w:rFonts w:ascii="Times New Roman" w:hAnsi="Times New Roman" w:eastAsia="Batang" w:cs="Times New Roman"/>
      <w:kern w:val="0"/>
      <w:sz w:val="20"/>
      <w:szCs w:val="20"/>
      <w:lang w:val="en-GB" w:eastAsia="en-GB" w:bidi="ar-SA"/>
      <w14:ligatures w14:val="none"/>
    </w:rPr>
  </w:style>
  <w:style w:type="character" w:customStyle="1" w:styleId="45">
    <w:name w:val="Balloon Text Char"/>
    <w:basedOn w:val="11"/>
    <w:link w:val="13"/>
    <w:semiHidden/>
    <w:uiPriority w:val="99"/>
    <w:rPr>
      <w:rFonts w:ascii="Tahoma" w:hAnsi="Tahoma" w:cs="Tahoma"/>
      <w:kern w:val="0"/>
      <w:sz w:val="16"/>
      <w:szCs w:val="16"/>
      <w14:ligatures w14:val="none"/>
    </w:rPr>
  </w:style>
  <w:style w:type="character" w:customStyle="1" w:styleId="46">
    <w:name w:val="apple-converted-space"/>
    <w:basedOn w:val="11"/>
    <w:qFormat/>
    <w:uiPriority w:val="0"/>
  </w:style>
  <w:style w:type="character" w:customStyle="1" w:styleId="47">
    <w:name w:val="Header Char"/>
    <w:basedOn w:val="11"/>
    <w:link w:val="17"/>
    <w:uiPriority w:val="99"/>
    <w:rPr>
      <w:kern w:val="0"/>
      <w14:ligatures w14:val="none"/>
    </w:rPr>
  </w:style>
  <w:style w:type="character" w:customStyle="1" w:styleId="48">
    <w:name w:val="CharAttribute579"/>
    <w:uiPriority w:val="0"/>
    <w:rPr>
      <w:rFonts w:ascii="Times New Roman" w:eastAsia="Cambria"/>
      <w:b/>
      <w:sz w:val="28"/>
    </w:rPr>
  </w:style>
  <w:style w:type="character" w:customStyle="1" w:styleId="49">
    <w:name w:val="CharAttribute573"/>
    <w:qFormat/>
    <w:uiPriority w:val="0"/>
    <w:rPr>
      <w:rFonts w:ascii="Times New Roman" w:eastAsia="Calibri"/>
      <w:sz w:val="28"/>
    </w:rPr>
  </w:style>
  <w:style w:type="character" w:customStyle="1" w:styleId="50">
    <w:name w:val="CharAttribute582"/>
    <w:qFormat/>
    <w:uiPriority w:val="0"/>
    <w:rPr>
      <w:rFonts w:ascii="Times New Roman" w:eastAsia="Calibri"/>
      <w:sz w:val="28"/>
    </w:rPr>
  </w:style>
  <w:style w:type="character" w:customStyle="1" w:styleId="51">
    <w:name w:val="CharAttribute583"/>
    <w:qFormat/>
    <w:uiPriority w:val="0"/>
    <w:rPr>
      <w:rFonts w:ascii="Times New Roman" w:eastAsia="Calibri"/>
      <w:sz w:val="28"/>
    </w:rPr>
  </w:style>
  <w:style w:type="character" w:customStyle="1" w:styleId="52">
    <w:name w:val="CharAttribute576"/>
    <w:qFormat/>
    <w:uiPriority w:val="0"/>
    <w:rPr>
      <w:rFonts w:ascii="Times New Roman" w:eastAsia="Calibri"/>
      <w:i/>
      <w:sz w:val="28"/>
    </w:rPr>
  </w:style>
  <w:style w:type="paragraph" w:styleId="53">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54">
    <w:name w:val="Unresolved Mention1"/>
    <w:basedOn w:val="11"/>
    <w:semiHidden/>
    <w:unhideWhenUsed/>
    <w:qFormat/>
    <w:uiPriority w:val="99"/>
    <w:rPr>
      <w:color w:val="605E5C"/>
      <w:shd w:val="clear" w:color="auto" w:fill="E1DFDD"/>
    </w:rPr>
  </w:style>
  <w:style w:type="character" w:styleId="55">
    <w:name w:val="Placeholder Text"/>
    <w:basedOn w:val="11"/>
    <w:semiHidden/>
    <w:uiPriority w:val="99"/>
    <w:rPr>
      <w:color w:val="808080"/>
    </w:rPr>
  </w:style>
  <w:style w:type="character" w:customStyle="1" w:styleId="56">
    <w:name w:val="uv3um"/>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3546</Words>
  <Characters>21000</Characters>
  <Lines>197</Lines>
  <Paragraphs>55</Paragraphs>
  <TotalTime>25</TotalTime>
  <ScaleCrop>false</ScaleCrop>
  <LinksUpToDate>false</LinksUpToDate>
  <CharactersWithSpaces>24451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2025-10-23T21:41:00Z</dcterms:created>
  <dc:creator>faith olley</dc:creator>
  <cp:lastModifiedBy>Misan Olley</cp:lastModifiedBy>
  <dcterms:modified xsi:type="dcterms:W3CDTF">2026-06-02T00:40:59Z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eyJoZGlkIjoiZGMzZjQxNTFlYjhhMGIxOTllZWYzNmNiYWZjZmZhNDUiLCJ1c2VySWQiOiIyNzQ4NzgwNjI4ODAyIn0=</vt:lpwstr>
  </property>
  <property fmtid="{D5CDD505-2E9C-101B-9397-08002B2CF9AE}" pid="3" name="KSOProductBuildVer">
    <vt:lpwstr>1033-12.1.0.26372</vt:lpwstr>
  </property>
  <property fmtid="{D5CDD505-2E9C-101B-9397-08002B2CF9AE}" pid="4" name="ICV">
    <vt:lpwstr>F024C40805DB4D4C9AFBBD671FDAE83E_13</vt:lpwstr>
  </property>
</Properties>
</file>